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CFC112">
      <w:pPr>
        <w:bidi w:val="0"/>
        <w:rPr>
          <w:rFonts w:hint="eastAsia" w:ascii="宋体" w:hAnsi="宋体" w:eastAsia="宋体" w:cs="宋体"/>
          <w:color w:val="auto"/>
          <w:highlight w:val="none"/>
          <w:lang w:eastAsia="zh-CN"/>
        </w:rPr>
      </w:pPr>
    </w:p>
    <w:p w14:paraId="76567592">
      <w:pPr>
        <w:bidi w:val="0"/>
        <w:rPr>
          <w:rFonts w:hint="eastAsia" w:ascii="宋体" w:hAnsi="宋体" w:eastAsia="宋体" w:cs="宋体"/>
          <w:color w:val="auto"/>
          <w:highlight w:val="none"/>
          <w:lang w:eastAsia="zh-CN"/>
        </w:rPr>
      </w:pPr>
    </w:p>
    <w:p w14:paraId="3D33AD4F">
      <w:pPr>
        <w:spacing w:line="336" w:lineRule="auto"/>
        <w:ind w:firstLine="482" w:firstLineChars="100"/>
        <w:contextualSpacing/>
        <w:jc w:val="center"/>
        <w:rPr>
          <w:rFonts w:hint="eastAsia" w:ascii="宋体" w:hAnsi="宋体" w:eastAsia="宋体" w:cs="宋体"/>
          <w:b/>
          <w:bCs/>
          <w:color w:val="auto"/>
          <w:sz w:val="24"/>
          <w:szCs w:val="24"/>
          <w:highlight w:val="none"/>
        </w:rPr>
      </w:pPr>
      <w:r>
        <w:rPr>
          <w:rFonts w:hint="eastAsia" w:ascii="宋体" w:hAnsi="宋体" w:cs="宋体"/>
          <w:b/>
          <w:bCs/>
          <w:color w:val="auto"/>
          <w:sz w:val="48"/>
          <w:szCs w:val="48"/>
          <w:highlight w:val="none"/>
          <w:lang w:eastAsia="zh-CN"/>
        </w:rPr>
        <w:t>嘉善县天凝中学2025年度校舍常规维修</w:t>
      </w:r>
    </w:p>
    <w:p w14:paraId="41FFB591">
      <w:pPr>
        <w:spacing w:before="100" w:beforeAutospacing="1" w:after="100" w:afterAutospacing="1" w:line="276" w:lineRule="auto"/>
        <w:ind w:firstLine="241" w:firstLineChars="100"/>
        <w:jc w:val="center"/>
        <w:rPr>
          <w:rFonts w:hint="eastAsia" w:ascii="宋体" w:hAnsi="宋体" w:eastAsia="宋体" w:cs="宋体"/>
          <w:b/>
          <w:bCs/>
          <w:color w:val="auto"/>
          <w:sz w:val="24"/>
          <w:szCs w:val="24"/>
          <w:highlight w:val="none"/>
        </w:rPr>
      </w:pPr>
    </w:p>
    <w:p w14:paraId="4E3854C1">
      <w:pPr>
        <w:spacing w:before="100" w:beforeAutospacing="1" w:after="100" w:afterAutospacing="1" w:line="276" w:lineRule="auto"/>
        <w:ind w:firstLine="320" w:firstLineChars="100"/>
        <w:jc w:val="center"/>
        <w:rPr>
          <w:rFonts w:hint="eastAsia" w:ascii="宋体" w:hAnsi="宋体" w:eastAsia="宋体" w:cs="宋体"/>
          <w:b w:val="0"/>
          <w:bCs w:val="0"/>
          <w:color w:val="auto"/>
          <w:sz w:val="32"/>
          <w:szCs w:val="32"/>
          <w:highlight w:val="none"/>
        </w:rPr>
      </w:pPr>
    </w:p>
    <w:p w14:paraId="3B9A87C7">
      <w:pPr>
        <w:spacing w:before="100" w:beforeAutospacing="1" w:after="100" w:afterAutospacing="1" w:line="276" w:lineRule="auto"/>
        <w:jc w:val="center"/>
        <w:rPr>
          <w:rFonts w:hint="eastAsia" w:ascii="宋体" w:hAnsi="宋体" w:eastAsia="宋体" w:cs="宋体"/>
          <w:b w:val="0"/>
          <w:bCs w:val="0"/>
          <w:color w:val="auto"/>
          <w:sz w:val="72"/>
          <w:szCs w:val="72"/>
          <w:highlight w:val="none"/>
        </w:rPr>
      </w:pPr>
      <w:r>
        <w:rPr>
          <w:rFonts w:hint="eastAsia" w:ascii="宋体" w:hAnsi="宋体" w:eastAsia="宋体" w:cs="宋体"/>
          <w:b w:val="0"/>
          <w:bCs w:val="0"/>
          <w:color w:val="auto"/>
          <w:sz w:val="72"/>
          <w:szCs w:val="72"/>
          <w:highlight w:val="none"/>
        </w:rPr>
        <w:t>竞争性磋商文件</w:t>
      </w:r>
    </w:p>
    <w:p w14:paraId="51D06B9E">
      <w:pPr>
        <w:snapToGrid w:val="0"/>
        <w:spacing w:before="100" w:beforeAutospacing="1" w:after="100" w:afterAutospacing="1" w:line="276" w:lineRule="auto"/>
        <w:rPr>
          <w:rFonts w:hint="eastAsia" w:ascii="宋体" w:hAnsi="宋体" w:eastAsia="宋体" w:cs="宋体"/>
          <w:color w:val="auto"/>
          <w:sz w:val="21"/>
          <w:szCs w:val="21"/>
          <w:highlight w:val="none"/>
        </w:rPr>
      </w:pPr>
    </w:p>
    <w:p w14:paraId="0473A971">
      <w:pPr>
        <w:rPr>
          <w:rFonts w:hint="eastAsia" w:ascii="宋体" w:hAnsi="宋体" w:eastAsia="宋体" w:cs="宋体"/>
          <w:color w:val="auto"/>
          <w:highlight w:val="none"/>
        </w:rPr>
      </w:pPr>
    </w:p>
    <w:p w14:paraId="06499CB9">
      <w:pPr>
        <w:pStyle w:val="12"/>
        <w:snapToGrid w:val="0"/>
        <w:spacing w:before="100" w:beforeLines="0" w:beforeAutospacing="1" w:after="100" w:afterLines="0" w:afterAutospacing="1" w:line="276" w:lineRule="auto"/>
        <w:ind w:firstLine="562" w:firstLineChars="200"/>
        <w:rPr>
          <w:rFonts w:hint="eastAsia" w:ascii="宋体" w:hAnsi="宋体" w:eastAsia="宋体" w:cs="宋体"/>
          <w:b/>
          <w:bCs/>
          <w:color w:val="auto"/>
          <w:sz w:val="28"/>
          <w:szCs w:val="28"/>
          <w:highlight w:val="none"/>
        </w:rPr>
      </w:pPr>
    </w:p>
    <w:p w14:paraId="6BB83A00">
      <w:pPr>
        <w:keepNext w:val="0"/>
        <w:keepLines w:val="0"/>
        <w:pageBreakBefore w:val="0"/>
        <w:widowControl w:val="0"/>
        <w:kinsoku/>
        <w:wordWrap/>
        <w:overflowPunct/>
        <w:topLinePunct w:val="0"/>
        <w:autoSpaceDE/>
        <w:autoSpaceDN/>
        <w:bidi w:val="0"/>
        <w:adjustRightInd/>
        <w:spacing w:line="480" w:lineRule="auto"/>
        <w:ind w:firstLine="602" w:firstLineChars="200"/>
        <w:contextualSpacing/>
        <w:jc w:val="both"/>
        <w:textAlignment w:val="auto"/>
        <w:rPr>
          <w:rFonts w:hint="eastAsia" w:ascii="宋体" w:hAnsi="宋体" w:eastAsia="宋体" w:cs="宋体"/>
          <w:b/>
          <w:bCs/>
          <w:color w:val="auto"/>
          <w:sz w:val="30"/>
          <w:szCs w:val="30"/>
          <w:highlight w:val="none"/>
        </w:rPr>
      </w:pPr>
    </w:p>
    <w:p w14:paraId="08075990">
      <w:pPr>
        <w:keepNext w:val="0"/>
        <w:keepLines w:val="0"/>
        <w:pageBreakBefore w:val="0"/>
        <w:widowControl w:val="0"/>
        <w:kinsoku/>
        <w:wordWrap/>
        <w:overflowPunct/>
        <w:topLinePunct w:val="0"/>
        <w:autoSpaceDE/>
        <w:autoSpaceDN/>
        <w:bidi w:val="0"/>
        <w:adjustRightInd/>
        <w:spacing w:line="480" w:lineRule="auto"/>
        <w:ind w:firstLine="602" w:firstLineChars="200"/>
        <w:contextualSpacing/>
        <w:jc w:val="both"/>
        <w:textAlignment w:val="auto"/>
        <w:rPr>
          <w:rFonts w:hint="default" w:ascii="宋体" w:hAnsi="宋体" w:eastAsia="宋体" w:cs="宋体"/>
          <w:b/>
          <w:bCs/>
          <w:color w:val="auto"/>
          <w:sz w:val="30"/>
          <w:szCs w:val="30"/>
          <w:highlight w:val="none"/>
          <w:lang w:val="en-US" w:eastAsia="zh-CN"/>
        </w:rPr>
      </w:pPr>
      <w:r>
        <w:rPr>
          <w:rFonts w:hint="eastAsia" w:ascii="宋体" w:hAnsi="宋体" w:eastAsia="宋体" w:cs="宋体"/>
          <w:b/>
          <w:bCs/>
          <w:color w:val="auto"/>
          <w:sz w:val="30"/>
          <w:szCs w:val="30"/>
          <w:highlight w:val="none"/>
        </w:rPr>
        <w:t>项目编号：</w:t>
      </w:r>
      <w:r>
        <w:rPr>
          <w:rFonts w:hint="eastAsia" w:ascii="宋体" w:hAnsi="宋体" w:cs="宋体"/>
          <w:b/>
          <w:bCs/>
          <w:color w:val="auto"/>
          <w:sz w:val="30"/>
          <w:szCs w:val="30"/>
          <w:highlight w:val="none"/>
          <w:lang w:eastAsia="zh-CN"/>
        </w:rPr>
        <w:t>ZHJS（CS)-2025-007</w:t>
      </w:r>
    </w:p>
    <w:p w14:paraId="47E33C0F">
      <w:pPr>
        <w:keepNext w:val="0"/>
        <w:keepLines w:val="0"/>
        <w:pageBreakBefore w:val="0"/>
        <w:widowControl w:val="0"/>
        <w:kinsoku/>
        <w:wordWrap/>
        <w:overflowPunct/>
        <w:topLinePunct w:val="0"/>
        <w:autoSpaceDE/>
        <w:autoSpaceDN/>
        <w:bidi w:val="0"/>
        <w:adjustRightInd/>
        <w:spacing w:line="480" w:lineRule="auto"/>
        <w:ind w:firstLine="602" w:firstLineChars="200"/>
        <w:contextualSpacing/>
        <w:jc w:val="both"/>
        <w:textAlignment w:val="auto"/>
        <w:rPr>
          <w:rFonts w:hint="eastAsia" w:ascii="宋体" w:hAnsi="宋体" w:eastAsia="宋体" w:cs="宋体"/>
          <w:b/>
          <w:bCs/>
          <w:color w:val="auto"/>
          <w:sz w:val="30"/>
          <w:szCs w:val="30"/>
          <w:highlight w:val="none"/>
          <w:lang w:val="en-US" w:eastAsia="zh-CN"/>
        </w:rPr>
      </w:pPr>
      <w:r>
        <w:rPr>
          <w:rFonts w:hint="eastAsia" w:ascii="宋体" w:hAnsi="宋体" w:eastAsia="宋体" w:cs="宋体"/>
          <w:b/>
          <w:bCs/>
          <w:color w:val="auto"/>
          <w:sz w:val="30"/>
          <w:szCs w:val="30"/>
          <w:highlight w:val="none"/>
        </w:rPr>
        <w:t>项目名称：</w:t>
      </w:r>
      <w:r>
        <w:rPr>
          <w:rFonts w:hint="eastAsia" w:ascii="宋体" w:hAnsi="宋体" w:cs="宋体"/>
          <w:b/>
          <w:bCs/>
          <w:color w:val="auto"/>
          <w:sz w:val="30"/>
          <w:szCs w:val="30"/>
          <w:highlight w:val="none"/>
          <w:lang w:val="en-US" w:eastAsia="zh-CN"/>
        </w:rPr>
        <w:t>嘉善县天凝中学2025年度校舍常规维修</w:t>
      </w:r>
    </w:p>
    <w:p w14:paraId="60396E8A">
      <w:pPr>
        <w:keepNext w:val="0"/>
        <w:keepLines w:val="0"/>
        <w:pageBreakBefore w:val="0"/>
        <w:widowControl w:val="0"/>
        <w:kinsoku/>
        <w:wordWrap/>
        <w:overflowPunct/>
        <w:topLinePunct w:val="0"/>
        <w:autoSpaceDE/>
        <w:autoSpaceDN/>
        <w:bidi w:val="0"/>
        <w:adjustRightInd/>
        <w:spacing w:line="480" w:lineRule="auto"/>
        <w:ind w:firstLine="602" w:firstLineChars="200"/>
        <w:contextualSpacing/>
        <w:jc w:val="both"/>
        <w:textAlignment w:val="auto"/>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rPr>
        <w:t>采购单位：</w:t>
      </w:r>
      <w:r>
        <w:rPr>
          <w:rFonts w:hint="eastAsia" w:ascii="宋体" w:hAnsi="宋体" w:cs="宋体"/>
          <w:b/>
          <w:bCs/>
          <w:color w:val="auto"/>
          <w:sz w:val="30"/>
          <w:szCs w:val="30"/>
          <w:highlight w:val="none"/>
          <w:lang w:val="en-US" w:eastAsia="zh-CN"/>
        </w:rPr>
        <w:t>嘉善县天凝中学</w:t>
      </w:r>
    </w:p>
    <w:p w14:paraId="57E116B3">
      <w:pPr>
        <w:keepNext w:val="0"/>
        <w:keepLines w:val="0"/>
        <w:pageBreakBefore w:val="0"/>
        <w:widowControl w:val="0"/>
        <w:kinsoku/>
        <w:wordWrap/>
        <w:overflowPunct/>
        <w:topLinePunct w:val="0"/>
        <w:autoSpaceDE/>
        <w:autoSpaceDN/>
        <w:bidi w:val="0"/>
        <w:adjustRightInd/>
        <w:spacing w:line="480" w:lineRule="auto"/>
        <w:ind w:firstLine="602" w:firstLineChars="200"/>
        <w:contextualSpacing/>
        <w:jc w:val="both"/>
        <w:textAlignment w:val="auto"/>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代理机构：</w:t>
      </w:r>
      <w:r>
        <w:rPr>
          <w:rFonts w:hint="eastAsia" w:ascii="宋体" w:hAnsi="宋体" w:cs="宋体"/>
          <w:b/>
          <w:bCs/>
          <w:color w:val="auto"/>
          <w:sz w:val="30"/>
          <w:szCs w:val="30"/>
          <w:highlight w:val="none"/>
          <w:lang w:eastAsia="zh-CN"/>
        </w:rPr>
        <w:t>浙江中合工程管理有限公司</w:t>
      </w:r>
    </w:p>
    <w:p w14:paraId="55B59A18">
      <w:pPr>
        <w:keepNext w:val="0"/>
        <w:keepLines w:val="0"/>
        <w:pageBreakBefore w:val="0"/>
        <w:widowControl w:val="0"/>
        <w:kinsoku/>
        <w:wordWrap/>
        <w:overflowPunct/>
        <w:topLinePunct w:val="0"/>
        <w:autoSpaceDE/>
        <w:autoSpaceDN/>
        <w:bidi w:val="0"/>
        <w:adjustRightInd/>
        <w:snapToGrid w:val="0"/>
        <w:spacing w:before="100" w:beforeAutospacing="1" w:after="100" w:afterAutospacing="1" w:line="480" w:lineRule="auto"/>
        <w:ind w:firstLine="3531" w:firstLineChars="1234"/>
        <w:textAlignment w:val="auto"/>
        <w:rPr>
          <w:rFonts w:hint="eastAsia" w:ascii="宋体" w:hAnsi="宋体" w:eastAsia="宋体" w:cs="宋体"/>
          <w:b/>
          <w:bCs/>
          <w:color w:val="auto"/>
          <w:w w:val="95"/>
          <w:sz w:val="30"/>
          <w:szCs w:val="30"/>
          <w:highlight w:val="none"/>
          <w:lang w:eastAsia="zh-CN"/>
        </w:rPr>
      </w:pPr>
      <w:r>
        <w:rPr>
          <w:rFonts w:hint="eastAsia" w:ascii="宋体" w:hAnsi="宋体" w:eastAsia="宋体" w:cs="宋体"/>
          <w:b/>
          <w:bCs/>
          <w:color w:val="auto"/>
          <w:w w:val="95"/>
          <w:sz w:val="30"/>
          <w:szCs w:val="30"/>
          <w:highlight w:val="none"/>
          <w:lang w:eastAsia="zh-CN"/>
        </w:rPr>
        <w:t>20</w:t>
      </w:r>
      <w:r>
        <w:rPr>
          <w:rFonts w:hint="eastAsia" w:ascii="宋体" w:hAnsi="宋体" w:cs="宋体"/>
          <w:b/>
          <w:bCs/>
          <w:color w:val="auto"/>
          <w:w w:val="95"/>
          <w:sz w:val="30"/>
          <w:szCs w:val="30"/>
          <w:highlight w:val="none"/>
          <w:lang w:val="en-US" w:eastAsia="zh-CN"/>
        </w:rPr>
        <w:t>25</w:t>
      </w:r>
      <w:r>
        <w:rPr>
          <w:rFonts w:hint="eastAsia" w:ascii="宋体" w:hAnsi="宋体" w:eastAsia="宋体" w:cs="宋体"/>
          <w:b/>
          <w:bCs/>
          <w:color w:val="auto"/>
          <w:w w:val="95"/>
          <w:sz w:val="30"/>
          <w:szCs w:val="30"/>
          <w:highlight w:val="none"/>
          <w:lang w:eastAsia="zh-CN"/>
        </w:rPr>
        <w:t>年</w:t>
      </w:r>
      <w:r>
        <w:rPr>
          <w:rFonts w:hint="eastAsia" w:ascii="宋体" w:hAnsi="宋体" w:eastAsia="宋体" w:cs="宋体"/>
          <w:b/>
          <w:bCs/>
          <w:color w:val="auto"/>
          <w:w w:val="95"/>
          <w:sz w:val="30"/>
          <w:szCs w:val="30"/>
          <w:highlight w:val="none"/>
          <w:lang w:val="en-US" w:eastAsia="zh-CN"/>
        </w:rPr>
        <w:t>6</w:t>
      </w:r>
      <w:r>
        <w:rPr>
          <w:rFonts w:hint="eastAsia" w:ascii="宋体" w:hAnsi="宋体" w:eastAsia="宋体" w:cs="宋体"/>
          <w:b/>
          <w:bCs/>
          <w:color w:val="auto"/>
          <w:w w:val="95"/>
          <w:sz w:val="30"/>
          <w:szCs w:val="30"/>
          <w:highlight w:val="none"/>
          <w:lang w:eastAsia="zh-CN"/>
        </w:rPr>
        <w:t>月</w:t>
      </w:r>
    </w:p>
    <w:p w14:paraId="682EF506">
      <w:pPr>
        <w:rPr>
          <w:rFonts w:hint="eastAsia" w:ascii="宋体" w:hAnsi="宋体" w:eastAsia="宋体" w:cs="宋体"/>
          <w:b/>
          <w:bCs/>
          <w:color w:val="auto"/>
          <w:w w:val="95"/>
          <w:sz w:val="30"/>
          <w:szCs w:val="30"/>
          <w:highlight w:val="none"/>
          <w:lang w:eastAsia="zh-CN"/>
        </w:rPr>
      </w:pPr>
      <w:r>
        <w:rPr>
          <w:rFonts w:hint="eastAsia" w:ascii="宋体" w:hAnsi="宋体" w:eastAsia="宋体" w:cs="宋体"/>
          <w:b/>
          <w:bCs/>
          <w:color w:val="auto"/>
          <w:w w:val="95"/>
          <w:sz w:val="30"/>
          <w:szCs w:val="30"/>
          <w:highlight w:val="none"/>
          <w:lang w:eastAsia="zh-CN"/>
        </w:rPr>
        <w:br w:type="page"/>
      </w:r>
    </w:p>
    <w:sdt>
      <w:sdtPr>
        <w:rPr>
          <w:rFonts w:hint="eastAsia" w:ascii="宋体" w:hAnsi="宋体" w:eastAsia="宋体" w:cs="宋体"/>
          <w:color w:val="auto"/>
          <w:kern w:val="2"/>
          <w:sz w:val="21"/>
          <w:szCs w:val="24"/>
          <w:highlight w:val="none"/>
          <w:lang w:val="en-US" w:eastAsia="zh-CN" w:bidi="ar-SA"/>
        </w:rPr>
        <w:id w:val="147469301"/>
        <w15:color w:val="DBDBDB"/>
        <w:docPartObj>
          <w:docPartGallery w:val="Table of Contents"/>
          <w:docPartUnique/>
        </w:docPartObj>
      </w:sdtPr>
      <w:sdtEndPr>
        <w:rPr>
          <w:rFonts w:hint="eastAsia" w:ascii="宋体" w:hAnsi="宋体" w:eastAsia="宋体" w:cs="宋体"/>
          <w:color w:val="auto"/>
          <w:kern w:val="0"/>
          <w:sz w:val="21"/>
          <w:szCs w:val="22"/>
          <w:highlight w:val="none"/>
          <w:lang w:val="en-US" w:eastAsia="zh-CN" w:bidi="ar-SA"/>
        </w:rPr>
      </w:sdtEndPr>
      <w:sdtContent>
        <w:p w14:paraId="31BB2A51">
          <w:pPr>
            <w:spacing w:before="0" w:beforeLines="0" w:after="0" w:afterLines="0" w:line="240" w:lineRule="auto"/>
            <w:ind w:left="0" w:leftChars="0" w:right="0" w:rightChars="0" w:firstLine="0" w:firstLineChars="0"/>
            <w:jc w:val="center"/>
            <w:rPr>
              <w:rFonts w:hint="eastAsia" w:ascii="宋体" w:hAnsi="宋体" w:eastAsia="宋体" w:cs="宋体"/>
              <w:color w:val="auto"/>
              <w:sz w:val="24"/>
              <w:szCs w:val="24"/>
              <w:highlight w:val="none"/>
            </w:rPr>
          </w:pPr>
          <w:bookmarkStart w:id="106" w:name="_GoBack"/>
          <w:r>
            <w:rPr>
              <w:rFonts w:hint="eastAsia" w:ascii="宋体" w:hAnsi="宋体" w:eastAsia="宋体" w:cs="宋体"/>
              <w:color w:val="auto"/>
              <w:sz w:val="24"/>
              <w:szCs w:val="24"/>
              <w:highlight w:val="none"/>
            </w:rPr>
            <w:t>目录</w:t>
          </w:r>
        </w:p>
        <w:p w14:paraId="1BE3898C">
          <w:pPr>
            <w:pStyle w:val="17"/>
            <w:tabs>
              <w:tab w:val="right" w:leader="dot" w:pos="9752"/>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color w:val="auto"/>
              <w:sz w:val="24"/>
              <w:szCs w:val="24"/>
              <w:highlight w:val="none"/>
              <w:lang w:eastAsia="zh-CN"/>
            </w:rPr>
            <w:instrText xml:space="preserve">TOC \o "1-3" \h \u </w:instrText>
          </w:r>
          <w:r>
            <w:rPr>
              <w:rFonts w:hint="eastAsia" w:ascii="宋体" w:hAnsi="宋体" w:eastAsia="宋体" w:cs="宋体"/>
              <w:color w:val="auto"/>
              <w:sz w:val="24"/>
              <w:szCs w:val="24"/>
              <w:highlight w:val="none"/>
              <w:lang w:eastAsia="zh-CN"/>
            </w:rPr>
            <w:fldChar w:fldCharType="separate"/>
          </w: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color w:val="auto"/>
              <w:sz w:val="24"/>
              <w:szCs w:val="24"/>
              <w:highlight w:val="none"/>
              <w:lang w:eastAsia="zh-CN"/>
            </w:rPr>
            <w:instrText xml:space="preserve"> HYPERLINK \l _Toc30933 </w:instrText>
          </w:r>
          <w:r>
            <w:rPr>
              <w:rFonts w:hint="eastAsia" w:ascii="宋体" w:hAnsi="宋体" w:eastAsia="宋体" w:cs="宋体"/>
              <w:color w:val="auto"/>
              <w:sz w:val="24"/>
              <w:szCs w:val="24"/>
              <w:highlight w:val="none"/>
              <w:lang w:eastAsia="zh-CN"/>
            </w:rPr>
            <w:fldChar w:fldCharType="separate"/>
          </w:r>
          <w:r>
            <w:rPr>
              <w:rFonts w:hint="eastAsia" w:ascii="宋体" w:hAnsi="宋体" w:eastAsia="宋体" w:cs="宋体"/>
              <w:color w:val="auto"/>
              <w:sz w:val="24"/>
              <w:szCs w:val="24"/>
              <w:highlight w:val="none"/>
            </w:rPr>
            <w:t>第一章  竞争性磋商公告</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_Toc30933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eastAsia="zh-CN"/>
            </w:rPr>
            <w:fldChar w:fldCharType="end"/>
          </w:r>
        </w:p>
        <w:p w14:paraId="77583363">
          <w:pPr>
            <w:pStyle w:val="17"/>
            <w:tabs>
              <w:tab w:val="right" w:leader="dot" w:pos="9752"/>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color w:val="auto"/>
              <w:sz w:val="24"/>
              <w:szCs w:val="24"/>
              <w:highlight w:val="none"/>
              <w:lang w:eastAsia="zh-CN"/>
            </w:rPr>
            <w:instrText xml:space="preserve"> HYPERLINK \l _Toc15131 </w:instrText>
          </w:r>
          <w:r>
            <w:rPr>
              <w:rFonts w:hint="eastAsia" w:ascii="宋体" w:hAnsi="宋体" w:eastAsia="宋体" w:cs="宋体"/>
              <w:color w:val="auto"/>
              <w:sz w:val="24"/>
              <w:szCs w:val="24"/>
              <w:highlight w:val="none"/>
              <w:lang w:eastAsia="zh-CN"/>
            </w:rPr>
            <w:fldChar w:fldCharType="separate"/>
          </w:r>
          <w:r>
            <w:rPr>
              <w:rFonts w:hint="eastAsia" w:ascii="宋体" w:hAnsi="宋体" w:eastAsia="宋体" w:cs="宋体"/>
              <w:bCs/>
              <w:color w:val="auto"/>
              <w:sz w:val="24"/>
              <w:szCs w:val="24"/>
              <w:highlight w:val="none"/>
              <w:lang w:val="en-US" w:eastAsia="zh-CN"/>
            </w:rPr>
            <w:t xml:space="preserve">第二章 </w:t>
          </w:r>
          <w:r>
            <w:rPr>
              <w:rFonts w:hint="eastAsia" w:ascii="宋体" w:hAnsi="宋体" w:eastAsia="宋体" w:cs="宋体"/>
              <w:color w:val="auto"/>
              <w:sz w:val="24"/>
              <w:szCs w:val="24"/>
              <w:highlight w:val="none"/>
            </w:rPr>
            <w:t>磋商项目需求</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_Toc15131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eastAsia="zh-CN"/>
            </w:rPr>
            <w:fldChar w:fldCharType="end"/>
          </w:r>
        </w:p>
        <w:p w14:paraId="62C1399B">
          <w:pPr>
            <w:pStyle w:val="17"/>
            <w:tabs>
              <w:tab w:val="right" w:leader="dot" w:pos="9752"/>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color w:val="auto"/>
              <w:sz w:val="24"/>
              <w:szCs w:val="24"/>
              <w:highlight w:val="none"/>
              <w:lang w:eastAsia="zh-CN"/>
            </w:rPr>
            <w:instrText xml:space="preserve"> HYPERLINK \l _Toc15032 </w:instrText>
          </w:r>
          <w:r>
            <w:rPr>
              <w:rFonts w:hint="eastAsia" w:ascii="宋体" w:hAnsi="宋体" w:eastAsia="宋体" w:cs="宋体"/>
              <w:color w:val="auto"/>
              <w:sz w:val="24"/>
              <w:szCs w:val="24"/>
              <w:highlight w:val="none"/>
              <w:lang w:eastAsia="zh-CN"/>
            </w:rPr>
            <w:fldChar w:fldCharType="separate"/>
          </w:r>
          <w:r>
            <w:rPr>
              <w:rFonts w:hint="eastAsia" w:ascii="宋体" w:hAnsi="宋体" w:eastAsia="宋体" w:cs="宋体"/>
              <w:color w:val="auto"/>
              <w:sz w:val="24"/>
              <w:szCs w:val="24"/>
              <w:highlight w:val="none"/>
            </w:rPr>
            <w:t>第三章 供应商须知</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_Toc15032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9</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eastAsia="zh-CN"/>
            </w:rPr>
            <w:fldChar w:fldCharType="end"/>
          </w:r>
        </w:p>
        <w:p w14:paraId="4E1A889D">
          <w:pPr>
            <w:pStyle w:val="11"/>
            <w:tabs>
              <w:tab w:val="right" w:leader="dot" w:pos="9752"/>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color w:val="auto"/>
              <w:sz w:val="24"/>
              <w:szCs w:val="24"/>
              <w:highlight w:val="none"/>
              <w:lang w:eastAsia="zh-CN"/>
            </w:rPr>
            <w:instrText xml:space="preserve"> HYPERLINK \l _Toc7043 </w:instrText>
          </w:r>
          <w:r>
            <w:rPr>
              <w:rFonts w:hint="eastAsia" w:ascii="宋体" w:hAnsi="宋体" w:eastAsia="宋体" w:cs="宋体"/>
              <w:color w:val="auto"/>
              <w:sz w:val="24"/>
              <w:szCs w:val="24"/>
              <w:highlight w:val="none"/>
              <w:lang w:eastAsia="zh-CN"/>
            </w:rPr>
            <w:fldChar w:fldCharType="separate"/>
          </w:r>
          <w:r>
            <w:rPr>
              <w:rFonts w:hint="eastAsia" w:ascii="宋体" w:hAnsi="宋体" w:eastAsia="宋体" w:cs="宋体"/>
              <w:color w:val="auto"/>
              <w:sz w:val="24"/>
              <w:szCs w:val="24"/>
              <w:highlight w:val="none"/>
            </w:rPr>
            <w:t>一、前附表</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_Toc7043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9</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eastAsia="zh-CN"/>
            </w:rPr>
            <w:fldChar w:fldCharType="end"/>
          </w:r>
        </w:p>
        <w:p w14:paraId="4CD6EC14">
          <w:pPr>
            <w:pStyle w:val="11"/>
            <w:tabs>
              <w:tab w:val="right" w:leader="dot" w:pos="9752"/>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color w:val="auto"/>
              <w:sz w:val="24"/>
              <w:szCs w:val="24"/>
              <w:highlight w:val="none"/>
              <w:lang w:eastAsia="zh-CN"/>
            </w:rPr>
            <w:instrText xml:space="preserve"> HYPERLINK \l _Toc370 </w:instrText>
          </w:r>
          <w:r>
            <w:rPr>
              <w:rFonts w:hint="eastAsia" w:ascii="宋体" w:hAnsi="宋体" w:eastAsia="宋体" w:cs="宋体"/>
              <w:color w:val="auto"/>
              <w:sz w:val="24"/>
              <w:szCs w:val="24"/>
              <w:highlight w:val="none"/>
              <w:lang w:eastAsia="zh-CN"/>
            </w:rPr>
            <w:fldChar w:fldCharType="separate"/>
          </w:r>
          <w:r>
            <w:rPr>
              <w:rFonts w:hint="eastAsia" w:ascii="宋体" w:hAnsi="宋体" w:eastAsia="宋体" w:cs="宋体"/>
              <w:color w:val="auto"/>
              <w:sz w:val="24"/>
              <w:szCs w:val="24"/>
              <w:highlight w:val="none"/>
            </w:rPr>
            <w:t>二、总  则</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_Toc370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eastAsia="zh-CN"/>
            </w:rPr>
            <w:fldChar w:fldCharType="end"/>
          </w:r>
        </w:p>
        <w:p w14:paraId="7B9641ED">
          <w:pPr>
            <w:pStyle w:val="11"/>
            <w:tabs>
              <w:tab w:val="right" w:leader="dot" w:pos="9752"/>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color w:val="auto"/>
              <w:sz w:val="24"/>
              <w:szCs w:val="24"/>
              <w:highlight w:val="none"/>
              <w:lang w:eastAsia="zh-CN"/>
            </w:rPr>
            <w:instrText xml:space="preserve"> HYPERLINK \l _Toc292 </w:instrText>
          </w:r>
          <w:r>
            <w:rPr>
              <w:rFonts w:hint="eastAsia" w:ascii="宋体" w:hAnsi="宋体" w:eastAsia="宋体" w:cs="宋体"/>
              <w:color w:val="auto"/>
              <w:sz w:val="24"/>
              <w:szCs w:val="24"/>
              <w:highlight w:val="none"/>
              <w:lang w:eastAsia="zh-CN"/>
            </w:rPr>
            <w:fldChar w:fldCharType="separate"/>
          </w:r>
          <w:r>
            <w:rPr>
              <w:rFonts w:hint="eastAsia" w:ascii="宋体" w:hAnsi="宋体" w:eastAsia="宋体" w:cs="宋体"/>
              <w:color w:val="auto"/>
              <w:sz w:val="24"/>
              <w:szCs w:val="24"/>
              <w:highlight w:val="none"/>
            </w:rPr>
            <w:t>三、磋商文件</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_Toc292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eastAsia="zh-CN"/>
            </w:rPr>
            <w:fldChar w:fldCharType="end"/>
          </w:r>
        </w:p>
        <w:p w14:paraId="5FFB0BF0">
          <w:pPr>
            <w:pStyle w:val="11"/>
            <w:tabs>
              <w:tab w:val="right" w:leader="dot" w:pos="9752"/>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color w:val="auto"/>
              <w:sz w:val="24"/>
              <w:szCs w:val="24"/>
              <w:highlight w:val="none"/>
              <w:lang w:eastAsia="zh-CN"/>
            </w:rPr>
            <w:instrText xml:space="preserve"> HYPERLINK \l _Toc20030 </w:instrText>
          </w:r>
          <w:r>
            <w:rPr>
              <w:rFonts w:hint="eastAsia" w:ascii="宋体" w:hAnsi="宋体" w:eastAsia="宋体" w:cs="宋体"/>
              <w:color w:val="auto"/>
              <w:sz w:val="24"/>
              <w:szCs w:val="24"/>
              <w:highlight w:val="none"/>
              <w:lang w:eastAsia="zh-CN"/>
            </w:rPr>
            <w:fldChar w:fldCharType="separate"/>
          </w:r>
          <w:r>
            <w:rPr>
              <w:rFonts w:hint="eastAsia" w:ascii="宋体" w:hAnsi="宋体" w:eastAsia="宋体" w:cs="宋体"/>
              <w:color w:val="auto"/>
              <w:sz w:val="24"/>
              <w:szCs w:val="24"/>
              <w:highlight w:val="none"/>
            </w:rPr>
            <w:t>四、响应文件的编制</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_Toc20030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14</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eastAsia="zh-CN"/>
            </w:rPr>
            <w:fldChar w:fldCharType="end"/>
          </w:r>
        </w:p>
        <w:p w14:paraId="2322A9D3">
          <w:pPr>
            <w:pStyle w:val="11"/>
            <w:tabs>
              <w:tab w:val="right" w:leader="dot" w:pos="9752"/>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color w:val="auto"/>
              <w:sz w:val="24"/>
              <w:szCs w:val="24"/>
              <w:highlight w:val="none"/>
              <w:lang w:eastAsia="zh-CN"/>
            </w:rPr>
            <w:instrText xml:space="preserve"> HYPERLINK \l _Toc30756 </w:instrText>
          </w:r>
          <w:r>
            <w:rPr>
              <w:rFonts w:hint="eastAsia" w:ascii="宋体" w:hAnsi="宋体" w:eastAsia="宋体" w:cs="宋体"/>
              <w:color w:val="auto"/>
              <w:sz w:val="24"/>
              <w:szCs w:val="24"/>
              <w:highlight w:val="none"/>
              <w:lang w:eastAsia="zh-CN"/>
            </w:rPr>
            <w:fldChar w:fldCharType="separate"/>
          </w:r>
          <w:r>
            <w:rPr>
              <w:rFonts w:hint="eastAsia" w:ascii="宋体" w:hAnsi="宋体" w:eastAsia="宋体" w:cs="宋体"/>
              <w:color w:val="auto"/>
              <w:sz w:val="24"/>
              <w:szCs w:val="24"/>
              <w:highlight w:val="none"/>
            </w:rPr>
            <w:t>五、磋商前的准备</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_Toc30756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18</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eastAsia="zh-CN"/>
            </w:rPr>
            <w:fldChar w:fldCharType="end"/>
          </w:r>
        </w:p>
        <w:p w14:paraId="2D511283">
          <w:pPr>
            <w:pStyle w:val="11"/>
            <w:tabs>
              <w:tab w:val="right" w:leader="dot" w:pos="9752"/>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color w:val="auto"/>
              <w:sz w:val="24"/>
              <w:szCs w:val="24"/>
              <w:highlight w:val="none"/>
              <w:lang w:eastAsia="zh-CN"/>
            </w:rPr>
            <w:instrText xml:space="preserve"> HYPERLINK \l _Toc13713 </w:instrText>
          </w:r>
          <w:r>
            <w:rPr>
              <w:rFonts w:hint="eastAsia" w:ascii="宋体" w:hAnsi="宋体" w:eastAsia="宋体" w:cs="宋体"/>
              <w:color w:val="auto"/>
              <w:sz w:val="24"/>
              <w:szCs w:val="24"/>
              <w:highlight w:val="none"/>
              <w:lang w:eastAsia="zh-CN"/>
            </w:rPr>
            <w:fldChar w:fldCharType="separate"/>
          </w:r>
          <w:r>
            <w:rPr>
              <w:rFonts w:hint="eastAsia" w:ascii="宋体" w:hAnsi="宋体" w:eastAsia="宋体" w:cs="宋体"/>
              <w:color w:val="auto"/>
              <w:sz w:val="24"/>
              <w:szCs w:val="24"/>
              <w:highlight w:val="none"/>
            </w:rPr>
            <w:t>六、磋商程序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_Toc13713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19</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eastAsia="zh-CN"/>
            </w:rPr>
            <w:fldChar w:fldCharType="end"/>
          </w:r>
        </w:p>
        <w:p w14:paraId="442E4F06">
          <w:pPr>
            <w:pStyle w:val="11"/>
            <w:tabs>
              <w:tab w:val="right" w:leader="dot" w:pos="9752"/>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color w:val="auto"/>
              <w:sz w:val="24"/>
              <w:szCs w:val="24"/>
              <w:highlight w:val="none"/>
              <w:lang w:eastAsia="zh-CN"/>
            </w:rPr>
            <w:instrText xml:space="preserve"> HYPERLINK \l _Toc2461 </w:instrText>
          </w:r>
          <w:r>
            <w:rPr>
              <w:rFonts w:hint="eastAsia" w:ascii="宋体" w:hAnsi="宋体" w:eastAsia="宋体" w:cs="宋体"/>
              <w:color w:val="auto"/>
              <w:sz w:val="24"/>
              <w:szCs w:val="24"/>
              <w:highlight w:val="none"/>
              <w:lang w:eastAsia="zh-CN"/>
            </w:rPr>
            <w:fldChar w:fldCharType="separate"/>
          </w:r>
          <w:r>
            <w:rPr>
              <w:rFonts w:hint="eastAsia" w:ascii="宋体" w:hAnsi="宋体" w:eastAsia="宋体" w:cs="宋体"/>
              <w:color w:val="auto"/>
              <w:sz w:val="24"/>
              <w:szCs w:val="24"/>
              <w:highlight w:val="none"/>
            </w:rPr>
            <w:t>七、评审</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_Toc2461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21</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eastAsia="zh-CN"/>
            </w:rPr>
            <w:fldChar w:fldCharType="end"/>
          </w:r>
        </w:p>
        <w:p w14:paraId="44622FE5">
          <w:pPr>
            <w:pStyle w:val="11"/>
            <w:tabs>
              <w:tab w:val="right" w:leader="dot" w:pos="9752"/>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color w:val="auto"/>
              <w:sz w:val="24"/>
              <w:szCs w:val="24"/>
              <w:highlight w:val="none"/>
              <w:lang w:eastAsia="zh-CN"/>
            </w:rPr>
            <w:instrText xml:space="preserve"> HYPERLINK \l _Toc15789 </w:instrText>
          </w:r>
          <w:r>
            <w:rPr>
              <w:rFonts w:hint="eastAsia" w:ascii="宋体" w:hAnsi="宋体" w:eastAsia="宋体" w:cs="宋体"/>
              <w:color w:val="auto"/>
              <w:sz w:val="24"/>
              <w:szCs w:val="24"/>
              <w:highlight w:val="none"/>
              <w:lang w:eastAsia="zh-CN"/>
            </w:rPr>
            <w:fldChar w:fldCharType="separate"/>
          </w:r>
          <w:r>
            <w:rPr>
              <w:rFonts w:hint="eastAsia" w:ascii="宋体" w:hAnsi="宋体" w:eastAsia="宋体" w:cs="宋体"/>
              <w:color w:val="auto"/>
              <w:sz w:val="24"/>
              <w:szCs w:val="24"/>
              <w:highlight w:val="none"/>
            </w:rPr>
            <w:t>八、磋商结果的确定</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_Toc15789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eastAsia="zh-CN"/>
            </w:rPr>
            <w:fldChar w:fldCharType="end"/>
          </w:r>
        </w:p>
        <w:p w14:paraId="21EC28CC">
          <w:pPr>
            <w:pStyle w:val="11"/>
            <w:tabs>
              <w:tab w:val="right" w:leader="dot" w:pos="9752"/>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color w:val="auto"/>
              <w:sz w:val="24"/>
              <w:szCs w:val="24"/>
              <w:highlight w:val="none"/>
              <w:lang w:eastAsia="zh-CN"/>
            </w:rPr>
            <w:instrText xml:space="preserve"> HYPERLINK \l _Toc20813 </w:instrText>
          </w:r>
          <w:r>
            <w:rPr>
              <w:rFonts w:hint="eastAsia" w:ascii="宋体" w:hAnsi="宋体" w:eastAsia="宋体" w:cs="宋体"/>
              <w:color w:val="auto"/>
              <w:sz w:val="24"/>
              <w:szCs w:val="24"/>
              <w:highlight w:val="none"/>
              <w:lang w:eastAsia="zh-CN"/>
            </w:rPr>
            <w:fldChar w:fldCharType="separate"/>
          </w:r>
          <w:r>
            <w:rPr>
              <w:rFonts w:hint="eastAsia" w:ascii="宋体" w:hAnsi="宋体" w:eastAsia="宋体" w:cs="宋体"/>
              <w:color w:val="auto"/>
              <w:sz w:val="24"/>
              <w:szCs w:val="24"/>
              <w:highlight w:val="none"/>
            </w:rPr>
            <w:t>九、合同授予</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_Toc20813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eastAsia="zh-CN"/>
            </w:rPr>
            <w:fldChar w:fldCharType="end"/>
          </w:r>
        </w:p>
        <w:p w14:paraId="0368291A">
          <w:pPr>
            <w:pStyle w:val="17"/>
            <w:tabs>
              <w:tab w:val="right" w:leader="dot" w:pos="9752"/>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color w:val="auto"/>
              <w:sz w:val="24"/>
              <w:szCs w:val="24"/>
              <w:highlight w:val="none"/>
              <w:lang w:eastAsia="zh-CN"/>
            </w:rPr>
            <w:instrText xml:space="preserve"> HYPERLINK \l _Toc1454 </w:instrText>
          </w:r>
          <w:r>
            <w:rPr>
              <w:rFonts w:hint="eastAsia" w:ascii="宋体" w:hAnsi="宋体" w:eastAsia="宋体" w:cs="宋体"/>
              <w:color w:val="auto"/>
              <w:sz w:val="24"/>
              <w:szCs w:val="24"/>
              <w:highlight w:val="none"/>
              <w:lang w:eastAsia="zh-CN"/>
            </w:rPr>
            <w:fldChar w:fldCharType="separate"/>
          </w:r>
          <w:r>
            <w:rPr>
              <w:rFonts w:hint="eastAsia" w:ascii="宋体" w:hAnsi="宋体" w:eastAsia="宋体" w:cs="宋体"/>
              <w:color w:val="auto"/>
              <w:sz w:val="24"/>
              <w:szCs w:val="24"/>
              <w:highlight w:val="none"/>
            </w:rPr>
            <w:t>第</w:t>
          </w: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rPr>
            <w:t>章  评审办法</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_Toc1454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24</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eastAsia="zh-CN"/>
            </w:rPr>
            <w:fldChar w:fldCharType="end"/>
          </w:r>
        </w:p>
        <w:p w14:paraId="2A1FD046">
          <w:pPr>
            <w:pStyle w:val="17"/>
            <w:tabs>
              <w:tab w:val="right" w:leader="dot" w:pos="9752"/>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color w:val="auto"/>
              <w:sz w:val="24"/>
              <w:szCs w:val="24"/>
              <w:highlight w:val="none"/>
              <w:lang w:eastAsia="zh-CN"/>
            </w:rPr>
            <w:instrText xml:space="preserve"> HYPERLINK \l _Toc24252 </w:instrText>
          </w:r>
          <w:r>
            <w:rPr>
              <w:rFonts w:hint="eastAsia" w:ascii="宋体" w:hAnsi="宋体" w:eastAsia="宋体" w:cs="宋体"/>
              <w:color w:val="auto"/>
              <w:sz w:val="24"/>
              <w:szCs w:val="24"/>
              <w:highlight w:val="none"/>
              <w:lang w:eastAsia="zh-CN"/>
            </w:rPr>
            <w:fldChar w:fldCharType="separate"/>
          </w:r>
          <w:r>
            <w:rPr>
              <w:rFonts w:hint="eastAsia" w:ascii="宋体" w:hAnsi="宋体" w:eastAsia="宋体" w:cs="宋体"/>
              <w:color w:val="auto"/>
              <w:sz w:val="24"/>
              <w:szCs w:val="24"/>
              <w:highlight w:val="none"/>
            </w:rPr>
            <w:t>第</w:t>
          </w:r>
          <w:r>
            <w:rPr>
              <w:rFonts w:hint="eastAsia" w:ascii="宋体" w:hAnsi="宋体" w:eastAsia="宋体" w:cs="宋体"/>
              <w:color w:val="auto"/>
              <w:sz w:val="24"/>
              <w:szCs w:val="24"/>
              <w:highlight w:val="none"/>
              <w:lang w:val="en-US" w:eastAsia="zh-CN"/>
            </w:rPr>
            <w:t>五</w:t>
          </w:r>
          <w:r>
            <w:rPr>
              <w:rFonts w:hint="eastAsia" w:ascii="宋体" w:hAnsi="宋体" w:eastAsia="宋体" w:cs="宋体"/>
              <w:color w:val="auto"/>
              <w:sz w:val="24"/>
              <w:szCs w:val="24"/>
              <w:highlight w:val="none"/>
            </w:rPr>
            <w:t>章  嘉善县政府采购合同</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_Toc24252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28</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eastAsia="zh-CN"/>
            </w:rPr>
            <w:fldChar w:fldCharType="end"/>
          </w:r>
        </w:p>
        <w:p w14:paraId="573529F0">
          <w:pPr>
            <w:pStyle w:val="17"/>
            <w:tabs>
              <w:tab w:val="right" w:leader="dot" w:pos="9752"/>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color w:val="auto"/>
              <w:sz w:val="24"/>
              <w:szCs w:val="24"/>
              <w:highlight w:val="none"/>
              <w:lang w:eastAsia="zh-CN"/>
            </w:rPr>
            <w:instrText xml:space="preserve"> HYPERLINK \l _Toc27759 </w:instrText>
          </w:r>
          <w:r>
            <w:rPr>
              <w:rFonts w:hint="eastAsia" w:ascii="宋体" w:hAnsi="宋体" w:eastAsia="宋体" w:cs="宋体"/>
              <w:color w:val="auto"/>
              <w:sz w:val="24"/>
              <w:szCs w:val="24"/>
              <w:highlight w:val="none"/>
              <w:lang w:eastAsia="zh-CN"/>
            </w:rPr>
            <w:fldChar w:fldCharType="separate"/>
          </w:r>
          <w:r>
            <w:rPr>
              <w:rFonts w:hint="eastAsia" w:ascii="宋体" w:hAnsi="宋体" w:eastAsia="宋体" w:cs="宋体"/>
              <w:color w:val="auto"/>
              <w:sz w:val="24"/>
              <w:szCs w:val="24"/>
              <w:highlight w:val="none"/>
            </w:rPr>
            <w:t>第</w:t>
          </w:r>
          <w:r>
            <w:rPr>
              <w:rFonts w:hint="eastAsia" w:ascii="宋体" w:hAnsi="宋体" w:eastAsia="宋体" w:cs="宋体"/>
              <w:color w:val="auto"/>
              <w:sz w:val="24"/>
              <w:szCs w:val="24"/>
              <w:highlight w:val="none"/>
              <w:lang w:val="en-US" w:eastAsia="zh-CN"/>
            </w:rPr>
            <w:t>六</w:t>
          </w:r>
          <w:r>
            <w:rPr>
              <w:rFonts w:hint="eastAsia" w:ascii="宋体" w:hAnsi="宋体" w:eastAsia="宋体" w:cs="宋体"/>
              <w:color w:val="auto"/>
              <w:sz w:val="24"/>
              <w:szCs w:val="24"/>
              <w:highlight w:val="none"/>
            </w:rPr>
            <w:t>章  磋商响应文件相关格式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_Toc27759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62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eastAsia="zh-CN"/>
            </w:rPr>
            <w:fldChar w:fldCharType="end"/>
          </w:r>
        </w:p>
        <w:p w14:paraId="1A074626">
          <w:pPr>
            <w:pStyle w:val="2"/>
            <w:rPr>
              <w:rFonts w:hint="eastAsia" w:ascii="宋体" w:hAnsi="宋体" w:eastAsia="宋体" w:cs="宋体"/>
              <w:color w:val="auto"/>
              <w:highlight w:val="none"/>
              <w:lang w:eastAsia="zh-CN"/>
            </w:rPr>
          </w:pPr>
          <w:r>
            <w:rPr>
              <w:rFonts w:hint="eastAsia" w:ascii="宋体" w:hAnsi="宋体" w:eastAsia="宋体" w:cs="宋体"/>
              <w:color w:val="auto"/>
              <w:sz w:val="24"/>
              <w:szCs w:val="24"/>
              <w:highlight w:val="none"/>
              <w:lang w:eastAsia="zh-CN"/>
            </w:rPr>
            <w:fldChar w:fldCharType="end"/>
          </w:r>
          <w:bookmarkEnd w:id="106"/>
        </w:p>
      </w:sdtContent>
    </w:sdt>
    <w:p w14:paraId="42F84CFB">
      <w:pPr>
        <w:pStyle w:val="23"/>
        <w:rPr>
          <w:rFonts w:hint="eastAsia" w:ascii="宋体" w:hAnsi="宋体" w:eastAsia="宋体" w:cs="宋体"/>
          <w:color w:val="auto"/>
          <w:highlight w:val="none"/>
        </w:rPr>
        <w:sectPr>
          <w:headerReference r:id="rId5" w:type="default"/>
          <w:footerReference r:id="rId6" w:type="default"/>
          <w:pgSz w:w="11906" w:h="16838"/>
          <w:pgMar w:top="1418" w:right="1077" w:bottom="1418" w:left="1077" w:header="851" w:footer="851" w:gutter="0"/>
          <w:pgBorders>
            <w:top w:val="none" w:sz="0" w:space="0"/>
            <w:left w:val="none" w:sz="0" w:space="0"/>
            <w:bottom w:val="none" w:sz="0" w:space="0"/>
            <w:right w:val="none" w:sz="0" w:space="0"/>
          </w:pgBorders>
          <w:cols w:space="720" w:num="1"/>
          <w:docGrid w:linePitch="381" w:charSpace="0"/>
        </w:sectPr>
      </w:pPr>
      <w:bookmarkStart w:id="0" w:name="_Toc30933"/>
      <w:bookmarkStart w:id="1" w:name="_Toc21851"/>
    </w:p>
    <w:p w14:paraId="5D05BE11">
      <w:pPr>
        <w:pStyle w:val="23"/>
        <w:rPr>
          <w:rFonts w:hint="eastAsia" w:ascii="宋体" w:hAnsi="宋体" w:eastAsia="宋体" w:cs="宋体"/>
          <w:color w:val="auto"/>
          <w:highlight w:val="none"/>
        </w:rPr>
      </w:pPr>
      <w:r>
        <w:rPr>
          <w:rFonts w:hint="eastAsia" w:ascii="宋体" w:hAnsi="宋体" w:eastAsia="宋体" w:cs="宋体"/>
          <w:color w:val="auto"/>
          <w:highlight w:val="none"/>
        </w:rPr>
        <w:t>第一章  竞争性磋商公告</w:t>
      </w:r>
      <w:bookmarkEnd w:id="0"/>
      <w:bookmarkEnd w:id="1"/>
    </w:p>
    <w:p w14:paraId="51CB2D1D">
      <w:pPr>
        <w:spacing w:line="300" w:lineRule="auto"/>
        <w:jc w:val="center"/>
        <w:rPr>
          <w:rFonts w:hint="eastAsia" w:ascii="宋体" w:hAnsi="宋体" w:eastAsia="宋体" w:cs="宋体"/>
          <w:color w:val="auto"/>
          <w:sz w:val="18"/>
          <w:szCs w:val="18"/>
          <w:highlight w:val="none"/>
        </w:rPr>
      </w:pPr>
    </w:p>
    <w:p w14:paraId="71213A92">
      <w:pPr>
        <w:pBdr>
          <w:top w:val="single" w:color="auto" w:sz="4" w:space="1"/>
          <w:left w:val="single" w:color="auto" w:sz="4" w:space="4"/>
          <w:bottom w:val="single" w:color="auto" w:sz="4" w:space="1"/>
          <w:right w:val="single" w:color="auto" w:sz="4" w:space="4"/>
        </w:pBd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项目概况</w:t>
      </w:r>
    </w:p>
    <w:p w14:paraId="7C82D981">
      <w:pPr>
        <w:pBdr>
          <w:top w:val="single" w:color="auto" w:sz="4" w:space="1"/>
          <w:left w:val="single" w:color="auto" w:sz="4" w:space="4"/>
          <w:bottom w:val="single" w:color="auto" w:sz="4" w:space="1"/>
          <w:right w:val="single" w:color="auto" w:sz="4" w:space="4"/>
        </w:pBd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嘉善县天凝中学2025年度校舍常规维修</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采购项目的潜在供应商应在</w:t>
      </w:r>
      <w:r>
        <w:rPr>
          <w:rFonts w:hint="eastAsia" w:ascii="宋体" w:hAnsi="宋体" w:eastAsia="宋体" w:cs="宋体"/>
          <w:color w:val="auto"/>
          <w:sz w:val="24"/>
          <w:szCs w:val="24"/>
          <w:highlight w:val="none"/>
          <w:u w:val="single"/>
        </w:rPr>
        <w:t>政采云平台（http://zfcg.czt.zj.gov.cn）</w:t>
      </w:r>
      <w:r>
        <w:rPr>
          <w:rFonts w:hint="eastAsia" w:ascii="宋体" w:hAnsi="宋体" w:eastAsia="宋体" w:cs="宋体"/>
          <w:color w:val="auto"/>
          <w:sz w:val="31"/>
          <w:szCs w:val="31"/>
          <w:highlight w:val="none"/>
          <w:u w:val="single"/>
        </w:rPr>
        <w:t> </w:t>
      </w:r>
      <w:r>
        <w:rPr>
          <w:rFonts w:hint="eastAsia" w:ascii="宋体" w:hAnsi="宋体" w:eastAsia="宋体" w:cs="宋体"/>
          <w:color w:val="auto"/>
          <w:sz w:val="24"/>
          <w:szCs w:val="24"/>
          <w:highlight w:val="none"/>
        </w:rPr>
        <w:t>获取采购文件，并于</w:t>
      </w:r>
      <w:r>
        <w:rPr>
          <w:rFonts w:hint="eastAsia" w:ascii="宋体" w:hAnsi="宋体" w:cs="宋体"/>
          <w:color w:val="auto"/>
          <w:sz w:val="24"/>
          <w:szCs w:val="24"/>
          <w:highlight w:val="none"/>
          <w:u w:val="single"/>
          <w:lang w:eastAsia="zh-CN"/>
        </w:rPr>
        <w:t>2025年</w:t>
      </w:r>
      <w:r>
        <w:rPr>
          <w:rFonts w:hint="eastAsia" w:ascii="宋体" w:hAnsi="宋体" w:cs="宋体"/>
          <w:bCs/>
          <w:color w:val="auto"/>
          <w:sz w:val="24"/>
          <w:szCs w:val="24"/>
          <w:highlight w:val="none"/>
          <w:u w:val="single"/>
          <w:lang w:val="en-US" w:eastAsia="zh-CN"/>
        </w:rPr>
        <w:t>7</w:t>
      </w:r>
      <w:r>
        <w:rPr>
          <w:rFonts w:hint="eastAsia" w:ascii="宋体" w:hAnsi="宋体" w:eastAsia="宋体" w:cs="宋体"/>
          <w:bCs/>
          <w:color w:val="auto"/>
          <w:sz w:val="24"/>
          <w:szCs w:val="24"/>
          <w:highlight w:val="none"/>
          <w:u w:val="single"/>
        </w:rPr>
        <w:t>月</w:t>
      </w:r>
      <w:r>
        <w:rPr>
          <w:rFonts w:hint="eastAsia" w:ascii="宋体" w:hAnsi="宋体" w:cs="宋体"/>
          <w:bCs/>
          <w:color w:val="auto"/>
          <w:sz w:val="24"/>
          <w:szCs w:val="24"/>
          <w:highlight w:val="none"/>
          <w:u w:val="single"/>
          <w:lang w:val="en-US" w:eastAsia="zh-CN"/>
        </w:rPr>
        <w:t>1</w:t>
      </w:r>
      <w:r>
        <w:rPr>
          <w:rFonts w:hint="eastAsia" w:ascii="宋体" w:hAnsi="宋体" w:eastAsia="宋体" w:cs="宋体"/>
          <w:bCs/>
          <w:color w:val="auto"/>
          <w:sz w:val="24"/>
          <w:szCs w:val="24"/>
          <w:highlight w:val="none"/>
          <w:u w:val="single"/>
        </w:rPr>
        <w:t>日</w:t>
      </w:r>
      <w:r>
        <w:rPr>
          <w:rFonts w:hint="eastAsia" w:ascii="宋体" w:hAnsi="宋体" w:cs="宋体"/>
          <w:bCs/>
          <w:color w:val="auto"/>
          <w:sz w:val="24"/>
          <w:szCs w:val="24"/>
          <w:highlight w:val="none"/>
          <w:u w:val="single"/>
          <w:lang w:val="en-US" w:eastAsia="zh-CN"/>
        </w:rPr>
        <w:t>09</w:t>
      </w:r>
      <w:r>
        <w:rPr>
          <w:rFonts w:hint="eastAsia" w:ascii="宋体" w:hAnsi="宋体" w:eastAsia="宋体" w:cs="宋体"/>
          <w:bCs/>
          <w:color w:val="auto"/>
          <w:sz w:val="24"/>
          <w:szCs w:val="24"/>
          <w:highlight w:val="none"/>
          <w:u w:val="single"/>
        </w:rPr>
        <w:t>点</w:t>
      </w:r>
      <w:r>
        <w:rPr>
          <w:rFonts w:hint="eastAsia" w:ascii="宋体" w:hAnsi="宋体" w:cs="宋体"/>
          <w:bCs/>
          <w:color w:val="auto"/>
          <w:sz w:val="24"/>
          <w:szCs w:val="24"/>
          <w:highlight w:val="none"/>
          <w:u w:val="single"/>
          <w:lang w:val="en-US" w:eastAsia="zh-CN"/>
        </w:rPr>
        <w:t>00</w:t>
      </w:r>
      <w:r>
        <w:rPr>
          <w:rFonts w:hint="eastAsia" w:ascii="宋体" w:hAnsi="宋体" w:eastAsia="宋体" w:cs="宋体"/>
          <w:bCs/>
          <w:color w:val="auto"/>
          <w:sz w:val="24"/>
          <w:szCs w:val="24"/>
          <w:highlight w:val="none"/>
          <w:u w:val="single"/>
        </w:rPr>
        <w:t>分</w:t>
      </w:r>
      <w:r>
        <w:rPr>
          <w:rFonts w:hint="eastAsia" w:ascii="宋体" w:hAnsi="宋体" w:eastAsia="宋体" w:cs="宋体"/>
          <w:bCs/>
          <w:color w:val="auto"/>
          <w:sz w:val="24"/>
          <w:szCs w:val="24"/>
          <w:highlight w:val="none"/>
        </w:rPr>
        <w:t>（北京时间）前提交响应文件</w:t>
      </w:r>
      <w:r>
        <w:rPr>
          <w:rFonts w:hint="eastAsia" w:ascii="宋体" w:hAnsi="宋体" w:eastAsia="宋体" w:cs="宋体"/>
          <w:color w:val="auto"/>
          <w:sz w:val="24"/>
          <w:szCs w:val="24"/>
          <w:highlight w:val="none"/>
        </w:rPr>
        <w:t>。</w:t>
      </w:r>
    </w:p>
    <w:p w14:paraId="13972313">
      <w:pPr>
        <w:spacing w:line="300" w:lineRule="auto"/>
        <w:ind w:firstLine="482" w:firstLineChars="200"/>
        <w:rPr>
          <w:rFonts w:hint="eastAsia" w:ascii="宋体" w:hAnsi="宋体" w:eastAsia="宋体" w:cs="宋体"/>
          <w:b/>
          <w:bCs/>
          <w:color w:val="auto"/>
          <w:sz w:val="24"/>
          <w:szCs w:val="24"/>
          <w:highlight w:val="none"/>
        </w:rPr>
      </w:pPr>
      <w:bookmarkStart w:id="2" w:name="_Toc35393621"/>
      <w:bookmarkStart w:id="3" w:name="_Toc28359002"/>
      <w:bookmarkStart w:id="4" w:name="_Toc35393790"/>
      <w:bookmarkStart w:id="5" w:name="_Toc28359079"/>
      <w:bookmarkStart w:id="6" w:name="_Hlk24379207"/>
    </w:p>
    <w:p w14:paraId="102A224E">
      <w:pPr>
        <w:spacing w:line="30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一、项目基本情况</w:t>
      </w:r>
      <w:bookmarkEnd w:id="2"/>
      <w:bookmarkEnd w:id="3"/>
      <w:bookmarkEnd w:id="4"/>
      <w:bookmarkEnd w:id="5"/>
    </w:p>
    <w:p w14:paraId="4D7AB632">
      <w:pPr>
        <w:pStyle w:val="29"/>
        <w:widowControl w:val="0"/>
        <w:spacing w:afterLines="0" w:line="300" w:lineRule="auto"/>
        <w:ind w:firstLine="480"/>
        <w:contextualSpacing/>
        <w:rPr>
          <w:rFonts w:hint="eastAsia" w:ascii="宋体" w:hAnsi="宋体" w:eastAsia="宋体" w:cs="宋体"/>
          <w:color w:val="auto"/>
          <w:kern w:val="2"/>
          <w:highlight w:val="none"/>
          <w:lang w:val="en-US" w:eastAsia="zh-CN"/>
        </w:rPr>
      </w:pPr>
      <w:r>
        <w:rPr>
          <w:rFonts w:hint="eastAsia" w:ascii="宋体" w:hAnsi="宋体" w:eastAsia="宋体" w:cs="宋体"/>
          <w:color w:val="auto"/>
          <w:highlight w:val="none"/>
        </w:rPr>
        <w:t>项目编号：</w:t>
      </w:r>
      <w:r>
        <w:rPr>
          <w:rFonts w:hint="eastAsia" w:ascii="宋体" w:hAnsi="宋体" w:cs="宋体"/>
          <w:color w:val="auto"/>
          <w:kern w:val="2"/>
          <w:highlight w:val="none"/>
          <w:lang w:eastAsia="zh-CN"/>
        </w:rPr>
        <w:t>ZHJS（CS)-2025-007</w:t>
      </w:r>
    </w:p>
    <w:p w14:paraId="158F2B68">
      <w:pPr>
        <w:pStyle w:val="29"/>
        <w:widowControl w:val="0"/>
        <w:spacing w:afterLines="0" w:line="300" w:lineRule="auto"/>
        <w:ind w:firstLine="480"/>
        <w:contextualSpacing/>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项目名称：</w:t>
      </w:r>
      <w:r>
        <w:rPr>
          <w:rFonts w:hint="eastAsia" w:ascii="宋体" w:hAnsi="宋体" w:cs="宋体"/>
          <w:color w:val="auto"/>
          <w:highlight w:val="none"/>
          <w:lang w:val="en-US" w:eastAsia="zh-CN"/>
        </w:rPr>
        <w:t>嘉善县天凝中学2025年度校舍常规维修</w:t>
      </w:r>
    </w:p>
    <w:p w14:paraId="71BCBC77">
      <w:pPr>
        <w:pStyle w:val="29"/>
        <w:widowControl w:val="0"/>
        <w:spacing w:afterLines="0" w:line="300" w:lineRule="auto"/>
        <w:ind w:firstLine="480"/>
        <w:contextualSpacing/>
        <w:rPr>
          <w:rFonts w:hint="eastAsia" w:ascii="宋体" w:hAnsi="宋体" w:eastAsia="宋体" w:cs="宋体"/>
          <w:color w:val="auto"/>
          <w:highlight w:val="none"/>
          <w:lang w:eastAsia="zh-CN"/>
        </w:rPr>
      </w:pPr>
      <w:r>
        <w:rPr>
          <w:rFonts w:hint="eastAsia" w:ascii="宋体" w:hAnsi="宋体" w:eastAsia="宋体" w:cs="宋体"/>
          <w:color w:val="auto"/>
          <w:highlight w:val="none"/>
        </w:rPr>
        <w:t>采购方式：竞争性磋商</w:t>
      </w:r>
    </w:p>
    <w:bookmarkEnd w:id="6"/>
    <w:p w14:paraId="5CD86D86">
      <w:pPr>
        <w:spacing w:line="300" w:lineRule="auto"/>
        <w:ind w:firstLine="480" w:firstLineChars="20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rPr>
        <w:t>预算金额：</w:t>
      </w:r>
      <w:r>
        <w:rPr>
          <w:rFonts w:hint="eastAsia" w:ascii="宋体" w:hAnsi="宋体" w:cs="宋体"/>
          <w:color w:val="auto"/>
          <w:kern w:val="0"/>
          <w:sz w:val="24"/>
          <w:szCs w:val="24"/>
          <w:highlight w:val="none"/>
          <w:lang w:val="en-US" w:eastAsia="zh-CN" w:bidi="ar-SA"/>
        </w:rPr>
        <w:t>584000.00</w:t>
      </w:r>
      <w:r>
        <w:rPr>
          <w:rFonts w:hint="eastAsia" w:ascii="宋体" w:hAnsi="宋体" w:eastAsia="宋体" w:cs="宋体"/>
          <w:color w:val="auto"/>
          <w:kern w:val="0"/>
          <w:sz w:val="24"/>
          <w:szCs w:val="24"/>
          <w:highlight w:val="none"/>
          <w:lang w:val="en-US" w:eastAsia="zh-CN" w:bidi="ar-SA"/>
        </w:rPr>
        <w:t>元</w:t>
      </w:r>
    </w:p>
    <w:p w14:paraId="5164D0A9">
      <w:pPr>
        <w:spacing w:line="300" w:lineRule="auto"/>
        <w:ind w:firstLine="480" w:firstLineChars="20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最高限价：583739</w:t>
      </w:r>
      <w:r>
        <w:rPr>
          <w:rFonts w:hint="eastAsia" w:ascii="宋体" w:hAnsi="宋体" w:cs="宋体"/>
          <w:color w:val="auto"/>
          <w:kern w:val="0"/>
          <w:sz w:val="24"/>
          <w:szCs w:val="24"/>
          <w:highlight w:val="none"/>
          <w:lang w:val="en-US" w:eastAsia="zh-CN" w:bidi="ar-SA"/>
        </w:rPr>
        <w:t>.00</w:t>
      </w:r>
      <w:r>
        <w:rPr>
          <w:rFonts w:hint="eastAsia" w:ascii="宋体" w:hAnsi="宋体" w:eastAsia="宋体" w:cs="宋体"/>
          <w:color w:val="auto"/>
          <w:kern w:val="0"/>
          <w:sz w:val="24"/>
          <w:szCs w:val="24"/>
          <w:highlight w:val="none"/>
          <w:lang w:val="en-US" w:eastAsia="zh-CN" w:bidi="ar-SA"/>
        </w:rPr>
        <w:t>元</w:t>
      </w:r>
    </w:p>
    <w:p w14:paraId="380CC4E6">
      <w:pPr>
        <w:spacing w:line="30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采购需求（概述）：</w:t>
      </w:r>
    </w:p>
    <w:p w14:paraId="009C2206">
      <w:pPr>
        <w:pStyle w:val="29"/>
        <w:widowControl w:val="0"/>
        <w:spacing w:afterLines="0" w:line="300" w:lineRule="auto"/>
        <w:ind w:firstLine="960" w:firstLineChars="400"/>
        <w:contextualSpacing/>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嘉善县天凝中学2025年度校舍常规维修</w:t>
      </w:r>
      <w:r>
        <w:rPr>
          <w:rFonts w:hint="eastAsia" w:ascii="宋体" w:hAnsi="宋体" w:eastAsia="宋体" w:cs="宋体"/>
          <w:color w:val="auto"/>
          <w:highlight w:val="none"/>
          <w:lang w:eastAsia="zh-CN"/>
        </w:rPr>
        <w:t>，具体详见施工图纸及工程量清单。</w:t>
      </w:r>
    </w:p>
    <w:p w14:paraId="2A00FFEA">
      <w:pPr>
        <w:pStyle w:val="29"/>
        <w:widowControl w:val="0"/>
        <w:spacing w:afterLines="0" w:line="300" w:lineRule="auto"/>
        <w:ind w:firstLine="480"/>
        <w:contextualSpacing/>
        <w:rPr>
          <w:rFonts w:hint="default" w:ascii="宋体" w:hAnsi="宋体" w:eastAsia="宋体" w:cs="宋体"/>
          <w:color w:val="auto"/>
          <w:highlight w:val="none"/>
          <w:lang w:val="en-US" w:eastAsia="zh-CN"/>
        </w:rPr>
      </w:pPr>
      <w:r>
        <w:rPr>
          <w:rFonts w:hint="eastAsia" w:ascii="宋体" w:hAnsi="宋体" w:eastAsia="宋体" w:cs="宋体"/>
          <w:b/>
          <w:bCs/>
          <w:color w:val="auto"/>
          <w:highlight w:val="none"/>
        </w:rPr>
        <w:t>备注：</w:t>
      </w:r>
      <w:r>
        <w:rPr>
          <w:rFonts w:hint="eastAsia" w:ascii="宋体" w:hAnsi="宋体" w:eastAsia="宋体" w:cs="宋体"/>
          <w:color w:val="auto"/>
          <w:highlight w:val="none"/>
        </w:rPr>
        <w:t>政府采购计划编号：</w:t>
      </w:r>
      <w:r>
        <w:rPr>
          <w:rFonts w:hint="eastAsia" w:ascii="宋体" w:hAnsi="宋体" w:eastAsia="宋体" w:cs="宋体"/>
          <w:color w:val="auto"/>
          <w:highlight w:val="none"/>
          <w:lang w:eastAsia="zh-CN"/>
        </w:rPr>
        <w:t>善财采确</w:t>
      </w:r>
      <w:r>
        <w:rPr>
          <w:rFonts w:hint="eastAsia" w:ascii="宋体" w:hAnsi="宋体" w:eastAsia="宋体" w:cs="宋体"/>
          <w:color w:val="auto"/>
          <w:highlight w:val="none"/>
          <w:lang w:val="en-US" w:eastAsia="zh-CN"/>
        </w:rPr>
        <w:t>临</w:t>
      </w:r>
      <w:r>
        <w:rPr>
          <w:rFonts w:hint="eastAsia" w:ascii="宋体" w:hAnsi="宋体" w:eastAsia="宋体" w:cs="宋体"/>
          <w:color w:val="auto"/>
          <w:highlight w:val="none"/>
          <w:lang w:eastAsia="zh-CN"/>
        </w:rPr>
        <w:t>[202</w:t>
      </w:r>
      <w:r>
        <w:rPr>
          <w:rFonts w:hint="eastAsia" w:ascii="宋体" w:hAnsi="宋体" w:cs="宋体"/>
          <w:color w:val="auto"/>
          <w:highlight w:val="none"/>
          <w:lang w:val="en-US" w:eastAsia="zh-CN"/>
        </w:rPr>
        <w:t>5</w:t>
      </w:r>
      <w:r>
        <w:rPr>
          <w:rFonts w:hint="eastAsia" w:ascii="宋体" w:hAnsi="宋体" w:eastAsia="宋体" w:cs="宋体"/>
          <w:color w:val="auto"/>
          <w:highlight w:val="none"/>
          <w:lang w:eastAsia="zh-CN"/>
        </w:rPr>
        <w:t>]</w:t>
      </w:r>
      <w:r>
        <w:rPr>
          <w:rFonts w:hint="eastAsia" w:ascii="宋体" w:hAnsi="宋体" w:cs="宋体"/>
          <w:color w:val="auto"/>
          <w:highlight w:val="none"/>
          <w:lang w:val="en-US" w:eastAsia="zh-CN"/>
        </w:rPr>
        <w:t>1419</w:t>
      </w:r>
      <w:r>
        <w:rPr>
          <w:rFonts w:hint="eastAsia" w:ascii="宋体" w:hAnsi="宋体" w:eastAsia="宋体" w:cs="宋体"/>
          <w:color w:val="auto"/>
          <w:highlight w:val="none"/>
          <w:lang w:val="en-US" w:eastAsia="zh-CN"/>
        </w:rPr>
        <w:t>号</w:t>
      </w:r>
    </w:p>
    <w:p w14:paraId="6A297E2D">
      <w:pPr>
        <w:widowControl/>
        <w:spacing w:line="30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合同履行期限</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工期要求</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w:t>
      </w:r>
      <w:r>
        <w:rPr>
          <w:rFonts w:hint="eastAsia" w:ascii="宋体" w:hAnsi="宋体" w:cs="宋体"/>
          <w:color w:val="auto"/>
          <w:sz w:val="24"/>
          <w:highlight w:val="none"/>
          <w:lang w:val="en-US" w:eastAsia="zh-CN"/>
        </w:rPr>
        <w:t>35日历天</w:t>
      </w:r>
      <w:r>
        <w:rPr>
          <w:rFonts w:hint="eastAsia" w:ascii="宋体" w:hAnsi="宋体" w:eastAsia="宋体" w:cs="宋体"/>
          <w:color w:val="auto"/>
          <w:sz w:val="24"/>
          <w:szCs w:val="24"/>
          <w:highlight w:val="none"/>
        </w:rPr>
        <w:t>。</w:t>
      </w:r>
    </w:p>
    <w:p w14:paraId="71FED64E">
      <w:pPr>
        <w:spacing w:line="300" w:lineRule="auto"/>
        <w:ind w:firstLine="482" w:firstLineChars="200"/>
        <w:contextualSpacing/>
        <w:rPr>
          <w:rFonts w:hint="eastAsia" w:ascii="宋体" w:hAnsi="宋体" w:eastAsia="宋体" w:cs="宋体"/>
          <w:b/>
          <w:bCs/>
          <w:color w:val="auto"/>
          <w:sz w:val="24"/>
          <w:szCs w:val="24"/>
          <w:highlight w:val="none"/>
          <w:lang w:eastAsia="zh-CN"/>
        </w:rPr>
      </w:pPr>
      <w:bookmarkStart w:id="7" w:name="_Toc35393622"/>
      <w:bookmarkStart w:id="8" w:name="_Toc35393791"/>
      <w:bookmarkStart w:id="9" w:name="_Toc28359003"/>
      <w:bookmarkStart w:id="10" w:name="_Toc28359080"/>
      <w:r>
        <w:rPr>
          <w:rFonts w:hint="eastAsia" w:ascii="宋体" w:hAnsi="宋体" w:eastAsia="宋体" w:cs="宋体"/>
          <w:b/>
          <w:bCs/>
          <w:color w:val="auto"/>
          <w:sz w:val="24"/>
          <w:szCs w:val="24"/>
          <w:highlight w:val="none"/>
          <w:lang w:eastAsia="zh-CN"/>
        </w:rPr>
        <w:t>本项目不接受联合体</w:t>
      </w:r>
      <w:r>
        <w:rPr>
          <w:rFonts w:hint="eastAsia" w:ascii="宋体" w:hAnsi="宋体" w:eastAsia="宋体" w:cs="宋体"/>
          <w:b/>
          <w:bCs/>
          <w:color w:val="auto"/>
          <w:sz w:val="24"/>
          <w:szCs w:val="24"/>
          <w:highlight w:val="none"/>
          <w:lang w:val="en-US" w:eastAsia="zh-CN"/>
        </w:rPr>
        <w:t>磋商。</w:t>
      </w:r>
    </w:p>
    <w:p w14:paraId="3E85E9A3">
      <w:pPr>
        <w:spacing w:line="30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二、申请人的资格要求：</w:t>
      </w:r>
      <w:bookmarkEnd w:id="7"/>
      <w:bookmarkEnd w:id="8"/>
      <w:bookmarkEnd w:id="9"/>
      <w:bookmarkEnd w:id="10"/>
    </w:p>
    <w:p w14:paraId="66500309">
      <w:pPr>
        <w:keepNext w:val="0"/>
        <w:keepLines w:val="0"/>
        <w:pageBreakBefore w:val="0"/>
        <w:widowControl w:val="0"/>
        <w:kinsoku/>
        <w:wordWrap/>
        <w:overflowPunct/>
        <w:topLinePunct w:val="0"/>
        <w:autoSpaceDE/>
        <w:autoSpaceDN/>
        <w:bidi w:val="0"/>
        <w:adjustRightInd/>
        <w:snapToGrid w:val="0"/>
        <w:spacing w:line="293" w:lineRule="auto"/>
        <w:ind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cs="宋体"/>
          <w:color w:val="auto"/>
          <w:sz w:val="24"/>
          <w:szCs w:val="24"/>
          <w:highlight w:val="none"/>
        </w:rPr>
        <w:t>满足《中华人民共和国政府采购法》第二十二条规定；未被“信用中国”（www.creditchina.gov.cn）、中国政府采购网（www.ccgp.gov.cn）列入失信被执行人、重大税收违法案件当事人名单、政府采购严重违法失信行为记录名单。</w:t>
      </w:r>
    </w:p>
    <w:p w14:paraId="416229E7">
      <w:pPr>
        <w:keepNext w:val="0"/>
        <w:keepLines w:val="0"/>
        <w:pageBreakBefore w:val="0"/>
        <w:widowControl w:val="0"/>
        <w:kinsoku/>
        <w:wordWrap/>
        <w:overflowPunct/>
        <w:topLinePunct w:val="0"/>
        <w:autoSpaceDE/>
        <w:autoSpaceDN/>
        <w:bidi w:val="0"/>
        <w:adjustRightInd/>
        <w:snapToGrid w:val="0"/>
        <w:spacing w:line="293" w:lineRule="auto"/>
        <w:ind w:firstLine="480" w:firstLineChars="200"/>
        <w:contextualSpacing/>
        <w:textAlignment w:val="auto"/>
        <w:rPr>
          <w:rFonts w:hint="eastAsia" w:ascii="宋体" w:hAnsi="宋体" w:eastAsia="宋体" w:cs="宋体"/>
          <w:b/>
          <w:bCs/>
          <w:color w:val="auto"/>
          <w:kern w:val="0"/>
          <w:sz w:val="24"/>
          <w:highlight w:val="none"/>
          <w:lang w:eastAsia="zh-CN"/>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二</w:t>
      </w:r>
      <w:r>
        <w:rPr>
          <w:rFonts w:hint="eastAsia" w:ascii="宋体" w:hAnsi="宋体" w:eastAsia="宋体" w:cs="宋体"/>
          <w:color w:val="auto"/>
          <w:sz w:val="24"/>
          <w:szCs w:val="24"/>
          <w:highlight w:val="none"/>
        </w:rPr>
        <w:t>）落实政府采购政策需满足的资格要求：</w:t>
      </w:r>
      <w:r>
        <w:rPr>
          <w:rFonts w:hint="eastAsia" w:ascii="宋体" w:hAnsi="宋体" w:eastAsia="宋体" w:cs="宋体"/>
          <w:b/>
          <w:bCs/>
          <w:color w:val="auto"/>
          <w:kern w:val="0"/>
          <w:sz w:val="24"/>
          <w:highlight w:val="none"/>
        </w:rPr>
        <w:t>专门面向中小企业：工程的施工单位全部为符合政策要求的中小企业，提供中小企业声明函</w:t>
      </w:r>
      <w:r>
        <w:rPr>
          <w:rFonts w:hint="eastAsia" w:ascii="宋体" w:hAnsi="宋体" w:eastAsia="宋体" w:cs="宋体"/>
          <w:b/>
          <w:bCs/>
          <w:color w:val="auto"/>
          <w:kern w:val="0"/>
          <w:sz w:val="24"/>
          <w:highlight w:val="none"/>
          <w:lang w:eastAsia="zh-CN"/>
        </w:rPr>
        <w:t>。</w:t>
      </w:r>
    </w:p>
    <w:p w14:paraId="536D1719">
      <w:pPr>
        <w:numPr>
          <w:ilvl w:val="0"/>
          <w:numId w:val="0"/>
        </w:numPr>
        <w:snapToGrid w:val="0"/>
        <w:spacing w:line="300" w:lineRule="auto"/>
        <w:ind w:firstLine="482" w:firstLineChars="200"/>
        <w:contextualSpacing/>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三</w:t>
      </w:r>
      <w:r>
        <w:rPr>
          <w:rFonts w:hint="eastAsia" w:ascii="宋体" w:hAnsi="宋体" w:cs="宋体"/>
          <w:b/>
          <w:bCs/>
          <w:color w:val="auto"/>
          <w:sz w:val="24"/>
          <w:szCs w:val="24"/>
          <w:highlight w:val="none"/>
          <w:lang w:eastAsia="zh-CN"/>
        </w:rPr>
        <w:t>）</w:t>
      </w:r>
      <w:r>
        <w:rPr>
          <w:rFonts w:hint="eastAsia" w:ascii="宋体" w:hAnsi="宋体" w:eastAsia="宋体" w:cs="宋体"/>
          <w:b/>
          <w:bCs/>
          <w:color w:val="auto"/>
          <w:sz w:val="24"/>
          <w:szCs w:val="24"/>
          <w:highlight w:val="none"/>
        </w:rPr>
        <w:t>本项目的特定资格要求：</w:t>
      </w:r>
    </w:p>
    <w:p w14:paraId="69F25992">
      <w:pPr>
        <w:snapToGrid w:val="0"/>
        <w:spacing w:line="300" w:lineRule="auto"/>
        <w:ind w:firstLine="482" w:firstLineChars="200"/>
        <w:contextualSpacing/>
        <w:rPr>
          <w:rFonts w:hint="eastAsia" w:ascii="宋体" w:hAnsi="宋体" w:eastAsia="宋体" w:cs="宋体"/>
          <w:color w:val="auto"/>
          <w:sz w:val="24"/>
          <w:highlight w:val="none"/>
        </w:rPr>
      </w:pPr>
      <w:bookmarkStart w:id="11" w:name="_Toc35393623"/>
      <w:bookmarkStart w:id="12" w:name="_Toc35393792"/>
      <w:r>
        <w:rPr>
          <w:rFonts w:hint="eastAsia" w:ascii="宋体" w:hAnsi="宋体" w:eastAsia="宋体" w:cs="宋体"/>
          <w:b/>
          <w:bCs/>
          <w:color w:val="auto"/>
          <w:sz w:val="24"/>
          <w:highlight w:val="none"/>
        </w:rPr>
        <w:t>对投标人的要求：</w:t>
      </w:r>
      <w:r>
        <w:rPr>
          <w:rFonts w:hint="eastAsia" w:ascii="宋体" w:hAnsi="宋体" w:cs="宋体"/>
          <w:b/>
          <w:bCs/>
          <w:color w:val="auto"/>
          <w:sz w:val="24"/>
          <w:szCs w:val="24"/>
          <w:highlight w:val="none"/>
          <w:lang w:val="en-US" w:eastAsia="zh-CN"/>
        </w:rPr>
        <w:t>1</w:t>
      </w:r>
      <w:r>
        <w:rPr>
          <w:rFonts w:hint="eastAsia"/>
          <w:b/>
          <w:bCs/>
          <w:color w:val="auto"/>
          <w:sz w:val="24"/>
          <w:highlight w:val="none"/>
          <w:lang w:val="en-US" w:eastAsia="zh-CN"/>
        </w:rPr>
        <w:t>具有建筑工程施工总承包三级（含）以上</w:t>
      </w:r>
      <w:r>
        <w:rPr>
          <w:rFonts w:hint="eastAsia" w:ascii="宋体" w:hAnsi="宋体" w:cs="宋体"/>
          <w:b/>
          <w:bCs/>
          <w:color w:val="auto"/>
          <w:sz w:val="24"/>
          <w:szCs w:val="24"/>
          <w:highlight w:val="none"/>
          <w:lang w:val="en-US" w:eastAsia="zh-CN"/>
        </w:rPr>
        <w:t>资质的施工企业；2.具有在有效期内的安全生产许可证（副本）；</w:t>
      </w:r>
    </w:p>
    <w:p w14:paraId="011C457A">
      <w:pPr>
        <w:snapToGrid w:val="0"/>
        <w:spacing w:line="300" w:lineRule="auto"/>
        <w:ind w:firstLine="482" w:firstLineChars="200"/>
        <w:contextualSpacing/>
        <w:rPr>
          <w:rFonts w:hint="eastAsia"/>
          <w:b/>
          <w:bCs/>
          <w:color w:val="auto"/>
          <w:sz w:val="24"/>
          <w:highlight w:val="none"/>
          <w:lang w:val="en-US" w:eastAsia="zh-CN"/>
        </w:rPr>
      </w:pPr>
      <w:r>
        <w:rPr>
          <w:rFonts w:hint="eastAsia" w:ascii="宋体" w:hAnsi="宋体" w:eastAsia="宋体" w:cs="宋体"/>
          <w:b/>
          <w:bCs/>
          <w:color w:val="auto"/>
          <w:sz w:val="24"/>
          <w:highlight w:val="none"/>
        </w:rPr>
        <w:t>项目负责人资质要求：</w:t>
      </w:r>
      <w:r>
        <w:rPr>
          <w:rFonts w:hint="eastAsia" w:eastAsia="宋体"/>
          <w:b/>
          <w:bCs/>
          <w:color w:val="auto"/>
          <w:sz w:val="24"/>
          <w:highlight w:val="none"/>
          <w:lang w:val="en-US" w:eastAsia="zh-CN"/>
        </w:rPr>
        <w:t>具有建筑工程</w:t>
      </w:r>
      <w:r>
        <w:rPr>
          <w:rFonts w:hint="eastAsia"/>
          <w:b/>
          <w:bCs/>
          <w:color w:val="auto"/>
          <w:sz w:val="24"/>
          <w:highlight w:val="none"/>
          <w:lang w:val="en-US" w:eastAsia="zh-CN"/>
        </w:rPr>
        <w:t>专业</w:t>
      </w:r>
      <w:r>
        <w:rPr>
          <w:rFonts w:hint="eastAsia" w:eastAsia="宋体"/>
          <w:b/>
          <w:bCs/>
          <w:color w:val="auto"/>
          <w:sz w:val="24"/>
          <w:highlight w:val="none"/>
          <w:lang w:val="en-US" w:eastAsia="zh-CN"/>
        </w:rPr>
        <w:t>二级及以上建造师（不含临时）执业资格，且</w:t>
      </w:r>
      <w:r>
        <w:rPr>
          <w:rFonts w:hint="eastAsia"/>
          <w:b/>
          <w:bCs/>
          <w:color w:val="auto"/>
          <w:sz w:val="24"/>
          <w:highlight w:val="none"/>
          <w:lang w:val="en-US" w:eastAsia="zh-CN"/>
        </w:rPr>
        <w:t>在注册有效期内，另外具备B类人员证书。</w:t>
      </w:r>
    </w:p>
    <w:bookmarkEnd w:id="11"/>
    <w:bookmarkEnd w:id="12"/>
    <w:p w14:paraId="3420C15A">
      <w:pPr>
        <w:keepNext w:val="0"/>
        <w:keepLines w:val="0"/>
        <w:pageBreakBefore w:val="0"/>
        <w:widowControl w:val="0"/>
        <w:kinsoku/>
        <w:wordWrap/>
        <w:overflowPunct/>
        <w:topLinePunct w:val="0"/>
        <w:autoSpaceDE/>
        <w:autoSpaceDN/>
        <w:bidi w:val="0"/>
        <w:adjustRightInd/>
        <w:snapToGrid w:val="0"/>
        <w:spacing w:line="370" w:lineRule="exact"/>
        <w:ind w:firstLine="482" w:firstLineChars="200"/>
        <w:contextualSpacing/>
        <w:textAlignment w:val="auto"/>
        <w:rPr>
          <w:rFonts w:hint="eastAsia"/>
          <w:b/>
          <w:bCs/>
          <w:color w:val="auto"/>
          <w:sz w:val="24"/>
          <w:szCs w:val="24"/>
          <w:highlight w:val="none"/>
        </w:rPr>
      </w:pPr>
      <w:r>
        <w:rPr>
          <w:rFonts w:hint="eastAsia"/>
          <w:b/>
          <w:bCs/>
          <w:color w:val="auto"/>
          <w:sz w:val="24"/>
          <w:szCs w:val="24"/>
          <w:highlight w:val="none"/>
        </w:rPr>
        <w:t>三、获取（下载）采购文件</w:t>
      </w:r>
    </w:p>
    <w:p w14:paraId="741C5782">
      <w:pPr>
        <w:keepNext w:val="0"/>
        <w:keepLines w:val="0"/>
        <w:pageBreakBefore w:val="0"/>
        <w:kinsoku/>
        <w:overflowPunct/>
        <w:topLinePunct w:val="0"/>
        <w:bidi w:val="0"/>
        <w:spacing w:line="370" w:lineRule="exact"/>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时间：</w:t>
      </w:r>
      <w:r>
        <w:rPr>
          <w:rFonts w:hint="eastAsia" w:ascii="宋体" w:hAnsi="宋体" w:cs="宋体"/>
          <w:color w:val="auto"/>
          <w:sz w:val="24"/>
          <w:szCs w:val="24"/>
          <w:highlight w:val="none"/>
        </w:rPr>
        <w:t>/至</w:t>
      </w:r>
      <w:r>
        <w:rPr>
          <w:rFonts w:hint="eastAsia" w:ascii="宋体" w:hAnsi="宋体" w:cs="宋体"/>
          <w:color w:val="auto"/>
          <w:sz w:val="24"/>
          <w:szCs w:val="24"/>
          <w:highlight w:val="none"/>
          <w:lang w:eastAsia="zh-CN"/>
        </w:rPr>
        <w:t>2025年</w:t>
      </w: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日</w:t>
      </w:r>
      <w:r>
        <w:rPr>
          <w:rFonts w:hint="eastAsia" w:ascii="宋体" w:hAnsi="宋体" w:cs="宋体"/>
          <w:color w:val="auto"/>
          <w:sz w:val="24"/>
          <w:szCs w:val="24"/>
          <w:highlight w:val="none"/>
        </w:rPr>
        <w:t>，每天00:00至12:00，12:00至23:59（北京时间，线上获取法定节假日均可，线下获取文件法定节假日除外）</w:t>
      </w:r>
    </w:p>
    <w:p w14:paraId="2DDFF352">
      <w:pPr>
        <w:keepNext w:val="0"/>
        <w:keepLines w:val="0"/>
        <w:pageBreakBefore w:val="0"/>
        <w:kinsoku/>
        <w:overflowPunct/>
        <w:topLinePunct w:val="0"/>
        <w:bidi w:val="0"/>
        <w:spacing w:line="370" w:lineRule="exact"/>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地点（网址）：政采云平台https://www.zcygov.cn/ </w:t>
      </w:r>
    </w:p>
    <w:p w14:paraId="29AD4D4A">
      <w:pPr>
        <w:keepNext w:val="0"/>
        <w:keepLines w:val="0"/>
        <w:pageBreakBefore w:val="0"/>
        <w:kinsoku/>
        <w:overflowPunct/>
        <w:topLinePunct w:val="0"/>
        <w:bidi w:val="0"/>
        <w:spacing w:line="370" w:lineRule="exact"/>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方式：供应商登录政采云平台https://www.zcygov.cn/在线申请获取采购文件（进入“项目采购”应用，在获取采购文件菜单中选择项目，申请获取采购文件） </w:t>
      </w:r>
    </w:p>
    <w:p w14:paraId="20395379">
      <w:pPr>
        <w:keepNext w:val="0"/>
        <w:keepLines w:val="0"/>
        <w:pageBreakBefore w:val="0"/>
        <w:kinsoku/>
        <w:overflowPunct/>
        <w:topLinePunct w:val="0"/>
        <w:bidi w:val="0"/>
        <w:snapToGrid w:val="0"/>
        <w:spacing w:line="37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售价（元）：0</w:t>
      </w:r>
    </w:p>
    <w:p w14:paraId="6D10CD0F">
      <w:pPr>
        <w:keepNext w:val="0"/>
        <w:keepLines w:val="0"/>
        <w:pageBreakBefore w:val="0"/>
        <w:kinsoku/>
        <w:overflowPunct/>
        <w:topLinePunct w:val="0"/>
        <w:bidi w:val="0"/>
        <w:spacing w:line="370" w:lineRule="exact"/>
        <w:ind w:firstLine="482" w:firstLineChars="200"/>
        <w:textAlignment w:val="auto"/>
        <w:rPr>
          <w:rFonts w:hint="eastAsia" w:ascii="宋体" w:hAnsi="宋体" w:cs="宋体"/>
          <w:b/>
          <w:color w:val="auto"/>
          <w:sz w:val="24"/>
          <w:szCs w:val="24"/>
          <w:highlight w:val="none"/>
        </w:rPr>
      </w:pPr>
      <w:r>
        <w:rPr>
          <w:rFonts w:hint="eastAsia"/>
          <w:b/>
          <w:bCs/>
          <w:color w:val="auto"/>
          <w:sz w:val="24"/>
          <w:szCs w:val="24"/>
          <w:highlight w:val="none"/>
        </w:rPr>
        <w:t>四、响应文件提交（上传）</w:t>
      </w:r>
    </w:p>
    <w:p w14:paraId="6399C1D2">
      <w:pPr>
        <w:keepNext w:val="0"/>
        <w:keepLines w:val="0"/>
        <w:pageBreakBefore w:val="0"/>
        <w:kinsoku/>
        <w:overflowPunct/>
        <w:topLinePunct w:val="0"/>
        <w:bidi w:val="0"/>
        <w:spacing w:line="370" w:lineRule="exact"/>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截止时</w:t>
      </w:r>
      <w:r>
        <w:rPr>
          <w:rFonts w:hint="eastAsia" w:ascii="宋体" w:hAnsi="宋体" w:cs="宋体"/>
          <w:color w:val="auto"/>
          <w:sz w:val="24"/>
          <w:szCs w:val="24"/>
          <w:highlight w:val="none"/>
        </w:rPr>
        <w:t>间：</w:t>
      </w:r>
      <w:r>
        <w:rPr>
          <w:rFonts w:hint="eastAsia" w:ascii="宋体" w:hAnsi="宋体" w:cs="宋体"/>
          <w:color w:val="auto"/>
          <w:sz w:val="24"/>
          <w:szCs w:val="24"/>
          <w:highlight w:val="none"/>
          <w:lang w:eastAsia="zh-CN"/>
        </w:rPr>
        <w:t>2025年</w:t>
      </w: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日</w:t>
      </w:r>
      <w:r>
        <w:rPr>
          <w:rFonts w:hint="eastAsia" w:ascii="宋体" w:hAnsi="宋体" w:cs="宋体"/>
          <w:color w:val="auto"/>
          <w:sz w:val="24"/>
          <w:szCs w:val="24"/>
          <w:highlight w:val="none"/>
          <w:lang w:val="en-US" w:eastAsia="zh-CN"/>
        </w:rPr>
        <w:t>09</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00</w:t>
      </w:r>
      <w:r>
        <w:rPr>
          <w:rFonts w:hint="eastAsia" w:ascii="宋体" w:hAnsi="宋体" w:cs="宋体"/>
          <w:color w:val="auto"/>
          <w:sz w:val="24"/>
          <w:szCs w:val="24"/>
          <w:highlight w:val="none"/>
        </w:rPr>
        <w:t>（北京时间）</w:t>
      </w:r>
    </w:p>
    <w:p w14:paraId="0B1AE1CF">
      <w:pPr>
        <w:keepNext w:val="0"/>
        <w:keepLines w:val="0"/>
        <w:pageBreakBefore w:val="0"/>
        <w:kinsoku/>
        <w:overflowPunct/>
        <w:topLinePunct w:val="0"/>
        <w:bidi w:val="0"/>
        <w:spacing w:line="370" w:lineRule="exact"/>
        <w:ind w:firstLine="480" w:firstLineChars="200"/>
        <w:textAlignment w:val="auto"/>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地点（网址）：政采云平台（https://www.zcygov.cn/）。</w:t>
      </w:r>
    </w:p>
    <w:p w14:paraId="0BB1090F">
      <w:pPr>
        <w:keepNext w:val="0"/>
        <w:keepLines w:val="0"/>
        <w:pageBreakBefore w:val="0"/>
        <w:kinsoku/>
        <w:overflowPunct/>
        <w:topLinePunct w:val="0"/>
        <w:bidi w:val="0"/>
        <w:spacing w:line="370" w:lineRule="exact"/>
        <w:ind w:firstLine="482" w:firstLineChars="200"/>
        <w:textAlignment w:val="auto"/>
        <w:rPr>
          <w:rFonts w:hint="eastAsia" w:ascii="宋体" w:hAnsi="宋体" w:cs="宋体"/>
          <w:b/>
          <w:bCs/>
          <w:color w:val="auto"/>
          <w:sz w:val="24"/>
          <w:szCs w:val="24"/>
          <w:highlight w:val="none"/>
        </w:rPr>
      </w:pPr>
      <w:bookmarkStart w:id="13" w:name="_Toc28359084"/>
      <w:bookmarkStart w:id="14" w:name="_Toc35393625"/>
      <w:bookmarkStart w:id="15" w:name="_Toc35393794"/>
      <w:bookmarkStart w:id="16" w:name="_Toc28359007"/>
      <w:r>
        <w:rPr>
          <w:rFonts w:hint="eastAsia" w:ascii="宋体" w:hAnsi="宋体" w:cs="宋体"/>
          <w:b/>
          <w:bCs/>
          <w:color w:val="auto"/>
          <w:sz w:val="24"/>
          <w:szCs w:val="24"/>
          <w:highlight w:val="none"/>
        </w:rPr>
        <w:t>五、响应文件开启</w:t>
      </w:r>
    </w:p>
    <w:p w14:paraId="217B799B">
      <w:pPr>
        <w:keepNext w:val="0"/>
        <w:keepLines w:val="0"/>
        <w:pageBreakBefore w:val="0"/>
        <w:kinsoku/>
        <w:overflowPunct/>
        <w:topLinePunct w:val="0"/>
        <w:bidi w:val="0"/>
        <w:spacing w:line="370" w:lineRule="exact"/>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开启时间</w:t>
      </w: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2025年</w:t>
      </w: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日</w:t>
      </w:r>
      <w:r>
        <w:rPr>
          <w:rFonts w:hint="eastAsia" w:ascii="宋体" w:hAnsi="宋体" w:cs="宋体"/>
          <w:color w:val="auto"/>
          <w:sz w:val="24"/>
          <w:szCs w:val="24"/>
          <w:highlight w:val="none"/>
          <w:lang w:val="en-US" w:eastAsia="zh-CN"/>
        </w:rPr>
        <w:t>09</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00</w:t>
      </w:r>
      <w:r>
        <w:rPr>
          <w:rFonts w:hint="eastAsia" w:ascii="宋体" w:hAnsi="宋体" w:cs="宋体"/>
          <w:color w:val="auto"/>
          <w:sz w:val="24"/>
          <w:szCs w:val="24"/>
          <w:highlight w:val="none"/>
        </w:rPr>
        <w:t>（北京时间）</w:t>
      </w:r>
      <w:r>
        <w:rPr>
          <w:rFonts w:hint="eastAsia" w:ascii="宋体" w:hAnsi="宋体" w:cs="宋体"/>
          <w:color w:val="auto"/>
          <w:sz w:val="24"/>
          <w:szCs w:val="24"/>
          <w:highlight w:val="none"/>
        </w:rPr>
        <w:t> </w:t>
      </w:r>
    </w:p>
    <w:p w14:paraId="013B2B64">
      <w:pPr>
        <w:keepNext w:val="0"/>
        <w:keepLines w:val="0"/>
        <w:pageBreakBefore w:val="0"/>
        <w:kinsoku/>
        <w:overflowPunct/>
        <w:topLinePunct w:val="0"/>
        <w:bidi w:val="0"/>
        <w:spacing w:line="370" w:lineRule="exact"/>
        <w:ind w:firstLine="480" w:firstLineChars="200"/>
        <w:textAlignment w:val="auto"/>
        <w:rPr>
          <w:rFonts w:hint="eastAsia" w:ascii="宋体" w:hAnsi="宋体" w:cs="宋体"/>
          <w:b/>
          <w:bCs/>
          <w:color w:val="auto"/>
          <w:sz w:val="24"/>
          <w:szCs w:val="24"/>
          <w:highlight w:val="none"/>
        </w:rPr>
      </w:pPr>
      <w:r>
        <w:rPr>
          <w:rFonts w:hint="eastAsia" w:ascii="宋体" w:hAnsi="宋体" w:cs="宋体"/>
          <w:color w:val="auto"/>
          <w:sz w:val="24"/>
          <w:szCs w:val="24"/>
          <w:highlight w:val="none"/>
        </w:rPr>
        <w:t>地点（网址）：嘉善县罗星街道乔克国贸中心2-</w:t>
      </w:r>
      <w:r>
        <w:rPr>
          <w:rFonts w:hint="eastAsia" w:ascii="宋体" w:hAnsi="宋体" w:cs="宋体"/>
          <w:color w:val="auto"/>
          <w:sz w:val="24"/>
          <w:szCs w:val="24"/>
          <w:highlight w:val="none"/>
          <w:lang w:val="en-US" w:eastAsia="zh-CN"/>
        </w:rPr>
        <w:t>1002</w:t>
      </w:r>
      <w:r>
        <w:rPr>
          <w:rFonts w:hint="eastAsia" w:ascii="宋体" w:hAnsi="宋体" w:cs="宋体"/>
          <w:color w:val="auto"/>
          <w:sz w:val="24"/>
          <w:szCs w:val="24"/>
          <w:highlight w:val="none"/>
        </w:rPr>
        <w:t>室，供应商无需到磋商现场，只需准时在线参加。政采云平台（https://www.zcygov.cn/）</w:t>
      </w:r>
    </w:p>
    <w:p w14:paraId="030843B7">
      <w:pPr>
        <w:keepNext w:val="0"/>
        <w:keepLines w:val="0"/>
        <w:pageBreakBefore w:val="0"/>
        <w:kinsoku/>
        <w:wordWrap/>
        <w:overflowPunct/>
        <w:topLinePunct w:val="0"/>
        <w:autoSpaceDE/>
        <w:autoSpaceDN/>
        <w:bidi w:val="0"/>
        <w:adjustRightInd/>
        <w:spacing w:line="370" w:lineRule="exact"/>
        <w:ind w:firstLine="482" w:firstLineChars="200"/>
        <w:jc w:val="both"/>
        <w:textAlignment w:val="auto"/>
        <w:rPr>
          <w:rFonts w:hint="eastAsia"/>
          <w:b/>
          <w:bCs/>
          <w:color w:val="auto"/>
          <w:sz w:val="24"/>
          <w:szCs w:val="24"/>
          <w:highlight w:val="none"/>
        </w:rPr>
      </w:pPr>
      <w:r>
        <w:rPr>
          <w:rFonts w:hint="eastAsia"/>
          <w:b/>
          <w:bCs/>
          <w:color w:val="auto"/>
          <w:sz w:val="24"/>
          <w:szCs w:val="24"/>
          <w:highlight w:val="none"/>
          <w:lang w:val="en-US" w:eastAsia="zh-CN"/>
        </w:rPr>
        <w:t>六</w:t>
      </w:r>
      <w:r>
        <w:rPr>
          <w:rFonts w:hint="eastAsia"/>
          <w:b/>
          <w:bCs/>
          <w:color w:val="auto"/>
          <w:sz w:val="24"/>
          <w:szCs w:val="24"/>
          <w:highlight w:val="none"/>
        </w:rPr>
        <w:t>、公告期限</w:t>
      </w:r>
      <w:bookmarkEnd w:id="13"/>
      <w:bookmarkEnd w:id="14"/>
      <w:bookmarkEnd w:id="15"/>
      <w:bookmarkEnd w:id="16"/>
    </w:p>
    <w:p w14:paraId="78218758">
      <w:pPr>
        <w:keepNext w:val="0"/>
        <w:keepLines w:val="0"/>
        <w:pageBreakBefore w:val="0"/>
        <w:kinsoku/>
        <w:wordWrap/>
        <w:overflowPunct/>
        <w:topLinePunct w:val="0"/>
        <w:autoSpaceDE/>
        <w:autoSpaceDN/>
        <w:bidi w:val="0"/>
        <w:adjustRightInd/>
        <w:spacing w:line="370" w:lineRule="exact"/>
        <w:ind w:firstLine="480" w:firstLineChars="200"/>
        <w:jc w:val="both"/>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自本公告发布之日起3个工作日。</w:t>
      </w:r>
    </w:p>
    <w:p w14:paraId="2C5CC5B7">
      <w:pPr>
        <w:pStyle w:val="12"/>
        <w:keepNext w:val="0"/>
        <w:keepLines w:val="0"/>
        <w:pageBreakBefore w:val="0"/>
        <w:numPr>
          <w:ilvl w:val="0"/>
          <w:numId w:val="0"/>
        </w:numPr>
        <w:kinsoku/>
        <w:wordWrap/>
        <w:overflowPunct/>
        <w:topLinePunct w:val="0"/>
        <w:autoSpaceDE/>
        <w:autoSpaceDN/>
        <w:bidi w:val="0"/>
        <w:adjustRightInd/>
        <w:snapToGrid w:val="0"/>
        <w:spacing w:beforeLines="0" w:afterLines="0" w:line="370" w:lineRule="exact"/>
        <w:ind w:firstLine="482" w:firstLineChars="200"/>
        <w:jc w:val="both"/>
        <w:textAlignment w:val="auto"/>
        <w:rPr>
          <w:rFonts w:hint="eastAsia"/>
          <w:b/>
          <w:bCs/>
          <w:color w:val="auto"/>
          <w:sz w:val="24"/>
          <w:szCs w:val="24"/>
          <w:highlight w:val="none"/>
        </w:rPr>
      </w:pPr>
      <w:bookmarkStart w:id="17" w:name="_Toc35393626"/>
      <w:bookmarkStart w:id="18" w:name="_Toc35393795"/>
      <w:r>
        <w:rPr>
          <w:rFonts w:hint="eastAsia"/>
          <w:b/>
          <w:bCs/>
          <w:color w:val="auto"/>
          <w:sz w:val="24"/>
          <w:szCs w:val="24"/>
          <w:highlight w:val="none"/>
          <w:lang w:val="en-US" w:eastAsia="zh-CN"/>
        </w:rPr>
        <w:t>七、</w:t>
      </w:r>
      <w:r>
        <w:rPr>
          <w:rFonts w:hint="eastAsia"/>
          <w:b/>
          <w:bCs/>
          <w:color w:val="auto"/>
          <w:sz w:val="24"/>
          <w:szCs w:val="24"/>
          <w:highlight w:val="none"/>
        </w:rPr>
        <w:t>其他补充事宜</w:t>
      </w:r>
      <w:bookmarkEnd w:id="17"/>
      <w:bookmarkEnd w:id="18"/>
      <w:r>
        <w:rPr>
          <w:rFonts w:hint="eastAsia"/>
          <w:b/>
          <w:bCs/>
          <w:color w:val="auto"/>
          <w:sz w:val="24"/>
          <w:szCs w:val="24"/>
          <w:highlight w:val="none"/>
        </w:rPr>
        <w:t>：</w:t>
      </w:r>
    </w:p>
    <w:p w14:paraId="381FFB7A">
      <w:pPr>
        <w:pStyle w:val="12"/>
        <w:keepNext w:val="0"/>
        <w:keepLines w:val="0"/>
        <w:pageBreakBefore w:val="0"/>
        <w:widowControl w:val="0"/>
        <w:kinsoku/>
        <w:wordWrap/>
        <w:overflowPunct/>
        <w:topLinePunct w:val="0"/>
        <w:autoSpaceDE/>
        <w:autoSpaceDN/>
        <w:bidi w:val="0"/>
        <w:adjustRightInd/>
        <w:snapToGrid w:val="0"/>
        <w:spacing w:beforeLines="0" w:afterLines="0" w:line="360" w:lineRule="auto"/>
        <w:ind w:firstLine="480" w:firstLineChars="200"/>
        <w:jc w:val="both"/>
        <w:textAlignment w:val="auto"/>
        <w:rPr>
          <w:rFonts w:hint="eastAsia" w:hAnsi="宋体" w:cs="宋体"/>
          <w:snapToGrid w:val="0"/>
          <w:color w:val="auto"/>
          <w:sz w:val="24"/>
          <w:szCs w:val="24"/>
          <w:highlight w:val="none"/>
        </w:rPr>
      </w:pPr>
      <w:r>
        <w:rPr>
          <w:rFonts w:hint="eastAsia" w:hAnsi="宋体" w:cs="宋体"/>
          <w:snapToGrid w:val="0"/>
          <w:color w:val="auto"/>
          <w:sz w:val="24"/>
          <w:szCs w:val="24"/>
          <w:highlight w:val="none"/>
        </w:rPr>
        <w:t>1．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271D142">
      <w:pPr>
        <w:keepNext w:val="0"/>
        <w:keepLines w:val="0"/>
        <w:pageBreakBefore w:val="0"/>
        <w:widowControl w:val="0"/>
        <w:kinsoku/>
        <w:overflowPunct/>
        <w:topLinePunct w:val="0"/>
        <w:autoSpaceDE/>
        <w:autoSpaceDN/>
        <w:bidi w:val="0"/>
        <w:adjustRightInd/>
        <w:spacing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2.其他事项：</w:t>
      </w:r>
    </w:p>
    <w:p w14:paraId="35C6BD47">
      <w:pPr>
        <w:keepNext w:val="0"/>
        <w:keepLines w:val="0"/>
        <w:pageBreakBefore w:val="0"/>
        <w:widowControl w:val="0"/>
        <w:kinsoku/>
        <w:overflowPunct/>
        <w:topLinePunct w:val="0"/>
        <w:autoSpaceDE/>
        <w:autoSpaceDN/>
        <w:bidi w:val="0"/>
        <w:adjustRightInd/>
        <w:spacing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3D7E702A">
      <w:pPr>
        <w:keepNext w:val="0"/>
        <w:keepLines w:val="0"/>
        <w:pageBreakBefore w:val="0"/>
        <w:widowControl w:val="0"/>
        <w:kinsoku/>
        <w:overflowPunct/>
        <w:topLinePunct w:val="0"/>
        <w:autoSpaceDE/>
        <w:autoSpaceDN/>
        <w:bidi w:val="0"/>
        <w:adjustRightInd/>
        <w:spacing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3E24A2F">
      <w:pPr>
        <w:pStyle w:val="12"/>
        <w:keepNext w:val="0"/>
        <w:keepLines w:val="0"/>
        <w:pageBreakBefore w:val="0"/>
        <w:widowControl w:val="0"/>
        <w:kinsoku/>
        <w:wordWrap w:val="0"/>
        <w:overflowPunct/>
        <w:topLinePunct w:val="0"/>
        <w:autoSpaceDE/>
        <w:autoSpaceDN/>
        <w:bidi w:val="0"/>
        <w:adjustRightInd/>
        <w:snapToGrid w:val="0"/>
        <w:spacing w:beforeLines="0" w:afterLines="0" w:line="360" w:lineRule="auto"/>
        <w:ind w:firstLine="480" w:firstLineChars="200"/>
        <w:jc w:val="both"/>
        <w:textAlignment w:val="auto"/>
        <w:rPr>
          <w:rFonts w:hint="eastAsia" w:ascii="宋体" w:hAnsi="宋体" w:eastAsia="宋体" w:cs="宋体"/>
          <w:snapToGrid w:val="0"/>
          <w:color w:val="auto"/>
          <w:sz w:val="24"/>
          <w:szCs w:val="24"/>
          <w:highlight w:val="none"/>
        </w:rPr>
      </w:pPr>
      <w:r>
        <w:rPr>
          <w:rFonts w:hint="eastAsia" w:ascii="宋体" w:hAnsi="宋体" w:cs="宋体"/>
          <w:color w:val="auto"/>
          <w:sz w:val="24"/>
          <w:szCs w:val="24"/>
          <w:highlight w:val="none"/>
        </w:rPr>
        <w:t>（3）①电子招投标：本项目以数据电文形式，依托“政府采购云平台（www.zcygov.cn）”进行磋商活动，不接受纸质响应文件；②磋商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采购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采购文件的供应商进行磋商活动；⑥对未按上述方式获取采购文件的供应商对该文件提出的质疑，采购人或采购代理机构将不予处理；⑦不提供采购文件纸质版；⑧响应文件的传输递交：供应商在截止时间前将加密的响应文件上传至政府采购云平台，还可以在截止时间前直接提交或者以顺丰快递方式递交备份响应文件1份（光盘或U盘上应当用不褪色墨水笔注明供应商名称、项目名称以及法定代表人或其委托代理人签名，供应商应当确保电子光盘或U盘能够打开运行并正常使用）装袋密封后邮寄或直接送达至</w:t>
      </w:r>
      <w:r>
        <w:rPr>
          <w:rFonts w:hint="eastAsia" w:hAnsi="宋体" w:cs="宋体"/>
          <w:color w:val="auto"/>
          <w:sz w:val="24"/>
          <w:szCs w:val="24"/>
          <w:highlight w:val="none"/>
          <w:lang w:val="en-US" w:eastAsia="zh-CN"/>
        </w:rPr>
        <w:t>浙江中合工程管理有限公司</w:t>
      </w:r>
      <w:r>
        <w:rPr>
          <w:rFonts w:hint="eastAsia" w:ascii="宋体" w:hAnsi="宋体" w:cs="宋体"/>
          <w:color w:val="auto"/>
          <w:sz w:val="24"/>
          <w:szCs w:val="24"/>
          <w:highlight w:val="none"/>
        </w:rPr>
        <w:t>，密封袋上有接缝处均需加盖单位公章和法定代表人印章【送达地址：嘉善县罗星街道乔克国贸中心2-</w:t>
      </w:r>
      <w:r>
        <w:rPr>
          <w:rFonts w:hint="eastAsia" w:ascii="宋体" w:hAnsi="宋体" w:cs="宋体"/>
          <w:color w:val="auto"/>
          <w:sz w:val="24"/>
          <w:szCs w:val="24"/>
          <w:highlight w:val="none"/>
          <w:lang w:val="en-US" w:eastAsia="zh-CN"/>
        </w:rPr>
        <w:t>1002</w:t>
      </w:r>
      <w:r>
        <w:rPr>
          <w:rFonts w:hint="eastAsia" w:ascii="宋体" w:hAnsi="宋体" w:cs="宋体"/>
          <w:color w:val="auto"/>
          <w:sz w:val="24"/>
          <w:szCs w:val="24"/>
          <w:highlight w:val="none"/>
        </w:rPr>
        <w:t>室，收件人：</w:t>
      </w:r>
      <w:r>
        <w:rPr>
          <w:rFonts w:hint="eastAsia" w:hAnsi="宋体" w:cs="宋体"/>
          <w:color w:val="auto"/>
          <w:sz w:val="24"/>
          <w:szCs w:val="24"/>
          <w:highlight w:val="none"/>
          <w:lang w:val="en-US" w:eastAsia="zh-CN"/>
        </w:rPr>
        <w:t>胡女士</w:t>
      </w:r>
      <w:r>
        <w:rPr>
          <w:rFonts w:hint="eastAsia" w:ascii="宋体" w:hAnsi="宋体" w:cs="宋体"/>
          <w:color w:val="auto"/>
          <w:sz w:val="24"/>
          <w:szCs w:val="24"/>
          <w:highlight w:val="none"/>
        </w:rPr>
        <w:t>，联系电话：</w:t>
      </w:r>
      <w:r>
        <w:rPr>
          <w:rFonts w:hint="eastAsia" w:hAnsi="宋体" w:cs="宋体"/>
          <w:color w:val="auto"/>
          <w:sz w:val="24"/>
          <w:szCs w:val="24"/>
          <w:highlight w:val="none"/>
          <w:lang w:eastAsia="zh-CN"/>
        </w:rPr>
        <w:t>0573-84033354</w:t>
      </w:r>
      <w:r>
        <w:rPr>
          <w:rFonts w:hint="eastAsia" w:ascii="宋体" w:hAnsi="宋体" w:cs="宋体"/>
          <w:color w:val="auto"/>
          <w:sz w:val="24"/>
          <w:szCs w:val="24"/>
          <w:highlight w:val="none"/>
        </w:rPr>
        <w:t>；快递寄出同时，项目被授权代表须以邮件方式将快递单号、项目名称、公司名称、被授权代表姓名及联系方式等内容（邮件格式为：项目编号+快递单号+公司名称+被授权代表姓名及联系方式）发送至采购代理机构联系人邮箱</w:t>
      </w:r>
      <w:r>
        <w:rPr>
          <w:rFonts w:hint="eastAsia" w:ascii="宋体" w:hAnsi="宋体" w:cs="宋体"/>
          <w:color w:val="auto"/>
          <w:sz w:val="24"/>
          <w:szCs w:val="24"/>
          <w:highlight w:val="none"/>
        </w:rPr>
        <w:t>(</w:t>
      </w:r>
      <w:r>
        <w:rPr>
          <w:rFonts w:hint="eastAsia" w:hAnsi="宋体" w:cs="宋体"/>
          <w:color w:val="auto"/>
          <w:sz w:val="24"/>
          <w:szCs w:val="24"/>
          <w:highlight w:val="none"/>
          <w:lang w:eastAsia="zh-CN"/>
        </w:rPr>
        <w:t>1090440571</w:t>
      </w:r>
      <w:r>
        <w:rPr>
          <w:rFonts w:hint="eastAsia" w:ascii="宋体" w:hAnsi="宋体" w:cs="宋体"/>
          <w:color w:val="auto"/>
          <w:sz w:val="24"/>
          <w:szCs w:val="24"/>
          <w:highlight w:val="none"/>
        </w:rPr>
        <w:t>@qq.com)。</w:t>
      </w:r>
      <w:r>
        <w:rPr>
          <w:rFonts w:hint="eastAsia" w:ascii="宋体" w:hAnsi="宋体" w:cs="宋体"/>
          <w:color w:val="auto"/>
          <w:sz w:val="24"/>
          <w:szCs w:val="24"/>
          <w:highlight w:val="none"/>
        </w:rPr>
        <w:t>如供应商选择快递费到付，采购代理机构将拒签。】⑨响应文件的解密：供应商按照平台提示和采购文件的规定在半小时内完成在线解密。通过“政府采购云平台”上传递交的响应文件无法按时解密，供应商递交了备份响应文件的，以备份响应文件为依据，否则视为响应文件撤回。通过“政府采购云平台”上传递交的响应文件已按时解密的，备份响应文件自动失效。供应商仅提交备份响应文件，没有在电子交易平台传输递交响应文件的，响应无效；⑩具体操作指南：详见政采云平台“服务中心-帮助文档-项目采购-操作流程-电子招投标-政府采购项目电子交易管理操作指南-供应商”。</w:t>
      </w:r>
    </w:p>
    <w:p w14:paraId="57C65139">
      <w:pPr>
        <w:keepNext w:val="0"/>
        <w:keepLines w:val="0"/>
        <w:pageBreakBefore w:val="0"/>
        <w:widowControl/>
        <w:shd w:val="clear" w:color="auto" w:fill="FFFFFF"/>
        <w:kinsoku/>
        <w:wordWrap/>
        <w:overflowPunct/>
        <w:topLinePunct w:val="0"/>
        <w:autoSpaceDE/>
        <w:autoSpaceDN/>
        <w:bidi w:val="0"/>
        <w:adjustRightInd/>
        <w:spacing w:line="300" w:lineRule="auto"/>
        <w:ind w:firstLine="482" w:firstLineChars="200"/>
        <w:contextualSpacing/>
        <w:jc w:val="both"/>
        <w:textAlignment w:val="auto"/>
        <w:rPr>
          <w:rFonts w:hint="eastAsia" w:ascii="宋体" w:hAnsi="宋体" w:eastAsia="宋体" w:cs="宋体"/>
          <w:b/>
          <w:bCs/>
          <w:color w:val="auto"/>
          <w:sz w:val="24"/>
          <w:szCs w:val="24"/>
          <w:highlight w:val="none"/>
        </w:rPr>
      </w:pPr>
      <w:bookmarkStart w:id="19" w:name="_Toc35393796"/>
      <w:bookmarkStart w:id="20" w:name="_Toc28359085"/>
      <w:bookmarkStart w:id="21" w:name="_Toc35393627"/>
      <w:bookmarkStart w:id="22" w:name="_Toc28359008"/>
      <w:r>
        <w:rPr>
          <w:rFonts w:hint="eastAsia" w:ascii="宋体" w:hAnsi="宋体" w:cs="宋体"/>
          <w:b/>
          <w:bCs/>
          <w:color w:val="auto"/>
          <w:sz w:val="24"/>
          <w:szCs w:val="24"/>
          <w:highlight w:val="none"/>
          <w:lang w:val="en-US" w:eastAsia="zh-CN"/>
        </w:rPr>
        <w:t>八</w:t>
      </w:r>
      <w:r>
        <w:rPr>
          <w:rFonts w:hint="eastAsia" w:ascii="宋体" w:hAnsi="宋体" w:eastAsia="宋体" w:cs="宋体"/>
          <w:b/>
          <w:bCs/>
          <w:color w:val="auto"/>
          <w:sz w:val="24"/>
          <w:szCs w:val="24"/>
          <w:highlight w:val="none"/>
        </w:rPr>
        <w:t>、对本次招标提出询问，请按以下方式联系。</w:t>
      </w:r>
      <w:bookmarkEnd w:id="19"/>
      <w:bookmarkEnd w:id="20"/>
      <w:bookmarkEnd w:id="21"/>
      <w:bookmarkEnd w:id="22"/>
    </w:p>
    <w:p w14:paraId="15FFC7A6">
      <w:pPr>
        <w:widowControl/>
        <w:shd w:val="clear" w:color="auto" w:fill="FFFFFF"/>
        <w:spacing w:line="300" w:lineRule="auto"/>
        <w:ind w:firstLine="480" w:firstLineChars="20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1.采购人名称：</w:t>
      </w:r>
      <w:r>
        <w:rPr>
          <w:rFonts w:hint="eastAsia" w:ascii="宋体" w:hAnsi="宋体" w:cs="宋体"/>
          <w:color w:val="auto"/>
          <w:sz w:val="24"/>
          <w:highlight w:val="none"/>
          <w:lang w:val="en-US" w:eastAsia="zh-CN"/>
        </w:rPr>
        <w:t>嘉善县天凝中学</w:t>
      </w:r>
    </w:p>
    <w:p w14:paraId="6E4D0C53">
      <w:pPr>
        <w:widowControl/>
        <w:shd w:val="clear" w:color="auto" w:fill="FFFFFF"/>
        <w:spacing w:line="300" w:lineRule="auto"/>
        <w:ind w:firstLine="540"/>
        <w:jc w:val="left"/>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项目联系人：</w:t>
      </w:r>
      <w:r>
        <w:rPr>
          <w:rFonts w:hint="eastAsia" w:ascii="宋体" w:hAnsi="宋体" w:cs="宋体"/>
          <w:color w:val="auto"/>
          <w:sz w:val="24"/>
          <w:highlight w:val="none"/>
          <w:lang w:val="en-US" w:eastAsia="zh-CN"/>
        </w:rPr>
        <w:t>余建伟</w:t>
      </w:r>
    </w:p>
    <w:p w14:paraId="7492602D">
      <w:pPr>
        <w:widowControl/>
        <w:shd w:val="clear" w:color="auto" w:fill="FFFFFF"/>
        <w:spacing w:line="300" w:lineRule="auto"/>
        <w:ind w:firstLine="480" w:firstLineChars="200"/>
        <w:jc w:val="left"/>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联系电话：</w:t>
      </w:r>
      <w:r>
        <w:rPr>
          <w:rFonts w:hint="eastAsia" w:ascii="宋体" w:hAnsi="宋体" w:cs="宋体"/>
          <w:color w:val="auto"/>
          <w:sz w:val="24"/>
          <w:highlight w:val="none"/>
          <w:lang w:val="en-US" w:eastAsia="zh-CN"/>
        </w:rPr>
        <w:t>0573-89110621</w:t>
      </w:r>
    </w:p>
    <w:p w14:paraId="0007EDC5">
      <w:pPr>
        <w:widowControl/>
        <w:shd w:val="clear" w:color="auto" w:fill="FFFFFF"/>
        <w:spacing w:line="300" w:lineRule="auto"/>
        <w:ind w:firstLine="480" w:firstLineChars="200"/>
        <w:jc w:val="left"/>
        <w:rPr>
          <w:rFonts w:hint="default" w:ascii="宋体" w:hAnsi="宋体" w:cs="宋体"/>
          <w:color w:val="auto"/>
          <w:sz w:val="24"/>
          <w:highlight w:val="none"/>
          <w:lang w:val="en-US" w:eastAsia="zh-CN"/>
        </w:rPr>
      </w:pPr>
      <w:r>
        <w:rPr>
          <w:rFonts w:hint="eastAsia" w:ascii="宋体" w:hAnsi="宋体" w:eastAsia="宋体" w:cs="宋体"/>
          <w:color w:val="auto"/>
          <w:sz w:val="24"/>
          <w:highlight w:val="none"/>
        </w:rPr>
        <w:t>地址：</w:t>
      </w:r>
      <w:r>
        <w:rPr>
          <w:rFonts w:hint="eastAsia" w:ascii="宋体" w:hAnsi="宋体" w:cs="宋体"/>
          <w:color w:val="auto"/>
          <w:sz w:val="24"/>
          <w:highlight w:val="none"/>
          <w:lang w:val="en-US" w:eastAsia="zh-CN"/>
        </w:rPr>
        <w:t>嘉兴市嘉善县天凝镇学府路2088号</w:t>
      </w:r>
    </w:p>
    <w:p w14:paraId="2FFE10E1">
      <w:pPr>
        <w:widowControl/>
        <w:shd w:val="clear" w:color="auto" w:fill="FFFFFF"/>
        <w:spacing w:line="300" w:lineRule="auto"/>
        <w:ind w:firstLine="480" w:firstLineChars="200"/>
        <w:jc w:val="left"/>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质疑答复联系人：</w:t>
      </w:r>
      <w:r>
        <w:rPr>
          <w:rFonts w:hint="eastAsia" w:ascii="宋体" w:hAnsi="宋体" w:cs="宋体"/>
          <w:color w:val="auto"/>
          <w:sz w:val="24"/>
          <w:highlight w:val="none"/>
          <w:lang w:val="en-US" w:eastAsia="zh-CN"/>
        </w:rPr>
        <w:t>刘伟荣</w:t>
      </w:r>
    </w:p>
    <w:p w14:paraId="2643BCF6">
      <w:pPr>
        <w:widowControl/>
        <w:shd w:val="clear" w:color="auto" w:fill="FFFFFF"/>
        <w:spacing w:line="300" w:lineRule="auto"/>
        <w:ind w:firstLine="480" w:firstLineChars="200"/>
        <w:jc w:val="left"/>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联系电话：</w:t>
      </w:r>
      <w:r>
        <w:rPr>
          <w:rFonts w:hint="eastAsia" w:ascii="宋体" w:hAnsi="宋体" w:cs="宋体"/>
          <w:color w:val="auto"/>
          <w:sz w:val="24"/>
          <w:highlight w:val="none"/>
          <w:lang w:val="en-US" w:eastAsia="zh-CN"/>
        </w:rPr>
        <w:t>13616837300</w:t>
      </w:r>
    </w:p>
    <w:p w14:paraId="03EB0AC6">
      <w:pPr>
        <w:widowControl/>
        <w:shd w:val="clear" w:color="auto" w:fill="FFFFFF"/>
        <w:spacing w:line="30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2.采购代理机构名称：</w:t>
      </w:r>
      <w:r>
        <w:rPr>
          <w:rFonts w:hint="eastAsia" w:ascii="宋体" w:hAnsi="宋体" w:cs="宋体"/>
          <w:color w:val="auto"/>
          <w:sz w:val="24"/>
          <w:highlight w:val="none"/>
          <w:lang w:eastAsia="zh-CN"/>
        </w:rPr>
        <w:t>浙江中合工程管理有限公司</w:t>
      </w:r>
    </w:p>
    <w:p w14:paraId="48C596F1">
      <w:pPr>
        <w:widowControl/>
        <w:shd w:val="clear" w:color="auto" w:fill="FFFFFF"/>
        <w:spacing w:line="300" w:lineRule="auto"/>
        <w:ind w:firstLine="480" w:firstLineChars="200"/>
        <w:jc w:val="left"/>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项目联系人：</w:t>
      </w:r>
      <w:r>
        <w:rPr>
          <w:rFonts w:hint="eastAsia" w:ascii="宋体" w:hAnsi="宋体" w:cs="宋体"/>
          <w:color w:val="auto"/>
          <w:sz w:val="24"/>
          <w:highlight w:val="none"/>
          <w:lang w:val="en-US" w:eastAsia="zh-CN"/>
        </w:rPr>
        <w:t>胡女士</w:t>
      </w:r>
    </w:p>
    <w:p w14:paraId="052F2617">
      <w:pPr>
        <w:widowControl/>
        <w:shd w:val="clear" w:color="auto" w:fill="FFFFFF"/>
        <w:spacing w:line="300" w:lineRule="auto"/>
        <w:ind w:firstLine="480" w:firstLineChars="20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联系电话：</w:t>
      </w:r>
      <w:r>
        <w:rPr>
          <w:rFonts w:hint="eastAsia" w:ascii="宋体" w:hAnsi="宋体" w:cs="宋体"/>
          <w:color w:val="auto"/>
          <w:sz w:val="24"/>
          <w:highlight w:val="none"/>
          <w:lang w:eastAsia="zh-CN"/>
        </w:rPr>
        <w:t>0573-84033354</w:t>
      </w:r>
    </w:p>
    <w:p w14:paraId="72E0C2B1">
      <w:pPr>
        <w:widowControl/>
        <w:shd w:val="clear" w:color="auto" w:fill="FFFFFF"/>
        <w:spacing w:line="300" w:lineRule="auto"/>
        <w:ind w:firstLine="480" w:firstLineChars="20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lang w:eastAsia="zh-CN"/>
        </w:rPr>
        <w:t>嘉善县罗星街道乔克国贸中心2-1002室</w:t>
      </w:r>
    </w:p>
    <w:p w14:paraId="6298A5F5">
      <w:pPr>
        <w:widowControl/>
        <w:shd w:val="clear" w:color="auto" w:fill="FFFFFF"/>
        <w:spacing w:line="300" w:lineRule="auto"/>
        <w:ind w:firstLine="480" w:firstLineChars="20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质疑答复联系人：</w:t>
      </w:r>
      <w:r>
        <w:rPr>
          <w:rFonts w:hint="eastAsia" w:ascii="宋体" w:hAnsi="宋体" w:cs="宋体"/>
          <w:color w:val="auto"/>
          <w:sz w:val="24"/>
          <w:highlight w:val="none"/>
          <w:lang w:val="en-US" w:eastAsia="zh-CN"/>
        </w:rPr>
        <w:t>胡女士</w:t>
      </w:r>
    </w:p>
    <w:p w14:paraId="131F7706">
      <w:pPr>
        <w:widowControl/>
        <w:shd w:val="clear" w:color="auto" w:fill="FFFFFF"/>
        <w:spacing w:line="300" w:lineRule="auto"/>
        <w:ind w:firstLine="480" w:firstLineChars="20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联系电话：</w:t>
      </w:r>
      <w:r>
        <w:rPr>
          <w:rFonts w:hint="eastAsia" w:ascii="宋体" w:hAnsi="宋体" w:cs="宋体"/>
          <w:color w:val="auto"/>
          <w:sz w:val="24"/>
          <w:highlight w:val="none"/>
          <w:lang w:eastAsia="zh-CN"/>
        </w:rPr>
        <w:t>0573-84033354</w:t>
      </w:r>
    </w:p>
    <w:p w14:paraId="55CDC9FC">
      <w:pPr>
        <w:widowControl/>
        <w:shd w:val="clear" w:color="auto" w:fill="FFFFFF"/>
        <w:spacing w:line="300" w:lineRule="auto"/>
        <w:ind w:firstLine="480" w:firstLineChars="20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lang w:eastAsia="zh-CN"/>
        </w:rPr>
        <w:t>嘉善县罗星街道乔克国贸中心2-1002室</w:t>
      </w:r>
    </w:p>
    <w:p w14:paraId="691842B4">
      <w:pPr>
        <w:widowControl/>
        <w:shd w:val="clear" w:color="auto" w:fill="FFFFFF"/>
        <w:spacing w:line="30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3.同级政府采购监督管理部门名称：嘉善县财政局</w:t>
      </w:r>
    </w:p>
    <w:p w14:paraId="27CCDDBC">
      <w:pPr>
        <w:widowControl/>
        <w:shd w:val="clear" w:color="auto" w:fill="FFFFFF"/>
        <w:spacing w:line="30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联系人：刘先生</w:t>
      </w:r>
    </w:p>
    <w:p w14:paraId="729D64C5">
      <w:pPr>
        <w:widowControl/>
        <w:shd w:val="clear" w:color="auto" w:fill="FFFFFF"/>
        <w:spacing w:line="30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监督投诉电话：0573-84122310</w:t>
      </w:r>
    </w:p>
    <w:p w14:paraId="08BA2E81">
      <w:pPr>
        <w:widowControl/>
        <w:shd w:val="clear" w:color="auto" w:fill="FFFFFF"/>
        <w:spacing w:line="30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传真：0573-84122528</w:t>
      </w:r>
    </w:p>
    <w:p w14:paraId="0DF269CC">
      <w:pPr>
        <w:widowControl/>
        <w:shd w:val="clear" w:color="auto" w:fill="FFFFFF"/>
        <w:spacing w:line="30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地址：嘉善县解放东路318号</w:t>
      </w:r>
    </w:p>
    <w:p w14:paraId="2CAF3987">
      <w:pP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14:paraId="397A2569">
      <w:pPr>
        <w:pStyle w:val="23"/>
        <w:numPr>
          <w:ilvl w:val="0"/>
          <w:numId w:val="2"/>
        </w:numPr>
        <w:rPr>
          <w:rFonts w:hint="eastAsia" w:ascii="宋体" w:hAnsi="宋体" w:eastAsia="宋体" w:cs="宋体"/>
          <w:b/>
          <w:bCs/>
          <w:color w:val="auto"/>
          <w:szCs w:val="24"/>
          <w:highlight w:val="none"/>
          <w:lang w:val="en-US" w:eastAsia="zh-CN"/>
        </w:rPr>
      </w:pPr>
      <w:bookmarkStart w:id="23" w:name="_Toc21093"/>
      <w:r>
        <w:rPr>
          <w:rFonts w:hint="eastAsia" w:ascii="宋体" w:hAnsi="宋体" w:eastAsia="宋体" w:cs="宋体"/>
          <w:color w:val="auto"/>
          <w:highlight w:val="none"/>
        </w:rPr>
        <w:t xml:space="preserve"> </w:t>
      </w:r>
      <w:bookmarkStart w:id="24" w:name="_Toc15131"/>
      <w:bookmarkStart w:id="25" w:name="_Toc16145"/>
      <w:r>
        <w:rPr>
          <w:rFonts w:hint="eastAsia" w:ascii="宋体" w:hAnsi="宋体" w:eastAsia="宋体" w:cs="宋体"/>
          <w:color w:val="auto"/>
          <w:highlight w:val="none"/>
        </w:rPr>
        <w:t>磋商项目需求</w:t>
      </w:r>
      <w:bookmarkEnd w:id="23"/>
      <w:bookmarkEnd w:id="24"/>
      <w:bookmarkEnd w:id="25"/>
    </w:p>
    <w:p w14:paraId="1C50DBAC">
      <w:pPr>
        <w:numPr>
          <w:ilvl w:val="0"/>
          <w:numId w:val="0"/>
        </w:numPr>
        <w:jc w:val="center"/>
        <w:rPr>
          <w:rFonts w:hint="eastAsia" w:ascii="宋体" w:hAnsi="宋体" w:eastAsia="宋体" w:cs="宋体"/>
          <w:b/>
          <w:bCs/>
          <w:color w:val="auto"/>
          <w:szCs w:val="24"/>
          <w:highlight w:val="none"/>
          <w:lang w:val="en-US" w:eastAsia="zh-CN"/>
        </w:rPr>
      </w:pPr>
      <w:r>
        <w:rPr>
          <w:rFonts w:hint="eastAsia" w:ascii="宋体" w:hAnsi="宋体" w:eastAsia="宋体" w:cs="宋体"/>
          <w:b/>
          <w:bCs/>
          <w:color w:val="auto"/>
          <w:szCs w:val="24"/>
          <w:highlight w:val="none"/>
          <w:lang w:val="en-US" w:eastAsia="zh-CN"/>
        </w:rPr>
        <w:t>一、本项目工程量清单</w:t>
      </w:r>
    </w:p>
    <w:p w14:paraId="3D31FFBF">
      <w:pPr>
        <w:pStyle w:val="31"/>
        <w:numPr>
          <w:ilvl w:val="0"/>
          <w:numId w:val="0"/>
        </w:numPr>
        <w:rPr>
          <w:rFonts w:hint="eastAsia" w:ascii="宋体" w:hAnsi="宋体" w:eastAsia="宋体" w:cs="宋体"/>
          <w:color w:val="auto"/>
          <w:highlight w:val="none"/>
          <w:lang w:val="en-US" w:eastAsia="zh-CN"/>
        </w:rPr>
      </w:pPr>
    </w:p>
    <w:p w14:paraId="741C68C8">
      <w:pPr>
        <w:pStyle w:val="29"/>
        <w:spacing w:afterLines="0"/>
        <w:ind w:firstLine="480"/>
        <w:contextualSpacing/>
        <w:rPr>
          <w:rFonts w:hint="eastAsia" w:ascii="宋体" w:hAnsi="宋体" w:eastAsia="宋体" w:cs="宋体"/>
          <w:color w:val="auto"/>
          <w:highlight w:val="none"/>
        </w:rPr>
      </w:pPr>
    </w:p>
    <w:p w14:paraId="34AE74C0">
      <w:pPr>
        <w:pStyle w:val="12"/>
        <w:snapToGrid w:val="0"/>
        <w:spacing w:beforeLines="0" w:afterLines="0" w:line="300" w:lineRule="auto"/>
        <w:ind w:firstLine="482"/>
        <w:jc w:val="center"/>
        <w:rPr>
          <w:rFonts w:hint="eastAsia" w:ascii="宋体" w:hAnsi="宋体" w:eastAsia="宋体" w:cs="宋体"/>
          <w:b/>
          <w:bCs/>
          <w:color w:val="auto"/>
          <w:highlight w:val="none"/>
          <w:lang w:val="en-US" w:eastAsia="zh-CN"/>
        </w:rPr>
        <w:sectPr>
          <w:footerReference r:id="rId7" w:type="default"/>
          <w:pgSz w:w="11906" w:h="16838"/>
          <w:pgMar w:top="1418" w:right="1077" w:bottom="1418" w:left="1077" w:header="851" w:footer="851" w:gutter="0"/>
          <w:pgBorders>
            <w:top w:val="none" w:sz="0" w:space="0"/>
            <w:left w:val="none" w:sz="0" w:space="0"/>
            <w:bottom w:val="none" w:sz="0" w:space="0"/>
            <w:right w:val="none" w:sz="0" w:space="0"/>
          </w:pgBorders>
          <w:pgNumType w:fmt="decimal" w:start="1"/>
          <w:cols w:space="720" w:num="1"/>
          <w:docGrid w:linePitch="381" w:charSpace="0"/>
        </w:sectPr>
      </w:pPr>
      <w:r>
        <w:rPr>
          <w:rFonts w:hint="eastAsia" w:ascii="宋体" w:hAnsi="宋体" w:eastAsia="宋体" w:cs="宋体"/>
          <w:b/>
          <w:bCs/>
          <w:color w:val="auto"/>
          <w:highlight w:val="none"/>
          <w:lang w:val="en-US" w:eastAsia="zh-CN"/>
        </w:rPr>
        <w:t>（详见附件：</w:t>
      </w:r>
      <w:r>
        <w:rPr>
          <w:rFonts w:hint="eastAsia" w:hAnsi="宋体" w:cs="宋体"/>
          <w:b/>
          <w:bCs/>
          <w:color w:val="auto"/>
          <w:highlight w:val="none"/>
          <w:lang w:val="en-US" w:eastAsia="zh-CN"/>
        </w:rPr>
        <w:t>嘉善县天凝中学2025年度校舍常规维修</w:t>
      </w:r>
      <w:r>
        <w:rPr>
          <w:rFonts w:hint="eastAsia" w:ascii="宋体" w:hAnsi="宋体" w:eastAsia="宋体" w:cs="宋体"/>
          <w:b/>
          <w:bCs/>
          <w:color w:val="auto"/>
          <w:highlight w:val="none"/>
          <w:lang w:val="en-US" w:eastAsia="zh-CN"/>
        </w:rPr>
        <w:t>-清单）</w:t>
      </w:r>
    </w:p>
    <w:p w14:paraId="651CF466">
      <w:pPr>
        <w:pStyle w:val="12"/>
        <w:snapToGrid w:val="0"/>
        <w:spacing w:beforeLines="0" w:afterLines="0" w:line="300" w:lineRule="auto"/>
        <w:ind w:firstLine="482"/>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二、商务要求表</w:t>
      </w:r>
    </w:p>
    <w:p w14:paraId="6C7075BE">
      <w:pPr>
        <w:rPr>
          <w:rFonts w:hint="eastAsia" w:ascii="宋体" w:hAnsi="宋体" w:eastAsia="宋体" w:cs="宋体"/>
          <w:color w:val="auto"/>
          <w:highlight w:val="none"/>
        </w:rPr>
      </w:pPr>
    </w:p>
    <w:tbl>
      <w:tblPr>
        <w:tblStyle w:val="24"/>
        <w:tblW w:w="96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341"/>
        <w:gridCol w:w="7287"/>
      </w:tblGrid>
      <w:tr w14:paraId="7AF229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341" w:type="dxa"/>
            <w:tcBorders>
              <w:top w:val="single" w:color="auto" w:sz="4" w:space="0"/>
              <w:bottom w:val="single" w:color="auto" w:sz="4" w:space="0"/>
              <w:right w:val="single" w:color="auto" w:sz="4" w:space="0"/>
            </w:tcBorders>
            <w:noWrap w:val="0"/>
            <w:vAlign w:val="center"/>
          </w:tcPr>
          <w:p w14:paraId="067F9F66">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质量目标</w:t>
            </w:r>
          </w:p>
        </w:tc>
        <w:tc>
          <w:tcPr>
            <w:tcW w:w="7287" w:type="dxa"/>
            <w:tcBorders>
              <w:top w:val="single" w:color="auto" w:sz="4" w:space="0"/>
              <w:left w:val="single" w:color="auto" w:sz="4" w:space="0"/>
              <w:bottom w:val="single" w:color="auto" w:sz="4" w:space="0"/>
            </w:tcBorders>
            <w:noWrap w:val="0"/>
            <w:vAlign w:val="center"/>
          </w:tcPr>
          <w:p w14:paraId="21FD7237">
            <w:pPr>
              <w:snapToGrid w:val="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达到现行国家验收标准的合格等级</w:t>
            </w:r>
          </w:p>
        </w:tc>
      </w:tr>
      <w:tr w14:paraId="0BF483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341" w:type="dxa"/>
            <w:tcBorders>
              <w:top w:val="single" w:color="auto" w:sz="4" w:space="0"/>
              <w:bottom w:val="single" w:color="auto" w:sz="4" w:space="0"/>
              <w:right w:val="single" w:color="auto" w:sz="4" w:space="0"/>
            </w:tcBorders>
            <w:noWrap w:val="0"/>
            <w:vAlign w:val="center"/>
          </w:tcPr>
          <w:p w14:paraId="205DA6FB">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承包方式</w:t>
            </w:r>
          </w:p>
        </w:tc>
        <w:tc>
          <w:tcPr>
            <w:tcW w:w="7287" w:type="dxa"/>
            <w:tcBorders>
              <w:top w:val="single" w:color="auto" w:sz="4" w:space="0"/>
              <w:left w:val="single" w:color="auto" w:sz="4" w:space="0"/>
              <w:bottom w:val="single" w:color="auto" w:sz="4" w:space="0"/>
            </w:tcBorders>
            <w:noWrap w:val="0"/>
            <w:vAlign w:val="center"/>
          </w:tcPr>
          <w:p w14:paraId="4F4719CA">
            <w:pPr>
              <w:snapToGrid w:val="0"/>
              <w:rPr>
                <w:rFonts w:hint="eastAsia" w:ascii="宋体" w:hAnsi="宋体" w:eastAsia="宋体" w:cs="宋体"/>
                <w:b/>
                <w:bCs/>
                <w:color w:val="auto"/>
                <w:sz w:val="24"/>
                <w:szCs w:val="24"/>
                <w:highlight w:val="none"/>
                <w:lang w:eastAsia="zh-CN"/>
              </w:rPr>
            </w:pPr>
            <w:r>
              <w:rPr>
                <w:rFonts w:hint="eastAsia" w:ascii="宋体" w:hAnsi="宋体" w:eastAsia="宋体" w:cs="宋体"/>
                <w:color w:val="auto"/>
                <w:sz w:val="24"/>
                <w:szCs w:val="24"/>
                <w:highlight w:val="none"/>
              </w:rPr>
              <w:t>工程量清单范围内的施工总承包</w:t>
            </w:r>
          </w:p>
        </w:tc>
      </w:tr>
      <w:tr w14:paraId="15E684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341" w:type="dxa"/>
            <w:tcBorders>
              <w:top w:val="single" w:color="auto" w:sz="4" w:space="0"/>
              <w:bottom w:val="single" w:color="auto" w:sz="4" w:space="0"/>
              <w:right w:val="single" w:color="auto" w:sz="4" w:space="0"/>
            </w:tcBorders>
            <w:noWrap w:val="0"/>
            <w:vAlign w:val="center"/>
          </w:tcPr>
          <w:p w14:paraId="14567B5F">
            <w:pPr>
              <w:snapToGrid w:val="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招标范围</w:t>
            </w:r>
          </w:p>
        </w:tc>
        <w:tc>
          <w:tcPr>
            <w:tcW w:w="7287" w:type="dxa"/>
            <w:tcBorders>
              <w:top w:val="single" w:color="auto" w:sz="4" w:space="0"/>
              <w:left w:val="single" w:color="auto" w:sz="4" w:space="0"/>
              <w:bottom w:val="single" w:color="auto" w:sz="4" w:space="0"/>
            </w:tcBorders>
            <w:noWrap w:val="0"/>
            <w:vAlign w:val="center"/>
          </w:tcPr>
          <w:p w14:paraId="334F456A">
            <w:pPr>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详见工程量清单</w:t>
            </w:r>
          </w:p>
        </w:tc>
      </w:tr>
      <w:tr w14:paraId="64D595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25" w:hRule="atLeast"/>
        </w:trPr>
        <w:tc>
          <w:tcPr>
            <w:tcW w:w="2341" w:type="dxa"/>
            <w:tcBorders>
              <w:top w:val="single" w:color="auto" w:sz="4" w:space="0"/>
              <w:bottom w:val="single" w:color="auto" w:sz="4" w:space="0"/>
              <w:right w:val="single" w:color="auto" w:sz="4" w:space="0"/>
            </w:tcBorders>
            <w:noWrap w:val="0"/>
            <w:vAlign w:val="center"/>
          </w:tcPr>
          <w:p w14:paraId="757D9BD4">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合同履行期限</w:t>
            </w:r>
          </w:p>
          <w:p w14:paraId="0AA01884">
            <w:pPr>
              <w:snapToGrid w:val="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（工期要求）</w:t>
            </w:r>
          </w:p>
        </w:tc>
        <w:tc>
          <w:tcPr>
            <w:tcW w:w="7287" w:type="dxa"/>
            <w:tcBorders>
              <w:top w:val="single" w:color="auto" w:sz="4" w:space="0"/>
              <w:left w:val="single" w:color="auto" w:sz="4" w:space="0"/>
              <w:bottom w:val="single" w:color="auto" w:sz="4" w:space="0"/>
            </w:tcBorders>
            <w:noWrap w:val="0"/>
            <w:vAlign w:val="center"/>
          </w:tcPr>
          <w:p w14:paraId="40EDE9F8">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exact"/>
              <w:ind w:leftChars="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highlight w:val="none"/>
                <w:lang w:val="en-US" w:eastAsia="zh-CN"/>
              </w:rPr>
              <w:t>35日历天</w:t>
            </w:r>
            <w:r>
              <w:rPr>
                <w:rFonts w:hint="eastAsia" w:ascii="宋体" w:hAnsi="宋体" w:eastAsia="宋体" w:cs="宋体"/>
                <w:color w:val="auto"/>
                <w:sz w:val="24"/>
                <w:szCs w:val="24"/>
                <w:highlight w:val="none"/>
              </w:rPr>
              <w:t>。</w:t>
            </w:r>
            <w:r>
              <w:rPr>
                <w:rFonts w:hint="eastAsia" w:ascii="宋体" w:hAnsi="宋体" w:eastAsia="宋体" w:cs="宋体"/>
                <w:color w:val="auto"/>
                <w:kern w:val="2"/>
                <w:sz w:val="24"/>
                <w:szCs w:val="24"/>
                <w:highlight w:val="none"/>
                <w:lang w:val="en-US" w:eastAsia="zh-CN" w:bidi="ar-SA"/>
              </w:rPr>
              <w:t>注：供应商磋商时可根据此工期要求及本工程特点，结合自身施工经验、技术水平及管理能力，按工期要求填报具有竞争力的投标工期</w:t>
            </w:r>
            <w:r>
              <w:rPr>
                <w:rFonts w:hint="eastAsia" w:ascii="宋体" w:hAnsi="宋体" w:eastAsia="宋体" w:cs="宋体"/>
                <w:color w:val="auto"/>
                <w:kern w:val="2"/>
                <w:sz w:val="24"/>
                <w:szCs w:val="24"/>
                <w:highlight w:val="none"/>
                <w:lang w:val="en-US" w:eastAsia="zh-CN" w:bidi="ar-SA"/>
              </w:rPr>
              <w:t>（</w:t>
            </w:r>
            <w:r>
              <w:rPr>
                <w:rFonts w:hint="eastAsia" w:ascii="宋体" w:hAnsi="宋体" w:cs="宋体"/>
                <w:color w:val="auto"/>
                <w:kern w:val="2"/>
                <w:sz w:val="24"/>
                <w:szCs w:val="24"/>
                <w:highlight w:val="none"/>
                <w:lang w:val="en-US" w:eastAsia="zh-CN" w:bidi="ar-SA"/>
              </w:rPr>
              <w:t>不超过</w:t>
            </w:r>
            <w:r>
              <w:rPr>
                <w:rFonts w:hint="eastAsia" w:ascii="宋体" w:hAnsi="宋体" w:cs="宋体"/>
                <w:color w:val="auto"/>
                <w:sz w:val="24"/>
                <w:highlight w:val="none"/>
                <w:lang w:val="en-US" w:eastAsia="zh-CN"/>
              </w:rPr>
              <w:t>35日历天</w:t>
            </w: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。一旦中标，该工期即为合同工期。</w:t>
            </w:r>
          </w:p>
        </w:tc>
      </w:tr>
      <w:tr w14:paraId="63AFB4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07" w:hRule="atLeast"/>
        </w:trPr>
        <w:tc>
          <w:tcPr>
            <w:tcW w:w="2341" w:type="dxa"/>
            <w:tcBorders>
              <w:top w:val="single" w:color="auto" w:sz="4" w:space="0"/>
              <w:right w:val="single" w:color="auto" w:sz="4" w:space="0"/>
            </w:tcBorders>
            <w:noWrap w:val="0"/>
            <w:vAlign w:val="center"/>
          </w:tcPr>
          <w:p w14:paraId="336D86A0">
            <w:pPr>
              <w:snapToGrid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磋商报价的</w:t>
            </w:r>
          </w:p>
          <w:p w14:paraId="436E61F6">
            <w:pPr>
              <w:snapToGrid w:val="0"/>
              <w:jc w:val="center"/>
              <w:rPr>
                <w:rFonts w:hint="eastAsia" w:ascii="宋体" w:hAnsi="宋体" w:eastAsia="宋体" w:cs="宋体"/>
                <w:color w:val="auto"/>
                <w:highlight w:val="none"/>
                <w:lang w:val="en-US" w:eastAsia="zh-CN"/>
              </w:rPr>
            </w:pPr>
            <w:r>
              <w:rPr>
                <w:rFonts w:hint="eastAsia" w:ascii="宋体" w:hAnsi="宋体" w:eastAsia="宋体" w:cs="宋体"/>
                <w:color w:val="auto"/>
                <w:sz w:val="24"/>
                <w:szCs w:val="24"/>
                <w:highlight w:val="none"/>
                <w:lang w:val="en-US" w:eastAsia="zh-CN"/>
              </w:rPr>
              <w:t>其他要求</w:t>
            </w:r>
          </w:p>
        </w:tc>
        <w:tc>
          <w:tcPr>
            <w:tcW w:w="7287" w:type="dxa"/>
            <w:tcBorders>
              <w:top w:val="single" w:color="auto" w:sz="4" w:space="0"/>
              <w:left w:val="single" w:color="auto" w:sz="4" w:space="0"/>
              <w:bottom w:val="single" w:color="auto" w:sz="4" w:space="0"/>
            </w:tcBorders>
            <w:noWrap w:val="0"/>
            <w:vAlign w:val="center"/>
          </w:tcPr>
          <w:p w14:paraId="69318BAF">
            <w:pPr>
              <w:pStyle w:val="2"/>
              <w:keepNext w:val="0"/>
              <w:keepLines w:val="0"/>
              <w:pageBreakBefore w:val="0"/>
              <w:widowControl w:val="0"/>
              <w:numPr>
                <w:ilvl w:val="0"/>
                <w:numId w:val="3"/>
              </w:numPr>
              <w:kinsoku/>
              <w:wordWrap/>
              <w:overflowPunct/>
              <w:topLinePunct w:val="0"/>
              <w:autoSpaceDE/>
              <w:autoSpaceDN/>
              <w:bidi w:val="0"/>
              <w:adjustRightInd/>
              <w:snapToGrid/>
              <w:spacing w:after="0" w:line="360" w:lineRule="exact"/>
              <w:ind w:left="0" w:leftChars="0"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磋商报价应按磋商采购文件中相关附表格式填写。</w:t>
            </w:r>
          </w:p>
          <w:p w14:paraId="454994C9">
            <w:pPr>
              <w:pStyle w:val="2"/>
              <w:keepNext w:val="0"/>
              <w:keepLines w:val="0"/>
              <w:pageBreakBefore w:val="0"/>
              <w:widowControl w:val="0"/>
              <w:numPr>
                <w:ilvl w:val="0"/>
                <w:numId w:val="3"/>
              </w:numPr>
              <w:kinsoku/>
              <w:wordWrap/>
              <w:overflowPunct/>
              <w:topLinePunct w:val="0"/>
              <w:autoSpaceDE/>
              <w:autoSpaceDN/>
              <w:bidi w:val="0"/>
              <w:adjustRightInd/>
              <w:snapToGrid/>
              <w:spacing w:after="0" w:line="360" w:lineRule="exact"/>
              <w:ind w:left="0" w:leftChars="0"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投标单位应根据业主提供的图纸、工程量清单及有关技术资料，确定单价、合价，并承担计算差错责任。</w:t>
            </w:r>
          </w:p>
          <w:p w14:paraId="2FCD7142">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exact"/>
              <w:ind w:leftChars="0"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3.磋商报价应是招标文件所确定的招标范围内全部工作内容的价格表现。其应包括施工设备、劳务、管理、材料、安装、维护、</w:t>
            </w:r>
            <w:r>
              <w:rPr>
                <w:rFonts w:hint="eastAsia" w:ascii="宋体" w:hAnsi="宋体" w:eastAsia="宋体" w:cs="宋体"/>
                <w:b/>
                <w:bCs/>
                <w:color w:val="auto"/>
                <w:kern w:val="2"/>
                <w:sz w:val="24"/>
                <w:szCs w:val="24"/>
                <w:highlight w:val="none"/>
                <w:lang w:val="en-US" w:eastAsia="zh-CN" w:bidi="ar-SA"/>
              </w:rPr>
              <w:t>规费(按嘉建办〔2019〕34号关于转发省住建厅、省发改委、省财政厅《关于颁发浙江省建设工程计价依据（2018版）的通知》执行，投标人可根据自身实际情况，自主确定其投标费率，但最低不得低于标准费率的</w:t>
            </w:r>
            <w:r>
              <w:rPr>
                <w:rFonts w:hint="eastAsia" w:ascii="宋体" w:hAnsi="宋体" w:eastAsia="宋体" w:cs="宋体"/>
                <w:b/>
                <w:bCs/>
                <w:color w:val="auto"/>
                <w:kern w:val="2"/>
                <w:sz w:val="24"/>
                <w:szCs w:val="24"/>
                <w:highlight w:val="none"/>
                <w:lang w:val="en-US" w:eastAsia="zh-CN" w:bidi="ar-SA"/>
              </w:rPr>
              <w:t>30%)</w:t>
            </w:r>
            <w:r>
              <w:rPr>
                <w:rFonts w:hint="eastAsia" w:ascii="宋体" w:hAnsi="宋体" w:eastAsia="宋体" w:cs="宋体"/>
                <w:b/>
                <w:bCs/>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税金、利润等政策性文件上各项应有费用。投标人计算各项费用时，应按照招标人要求，根据工程特点并结合市场行情及投标人自身状况，考虑各项可能发生的风险费用。</w:t>
            </w:r>
          </w:p>
          <w:p w14:paraId="7A6EDC7D">
            <w:pPr>
              <w:pStyle w:val="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安全文明施工费（含施工扬尘污染防治增加费）应按国家和省有关规定计算，包含在签约合同价内，不得作为竞争性费用，是必须计取的措施项目，费率根据《浙江省建设工程计价规则》（2018版）规定计取，并不得低于规定的下限值。本工程为</w:t>
            </w:r>
            <w:r>
              <w:rPr>
                <w:rFonts w:hint="eastAsia" w:ascii="宋体" w:hAnsi="宋体" w:eastAsia="宋体" w:cs="宋体"/>
                <w:b/>
                <w:bCs/>
                <w:color w:val="auto"/>
                <w:kern w:val="2"/>
                <w:sz w:val="24"/>
                <w:szCs w:val="24"/>
                <w:highlight w:val="none"/>
                <w:lang w:val="en-US" w:eastAsia="zh-CN" w:bidi="ar-SA"/>
              </w:rPr>
              <w:t>非市区工程</w:t>
            </w:r>
            <w:r>
              <w:rPr>
                <w:rFonts w:hint="eastAsia" w:ascii="宋体" w:hAnsi="宋体" w:eastAsia="宋体" w:cs="宋体"/>
                <w:b/>
                <w:bCs/>
                <w:color w:val="auto"/>
                <w:kern w:val="2"/>
                <w:sz w:val="24"/>
                <w:szCs w:val="24"/>
                <w:highlight w:val="none"/>
                <w:lang w:val="en-US" w:eastAsia="zh-CN" w:bidi="ar-SA"/>
              </w:rPr>
              <w:t>。</w:t>
            </w:r>
            <w:r>
              <w:rPr>
                <w:rFonts w:hint="eastAsia" w:ascii="宋体" w:hAnsi="宋体" w:eastAsia="宋体" w:cs="宋体"/>
                <w:b/>
                <w:bCs/>
                <w:color w:val="auto"/>
                <w:kern w:val="2"/>
                <w:sz w:val="24"/>
                <w:szCs w:val="24"/>
                <w:highlight w:val="none"/>
                <w:lang w:val="en-US" w:eastAsia="zh-CN" w:bidi="ar-SA"/>
              </w:rPr>
              <w:t>本次报价采用“综合单价”，规费、税金采用一般计税法。</w:t>
            </w:r>
          </w:p>
          <w:p w14:paraId="5F3CA7B1">
            <w:pPr>
              <w:pStyle w:val="2"/>
              <w:keepNext w:val="0"/>
              <w:keepLines w:val="0"/>
              <w:pageBreakBefore w:val="0"/>
              <w:widowControl w:val="0"/>
              <w:kinsoku/>
              <w:wordWrap/>
              <w:overflowPunct/>
              <w:topLinePunct w:val="0"/>
              <w:autoSpaceDE/>
              <w:autoSpaceDN/>
              <w:bidi w:val="0"/>
              <w:adjustRightInd/>
              <w:snapToGrid/>
              <w:spacing w:after="0" w:line="360" w:lineRule="exact"/>
              <w:ind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说明：（1）投标人投标报价时取费必须符合《建设工程工程量清单计价规范》（GB50500-2013）、《浙江省建设工程计价规则》（2018版）、嘉建办〔2019〕34号关于转发省住建厅、省发改委、省财政厅《关于颁发浙江省建设工程计价依据（2018版）的通知》的通知、建办标函[2019]193号《住房和城乡建设部办公厅关于重新调整建设工程计价依据增值税税率的通知》</w:t>
            </w:r>
            <w:r>
              <w:rPr>
                <w:rFonts w:hint="eastAsia" w:ascii="宋体" w:hAnsi="宋体" w:eastAsia="宋体" w:cs="宋体"/>
                <w:b/>
                <w:bCs/>
                <w:color w:val="auto"/>
                <w:kern w:val="2"/>
                <w:sz w:val="24"/>
                <w:szCs w:val="24"/>
                <w:highlight w:val="none"/>
                <w:lang w:val="en-US" w:eastAsia="zh-CN" w:bidi="ar-SA"/>
              </w:rPr>
              <w:t>及浙江省相关补充和调整管理规定，</w:t>
            </w:r>
            <w:r>
              <w:rPr>
                <w:rFonts w:hint="eastAsia" w:ascii="宋体" w:hAnsi="宋体" w:eastAsia="宋体" w:cs="宋体"/>
                <w:color w:val="auto"/>
                <w:kern w:val="2"/>
                <w:sz w:val="24"/>
                <w:szCs w:val="24"/>
                <w:highlight w:val="none"/>
                <w:lang w:val="en-US" w:eastAsia="zh-CN" w:bidi="ar-SA"/>
              </w:rPr>
              <w:t>否则由评标委员会作否决投标处理。</w:t>
            </w:r>
          </w:p>
          <w:p w14:paraId="778199C3">
            <w:pPr>
              <w:pStyle w:val="2"/>
              <w:keepNext w:val="0"/>
              <w:keepLines w:val="0"/>
              <w:pageBreakBefore w:val="0"/>
              <w:widowControl w:val="0"/>
              <w:kinsoku/>
              <w:wordWrap/>
              <w:overflowPunct/>
              <w:topLinePunct w:val="0"/>
              <w:autoSpaceDE/>
              <w:autoSpaceDN/>
              <w:bidi w:val="0"/>
              <w:adjustRightInd/>
              <w:snapToGrid/>
              <w:spacing w:after="0" w:line="360" w:lineRule="exact"/>
              <w:ind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（2）不可预见费、风险系数等自行考虑，并计入报价内。凡施工中涉及到的安全维护、行车干扰、土方运输（多余土方外运卸点自行考虑）、材料堆放、夜间施工、水电费用等等均包含在本报价中。</w:t>
            </w:r>
          </w:p>
          <w:p w14:paraId="63A2342F">
            <w:pPr>
              <w:pStyle w:val="2"/>
              <w:keepNext w:val="0"/>
              <w:keepLines w:val="0"/>
              <w:pageBreakBefore w:val="0"/>
              <w:widowControl w:val="0"/>
              <w:kinsoku/>
              <w:wordWrap/>
              <w:overflowPunct/>
              <w:topLinePunct w:val="0"/>
              <w:autoSpaceDE/>
              <w:autoSpaceDN/>
              <w:bidi w:val="0"/>
              <w:adjustRightInd/>
              <w:snapToGrid/>
              <w:spacing w:after="0" w:line="360" w:lineRule="exact"/>
              <w:ind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凡涉及城建、城管、环保、工商、保险、水利等部门有可能发生的费用，需自行考虑，并进入总报价内。施工单位开工前需要办理建筑工程一切险（包括建设工程施工人员人身意外伤害险）、第三者责任险。保险费用由各投标单位考虑进入总报价。</w:t>
            </w:r>
          </w:p>
          <w:p w14:paraId="104FF4F4">
            <w:pPr>
              <w:pStyle w:val="2"/>
              <w:keepNext w:val="0"/>
              <w:keepLines w:val="0"/>
              <w:pageBreakBefore w:val="0"/>
              <w:widowControl w:val="0"/>
              <w:kinsoku/>
              <w:wordWrap/>
              <w:overflowPunct/>
              <w:topLinePunct w:val="0"/>
              <w:autoSpaceDE/>
              <w:autoSpaceDN/>
              <w:bidi w:val="0"/>
              <w:adjustRightInd/>
              <w:snapToGrid/>
              <w:spacing w:after="0" w:line="360" w:lineRule="exact"/>
              <w:ind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（4）成交供应商须按有关文件规定交纳相关费用，并及时办理相关许可证。</w:t>
            </w:r>
          </w:p>
          <w:p w14:paraId="7D16D31D">
            <w:pPr>
              <w:pStyle w:val="2"/>
              <w:keepNext w:val="0"/>
              <w:keepLines w:val="0"/>
              <w:pageBreakBefore w:val="0"/>
              <w:widowControl w:val="0"/>
              <w:kinsoku/>
              <w:wordWrap/>
              <w:overflowPunct/>
              <w:topLinePunct w:val="0"/>
              <w:autoSpaceDE/>
              <w:autoSpaceDN/>
              <w:bidi w:val="0"/>
              <w:adjustRightInd/>
              <w:snapToGrid/>
              <w:spacing w:after="0" w:line="360" w:lineRule="exact"/>
              <w:ind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（5）成交供应商负责施工所需的水、电、电讯线路等接至施工场地，各投标人须自行踏勘施工现场（如未踏勘招标人将视作已踏勘），相关费用须考虑在投标报价中，今后不作签证。</w:t>
            </w:r>
          </w:p>
          <w:p w14:paraId="621386D1">
            <w:pPr>
              <w:pStyle w:val="2"/>
              <w:keepNext w:val="0"/>
              <w:keepLines w:val="0"/>
              <w:pageBreakBefore w:val="0"/>
              <w:widowControl w:val="0"/>
              <w:kinsoku/>
              <w:wordWrap/>
              <w:overflowPunct/>
              <w:topLinePunct w:val="0"/>
              <w:autoSpaceDE/>
              <w:autoSpaceDN/>
              <w:bidi w:val="0"/>
              <w:adjustRightInd/>
              <w:snapToGrid/>
              <w:spacing w:after="0" w:line="360" w:lineRule="exact"/>
              <w:ind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（6）人工价可按最新月度嘉兴市人工市场信息价计取也可根据企业实力自定价格计取。</w:t>
            </w:r>
          </w:p>
          <w:p w14:paraId="7E8CE7B9">
            <w:pPr>
              <w:pStyle w:val="2"/>
              <w:keepNext w:val="0"/>
              <w:keepLines w:val="0"/>
              <w:pageBreakBefore w:val="0"/>
              <w:widowControl w:val="0"/>
              <w:kinsoku/>
              <w:wordWrap/>
              <w:overflowPunct/>
              <w:topLinePunct w:val="0"/>
              <w:autoSpaceDE/>
              <w:autoSpaceDN/>
              <w:bidi w:val="0"/>
              <w:adjustRightInd/>
              <w:snapToGrid/>
              <w:spacing w:after="0" w:line="360" w:lineRule="exact"/>
              <w:ind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本工程招标文件（含清单）中若有品牌（或厂家）名称只是招标引用的品牌（或厂家）。如投标人拟选用的是招标人引用的材料品牌（或厂家）则无须在投标文件中明确所选用的材料品牌（或厂家），但中标后实际采购时必须按招标人要求从招标文件（含清单）引用的品牌（或厂家）中选用其中一个品牌（或厂家）作为实际使用品牌（或厂家）；如投标人在选用的材料品牌（或厂家）为招标人推荐的材料品牌（或厂家）范围之外的，则其必须在投标文件中以单独章节附相关资料以证明其投标选用的材料品牌（或厂家）是相当于招标人引用的品牌（或厂家），否则由评标委员会作否决投标处理。</w:t>
            </w:r>
          </w:p>
          <w:p w14:paraId="38484495">
            <w:pPr>
              <w:pStyle w:val="2"/>
              <w:keepNext w:val="0"/>
              <w:keepLines w:val="0"/>
              <w:pageBreakBefore w:val="0"/>
              <w:widowControl w:val="0"/>
              <w:kinsoku/>
              <w:wordWrap/>
              <w:overflowPunct/>
              <w:topLinePunct w:val="0"/>
              <w:autoSpaceDE/>
              <w:autoSpaceDN/>
              <w:bidi w:val="0"/>
              <w:adjustRightInd/>
              <w:snapToGrid/>
              <w:spacing w:after="0" w:line="360" w:lineRule="exact"/>
              <w:ind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（8）本工程混凝土、砂浆必须使用预拌商品混凝土、砂浆且符合“善发改〔2012〕214号”文件要求。</w:t>
            </w:r>
          </w:p>
          <w:p w14:paraId="653C78EE">
            <w:pPr>
              <w:pStyle w:val="2"/>
              <w:keepNext w:val="0"/>
              <w:keepLines w:val="0"/>
              <w:pageBreakBefore w:val="0"/>
              <w:widowControl w:val="0"/>
              <w:kinsoku/>
              <w:wordWrap/>
              <w:overflowPunct/>
              <w:topLinePunct w:val="0"/>
              <w:autoSpaceDE/>
              <w:autoSpaceDN/>
              <w:bidi w:val="0"/>
              <w:adjustRightInd/>
              <w:snapToGrid/>
              <w:spacing w:after="0" w:line="360" w:lineRule="exact"/>
              <w:ind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（9）投标人需自行踏勘现场，未踏勘的，招标人视为已踏勘，由此引起的后果由投标人自负，并不得以此理由提出任何异议及赔偿。</w:t>
            </w:r>
          </w:p>
          <w:p w14:paraId="00CD7327">
            <w:pPr>
              <w:pStyle w:val="2"/>
              <w:keepNext w:val="0"/>
              <w:keepLines w:val="0"/>
              <w:pageBreakBefore w:val="0"/>
              <w:widowControl w:val="0"/>
              <w:kinsoku/>
              <w:wordWrap/>
              <w:overflowPunct/>
              <w:topLinePunct w:val="0"/>
              <w:autoSpaceDE/>
              <w:autoSpaceDN/>
              <w:bidi w:val="0"/>
              <w:adjustRightInd/>
              <w:snapToGrid/>
              <w:spacing w:after="0" w:line="360" w:lineRule="exact"/>
              <w:ind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（10）施工进出线路应按照相关要求执行，各投标人须现场踏勘，相关费用须在报价中考虑，中标后不再另行增加。</w:t>
            </w:r>
          </w:p>
          <w:p w14:paraId="76786D86">
            <w:pPr>
              <w:pStyle w:val="2"/>
              <w:keepNext w:val="0"/>
              <w:keepLines w:val="0"/>
              <w:pageBreakBefore w:val="0"/>
              <w:widowControl w:val="0"/>
              <w:kinsoku/>
              <w:wordWrap/>
              <w:overflowPunct/>
              <w:topLinePunct w:val="0"/>
              <w:autoSpaceDE/>
              <w:autoSpaceDN/>
              <w:bidi w:val="0"/>
              <w:adjustRightInd/>
              <w:snapToGrid/>
              <w:spacing w:after="0" w:line="360" w:lineRule="exact"/>
              <w:ind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（11）投标人必须达到“善建质安 [2022]2号关于印发《嘉善县建设工程文明施工管理实施细则》”的要求，所产生的费用请考虑在报价中，结算时不再另行计取。</w:t>
            </w:r>
          </w:p>
          <w:p w14:paraId="384C5424">
            <w:pPr>
              <w:pStyle w:val="2"/>
              <w:keepNext w:val="0"/>
              <w:keepLines w:val="0"/>
              <w:pageBreakBefore w:val="0"/>
              <w:widowControl w:val="0"/>
              <w:kinsoku/>
              <w:wordWrap/>
              <w:overflowPunct/>
              <w:topLinePunct w:val="0"/>
              <w:autoSpaceDE/>
              <w:autoSpaceDN/>
              <w:bidi w:val="0"/>
              <w:adjustRightInd/>
              <w:snapToGrid/>
              <w:spacing w:after="0" w:line="360" w:lineRule="exact"/>
              <w:ind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（12）安全文明施工费（含施工扬尘污染防治增加费）应按国家和省有关规定计算，包含在签约合同价内，不得作为竞争性费用。</w:t>
            </w:r>
          </w:p>
          <w:p w14:paraId="4160EC72">
            <w:pPr>
              <w:pStyle w:val="2"/>
              <w:keepNext w:val="0"/>
              <w:keepLines w:val="0"/>
              <w:pageBreakBefore w:val="0"/>
              <w:widowControl w:val="0"/>
              <w:kinsoku/>
              <w:wordWrap/>
              <w:overflowPunct/>
              <w:topLinePunct w:val="0"/>
              <w:autoSpaceDE/>
              <w:autoSpaceDN/>
              <w:bidi w:val="0"/>
              <w:adjustRightInd/>
              <w:snapToGrid/>
              <w:spacing w:after="0" w:line="360" w:lineRule="exact"/>
              <w:ind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4.本工程报价采用</w:t>
            </w:r>
            <w:r>
              <w:rPr>
                <w:rFonts w:hint="eastAsia" w:ascii="宋体" w:hAnsi="宋体" w:eastAsia="宋体" w:cs="宋体"/>
                <w:b/>
                <w:bCs/>
                <w:color w:val="auto"/>
                <w:kern w:val="2"/>
                <w:sz w:val="24"/>
                <w:szCs w:val="24"/>
                <w:highlight w:val="none"/>
                <w:u w:val="single"/>
                <w:lang w:val="en-US" w:eastAsia="zh-CN" w:bidi="ar-SA"/>
              </w:rPr>
              <w:t xml:space="preserve"> 固定综合单价 </w:t>
            </w:r>
            <w:r>
              <w:rPr>
                <w:rFonts w:hint="eastAsia" w:ascii="宋体" w:hAnsi="宋体" w:eastAsia="宋体" w:cs="宋体"/>
                <w:color w:val="auto"/>
                <w:kern w:val="2"/>
                <w:sz w:val="24"/>
                <w:szCs w:val="24"/>
                <w:highlight w:val="none"/>
                <w:lang w:val="en-US" w:eastAsia="zh-CN" w:bidi="ar-SA"/>
              </w:rPr>
              <w:t>方式进行编制，投标人所填写的单价在合同实施期间不因市场因素变化而变动。</w:t>
            </w:r>
          </w:p>
          <w:p w14:paraId="7A0A3816">
            <w:pPr>
              <w:pStyle w:val="2"/>
              <w:keepNext w:val="0"/>
              <w:keepLines w:val="0"/>
              <w:pageBreakBefore w:val="0"/>
              <w:widowControl w:val="0"/>
              <w:kinsoku/>
              <w:wordWrap/>
              <w:overflowPunct/>
              <w:topLinePunct w:val="0"/>
              <w:autoSpaceDE/>
              <w:autoSpaceDN/>
              <w:bidi w:val="0"/>
              <w:adjustRightInd/>
              <w:snapToGrid/>
              <w:spacing w:after="0" w:line="360" w:lineRule="exact"/>
              <w:ind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5.本招标工程磋商报价参考的依据：</w:t>
            </w:r>
          </w:p>
          <w:p w14:paraId="3A2D5C2A">
            <w:pPr>
              <w:pStyle w:val="2"/>
              <w:keepNext w:val="0"/>
              <w:keepLines w:val="0"/>
              <w:pageBreakBefore w:val="0"/>
              <w:widowControl w:val="0"/>
              <w:kinsoku/>
              <w:wordWrap/>
              <w:overflowPunct/>
              <w:topLinePunct w:val="0"/>
              <w:autoSpaceDE/>
              <w:autoSpaceDN/>
              <w:bidi w:val="0"/>
              <w:adjustRightInd/>
              <w:snapToGrid/>
              <w:spacing w:after="0" w:line="360" w:lineRule="exact"/>
              <w:ind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A.《建设工程工程量清单计价规范（GB50500—2013）》、《浙江省建设工程计价规则》（2018版）、《浙江省建设工程施工机械台班费用定额》（2018版）、浙江省建设工程预算定额（2018版）、浙江省相关补充和调整管理规定以及浙江省市工程造价管理机构发布的人工、材料、施工机械台班市场价格信息、工程造价指数等；</w:t>
            </w:r>
          </w:p>
          <w:p w14:paraId="61BFAB62">
            <w:pPr>
              <w:pStyle w:val="2"/>
              <w:keepNext w:val="0"/>
              <w:keepLines w:val="0"/>
              <w:pageBreakBefore w:val="0"/>
              <w:widowControl w:val="0"/>
              <w:kinsoku/>
              <w:wordWrap/>
              <w:overflowPunct/>
              <w:topLinePunct w:val="0"/>
              <w:autoSpaceDE/>
              <w:autoSpaceDN/>
              <w:bidi w:val="0"/>
              <w:adjustRightInd/>
              <w:snapToGrid/>
              <w:spacing w:after="0" w:line="360" w:lineRule="exact"/>
              <w:ind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B.最新《嘉兴造价管理》和《浙江造价信息》；</w:t>
            </w:r>
          </w:p>
          <w:p w14:paraId="5314DF03">
            <w:pPr>
              <w:pStyle w:val="2"/>
              <w:keepNext w:val="0"/>
              <w:keepLines w:val="0"/>
              <w:pageBreakBefore w:val="0"/>
              <w:widowControl w:val="0"/>
              <w:kinsoku/>
              <w:wordWrap/>
              <w:overflowPunct/>
              <w:topLinePunct w:val="0"/>
              <w:autoSpaceDE/>
              <w:autoSpaceDN/>
              <w:bidi w:val="0"/>
              <w:adjustRightInd/>
              <w:snapToGrid/>
              <w:spacing w:after="0" w:line="360" w:lineRule="exact"/>
              <w:ind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C.</w:t>
            </w:r>
            <w:r>
              <w:rPr>
                <w:rFonts w:hint="eastAsia" w:ascii="宋体" w:hAnsi="宋体" w:cs="宋体"/>
                <w:color w:val="auto"/>
                <w:kern w:val="2"/>
                <w:sz w:val="24"/>
                <w:szCs w:val="24"/>
                <w:highlight w:val="none"/>
                <w:lang w:val="en-US" w:eastAsia="zh-CN" w:bidi="ar-SA"/>
              </w:rPr>
              <w:t>嘉善县天凝中学2025年度校舍常规维修</w:t>
            </w:r>
            <w:r>
              <w:rPr>
                <w:rFonts w:hint="eastAsia" w:ascii="宋体" w:hAnsi="宋体" w:eastAsia="宋体" w:cs="宋体"/>
                <w:color w:val="auto"/>
                <w:kern w:val="2"/>
                <w:sz w:val="24"/>
                <w:szCs w:val="24"/>
                <w:highlight w:val="none"/>
                <w:lang w:val="en-US" w:eastAsia="zh-CN" w:bidi="ar-SA"/>
              </w:rPr>
              <w:t>施工图（详见第四章）；</w:t>
            </w:r>
          </w:p>
          <w:p w14:paraId="3C62D6E5">
            <w:pPr>
              <w:pStyle w:val="2"/>
              <w:keepNext w:val="0"/>
              <w:keepLines w:val="0"/>
              <w:pageBreakBefore w:val="0"/>
              <w:widowControl w:val="0"/>
              <w:kinsoku/>
              <w:wordWrap/>
              <w:overflowPunct/>
              <w:topLinePunct w:val="0"/>
              <w:autoSpaceDE/>
              <w:autoSpaceDN/>
              <w:bidi w:val="0"/>
              <w:adjustRightInd/>
              <w:snapToGrid/>
              <w:spacing w:after="0" w:line="360" w:lineRule="exact"/>
              <w:ind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D.</w:t>
            </w:r>
            <w:r>
              <w:rPr>
                <w:rFonts w:hint="eastAsia" w:ascii="宋体" w:hAnsi="宋体" w:cs="宋体"/>
                <w:color w:val="auto"/>
                <w:kern w:val="2"/>
                <w:sz w:val="24"/>
                <w:szCs w:val="24"/>
                <w:highlight w:val="none"/>
                <w:lang w:val="en-US" w:eastAsia="zh-CN" w:bidi="ar-SA"/>
              </w:rPr>
              <w:t>嘉善县天凝中学2025年度校舍常规维修</w:t>
            </w:r>
            <w:r>
              <w:rPr>
                <w:rFonts w:hint="eastAsia" w:ascii="宋体" w:hAnsi="宋体" w:eastAsia="宋体" w:cs="宋体"/>
                <w:color w:val="auto"/>
                <w:kern w:val="2"/>
                <w:sz w:val="24"/>
                <w:szCs w:val="24"/>
                <w:highlight w:val="none"/>
                <w:lang w:val="en-US" w:eastAsia="zh-CN" w:bidi="ar-SA"/>
              </w:rPr>
              <w:t>竞争性磋商文件；</w:t>
            </w:r>
          </w:p>
          <w:p w14:paraId="3C2F3334">
            <w:pPr>
              <w:pStyle w:val="2"/>
              <w:keepNext w:val="0"/>
              <w:keepLines w:val="0"/>
              <w:pageBreakBefore w:val="0"/>
              <w:widowControl w:val="0"/>
              <w:kinsoku/>
              <w:wordWrap/>
              <w:overflowPunct/>
              <w:topLinePunct w:val="0"/>
              <w:autoSpaceDE/>
              <w:autoSpaceDN/>
              <w:bidi w:val="0"/>
              <w:adjustRightInd/>
              <w:snapToGrid/>
              <w:spacing w:after="0" w:line="360" w:lineRule="exact"/>
              <w:ind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E.</w:t>
            </w:r>
            <w:r>
              <w:rPr>
                <w:rFonts w:hint="eastAsia" w:ascii="宋体" w:hAnsi="宋体" w:cs="宋体"/>
                <w:color w:val="auto"/>
                <w:kern w:val="2"/>
                <w:sz w:val="24"/>
                <w:szCs w:val="24"/>
                <w:highlight w:val="none"/>
                <w:lang w:val="en-US" w:eastAsia="zh-CN" w:bidi="ar-SA"/>
              </w:rPr>
              <w:t>嘉善县天凝中学2025年度校舍常规维修</w:t>
            </w:r>
            <w:r>
              <w:rPr>
                <w:rFonts w:hint="eastAsia" w:ascii="宋体" w:hAnsi="宋体" w:eastAsia="宋体" w:cs="宋体"/>
                <w:color w:val="auto"/>
                <w:kern w:val="2"/>
                <w:sz w:val="24"/>
                <w:szCs w:val="24"/>
                <w:highlight w:val="none"/>
                <w:lang w:val="en-US" w:eastAsia="zh-CN" w:bidi="ar-SA"/>
              </w:rPr>
              <w:t>竞争性磋商补充通知(如有)；</w:t>
            </w:r>
          </w:p>
          <w:p w14:paraId="15E5C677">
            <w:pPr>
              <w:pStyle w:val="2"/>
              <w:keepNext w:val="0"/>
              <w:keepLines w:val="0"/>
              <w:pageBreakBefore w:val="0"/>
              <w:widowControl w:val="0"/>
              <w:kinsoku/>
              <w:wordWrap/>
              <w:overflowPunct/>
              <w:topLinePunct w:val="0"/>
              <w:autoSpaceDE/>
              <w:autoSpaceDN/>
              <w:bidi w:val="0"/>
              <w:adjustRightInd/>
              <w:snapToGrid/>
              <w:spacing w:after="0" w:line="360" w:lineRule="exact"/>
              <w:ind w:firstLine="0" w:firstLineChars="0"/>
              <w:textAlignment w:val="auto"/>
              <w:rPr>
                <w:rFonts w:hint="eastAsia" w:ascii="宋体" w:hAnsi="宋体" w:eastAsia="宋体" w:cs="宋体"/>
                <w:color w:val="auto"/>
                <w:highlight w:val="none"/>
              </w:rPr>
            </w:pPr>
            <w:r>
              <w:rPr>
                <w:rFonts w:hint="eastAsia" w:ascii="宋体" w:hAnsi="宋体" w:eastAsia="宋体" w:cs="宋体"/>
                <w:b/>
                <w:bCs/>
                <w:color w:val="auto"/>
                <w:kern w:val="2"/>
                <w:sz w:val="24"/>
                <w:szCs w:val="24"/>
                <w:highlight w:val="none"/>
                <w:lang w:val="en-US" w:eastAsia="zh-CN" w:bidi="ar-SA"/>
              </w:rPr>
              <w:t>6．在磋商过程中允许再进行最后一次报价，投标人所填写的下浮率在合同实施期间不因市场因素变化而变动，有选择的或有条件的报价将不予接受。</w:t>
            </w:r>
          </w:p>
        </w:tc>
      </w:tr>
    </w:tbl>
    <w:p w14:paraId="5315B30F">
      <w:pP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br w:type="page"/>
      </w:r>
    </w:p>
    <w:p w14:paraId="0120DCDA">
      <w:pPr>
        <w:pStyle w:val="23"/>
        <w:numPr>
          <w:ilvl w:val="0"/>
          <w:numId w:val="2"/>
        </w:numPr>
        <w:rPr>
          <w:rFonts w:hint="eastAsia" w:ascii="宋体" w:hAnsi="宋体" w:eastAsia="宋体" w:cs="宋体"/>
          <w:color w:val="auto"/>
          <w:highlight w:val="none"/>
        </w:rPr>
      </w:pPr>
      <w:r>
        <w:rPr>
          <w:rFonts w:hint="eastAsia" w:ascii="宋体" w:hAnsi="宋体" w:eastAsia="宋体" w:cs="宋体"/>
          <w:color w:val="auto"/>
          <w:highlight w:val="none"/>
        </w:rPr>
        <w:t xml:space="preserve"> </w:t>
      </w:r>
      <w:bookmarkStart w:id="26" w:name="_Toc15032"/>
      <w:bookmarkStart w:id="27" w:name="_Toc14636"/>
      <w:r>
        <w:rPr>
          <w:rFonts w:hint="eastAsia" w:ascii="宋体" w:hAnsi="宋体" w:eastAsia="宋体" w:cs="宋体"/>
          <w:color w:val="auto"/>
          <w:highlight w:val="none"/>
        </w:rPr>
        <w:t>供应商须知</w:t>
      </w:r>
      <w:bookmarkEnd w:id="26"/>
      <w:bookmarkEnd w:id="27"/>
    </w:p>
    <w:p w14:paraId="5EAB5726">
      <w:pPr>
        <w:pStyle w:val="7"/>
        <w:spacing w:before="0" w:after="0" w:line="240" w:lineRule="auto"/>
        <w:ind w:firstLine="566" w:firstLineChars="235"/>
        <w:jc w:val="center"/>
        <w:rPr>
          <w:rFonts w:hint="eastAsia" w:ascii="宋体" w:hAnsi="宋体" w:eastAsia="宋体" w:cs="宋体"/>
          <w:color w:val="auto"/>
          <w:highlight w:val="none"/>
        </w:rPr>
      </w:pPr>
      <w:bookmarkStart w:id="28" w:name="_Toc7043"/>
      <w:bookmarkStart w:id="29" w:name="_Toc15447"/>
      <w:r>
        <w:rPr>
          <w:rFonts w:hint="eastAsia" w:ascii="宋体" w:hAnsi="宋体" w:eastAsia="宋体" w:cs="宋体"/>
          <w:color w:val="auto"/>
          <w:highlight w:val="none"/>
        </w:rPr>
        <w:t>一、前附表</w:t>
      </w:r>
      <w:bookmarkEnd w:id="28"/>
      <w:bookmarkEnd w:id="29"/>
    </w:p>
    <w:tbl>
      <w:tblPr>
        <w:tblStyle w:val="24"/>
        <w:tblW w:w="96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1"/>
        <w:gridCol w:w="1988"/>
        <w:gridCol w:w="6799"/>
      </w:tblGrid>
      <w:tr w14:paraId="184259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blHeader/>
        </w:trPr>
        <w:tc>
          <w:tcPr>
            <w:tcW w:w="841" w:type="dxa"/>
            <w:tcBorders>
              <w:top w:val="single" w:color="auto" w:sz="4" w:space="0"/>
              <w:bottom w:val="single" w:color="auto" w:sz="4" w:space="0"/>
              <w:right w:val="single" w:color="auto" w:sz="4" w:space="0"/>
            </w:tcBorders>
            <w:noWrap w:val="0"/>
            <w:vAlign w:val="center"/>
          </w:tcPr>
          <w:p w14:paraId="473420B7">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988" w:type="dxa"/>
            <w:tcBorders>
              <w:top w:val="single" w:color="auto" w:sz="4" w:space="0"/>
              <w:left w:val="single" w:color="auto" w:sz="4" w:space="0"/>
              <w:bottom w:val="single" w:color="auto" w:sz="4" w:space="0"/>
              <w:right w:val="single" w:color="auto" w:sz="4" w:space="0"/>
            </w:tcBorders>
            <w:noWrap w:val="0"/>
            <w:vAlign w:val="center"/>
          </w:tcPr>
          <w:p w14:paraId="493EFE4D">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内容</w:t>
            </w:r>
          </w:p>
        </w:tc>
        <w:tc>
          <w:tcPr>
            <w:tcW w:w="6799" w:type="dxa"/>
            <w:tcBorders>
              <w:top w:val="single" w:color="auto" w:sz="4" w:space="0"/>
              <w:left w:val="single" w:color="auto" w:sz="4" w:space="0"/>
              <w:bottom w:val="single" w:color="auto" w:sz="4" w:space="0"/>
            </w:tcBorders>
            <w:noWrap w:val="0"/>
            <w:vAlign w:val="center"/>
          </w:tcPr>
          <w:p w14:paraId="4687BDB9">
            <w:pPr>
              <w:snapToGrid w:val="0"/>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要求</w:t>
            </w:r>
          </w:p>
        </w:tc>
      </w:tr>
      <w:tr w14:paraId="2B6AC6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1" w:type="dxa"/>
            <w:tcBorders>
              <w:top w:val="single" w:color="auto" w:sz="4" w:space="0"/>
              <w:bottom w:val="single" w:color="auto" w:sz="4" w:space="0"/>
              <w:right w:val="single" w:color="auto" w:sz="4" w:space="0"/>
            </w:tcBorders>
            <w:noWrap w:val="0"/>
            <w:vAlign w:val="center"/>
          </w:tcPr>
          <w:p w14:paraId="0EC40C6C">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988" w:type="dxa"/>
            <w:tcBorders>
              <w:top w:val="single" w:color="auto" w:sz="4" w:space="0"/>
              <w:left w:val="single" w:color="auto" w:sz="4" w:space="0"/>
              <w:bottom w:val="single" w:color="auto" w:sz="4" w:space="0"/>
              <w:right w:val="single" w:color="auto" w:sz="4" w:space="0"/>
            </w:tcBorders>
            <w:noWrap w:val="0"/>
            <w:vAlign w:val="center"/>
          </w:tcPr>
          <w:p w14:paraId="206013EA">
            <w:pPr>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6799" w:type="dxa"/>
            <w:tcBorders>
              <w:top w:val="single" w:color="auto" w:sz="4" w:space="0"/>
              <w:left w:val="single" w:color="auto" w:sz="4" w:space="0"/>
              <w:bottom w:val="single" w:color="auto" w:sz="4" w:space="0"/>
            </w:tcBorders>
            <w:noWrap w:val="0"/>
            <w:vAlign w:val="center"/>
          </w:tcPr>
          <w:p w14:paraId="1E490F15">
            <w:pPr>
              <w:snapToGrid w:val="0"/>
              <w:rPr>
                <w:rFonts w:hint="eastAsia" w:ascii="宋体" w:hAnsi="宋体" w:eastAsia="宋体" w:cs="宋体"/>
                <w:b/>
                <w:bCs/>
                <w:color w:val="auto"/>
                <w:sz w:val="24"/>
                <w:szCs w:val="24"/>
                <w:highlight w:val="none"/>
                <w:lang w:eastAsia="zh-CN"/>
              </w:rPr>
            </w:pPr>
            <w:r>
              <w:rPr>
                <w:rFonts w:hint="eastAsia" w:ascii="宋体" w:hAnsi="宋体" w:cs="宋体"/>
                <w:color w:val="auto"/>
                <w:kern w:val="2"/>
                <w:sz w:val="24"/>
                <w:szCs w:val="24"/>
                <w:highlight w:val="none"/>
                <w:lang w:val="en-US" w:eastAsia="zh-CN" w:bidi="ar-SA"/>
              </w:rPr>
              <w:t>嘉善县天凝中学2025年度校舍常规维修</w:t>
            </w:r>
          </w:p>
        </w:tc>
      </w:tr>
      <w:tr w14:paraId="6D1B64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0" w:hRule="atLeast"/>
        </w:trPr>
        <w:tc>
          <w:tcPr>
            <w:tcW w:w="841" w:type="dxa"/>
            <w:tcBorders>
              <w:top w:val="single" w:color="auto" w:sz="4" w:space="0"/>
              <w:bottom w:val="single" w:color="auto" w:sz="4" w:space="0"/>
              <w:right w:val="single" w:color="auto" w:sz="4" w:space="0"/>
            </w:tcBorders>
            <w:noWrap w:val="0"/>
            <w:vAlign w:val="center"/>
          </w:tcPr>
          <w:p w14:paraId="314A73A6">
            <w:pPr>
              <w:snapToGrid w:val="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p>
        </w:tc>
        <w:tc>
          <w:tcPr>
            <w:tcW w:w="1988" w:type="dxa"/>
            <w:tcBorders>
              <w:top w:val="single" w:color="auto" w:sz="4" w:space="0"/>
              <w:left w:val="single" w:color="auto" w:sz="4" w:space="0"/>
              <w:bottom w:val="single" w:color="auto" w:sz="4" w:space="0"/>
              <w:right w:val="single" w:color="auto" w:sz="4" w:space="0"/>
            </w:tcBorders>
            <w:noWrap w:val="0"/>
            <w:vAlign w:val="center"/>
          </w:tcPr>
          <w:p w14:paraId="25B3661B">
            <w:pPr>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磋商报价及费用</w:t>
            </w:r>
          </w:p>
        </w:tc>
        <w:tc>
          <w:tcPr>
            <w:tcW w:w="6799" w:type="dxa"/>
            <w:tcBorders>
              <w:top w:val="single" w:color="auto" w:sz="4" w:space="0"/>
              <w:left w:val="single" w:color="auto" w:sz="4" w:space="0"/>
              <w:bottom w:val="single" w:color="auto" w:sz="4" w:space="0"/>
            </w:tcBorders>
            <w:noWrap w:val="0"/>
            <w:vAlign w:val="center"/>
          </w:tcPr>
          <w:p w14:paraId="7F8425D7">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本项目</w:t>
            </w:r>
            <w:r>
              <w:rPr>
                <w:rFonts w:hint="eastAsia" w:ascii="宋体" w:hAnsi="宋体" w:eastAsia="宋体" w:cs="宋体"/>
                <w:color w:val="auto"/>
                <w:sz w:val="24"/>
                <w:szCs w:val="24"/>
                <w:highlight w:val="none"/>
                <w:lang w:val="en-US" w:eastAsia="zh-CN"/>
              </w:rPr>
              <w:t>第壹轮报价</w:t>
            </w:r>
            <w:r>
              <w:rPr>
                <w:rFonts w:hint="eastAsia" w:ascii="宋体" w:hAnsi="宋体" w:eastAsia="宋体" w:cs="宋体"/>
                <w:color w:val="auto"/>
                <w:sz w:val="24"/>
                <w:szCs w:val="24"/>
                <w:highlight w:val="none"/>
              </w:rPr>
              <w:t>应以人民币报价；本项目</w:t>
            </w:r>
            <w:r>
              <w:rPr>
                <w:rFonts w:hint="eastAsia" w:ascii="宋体" w:hAnsi="宋体" w:eastAsia="宋体" w:cs="宋体"/>
                <w:color w:val="auto"/>
                <w:sz w:val="24"/>
                <w:szCs w:val="24"/>
                <w:highlight w:val="none"/>
                <w:lang w:val="en-US" w:eastAsia="zh-CN"/>
              </w:rPr>
              <w:t>最终报价</w:t>
            </w:r>
            <w:r>
              <w:rPr>
                <w:rFonts w:hint="eastAsia" w:ascii="宋体" w:hAnsi="宋体" w:eastAsia="宋体" w:cs="宋体"/>
                <w:color w:val="auto"/>
                <w:sz w:val="24"/>
                <w:szCs w:val="24"/>
                <w:highlight w:val="none"/>
              </w:rPr>
              <w:t>应以人民币</w:t>
            </w:r>
            <w:r>
              <w:rPr>
                <w:rFonts w:hint="eastAsia" w:ascii="宋体" w:hAnsi="宋体" w:eastAsia="宋体" w:cs="宋体"/>
                <w:color w:val="auto"/>
                <w:sz w:val="24"/>
                <w:szCs w:val="24"/>
                <w:highlight w:val="none"/>
                <w:lang w:val="en-US" w:eastAsia="zh-CN"/>
              </w:rPr>
              <w:t>及下浮率</w:t>
            </w:r>
            <w:r>
              <w:rPr>
                <w:rFonts w:hint="eastAsia" w:ascii="宋体" w:hAnsi="宋体" w:eastAsia="宋体" w:cs="宋体"/>
                <w:color w:val="auto"/>
                <w:sz w:val="24"/>
                <w:szCs w:val="24"/>
                <w:highlight w:val="none"/>
              </w:rPr>
              <w:t>报价</w:t>
            </w:r>
            <w:r>
              <w:rPr>
                <w:rFonts w:hint="eastAsia" w:ascii="宋体" w:hAnsi="宋体" w:eastAsia="宋体" w:cs="宋体"/>
                <w:color w:val="auto"/>
                <w:sz w:val="24"/>
                <w:szCs w:val="24"/>
                <w:highlight w:val="none"/>
                <w:lang w:eastAsia="zh-CN"/>
              </w:rPr>
              <w:t>。</w:t>
            </w:r>
          </w:p>
          <w:p w14:paraId="289F09F6">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供应商应按竞争性磋商文件以及规定的格式及内容填写报价等相关表格。对没有填报的费用，采购人将不予支付，并认为此项费用已包含在报价中。</w:t>
            </w:r>
          </w:p>
          <w:p w14:paraId="0D5623C4">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本工程采用</w:t>
            </w:r>
            <w:r>
              <w:rPr>
                <w:rFonts w:hint="eastAsia" w:ascii="宋体" w:hAnsi="宋体" w:eastAsia="宋体" w:cs="宋体"/>
                <w:b/>
                <w:bCs/>
                <w:color w:val="auto"/>
                <w:sz w:val="24"/>
                <w:szCs w:val="24"/>
                <w:highlight w:val="none"/>
              </w:rPr>
              <w:t>固定综合单价</w:t>
            </w:r>
            <w:r>
              <w:rPr>
                <w:rFonts w:hint="eastAsia" w:ascii="宋体" w:hAnsi="宋体" w:eastAsia="宋体" w:cs="宋体"/>
                <w:color w:val="auto"/>
                <w:sz w:val="24"/>
                <w:szCs w:val="24"/>
                <w:highlight w:val="none"/>
              </w:rPr>
              <w:t>方式承包，工程量按实结算。按照《建设工程工程量清单计价规范》（GB50500-2013）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《浙江省建设工程计价规则》（2018版）等国家现行标准、技术规范和</w:t>
            </w:r>
            <w:r>
              <w:rPr>
                <w:rFonts w:hint="eastAsia" w:ascii="宋体" w:hAnsi="宋体" w:eastAsia="宋体" w:cs="宋体"/>
                <w:color w:val="auto"/>
                <w:sz w:val="24"/>
                <w:szCs w:val="24"/>
                <w:highlight w:val="none"/>
                <w:lang w:val="en-US" w:eastAsia="zh-CN"/>
              </w:rPr>
              <w:t>工程所在地</w:t>
            </w:r>
            <w:r>
              <w:rPr>
                <w:rFonts w:hint="eastAsia" w:ascii="宋体" w:hAnsi="宋体" w:eastAsia="宋体" w:cs="宋体"/>
                <w:color w:val="auto"/>
                <w:sz w:val="24"/>
                <w:szCs w:val="24"/>
                <w:highlight w:val="none"/>
              </w:rPr>
              <w:t>省、市的相关计价规定。供应商应按照</w:t>
            </w:r>
            <w:r>
              <w:rPr>
                <w:rFonts w:hint="eastAsia" w:ascii="宋体" w:hAnsi="宋体" w:eastAsia="宋体" w:cs="宋体"/>
                <w:color w:val="auto"/>
                <w:sz w:val="24"/>
                <w:szCs w:val="24"/>
                <w:highlight w:val="none"/>
                <w:lang w:val="en-US" w:eastAsia="zh-CN"/>
              </w:rPr>
              <w:t>磋商项目</w:t>
            </w:r>
            <w:r>
              <w:rPr>
                <w:rFonts w:hint="eastAsia" w:ascii="宋体" w:hAnsi="宋体" w:eastAsia="宋体" w:cs="宋体"/>
                <w:color w:val="auto"/>
                <w:sz w:val="24"/>
                <w:szCs w:val="24"/>
                <w:highlight w:val="none"/>
              </w:rPr>
              <w:t>要求和采购人所提供工程量清单以及现场踏勘了解所得等，编制工程量清单报价表并承担相应的风险责任。</w:t>
            </w:r>
          </w:p>
          <w:p w14:paraId="37FA47EE">
            <w:pPr>
              <w:pStyle w:val="17"/>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本工程结算方式：按成交供应商的第壹轮报价的计算口径，按实际工程量计算所得工程造价</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lang w:val="en-US" w:eastAsia="zh-CN"/>
              </w:rPr>
              <w:t>1-成交下浮率</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szCs w:val="24"/>
                <w:highlight w:val="none"/>
                <w:u w:val="none"/>
                <w:lang w:val="en-US" w:eastAsia="zh-CN"/>
              </w:rPr>
              <w:t>。</w:t>
            </w:r>
          </w:p>
          <w:p w14:paraId="0E81736E">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eastAsia="宋体"/>
                <w:color w:val="auto"/>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不论</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结果如何，供应商均应自行承担所有与</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有关的全部费用。</w:t>
            </w:r>
          </w:p>
        </w:tc>
      </w:tr>
      <w:tr w14:paraId="1A76CC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2" w:hRule="atLeast"/>
        </w:trPr>
        <w:tc>
          <w:tcPr>
            <w:tcW w:w="841" w:type="dxa"/>
            <w:tcBorders>
              <w:top w:val="single" w:color="auto" w:sz="4" w:space="0"/>
              <w:bottom w:val="single" w:color="auto" w:sz="4" w:space="0"/>
              <w:right w:val="single" w:color="auto" w:sz="4" w:space="0"/>
            </w:tcBorders>
            <w:noWrap w:val="0"/>
            <w:vAlign w:val="center"/>
          </w:tcPr>
          <w:p w14:paraId="720D13DF">
            <w:pPr>
              <w:snapToGrid w:val="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p>
        </w:tc>
        <w:tc>
          <w:tcPr>
            <w:tcW w:w="1988" w:type="dxa"/>
            <w:tcBorders>
              <w:top w:val="single" w:color="auto" w:sz="4" w:space="0"/>
              <w:left w:val="single" w:color="auto" w:sz="4" w:space="0"/>
              <w:bottom w:val="single" w:color="auto" w:sz="4" w:space="0"/>
              <w:right w:val="single" w:color="auto" w:sz="4" w:space="0"/>
            </w:tcBorders>
            <w:noWrap w:val="0"/>
            <w:vAlign w:val="center"/>
          </w:tcPr>
          <w:p w14:paraId="392FBC69">
            <w:pPr>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现场踏勘</w:t>
            </w:r>
          </w:p>
        </w:tc>
        <w:tc>
          <w:tcPr>
            <w:tcW w:w="6799" w:type="dxa"/>
            <w:tcBorders>
              <w:top w:val="single" w:color="auto" w:sz="4" w:space="0"/>
              <w:left w:val="single" w:color="auto" w:sz="4" w:space="0"/>
              <w:bottom w:val="single" w:color="auto" w:sz="4" w:space="0"/>
            </w:tcBorders>
            <w:noWrap w:val="0"/>
            <w:vAlign w:val="center"/>
          </w:tcPr>
          <w:p w14:paraId="59D6AD5C">
            <w:pPr>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各投标人可自行勘察现场，交通工具、勘察现场时的安全由各投标人自行负责。</w:t>
            </w:r>
          </w:p>
        </w:tc>
      </w:tr>
      <w:tr w14:paraId="03DB13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7" w:hRule="atLeast"/>
        </w:trPr>
        <w:tc>
          <w:tcPr>
            <w:tcW w:w="841" w:type="dxa"/>
            <w:tcBorders>
              <w:top w:val="single" w:color="auto" w:sz="4" w:space="0"/>
              <w:bottom w:val="single" w:color="auto" w:sz="4" w:space="0"/>
              <w:right w:val="single" w:color="auto" w:sz="4" w:space="0"/>
            </w:tcBorders>
            <w:noWrap w:val="0"/>
            <w:vAlign w:val="center"/>
          </w:tcPr>
          <w:p w14:paraId="78FF0653">
            <w:pPr>
              <w:snapToGrid w:val="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p>
        </w:tc>
        <w:tc>
          <w:tcPr>
            <w:tcW w:w="1988" w:type="dxa"/>
            <w:tcBorders>
              <w:top w:val="single" w:color="auto" w:sz="4" w:space="0"/>
              <w:left w:val="single" w:color="auto" w:sz="4" w:space="0"/>
              <w:bottom w:val="single" w:color="auto" w:sz="4" w:space="0"/>
              <w:right w:val="single" w:color="auto" w:sz="4" w:space="0"/>
            </w:tcBorders>
            <w:noWrap w:val="0"/>
            <w:vAlign w:val="center"/>
          </w:tcPr>
          <w:p w14:paraId="4A2F73DB">
            <w:p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磋商响应文件组成</w:t>
            </w:r>
          </w:p>
        </w:tc>
        <w:tc>
          <w:tcPr>
            <w:tcW w:w="6799" w:type="dxa"/>
            <w:tcBorders>
              <w:top w:val="single" w:color="auto" w:sz="4" w:space="0"/>
              <w:left w:val="single" w:color="auto" w:sz="4" w:space="0"/>
              <w:bottom w:val="single" w:color="auto" w:sz="4" w:space="0"/>
            </w:tcBorders>
            <w:noWrap w:val="0"/>
            <w:vAlign w:val="center"/>
          </w:tcPr>
          <w:p w14:paraId="20D33BC0">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本项目实行网上投标响应，供应商应准备以下响应文件：</w:t>
            </w:r>
          </w:p>
          <w:p w14:paraId="0B526418">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（1）供应商于“政采云”上提供电子响应文件。</w:t>
            </w:r>
          </w:p>
          <w:p w14:paraId="1C992ACC">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（2）将在政采云平台上最后生成的具备电子签章的备份电子标文件1份 。（光盘上应当用不褪色墨水笔注明供应商名称、项目名称以及法定代表人或其委托代理人签名，供应商应当确保电子光盘能够打开运行并正常使用）装袋密封后邮寄或直接送达至</w:t>
            </w:r>
            <w:r>
              <w:rPr>
                <w:rFonts w:hint="eastAsia" w:ascii="宋体" w:hAnsi="宋体" w:cs="宋体"/>
                <w:color w:val="auto"/>
                <w:sz w:val="24"/>
                <w:szCs w:val="24"/>
                <w:highlight w:val="none"/>
                <w:lang w:eastAsia="zh-CN"/>
              </w:rPr>
              <w:t>浙江中合工程管理有限公司</w:t>
            </w:r>
            <w:r>
              <w:rPr>
                <w:rFonts w:hint="eastAsia" w:ascii="宋体" w:hAnsi="宋体" w:eastAsia="宋体" w:cs="宋体"/>
                <w:color w:val="auto"/>
                <w:sz w:val="24"/>
                <w:szCs w:val="24"/>
                <w:highlight w:val="none"/>
              </w:rPr>
              <w:t>，密封袋上有接缝处均需加盖单位公章和法定代表人印章（送达地址：</w:t>
            </w:r>
            <w:r>
              <w:rPr>
                <w:rFonts w:hint="eastAsia" w:ascii="宋体" w:hAnsi="宋体" w:eastAsia="宋体" w:cs="宋体"/>
                <w:color w:val="auto"/>
                <w:sz w:val="24"/>
                <w:szCs w:val="24"/>
                <w:highlight w:val="none"/>
                <w:lang w:eastAsia="zh-CN"/>
              </w:rPr>
              <w:t>嘉善县罗星街道乔克国贸中心2-1002室</w:t>
            </w:r>
            <w:r>
              <w:rPr>
                <w:rFonts w:hint="eastAsia" w:ascii="宋体" w:hAnsi="宋体" w:eastAsia="宋体" w:cs="宋体"/>
                <w:color w:val="auto"/>
                <w:sz w:val="24"/>
                <w:szCs w:val="24"/>
                <w:highlight w:val="none"/>
              </w:rPr>
              <w:t>，收件人：</w:t>
            </w:r>
            <w:r>
              <w:rPr>
                <w:rFonts w:hint="eastAsia" w:ascii="宋体" w:hAnsi="宋体" w:cs="宋体"/>
                <w:color w:val="auto"/>
                <w:sz w:val="24"/>
                <w:szCs w:val="24"/>
                <w:highlight w:val="none"/>
                <w:lang w:val="en-US" w:eastAsia="zh-CN"/>
              </w:rPr>
              <w:t>胡女士</w:t>
            </w:r>
            <w:r>
              <w:rPr>
                <w:rFonts w:hint="eastAsia" w:ascii="宋体" w:hAnsi="宋体" w:eastAsia="宋体" w:cs="宋体"/>
                <w:color w:val="auto"/>
                <w:sz w:val="24"/>
                <w:szCs w:val="24"/>
                <w:highlight w:val="none"/>
              </w:rPr>
              <w:t>，联系电话：</w:t>
            </w:r>
            <w:r>
              <w:rPr>
                <w:rFonts w:hint="eastAsia" w:ascii="宋体" w:hAnsi="宋体" w:cs="宋体"/>
                <w:color w:val="auto"/>
                <w:sz w:val="24"/>
                <w:szCs w:val="24"/>
                <w:highlight w:val="none"/>
                <w:lang w:eastAsia="zh-CN"/>
              </w:rPr>
              <w:t>0573-84033354</w:t>
            </w:r>
            <w:r>
              <w:rPr>
                <w:rFonts w:hint="eastAsia" w:ascii="宋体" w:hAnsi="宋体" w:eastAsia="宋体" w:cs="宋体"/>
                <w:color w:val="auto"/>
                <w:sz w:val="24"/>
                <w:szCs w:val="24"/>
                <w:highlight w:val="none"/>
              </w:rPr>
              <w:t>）</w:t>
            </w:r>
          </w:p>
        </w:tc>
      </w:tr>
      <w:tr w14:paraId="03BB5E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7" w:hRule="atLeast"/>
        </w:trPr>
        <w:tc>
          <w:tcPr>
            <w:tcW w:w="841" w:type="dxa"/>
            <w:tcBorders>
              <w:top w:val="single" w:color="auto" w:sz="4" w:space="0"/>
              <w:bottom w:val="single" w:color="auto" w:sz="4" w:space="0"/>
              <w:right w:val="single" w:color="auto" w:sz="4" w:space="0"/>
            </w:tcBorders>
            <w:noWrap w:val="0"/>
            <w:vAlign w:val="center"/>
          </w:tcPr>
          <w:p w14:paraId="783C99AA">
            <w:pPr>
              <w:snapToGrid w:val="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p>
        </w:tc>
        <w:tc>
          <w:tcPr>
            <w:tcW w:w="1988" w:type="dxa"/>
            <w:tcBorders>
              <w:top w:val="single" w:color="auto" w:sz="4" w:space="0"/>
              <w:left w:val="single" w:color="auto" w:sz="4" w:space="0"/>
              <w:bottom w:val="single" w:color="auto" w:sz="4" w:space="0"/>
              <w:right w:val="single" w:color="auto" w:sz="4" w:space="0"/>
            </w:tcBorders>
            <w:noWrap w:val="0"/>
            <w:vAlign w:val="center"/>
          </w:tcPr>
          <w:p w14:paraId="3CC92833">
            <w:pPr>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上传电子响应文件时间</w:t>
            </w:r>
          </w:p>
        </w:tc>
        <w:tc>
          <w:tcPr>
            <w:tcW w:w="6799" w:type="dxa"/>
            <w:tcBorders>
              <w:top w:val="single" w:color="auto" w:sz="4" w:space="0"/>
              <w:left w:val="single" w:color="auto" w:sz="4" w:space="0"/>
              <w:bottom w:val="single" w:color="auto" w:sz="4" w:space="0"/>
            </w:tcBorders>
            <w:noWrap w:val="0"/>
            <w:vAlign w:val="center"/>
          </w:tcPr>
          <w:p w14:paraId="1DD34250">
            <w:pPr>
              <w:snapToGrid w:val="0"/>
              <w:rPr>
                <w:rFonts w:hint="eastAsia" w:ascii="宋体" w:hAnsi="宋体" w:eastAsia="宋体" w:cs="宋体"/>
                <w:b/>
                <w:color w:val="auto"/>
                <w:sz w:val="24"/>
                <w:highlight w:val="none"/>
              </w:rPr>
            </w:pPr>
            <w:r>
              <w:rPr>
                <w:rFonts w:hint="eastAsia" w:ascii="宋体" w:hAnsi="宋体" w:cs="宋体"/>
                <w:color w:val="auto"/>
                <w:sz w:val="24"/>
                <w:szCs w:val="24"/>
                <w:highlight w:val="none"/>
                <w:lang w:eastAsia="zh-CN"/>
              </w:rPr>
              <w:t>2025年</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val="en-US" w:eastAsia="zh-CN"/>
              </w:rPr>
              <w:t>09</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00</w:t>
            </w:r>
            <w:r>
              <w:rPr>
                <w:rFonts w:hint="eastAsia" w:ascii="宋体" w:hAnsi="宋体" w:eastAsia="宋体" w:cs="宋体"/>
                <w:color w:val="auto"/>
                <w:sz w:val="24"/>
                <w:szCs w:val="24"/>
                <w:highlight w:val="none"/>
              </w:rPr>
              <w:t>前在“政采云”上自行加密上传电子响应文件，逾期上传或未按要求上传的响应文件将予以拒收。</w:t>
            </w:r>
          </w:p>
        </w:tc>
      </w:tr>
      <w:tr w14:paraId="25D05A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84" w:hRule="atLeast"/>
        </w:trPr>
        <w:tc>
          <w:tcPr>
            <w:tcW w:w="841" w:type="dxa"/>
            <w:tcBorders>
              <w:top w:val="single" w:color="auto" w:sz="4" w:space="0"/>
              <w:bottom w:val="single" w:color="auto" w:sz="4" w:space="0"/>
              <w:right w:val="single" w:color="auto" w:sz="4" w:space="0"/>
            </w:tcBorders>
            <w:noWrap w:val="0"/>
            <w:vAlign w:val="center"/>
          </w:tcPr>
          <w:p w14:paraId="5DA88258">
            <w:pPr>
              <w:snapToGrid w:val="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6</w:t>
            </w:r>
          </w:p>
        </w:tc>
        <w:tc>
          <w:tcPr>
            <w:tcW w:w="1988" w:type="dxa"/>
            <w:tcBorders>
              <w:top w:val="single" w:color="auto" w:sz="4" w:space="0"/>
              <w:left w:val="single" w:color="auto" w:sz="4" w:space="0"/>
              <w:bottom w:val="single" w:color="auto" w:sz="4" w:space="0"/>
              <w:right w:val="single" w:color="auto" w:sz="4" w:space="0"/>
            </w:tcBorders>
            <w:noWrap w:val="0"/>
            <w:vAlign w:val="center"/>
          </w:tcPr>
          <w:p w14:paraId="7257271B">
            <w:pPr>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响应文件开启时间及地点</w:t>
            </w:r>
          </w:p>
        </w:tc>
        <w:tc>
          <w:tcPr>
            <w:tcW w:w="6799" w:type="dxa"/>
            <w:tcBorders>
              <w:top w:val="single" w:color="auto" w:sz="4" w:space="0"/>
              <w:left w:val="single" w:color="auto" w:sz="4" w:space="0"/>
              <w:bottom w:val="single" w:color="auto" w:sz="4" w:space="0"/>
            </w:tcBorders>
            <w:noWrap w:val="0"/>
            <w:vAlign w:val="center"/>
          </w:tcPr>
          <w:p w14:paraId="71ACD5AF">
            <w:p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嘉善县罗星街道乔克国贸中心2-</w:t>
            </w:r>
            <w:r>
              <w:rPr>
                <w:rFonts w:hint="eastAsia" w:ascii="宋体" w:hAnsi="宋体" w:eastAsia="宋体" w:cs="宋体"/>
                <w:color w:val="auto"/>
                <w:sz w:val="24"/>
                <w:szCs w:val="24"/>
                <w:highlight w:val="none"/>
                <w:lang w:val="en-US" w:eastAsia="zh-CN"/>
              </w:rPr>
              <w:t>1002</w:t>
            </w:r>
            <w:r>
              <w:rPr>
                <w:rFonts w:hint="eastAsia" w:ascii="宋体" w:hAnsi="宋体" w:eastAsia="宋体" w:cs="宋体"/>
                <w:color w:val="auto"/>
                <w:sz w:val="24"/>
                <w:szCs w:val="24"/>
                <w:highlight w:val="none"/>
              </w:rPr>
              <w:t>开标室开启。</w:t>
            </w:r>
          </w:p>
          <w:p w14:paraId="657B9F28">
            <w:pPr>
              <w:snapToGrid w:val="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供应商无需到现场，只需准时在线参加。响应文件提交截止时间后半小时</w:t>
            </w:r>
            <w:r>
              <w:rPr>
                <w:rFonts w:hint="eastAsia" w:ascii="宋体" w:hAnsi="宋体" w:eastAsia="宋体" w:cs="宋体"/>
                <w:b/>
                <w:color w:val="auto"/>
                <w:sz w:val="24"/>
                <w:szCs w:val="24"/>
                <w:highlight w:val="none"/>
              </w:rPr>
              <w:t>内（</w:t>
            </w:r>
            <w:r>
              <w:rPr>
                <w:rFonts w:hint="eastAsia" w:ascii="宋体" w:hAnsi="宋体" w:cs="宋体"/>
                <w:b/>
                <w:color w:val="auto"/>
                <w:sz w:val="24"/>
                <w:szCs w:val="24"/>
                <w:highlight w:val="none"/>
                <w:lang w:eastAsia="zh-CN"/>
              </w:rPr>
              <w:t>2025年</w:t>
            </w:r>
            <w:r>
              <w:rPr>
                <w:rFonts w:hint="eastAsia" w:ascii="宋体" w:hAnsi="宋体" w:cs="宋体"/>
                <w:b/>
                <w:color w:val="auto"/>
                <w:sz w:val="24"/>
                <w:szCs w:val="24"/>
                <w:highlight w:val="none"/>
                <w:lang w:val="en-US" w:eastAsia="zh-CN"/>
              </w:rPr>
              <w:t>7</w:t>
            </w:r>
            <w:r>
              <w:rPr>
                <w:rFonts w:hint="eastAsia" w:ascii="宋体" w:hAnsi="宋体" w:eastAsia="宋体" w:cs="宋体"/>
                <w:b/>
                <w:color w:val="auto"/>
                <w:sz w:val="24"/>
                <w:szCs w:val="24"/>
                <w:highlight w:val="none"/>
              </w:rPr>
              <w:t>月</w:t>
            </w:r>
            <w:r>
              <w:rPr>
                <w:rFonts w:hint="eastAsia" w:ascii="宋体" w:hAnsi="宋体" w:cs="宋体"/>
                <w:b/>
                <w:color w:val="auto"/>
                <w:sz w:val="24"/>
                <w:szCs w:val="24"/>
                <w:highlight w:val="none"/>
                <w:lang w:val="en-US" w:eastAsia="zh-CN"/>
              </w:rPr>
              <w:t>1</w:t>
            </w:r>
            <w:r>
              <w:rPr>
                <w:rFonts w:hint="eastAsia" w:ascii="宋体" w:hAnsi="宋体" w:eastAsia="宋体" w:cs="宋体"/>
                <w:b/>
                <w:color w:val="auto"/>
                <w:sz w:val="24"/>
                <w:szCs w:val="24"/>
                <w:highlight w:val="none"/>
              </w:rPr>
              <w:t>日</w:t>
            </w:r>
            <w:r>
              <w:rPr>
                <w:rFonts w:hint="eastAsia" w:ascii="宋体" w:hAnsi="宋体" w:cs="宋体"/>
                <w:b/>
                <w:color w:val="auto"/>
                <w:sz w:val="24"/>
                <w:szCs w:val="24"/>
                <w:highlight w:val="none"/>
                <w:lang w:val="en-US" w:eastAsia="zh-CN"/>
              </w:rPr>
              <w:t>09</w:t>
            </w:r>
            <w:r>
              <w:rPr>
                <w:rFonts w:hint="eastAsia" w:ascii="宋体" w:hAnsi="宋体" w:eastAsia="宋体" w:cs="宋体"/>
                <w:b/>
                <w:color w:val="auto"/>
                <w:sz w:val="24"/>
                <w:szCs w:val="24"/>
                <w:highlight w:val="none"/>
              </w:rPr>
              <w:t>：</w:t>
            </w:r>
            <w:r>
              <w:rPr>
                <w:rFonts w:hint="eastAsia" w:ascii="宋体" w:hAnsi="宋体" w:cs="宋体"/>
                <w:b/>
                <w:color w:val="auto"/>
                <w:sz w:val="24"/>
                <w:szCs w:val="24"/>
                <w:highlight w:val="none"/>
                <w:lang w:val="en-US" w:eastAsia="zh-CN"/>
              </w:rPr>
              <w:t>30</w:t>
            </w:r>
            <w:r>
              <w:rPr>
                <w:rFonts w:hint="eastAsia" w:ascii="宋体" w:hAnsi="宋体" w:eastAsia="宋体" w:cs="宋体"/>
                <w:b/>
                <w:color w:val="auto"/>
                <w:sz w:val="24"/>
                <w:szCs w:val="24"/>
                <w:highlight w:val="none"/>
              </w:rPr>
              <w:t>前</w:t>
            </w:r>
            <w:r>
              <w:rPr>
                <w:rFonts w:hint="eastAsia" w:ascii="宋体" w:hAnsi="宋体" w:eastAsia="宋体" w:cs="宋体"/>
                <w:b/>
                <w:color w:val="auto"/>
                <w:sz w:val="24"/>
                <w:szCs w:val="24"/>
                <w:highlight w:val="none"/>
              </w:rPr>
              <w:t>）供应商可以登录“政采云”平台，用“项目采购-开标评标”功能进行解密响应文件。若供应商在规定时间内无法解密或解密失败，将导致响应无效或失败。</w:t>
            </w:r>
          </w:p>
        </w:tc>
      </w:tr>
      <w:tr w14:paraId="2E0050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41" w:type="dxa"/>
            <w:tcBorders>
              <w:top w:val="single" w:color="auto" w:sz="4" w:space="0"/>
              <w:bottom w:val="single" w:color="auto" w:sz="4" w:space="0"/>
              <w:right w:val="single" w:color="auto" w:sz="4" w:space="0"/>
            </w:tcBorders>
            <w:noWrap w:val="0"/>
            <w:vAlign w:val="center"/>
          </w:tcPr>
          <w:p w14:paraId="4363AA28">
            <w:pPr>
              <w:snapToGrid w:val="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7</w:t>
            </w:r>
          </w:p>
        </w:tc>
        <w:tc>
          <w:tcPr>
            <w:tcW w:w="1988" w:type="dxa"/>
            <w:tcBorders>
              <w:top w:val="single" w:color="auto" w:sz="4" w:space="0"/>
              <w:left w:val="single" w:color="auto" w:sz="4" w:space="0"/>
              <w:bottom w:val="single" w:color="auto" w:sz="4" w:space="0"/>
              <w:right w:val="single" w:color="auto" w:sz="4" w:space="0"/>
            </w:tcBorders>
            <w:noWrap w:val="0"/>
            <w:vAlign w:val="center"/>
          </w:tcPr>
          <w:p w14:paraId="4BA501C6">
            <w:pPr>
              <w:autoSpaceDE w:val="0"/>
              <w:autoSpaceDN w:val="0"/>
              <w:snapToGrid w:val="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磋商办法及评分标准</w:t>
            </w:r>
          </w:p>
        </w:tc>
        <w:tc>
          <w:tcPr>
            <w:tcW w:w="6799" w:type="dxa"/>
            <w:tcBorders>
              <w:top w:val="single" w:color="auto" w:sz="4" w:space="0"/>
              <w:left w:val="single" w:color="auto" w:sz="4" w:space="0"/>
              <w:bottom w:val="single" w:color="auto" w:sz="4" w:space="0"/>
            </w:tcBorders>
            <w:noWrap w:val="0"/>
            <w:vAlign w:val="center"/>
          </w:tcPr>
          <w:p w14:paraId="3B8FD6D6">
            <w:pPr>
              <w:autoSpaceDE w:val="0"/>
              <w:autoSpaceDN w:val="0"/>
              <w:snapToGrid w:val="0"/>
              <w:textAlignment w:val="bottom"/>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rPr>
              <w:t>详见第四章。</w:t>
            </w:r>
          </w:p>
        </w:tc>
      </w:tr>
      <w:tr w14:paraId="791183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6" w:hRule="atLeast"/>
        </w:trPr>
        <w:tc>
          <w:tcPr>
            <w:tcW w:w="841" w:type="dxa"/>
            <w:tcBorders>
              <w:top w:val="single" w:color="auto" w:sz="4" w:space="0"/>
              <w:bottom w:val="single" w:color="auto" w:sz="4" w:space="0"/>
              <w:right w:val="single" w:color="auto" w:sz="4" w:space="0"/>
            </w:tcBorders>
            <w:noWrap w:val="0"/>
            <w:vAlign w:val="center"/>
          </w:tcPr>
          <w:p w14:paraId="2797F774">
            <w:pPr>
              <w:snapToGrid w:val="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8</w:t>
            </w:r>
          </w:p>
        </w:tc>
        <w:tc>
          <w:tcPr>
            <w:tcW w:w="1988" w:type="dxa"/>
            <w:tcBorders>
              <w:top w:val="single" w:color="auto" w:sz="4" w:space="0"/>
              <w:left w:val="single" w:color="auto" w:sz="4" w:space="0"/>
              <w:bottom w:val="single" w:color="auto" w:sz="4" w:space="0"/>
              <w:right w:val="single" w:color="auto" w:sz="4" w:space="0"/>
            </w:tcBorders>
            <w:noWrap w:val="0"/>
            <w:vAlign w:val="center"/>
          </w:tcPr>
          <w:p w14:paraId="7ADF7EDF">
            <w:pPr>
              <w:autoSpaceDE w:val="0"/>
              <w:autoSpaceDN w:val="0"/>
              <w:snapToGrid w:val="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成交结果公告</w:t>
            </w:r>
            <w:r>
              <w:rPr>
                <w:rFonts w:hint="eastAsia" w:ascii="宋体" w:hAnsi="宋体" w:eastAsia="宋体" w:cs="宋体"/>
                <w:color w:val="auto"/>
                <w:sz w:val="24"/>
                <w:highlight w:val="none"/>
              </w:rPr>
              <w:t>及成交通知书</w:t>
            </w:r>
          </w:p>
        </w:tc>
        <w:tc>
          <w:tcPr>
            <w:tcW w:w="6799" w:type="dxa"/>
            <w:tcBorders>
              <w:top w:val="single" w:color="auto" w:sz="4" w:space="0"/>
              <w:left w:val="single" w:color="auto" w:sz="4" w:space="0"/>
              <w:bottom w:val="single" w:color="auto" w:sz="4" w:space="0"/>
            </w:tcBorders>
            <w:noWrap w:val="0"/>
            <w:vAlign w:val="center"/>
          </w:tcPr>
          <w:p w14:paraId="780C9F43">
            <w:pPr>
              <w:wordWrap w:val="0"/>
              <w:autoSpaceDE w:val="0"/>
              <w:autoSpaceDN w:val="0"/>
              <w:snapToGrid w:val="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成交供应商确定之日起2个工作日内</w:t>
            </w:r>
            <w:r>
              <w:rPr>
                <w:rFonts w:hint="eastAsia" w:ascii="宋体" w:hAnsi="宋体" w:eastAsia="宋体" w:cs="宋体"/>
                <w:color w:val="auto"/>
                <w:sz w:val="24"/>
                <w:szCs w:val="24"/>
                <w:highlight w:val="none"/>
              </w:rPr>
              <w:t>，成交结果公告发布于浙江政府采购网(</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"https://zfcg.czt.zj.gov.cn/" </w:instrText>
            </w:r>
            <w:r>
              <w:rPr>
                <w:rFonts w:hint="eastAsia" w:ascii="宋体" w:hAnsi="宋体" w:eastAsia="宋体" w:cs="宋体"/>
                <w:color w:val="auto"/>
                <w:sz w:val="24"/>
                <w:szCs w:val="24"/>
                <w:highlight w:val="none"/>
              </w:rPr>
              <w:fldChar w:fldCharType="separate"/>
            </w:r>
            <w:r>
              <w:rPr>
                <w:rStyle w:val="28"/>
                <w:rFonts w:hint="eastAsia" w:ascii="宋体" w:hAnsi="宋体" w:eastAsia="宋体" w:cs="宋体"/>
                <w:color w:val="auto"/>
                <w:sz w:val="24"/>
                <w:szCs w:val="24"/>
                <w:highlight w:val="none"/>
              </w:rPr>
              <w:t>https://zfcg.czt.zj.gov.cn/</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w:t>
            </w:r>
            <w:r>
              <w:rPr>
                <w:rFonts w:hint="eastAsia" w:ascii="宋体" w:hAnsi="宋体" w:eastAsia="宋体" w:cs="宋体"/>
                <w:color w:val="auto"/>
                <w:sz w:val="24"/>
                <w:highlight w:val="none"/>
              </w:rPr>
              <w:t>公告期限为1个工作日</w:t>
            </w:r>
            <w:r>
              <w:rPr>
                <w:rFonts w:hint="eastAsia" w:ascii="宋体" w:hAnsi="宋体" w:eastAsia="宋体" w:cs="宋体"/>
                <w:color w:val="auto"/>
                <w:sz w:val="24"/>
                <w:szCs w:val="24"/>
                <w:highlight w:val="none"/>
              </w:rPr>
              <w:t>。</w:t>
            </w:r>
            <w:r>
              <w:rPr>
                <w:rFonts w:hint="eastAsia" w:ascii="宋体" w:hAnsi="宋体" w:eastAsia="宋体" w:cs="宋体"/>
                <w:color w:val="auto"/>
                <w:sz w:val="24"/>
                <w:highlight w:val="none"/>
              </w:rPr>
              <w:t>在公告成交结果的同时，向供应商发出成交通知书。</w:t>
            </w:r>
          </w:p>
        </w:tc>
      </w:tr>
      <w:tr w14:paraId="3BAF84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1" w:type="dxa"/>
            <w:tcBorders>
              <w:top w:val="single" w:color="auto" w:sz="4" w:space="0"/>
              <w:bottom w:val="single" w:color="auto" w:sz="4" w:space="0"/>
              <w:right w:val="single" w:color="auto" w:sz="4" w:space="0"/>
            </w:tcBorders>
            <w:noWrap w:val="0"/>
            <w:vAlign w:val="center"/>
          </w:tcPr>
          <w:p w14:paraId="1E888E7A">
            <w:pPr>
              <w:snapToGrid w:val="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9</w:t>
            </w:r>
          </w:p>
        </w:tc>
        <w:tc>
          <w:tcPr>
            <w:tcW w:w="1988" w:type="dxa"/>
            <w:tcBorders>
              <w:top w:val="single" w:color="auto" w:sz="4" w:space="0"/>
              <w:left w:val="single" w:color="auto" w:sz="4" w:space="0"/>
              <w:bottom w:val="single" w:color="auto" w:sz="4" w:space="0"/>
              <w:right w:val="single" w:color="auto" w:sz="4" w:space="0"/>
            </w:tcBorders>
            <w:noWrap w:val="0"/>
            <w:vAlign w:val="center"/>
          </w:tcPr>
          <w:p w14:paraId="640CF683">
            <w:pPr>
              <w:autoSpaceDE w:val="0"/>
              <w:autoSpaceDN w:val="0"/>
              <w:snapToGrid w:val="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签订合同</w:t>
            </w:r>
          </w:p>
        </w:tc>
        <w:tc>
          <w:tcPr>
            <w:tcW w:w="6799" w:type="dxa"/>
            <w:tcBorders>
              <w:top w:val="single" w:color="auto" w:sz="4" w:space="0"/>
              <w:left w:val="single" w:color="auto" w:sz="4" w:space="0"/>
              <w:bottom w:val="single" w:color="auto" w:sz="4" w:space="0"/>
            </w:tcBorders>
            <w:noWrap w:val="0"/>
            <w:vAlign w:val="center"/>
          </w:tcPr>
          <w:p w14:paraId="188789C6">
            <w:pPr>
              <w:autoSpaceDE w:val="0"/>
              <w:autoSpaceDN w:val="0"/>
              <w:snapToGrid w:val="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成交通知书发出后</w:t>
            </w:r>
            <w:r>
              <w:rPr>
                <w:rFonts w:hint="eastAsia" w:ascii="宋体" w:hAnsi="宋体" w:cs="宋体"/>
                <w:bCs/>
                <w:color w:val="auto"/>
                <w:sz w:val="24"/>
                <w:szCs w:val="24"/>
                <w:highlight w:val="none"/>
                <w:lang w:val="en-US" w:eastAsia="zh-CN"/>
              </w:rPr>
              <w:t>30</w:t>
            </w:r>
            <w:r>
              <w:rPr>
                <w:rFonts w:hint="eastAsia" w:ascii="宋体" w:hAnsi="宋体" w:eastAsia="宋体" w:cs="宋体"/>
                <w:color w:val="auto"/>
                <w:sz w:val="24"/>
                <w:szCs w:val="24"/>
                <w:highlight w:val="none"/>
              </w:rPr>
              <w:t>天内。</w:t>
            </w:r>
          </w:p>
        </w:tc>
      </w:tr>
      <w:tr w14:paraId="5BFA51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4" w:hRule="atLeast"/>
        </w:trPr>
        <w:tc>
          <w:tcPr>
            <w:tcW w:w="841" w:type="dxa"/>
            <w:tcBorders>
              <w:top w:val="single" w:color="auto" w:sz="4" w:space="0"/>
              <w:bottom w:val="single" w:color="auto" w:sz="4" w:space="0"/>
              <w:right w:val="single" w:color="auto" w:sz="4" w:space="0"/>
            </w:tcBorders>
            <w:noWrap w:val="0"/>
            <w:vAlign w:val="center"/>
          </w:tcPr>
          <w:p w14:paraId="35A7EAD8">
            <w:pPr>
              <w:snapToGrid w:val="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0</w:t>
            </w:r>
          </w:p>
        </w:tc>
        <w:tc>
          <w:tcPr>
            <w:tcW w:w="1988" w:type="dxa"/>
            <w:tcBorders>
              <w:top w:val="single" w:color="auto" w:sz="4" w:space="0"/>
              <w:left w:val="single" w:color="auto" w:sz="4" w:space="0"/>
              <w:bottom w:val="single" w:color="auto" w:sz="4" w:space="0"/>
              <w:right w:val="single" w:color="auto" w:sz="4" w:space="0"/>
            </w:tcBorders>
            <w:noWrap w:val="0"/>
            <w:vAlign w:val="center"/>
          </w:tcPr>
          <w:p w14:paraId="7DBD17C9">
            <w:pPr>
              <w:autoSpaceDE w:val="0"/>
              <w:autoSpaceDN w:val="0"/>
              <w:snapToGrid w:val="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合同公告</w:t>
            </w:r>
          </w:p>
        </w:tc>
        <w:tc>
          <w:tcPr>
            <w:tcW w:w="6799" w:type="dxa"/>
            <w:tcBorders>
              <w:top w:val="single" w:color="auto" w:sz="4" w:space="0"/>
              <w:left w:val="single" w:color="auto" w:sz="4" w:space="0"/>
              <w:bottom w:val="single" w:color="auto" w:sz="4" w:space="0"/>
            </w:tcBorders>
            <w:noWrap w:val="0"/>
            <w:vAlign w:val="center"/>
          </w:tcPr>
          <w:p w14:paraId="28819EF9">
            <w:pPr>
              <w:autoSpaceDE w:val="0"/>
              <w:autoSpaceDN w:val="0"/>
              <w:snapToGrid w:val="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本项目政府采购合同将于签订之日起2个工作日内发布于</w:t>
            </w:r>
            <w:r>
              <w:rPr>
                <w:rFonts w:hint="eastAsia" w:ascii="宋体" w:hAnsi="宋体" w:eastAsia="宋体" w:cs="宋体"/>
                <w:color w:val="auto"/>
                <w:sz w:val="24"/>
                <w:szCs w:val="24"/>
                <w:highlight w:val="none"/>
              </w:rPr>
              <w:t>浙江政府采购网(</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"https://zfcg.czt.zj.gov.cn/" </w:instrText>
            </w:r>
            <w:r>
              <w:rPr>
                <w:rFonts w:hint="eastAsia" w:ascii="宋体" w:hAnsi="宋体" w:eastAsia="宋体" w:cs="宋体"/>
                <w:color w:val="auto"/>
                <w:sz w:val="24"/>
                <w:szCs w:val="24"/>
                <w:highlight w:val="none"/>
              </w:rPr>
              <w:fldChar w:fldCharType="separate"/>
            </w:r>
            <w:r>
              <w:rPr>
                <w:rStyle w:val="28"/>
                <w:rFonts w:hint="eastAsia" w:ascii="宋体" w:hAnsi="宋体" w:eastAsia="宋体" w:cs="宋体"/>
                <w:color w:val="auto"/>
                <w:sz w:val="24"/>
                <w:szCs w:val="24"/>
                <w:highlight w:val="none"/>
              </w:rPr>
              <w:t>https://zfcg.czt.zj.gov.cn/</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w:t>
            </w:r>
            <w:r>
              <w:rPr>
                <w:rFonts w:hint="eastAsia" w:ascii="宋体" w:hAnsi="宋体" w:eastAsia="宋体" w:cs="宋体"/>
                <w:color w:val="auto"/>
                <w:sz w:val="24"/>
                <w:highlight w:val="none"/>
              </w:rPr>
              <w:t>，但政府采购合同中涉及国家秘密、商业秘密的内容除外。</w:t>
            </w:r>
          </w:p>
        </w:tc>
      </w:tr>
      <w:tr w14:paraId="454F1F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841" w:type="dxa"/>
            <w:tcBorders>
              <w:top w:val="single" w:color="auto" w:sz="4" w:space="0"/>
              <w:bottom w:val="single" w:color="auto" w:sz="4" w:space="0"/>
              <w:right w:val="single" w:color="auto" w:sz="4" w:space="0"/>
            </w:tcBorders>
            <w:noWrap w:val="0"/>
            <w:vAlign w:val="center"/>
          </w:tcPr>
          <w:p w14:paraId="25FD30A5">
            <w:pPr>
              <w:snapToGrid w:val="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1</w:t>
            </w:r>
          </w:p>
        </w:tc>
        <w:tc>
          <w:tcPr>
            <w:tcW w:w="1988" w:type="dxa"/>
            <w:tcBorders>
              <w:top w:val="single" w:color="auto" w:sz="4" w:space="0"/>
              <w:left w:val="single" w:color="auto" w:sz="4" w:space="0"/>
              <w:bottom w:val="single" w:color="auto" w:sz="4" w:space="0"/>
              <w:right w:val="single" w:color="auto" w:sz="4" w:space="0"/>
            </w:tcBorders>
            <w:noWrap w:val="0"/>
            <w:vAlign w:val="center"/>
          </w:tcPr>
          <w:p w14:paraId="7DEC65AA">
            <w:pPr>
              <w:autoSpaceDE w:val="0"/>
              <w:autoSpaceDN w:val="0"/>
              <w:snapToGrid w:val="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本项目预算</w:t>
            </w:r>
          </w:p>
        </w:tc>
        <w:tc>
          <w:tcPr>
            <w:tcW w:w="6799" w:type="dxa"/>
            <w:tcBorders>
              <w:top w:val="single" w:color="auto" w:sz="4" w:space="0"/>
              <w:left w:val="single" w:color="auto" w:sz="4" w:space="0"/>
              <w:bottom w:val="single" w:color="auto" w:sz="4" w:space="0"/>
            </w:tcBorders>
            <w:noWrap w:val="0"/>
            <w:vAlign w:val="center"/>
          </w:tcPr>
          <w:p w14:paraId="6C10491F">
            <w:pPr>
              <w:autoSpaceDE w:val="0"/>
              <w:autoSpaceDN w:val="0"/>
              <w:snapToGrid w:val="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本项目预算价为人民币</w:t>
            </w:r>
            <w:r>
              <w:rPr>
                <w:rFonts w:hint="eastAsia" w:ascii="宋体" w:hAnsi="宋体" w:cs="宋体"/>
                <w:color w:val="auto"/>
                <w:sz w:val="24"/>
                <w:szCs w:val="24"/>
                <w:highlight w:val="none"/>
                <w:lang w:val="en-US" w:eastAsia="zh-CN"/>
              </w:rPr>
              <w:t xml:space="preserve"> </w:t>
            </w:r>
            <w:r>
              <w:rPr>
                <w:rFonts w:hint="eastAsia" w:ascii="宋体" w:hAnsi="宋体" w:cs="宋体"/>
                <w:color w:val="auto"/>
                <w:kern w:val="0"/>
                <w:sz w:val="24"/>
                <w:szCs w:val="24"/>
                <w:highlight w:val="none"/>
                <w:lang w:val="en-US" w:eastAsia="zh-CN" w:bidi="ar-SA"/>
              </w:rPr>
              <w:t>584000</w:t>
            </w:r>
            <w:r>
              <w:rPr>
                <w:rFonts w:hint="eastAsia" w:ascii="宋体" w:hAnsi="宋体" w:cs="宋体"/>
                <w:color w:val="auto"/>
                <w:sz w:val="24"/>
                <w:szCs w:val="24"/>
                <w:highlight w:val="none"/>
                <w:lang w:val="en-US" w:eastAsia="zh-CN"/>
              </w:rPr>
              <w:t>.00</w:t>
            </w:r>
            <w:r>
              <w:rPr>
                <w:rFonts w:hint="eastAsia" w:ascii="宋体" w:hAnsi="宋体" w:eastAsia="宋体" w:cs="宋体"/>
                <w:color w:val="auto"/>
                <w:sz w:val="24"/>
                <w:highlight w:val="none"/>
              </w:rPr>
              <w:t>元</w:t>
            </w:r>
            <w:r>
              <w:rPr>
                <w:rFonts w:hint="eastAsia" w:ascii="宋体" w:hAnsi="宋体" w:cs="宋体"/>
                <w:color w:val="auto"/>
                <w:sz w:val="24"/>
                <w:highlight w:val="none"/>
              </w:rPr>
              <w:t>。</w:t>
            </w:r>
            <w:r>
              <w:rPr>
                <w:rFonts w:hint="eastAsia" w:ascii="宋体" w:hAnsi="宋体" w:eastAsia="宋体" w:cs="宋体"/>
                <w:b/>
                <w:bCs/>
                <w:color w:val="auto"/>
                <w:sz w:val="24"/>
                <w:highlight w:val="none"/>
              </w:rPr>
              <w:t>本次</w:t>
            </w:r>
            <w:r>
              <w:rPr>
                <w:rFonts w:hint="eastAsia" w:ascii="宋体" w:hAnsi="宋体" w:eastAsia="宋体" w:cs="宋体"/>
                <w:b/>
                <w:bCs/>
                <w:color w:val="auto"/>
                <w:sz w:val="24"/>
                <w:highlight w:val="none"/>
                <w:lang w:val="en-US" w:eastAsia="zh-CN"/>
              </w:rPr>
              <w:t>磋商</w:t>
            </w:r>
            <w:r>
              <w:rPr>
                <w:rFonts w:hint="eastAsia" w:ascii="宋体" w:hAnsi="宋体" w:eastAsia="宋体" w:cs="宋体"/>
                <w:b/>
                <w:bCs/>
                <w:color w:val="auto"/>
                <w:sz w:val="24"/>
                <w:highlight w:val="none"/>
              </w:rPr>
              <w:t>设定</w:t>
            </w:r>
            <w:r>
              <w:rPr>
                <w:rFonts w:hint="eastAsia" w:ascii="宋体" w:hAnsi="宋体" w:eastAsia="宋体" w:cs="宋体"/>
                <w:b/>
                <w:bCs/>
                <w:color w:val="auto"/>
                <w:sz w:val="24"/>
                <w:highlight w:val="none"/>
                <w:lang w:val="en-US" w:eastAsia="zh-CN"/>
              </w:rPr>
              <w:t>最高限价</w:t>
            </w:r>
            <w:r>
              <w:rPr>
                <w:rFonts w:hint="eastAsia" w:ascii="宋体" w:hAnsi="宋体" w:eastAsia="宋体" w:cs="宋体"/>
                <w:b/>
                <w:bCs/>
                <w:color w:val="auto"/>
                <w:sz w:val="24"/>
                <w:highlight w:val="none"/>
              </w:rPr>
              <w:t>，本项目</w:t>
            </w:r>
            <w:r>
              <w:rPr>
                <w:rFonts w:hint="eastAsia" w:ascii="宋体" w:hAnsi="宋体" w:eastAsia="宋体" w:cs="宋体"/>
                <w:b/>
                <w:bCs/>
                <w:color w:val="auto"/>
                <w:sz w:val="24"/>
                <w:highlight w:val="none"/>
                <w:lang w:val="en-US" w:eastAsia="zh-CN"/>
              </w:rPr>
              <w:t>最高限价</w:t>
            </w:r>
            <w:r>
              <w:rPr>
                <w:rFonts w:hint="eastAsia" w:ascii="宋体" w:hAnsi="宋体" w:eastAsia="宋体" w:cs="宋体"/>
                <w:color w:val="auto"/>
                <w:kern w:val="0"/>
                <w:sz w:val="24"/>
                <w:szCs w:val="24"/>
                <w:highlight w:val="none"/>
                <w:lang w:val="en-US" w:eastAsia="zh-CN" w:bidi="ar-SA"/>
              </w:rPr>
              <w:t>583739.00</w:t>
            </w:r>
            <w:r>
              <w:rPr>
                <w:rFonts w:hint="eastAsia" w:ascii="宋体" w:hAnsi="宋体" w:eastAsia="宋体" w:cs="宋体"/>
                <w:color w:val="auto"/>
                <w:sz w:val="24"/>
                <w:highlight w:val="none"/>
                <w:lang w:val="en-US" w:eastAsia="zh-CN"/>
              </w:rPr>
              <w:t>元</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rPr>
              <w:t>磋商报价高于</w:t>
            </w:r>
            <w:r>
              <w:rPr>
                <w:rFonts w:hint="eastAsia" w:ascii="宋体" w:hAnsi="宋体" w:eastAsia="宋体" w:cs="宋体"/>
                <w:b/>
                <w:bCs/>
                <w:color w:val="auto"/>
                <w:sz w:val="24"/>
                <w:highlight w:val="none"/>
                <w:lang w:val="en-US" w:eastAsia="zh-CN"/>
              </w:rPr>
              <w:t>最高限价</w:t>
            </w:r>
            <w:r>
              <w:rPr>
                <w:rFonts w:hint="eastAsia" w:ascii="宋体" w:hAnsi="宋体" w:eastAsia="宋体" w:cs="宋体"/>
                <w:b/>
                <w:bCs/>
                <w:color w:val="auto"/>
                <w:sz w:val="24"/>
                <w:highlight w:val="none"/>
              </w:rPr>
              <w:t>的响应文件无效。</w:t>
            </w:r>
          </w:p>
        </w:tc>
      </w:tr>
      <w:tr w14:paraId="0D330A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41" w:type="dxa"/>
            <w:tcBorders>
              <w:top w:val="single" w:color="auto" w:sz="4" w:space="0"/>
              <w:bottom w:val="single" w:color="auto" w:sz="4" w:space="0"/>
              <w:right w:val="single" w:color="auto" w:sz="4" w:space="0"/>
            </w:tcBorders>
            <w:noWrap w:val="0"/>
            <w:vAlign w:val="center"/>
          </w:tcPr>
          <w:p w14:paraId="581761F5">
            <w:pPr>
              <w:snapToGrid w:val="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2</w:t>
            </w:r>
          </w:p>
        </w:tc>
        <w:tc>
          <w:tcPr>
            <w:tcW w:w="1988" w:type="dxa"/>
            <w:tcBorders>
              <w:top w:val="single" w:color="auto" w:sz="4" w:space="0"/>
              <w:left w:val="single" w:color="auto" w:sz="4" w:space="0"/>
              <w:bottom w:val="single" w:color="auto" w:sz="4" w:space="0"/>
              <w:right w:val="single" w:color="auto" w:sz="4" w:space="0"/>
            </w:tcBorders>
            <w:noWrap w:val="0"/>
            <w:vAlign w:val="center"/>
          </w:tcPr>
          <w:p w14:paraId="6563F091">
            <w:pPr>
              <w:autoSpaceDE w:val="0"/>
              <w:autoSpaceDN w:val="0"/>
              <w:snapToGrid w:val="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履约保证金的收取及退还</w:t>
            </w:r>
          </w:p>
        </w:tc>
        <w:tc>
          <w:tcPr>
            <w:tcW w:w="6799" w:type="dxa"/>
            <w:tcBorders>
              <w:top w:val="single" w:color="auto" w:sz="4" w:space="0"/>
              <w:left w:val="single" w:color="auto" w:sz="4" w:space="0"/>
              <w:bottom w:val="single" w:color="auto" w:sz="4" w:space="0"/>
            </w:tcBorders>
            <w:noWrap w:val="0"/>
            <w:vAlign w:val="center"/>
          </w:tcPr>
          <w:p w14:paraId="340E26A6">
            <w:pPr>
              <w:autoSpaceDE w:val="0"/>
              <w:autoSpaceDN w:val="0"/>
              <w:snapToGrid w:val="0"/>
              <w:spacing w:line="300" w:lineRule="auto"/>
              <w:contextualSpacing/>
              <w:textAlignment w:val="bottom"/>
              <w:rPr>
                <w:rFonts w:hint="eastAsia" w:ascii="宋体" w:hAnsi="宋体" w:eastAsia="宋体" w:cs="宋体"/>
                <w:color w:val="auto"/>
                <w:sz w:val="24"/>
                <w:szCs w:val="21"/>
                <w:highlight w:val="none"/>
              </w:rPr>
            </w:pPr>
            <w:r>
              <w:rPr>
                <w:rFonts w:hint="eastAsia" w:ascii="宋体" w:hAnsi="宋体" w:eastAsia="宋体" w:cs="宋体"/>
                <w:color w:val="auto"/>
                <w:sz w:val="24"/>
                <w:szCs w:val="24"/>
                <w:highlight w:val="none"/>
              </w:rPr>
              <w:t>项目实施前</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向采购人交纳合同金额的</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%作为履约保证金，履约保证金在项目</w:t>
            </w:r>
            <w:r>
              <w:rPr>
                <w:rFonts w:hint="eastAsia" w:ascii="宋体" w:hAnsi="宋体" w:eastAsia="宋体" w:cs="宋体"/>
                <w:color w:val="auto"/>
                <w:sz w:val="24"/>
                <w:szCs w:val="24"/>
                <w:highlight w:val="none"/>
                <w:lang w:val="en-US" w:eastAsia="zh-CN"/>
              </w:rPr>
              <w:t>竣工</w:t>
            </w:r>
            <w:r>
              <w:rPr>
                <w:rFonts w:hint="eastAsia" w:ascii="宋体" w:hAnsi="宋体" w:eastAsia="宋体" w:cs="宋体"/>
                <w:color w:val="auto"/>
                <w:sz w:val="24"/>
                <w:szCs w:val="24"/>
                <w:highlight w:val="none"/>
              </w:rPr>
              <w:t>验收合格后</w:t>
            </w:r>
            <w:r>
              <w:rPr>
                <w:rFonts w:hint="eastAsia" w:ascii="宋体" w:hAnsi="宋体" w:eastAsia="宋体" w:cs="宋体"/>
                <w:color w:val="auto"/>
                <w:sz w:val="24"/>
                <w:szCs w:val="24"/>
                <w:highlight w:val="none"/>
                <w:lang w:val="en-US" w:eastAsia="zh-CN"/>
              </w:rPr>
              <w:t>10日</w:t>
            </w:r>
            <w:r>
              <w:rPr>
                <w:rFonts w:hint="eastAsia" w:ascii="宋体" w:hAnsi="宋体" w:eastAsia="宋体" w:cs="宋体"/>
                <w:color w:val="auto"/>
                <w:sz w:val="24"/>
                <w:szCs w:val="24"/>
                <w:highlight w:val="none"/>
              </w:rPr>
              <w:t>内无息退还。供应商应当</w:t>
            </w:r>
            <w:r>
              <w:rPr>
                <w:rFonts w:hint="eastAsia" w:ascii="宋体" w:hAnsi="宋体" w:eastAsia="宋体" w:cs="宋体"/>
                <w:color w:val="auto"/>
                <w:sz w:val="24"/>
                <w:szCs w:val="24"/>
                <w:highlight w:val="none"/>
                <w:lang w:val="en-US" w:eastAsia="zh-CN"/>
              </w:rPr>
              <w:t>以</w:t>
            </w:r>
            <w:r>
              <w:rPr>
                <w:rFonts w:hint="eastAsia" w:ascii="宋体" w:hAnsi="宋体" w:eastAsia="宋体" w:cs="宋体"/>
                <w:color w:val="auto"/>
                <w:kern w:val="0"/>
                <w:sz w:val="24"/>
                <w:highlight w:val="none"/>
              </w:rPr>
              <w:t>汇款/转账</w:t>
            </w:r>
            <w:r>
              <w:rPr>
                <w:rFonts w:hint="eastAsia" w:ascii="宋体" w:hAnsi="宋体" w:eastAsia="宋体" w:cs="宋体"/>
                <w:color w:val="auto"/>
                <w:kern w:val="0"/>
                <w:sz w:val="24"/>
                <w:highlight w:val="none"/>
                <w:lang w:val="en-US" w:eastAsia="zh-CN"/>
              </w:rPr>
              <w:t>/</w:t>
            </w:r>
            <w:r>
              <w:rPr>
                <w:rFonts w:hint="eastAsia" w:ascii="宋体" w:hAnsi="宋体" w:eastAsia="宋体" w:cs="宋体"/>
                <w:color w:val="auto"/>
                <w:kern w:val="0"/>
                <w:sz w:val="24"/>
                <w:highlight w:val="none"/>
              </w:rPr>
              <w:t>银行保函</w:t>
            </w:r>
            <w:r>
              <w:rPr>
                <w:rFonts w:hint="eastAsia" w:ascii="宋体" w:hAnsi="宋体" w:eastAsia="宋体" w:cs="宋体"/>
                <w:color w:val="auto"/>
                <w:kern w:val="0"/>
                <w:sz w:val="24"/>
                <w:highlight w:val="none"/>
                <w:lang w:val="en-US" w:eastAsia="zh-CN"/>
              </w:rPr>
              <w:t>/</w:t>
            </w:r>
            <w:r>
              <w:rPr>
                <w:rFonts w:hint="eastAsia" w:ascii="宋体" w:hAnsi="宋体" w:eastAsia="宋体" w:cs="宋体"/>
                <w:color w:val="auto"/>
                <w:kern w:val="0"/>
                <w:sz w:val="24"/>
                <w:highlight w:val="none"/>
              </w:rPr>
              <w:t>保险机构保证保险保单</w:t>
            </w:r>
            <w:r>
              <w:rPr>
                <w:rFonts w:hint="eastAsia" w:ascii="宋体" w:hAnsi="宋体" w:eastAsia="宋体" w:cs="宋体"/>
                <w:color w:val="auto"/>
                <w:kern w:val="0"/>
                <w:sz w:val="24"/>
                <w:highlight w:val="none"/>
                <w:lang w:val="en-US" w:eastAsia="zh-CN"/>
              </w:rPr>
              <w:t>/</w:t>
            </w:r>
            <w:r>
              <w:rPr>
                <w:rFonts w:hint="eastAsia" w:ascii="宋体" w:hAnsi="宋体" w:eastAsia="宋体" w:cs="宋体"/>
                <w:color w:val="auto"/>
                <w:kern w:val="0"/>
                <w:sz w:val="24"/>
                <w:highlight w:val="none"/>
              </w:rPr>
              <w:t>融资担保公司保函等非现金形式</w:t>
            </w:r>
            <w:r>
              <w:rPr>
                <w:rFonts w:hint="eastAsia" w:ascii="宋体" w:hAnsi="宋体" w:eastAsia="宋体" w:cs="宋体"/>
                <w:color w:val="auto"/>
                <w:sz w:val="24"/>
                <w:szCs w:val="24"/>
                <w:highlight w:val="none"/>
              </w:rPr>
              <w:t>提交。</w:t>
            </w:r>
          </w:p>
        </w:tc>
      </w:tr>
      <w:tr w14:paraId="32BF0D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41" w:type="dxa"/>
            <w:tcBorders>
              <w:top w:val="single" w:color="auto" w:sz="4" w:space="0"/>
              <w:bottom w:val="single" w:color="auto" w:sz="4" w:space="0"/>
              <w:right w:val="single" w:color="auto" w:sz="4" w:space="0"/>
            </w:tcBorders>
            <w:noWrap w:val="0"/>
            <w:vAlign w:val="center"/>
          </w:tcPr>
          <w:p w14:paraId="4E741891">
            <w:pPr>
              <w:snapToGrid w:val="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3</w:t>
            </w:r>
          </w:p>
        </w:tc>
        <w:tc>
          <w:tcPr>
            <w:tcW w:w="1988" w:type="dxa"/>
            <w:tcBorders>
              <w:top w:val="single" w:color="auto" w:sz="4" w:space="0"/>
              <w:left w:val="single" w:color="auto" w:sz="4" w:space="0"/>
              <w:bottom w:val="single" w:color="auto" w:sz="4" w:space="0"/>
              <w:right w:val="single" w:color="auto" w:sz="4" w:space="0"/>
            </w:tcBorders>
            <w:noWrap w:val="0"/>
            <w:vAlign w:val="center"/>
          </w:tcPr>
          <w:p w14:paraId="2DCE30FA">
            <w:pPr>
              <w:widowControl/>
              <w:spacing w:line="300" w:lineRule="auto"/>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付款方式</w:t>
            </w:r>
          </w:p>
        </w:tc>
        <w:tc>
          <w:tcPr>
            <w:tcW w:w="6799" w:type="dxa"/>
            <w:tcBorders>
              <w:top w:val="single" w:color="auto" w:sz="4" w:space="0"/>
              <w:left w:val="single" w:color="auto" w:sz="4" w:space="0"/>
              <w:bottom w:val="single" w:color="auto" w:sz="4" w:space="0"/>
            </w:tcBorders>
            <w:noWrap w:val="0"/>
            <w:vAlign w:val="center"/>
          </w:tcPr>
          <w:p w14:paraId="63EDD797">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宋体" w:hAnsi="宋体" w:eastAsia="宋体" w:cs="宋体"/>
                <w:color w:val="auto"/>
                <w:sz w:val="24"/>
                <w:szCs w:val="24"/>
                <w:highlight w:val="none"/>
              </w:rPr>
            </w:pPr>
            <w:r>
              <w:rPr>
                <w:rFonts w:hint="eastAsia" w:ascii="宋体" w:hAnsi="宋体" w:cs="宋体"/>
                <w:color w:val="auto"/>
                <w:kern w:val="0"/>
                <w:sz w:val="24"/>
                <w:szCs w:val="24"/>
                <w:highlight w:val="none"/>
                <w:lang w:val="en-US" w:eastAsia="zh-CN"/>
              </w:rPr>
              <w:t>详见专用合同条款第12条</w:t>
            </w:r>
            <w:r>
              <w:rPr>
                <w:rFonts w:hint="eastAsia" w:ascii="宋体" w:hAnsi="宋体" w:cs="宋体"/>
                <w:color w:val="auto"/>
                <w:kern w:val="0"/>
                <w:sz w:val="24"/>
                <w:szCs w:val="24"/>
                <w:highlight w:val="none"/>
                <w:lang w:eastAsia="zh-CN"/>
              </w:rPr>
              <w:t>。</w:t>
            </w:r>
          </w:p>
        </w:tc>
      </w:tr>
      <w:tr w14:paraId="240BB6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1" w:type="dxa"/>
            <w:tcBorders>
              <w:top w:val="single" w:color="auto" w:sz="4" w:space="0"/>
              <w:bottom w:val="single" w:color="auto" w:sz="4" w:space="0"/>
              <w:right w:val="single" w:color="auto" w:sz="4" w:space="0"/>
            </w:tcBorders>
            <w:noWrap w:val="0"/>
            <w:vAlign w:val="center"/>
          </w:tcPr>
          <w:p w14:paraId="64670844">
            <w:pPr>
              <w:snapToGrid w:val="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4</w:t>
            </w:r>
          </w:p>
        </w:tc>
        <w:tc>
          <w:tcPr>
            <w:tcW w:w="1988" w:type="dxa"/>
            <w:tcBorders>
              <w:top w:val="single" w:color="auto" w:sz="4" w:space="0"/>
              <w:left w:val="single" w:color="auto" w:sz="4" w:space="0"/>
              <w:bottom w:val="single" w:color="auto" w:sz="4" w:space="0"/>
              <w:right w:val="single" w:color="auto" w:sz="4" w:space="0"/>
            </w:tcBorders>
            <w:noWrap w:val="0"/>
            <w:vAlign w:val="center"/>
          </w:tcPr>
          <w:p w14:paraId="1CF5A12A">
            <w:pPr>
              <w:autoSpaceDE w:val="0"/>
              <w:autoSpaceDN w:val="0"/>
              <w:snapToGrid w:val="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采购资金来源</w:t>
            </w:r>
          </w:p>
        </w:tc>
        <w:tc>
          <w:tcPr>
            <w:tcW w:w="6799" w:type="dxa"/>
            <w:tcBorders>
              <w:top w:val="single" w:color="auto" w:sz="4" w:space="0"/>
              <w:left w:val="single" w:color="auto" w:sz="4" w:space="0"/>
              <w:bottom w:val="single" w:color="auto" w:sz="4" w:space="0"/>
            </w:tcBorders>
            <w:noWrap w:val="0"/>
            <w:vAlign w:val="center"/>
          </w:tcPr>
          <w:p w14:paraId="1C00E9C2">
            <w:pPr>
              <w:autoSpaceDE w:val="0"/>
              <w:autoSpaceDN w:val="0"/>
              <w:snapToGrid w:val="0"/>
              <w:spacing w:line="300" w:lineRule="auto"/>
              <w:contextualSpacing/>
              <w:textAlignment w:val="bottom"/>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自有资金及</w:t>
            </w:r>
            <w:r>
              <w:rPr>
                <w:rFonts w:hint="eastAsia" w:ascii="宋体" w:hAnsi="宋体" w:cs="宋体"/>
                <w:color w:val="auto"/>
                <w:sz w:val="24"/>
                <w:szCs w:val="24"/>
                <w:highlight w:val="none"/>
              </w:rPr>
              <w:t>财政资金</w:t>
            </w:r>
          </w:p>
        </w:tc>
      </w:tr>
      <w:tr w14:paraId="1FD120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1" w:type="dxa"/>
            <w:tcBorders>
              <w:top w:val="single" w:color="auto" w:sz="4" w:space="0"/>
              <w:bottom w:val="single" w:color="auto" w:sz="4" w:space="0"/>
              <w:right w:val="single" w:color="auto" w:sz="4" w:space="0"/>
            </w:tcBorders>
            <w:noWrap w:val="0"/>
            <w:vAlign w:val="center"/>
          </w:tcPr>
          <w:p w14:paraId="0E1E387C">
            <w:pPr>
              <w:snapToGrid w:val="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5</w:t>
            </w:r>
          </w:p>
        </w:tc>
        <w:tc>
          <w:tcPr>
            <w:tcW w:w="1988" w:type="dxa"/>
            <w:tcBorders>
              <w:top w:val="single" w:color="auto" w:sz="4" w:space="0"/>
              <w:left w:val="single" w:color="auto" w:sz="4" w:space="0"/>
              <w:bottom w:val="single" w:color="auto" w:sz="4" w:space="0"/>
              <w:right w:val="single" w:color="auto" w:sz="4" w:space="0"/>
            </w:tcBorders>
            <w:noWrap w:val="0"/>
            <w:vAlign w:val="center"/>
          </w:tcPr>
          <w:p w14:paraId="22ACB11F">
            <w:pPr>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响应文件有效期</w:t>
            </w:r>
          </w:p>
        </w:tc>
        <w:tc>
          <w:tcPr>
            <w:tcW w:w="6799" w:type="dxa"/>
            <w:tcBorders>
              <w:top w:val="single" w:color="auto" w:sz="4" w:space="0"/>
              <w:left w:val="single" w:color="auto" w:sz="4" w:space="0"/>
              <w:bottom w:val="single" w:color="auto" w:sz="4" w:space="0"/>
            </w:tcBorders>
            <w:noWrap w:val="0"/>
            <w:vAlign w:val="center"/>
          </w:tcPr>
          <w:p w14:paraId="469B1E9D">
            <w:pPr>
              <w:snapToGrid w:val="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u w:val="single"/>
              </w:rPr>
              <w:t>90</w:t>
            </w:r>
            <w:r>
              <w:rPr>
                <w:rFonts w:hint="eastAsia" w:ascii="宋体" w:hAnsi="宋体" w:eastAsia="宋体" w:cs="宋体"/>
                <w:color w:val="auto"/>
                <w:sz w:val="24"/>
                <w:szCs w:val="24"/>
                <w:highlight w:val="none"/>
              </w:rPr>
              <w:t xml:space="preserve"> 天</w:t>
            </w:r>
          </w:p>
        </w:tc>
      </w:tr>
      <w:tr w14:paraId="194225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1" w:type="dxa"/>
            <w:tcBorders>
              <w:top w:val="single" w:color="auto" w:sz="4" w:space="0"/>
              <w:bottom w:val="single" w:color="auto" w:sz="4" w:space="0"/>
              <w:right w:val="single" w:color="auto" w:sz="4" w:space="0"/>
            </w:tcBorders>
            <w:noWrap w:val="0"/>
            <w:vAlign w:val="center"/>
          </w:tcPr>
          <w:p w14:paraId="157D695B">
            <w:pPr>
              <w:snapToGrid w:val="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p>
        </w:tc>
        <w:tc>
          <w:tcPr>
            <w:tcW w:w="1988" w:type="dxa"/>
            <w:tcBorders>
              <w:top w:val="single" w:color="auto" w:sz="4" w:space="0"/>
              <w:left w:val="single" w:color="auto" w:sz="4" w:space="0"/>
              <w:bottom w:val="single" w:color="auto" w:sz="4" w:space="0"/>
              <w:right w:val="single" w:color="auto" w:sz="4" w:space="0"/>
            </w:tcBorders>
            <w:noWrap w:val="0"/>
            <w:vAlign w:val="center"/>
          </w:tcPr>
          <w:p w14:paraId="5C8ED187">
            <w:pPr>
              <w:snapToGrid w:val="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注册及磋商文件的获取</w:t>
            </w:r>
          </w:p>
        </w:tc>
        <w:tc>
          <w:tcPr>
            <w:tcW w:w="6799" w:type="dxa"/>
            <w:tcBorders>
              <w:top w:val="single" w:color="auto" w:sz="4" w:space="0"/>
              <w:left w:val="single" w:color="auto" w:sz="4" w:space="0"/>
              <w:bottom w:val="single" w:color="auto" w:sz="4" w:space="0"/>
            </w:tcBorders>
            <w:noWrap w:val="0"/>
            <w:vAlign w:val="center"/>
          </w:tcPr>
          <w:p w14:paraId="74DE9E32">
            <w:pPr>
              <w:snapToGrid w:val="0"/>
              <w:rPr>
                <w:rFonts w:hint="eastAsia" w:ascii="宋体" w:hAnsi="宋体" w:eastAsia="宋体" w:cs="宋体"/>
                <w:b/>
                <w:bCs/>
                <w:color w:val="auto"/>
                <w:sz w:val="24"/>
                <w:szCs w:val="24"/>
                <w:highlight w:val="none"/>
                <w:u w:val="single"/>
              </w:rPr>
            </w:pPr>
            <w:r>
              <w:rPr>
                <w:rFonts w:hint="eastAsia" w:ascii="宋体" w:hAnsi="宋体" w:eastAsia="宋体" w:cs="宋体"/>
                <w:bCs/>
                <w:color w:val="auto"/>
                <w:sz w:val="24"/>
                <w:highlight w:val="none"/>
              </w:rPr>
              <w:t>详见第一章</w:t>
            </w:r>
            <w:r>
              <w:rPr>
                <w:rFonts w:hint="eastAsia" w:ascii="宋体" w:hAnsi="宋体" w:eastAsia="宋体" w:cs="宋体"/>
                <w:color w:val="auto"/>
                <w:sz w:val="24"/>
                <w:szCs w:val="24"/>
                <w:highlight w:val="none"/>
              </w:rPr>
              <w:t>《竞争性磋商公告》第三条规定。</w:t>
            </w:r>
          </w:p>
        </w:tc>
      </w:tr>
      <w:tr w14:paraId="19071A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6" w:hRule="atLeast"/>
        </w:trPr>
        <w:tc>
          <w:tcPr>
            <w:tcW w:w="841" w:type="dxa"/>
            <w:tcBorders>
              <w:top w:val="single" w:color="auto" w:sz="4" w:space="0"/>
              <w:bottom w:val="single" w:color="auto" w:sz="4" w:space="0"/>
              <w:right w:val="single" w:color="auto" w:sz="4" w:space="0"/>
            </w:tcBorders>
            <w:noWrap w:val="0"/>
            <w:vAlign w:val="center"/>
          </w:tcPr>
          <w:p w14:paraId="4D4D7008">
            <w:pPr>
              <w:snapToGrid w:val="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17</w:t>
            </w:r>
          </w:p>
        </w:tc>
        <w:tc>
          <w:tcPr>
            <w:tcW w:w="1988" w:type="dxa"/>
            <w:tcBorders>
              <w:top w:val="single" w:color="auto" w:sz="4" w:space="0"/>
              <w:left w:val="single" w:color="auto" w:sz="4" w:space="0"/>
              <w:bottom w:val="single" w:color="auto" w:sz="4" w:space="0"/>
              <w:right w:val="single" w:color="auto" w:sz="4" w:space="0"/>
            </w:tcBorders>
            <w:noWrap w:val="0"/>
            <w:vAlign w:val="center"/>
          </w:tcPr>
          <w:p w14:paraId="4032E599">
            <w:pPr>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信用记录</w:t>
            </w:r>
          </w:p>
        </w:tc>
        <w:tc>
          <w:tcPr>
            <w:tcW w:w="6799" w:type="dxa"/>
            <w:tcBorders>
              <w:top w:val="single" w:color="auto" w:sz="4" w:space="0"/>
              <w:left w:val="single" w:color="auto" w:sz="4" w:space="0"/>
              <w:bottom w:val="single" w:color="auto" w:sz="4" w:space="0"/>
            </w:tcBorders>
            <w:noWrap w:val="0"/>
            <w:vAlign w:val="center"/>
          </w:tcPr>
          <w:p w14:paraId="1D1C93BB">
            <w:pPr>
              <w:snapToGrid w:val="0"/>
              <w:rPr>
                <w:rFonts w:hint="eastAsia" w:ascii="宋体" w:hAnsi="宋体" w:eastAsia="宋体" w:cs="宋体"/>
                <w:bCs/>
                <w:color w:val="auto"/>
                <w:sz w:val="24"/>
                <w:highlight w:val="none"/>
              </w:rPr>
            </w:pPr>
            <w:r>
              <w:rPr>
                <w:rFonts w:hint="eastAsia" w:ascii="宋体" w:hAnsi="宋体" w:eastAsia="宋体" w:cs="宋体"/>
                <w:color w:val="auto"/>
                <w:sz w:val="24"/>
                <w:highlight w:val="none"/>
              </w:rPr>
              <w:t>根据财库[2016]125号文件，通过“信用中国”网站（www.creditchina.gov.cn）、中国政府采购网（www.ccgp.gov.cn），以磋商当日网页查询记录为准。对列入失信被执行人、重大税收违法案件当事人名单、政府采购严重违法失信行为记录名单的供应商，其磋商响应文件将作无效处理。</w:t>
            </w:r>
          </w:p>
        </w:tc>
      </w:tr>
      <w:tr w14:paraId="7FD262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41" w:type="dxa"/>
            <w:tcBorders>
              <w:top w:val="single" w:color="auto" w:sz="4" w:space="0"/>
              <w:bottom w:val="single" w:color="auto" w:sz="4" w:space="0"/>
              <w:right w:val="single" w:color="auto" w:sz="4" w:space="0"/>
            </w:tcBorders>
            <w:noWrap w:val="0"/>
            <w:vAlign w:val="center"/>
          </w:tcPr>
          <w:p w14:paraId="4E0FDC30">
            <w:pPr>
              <w:snapToGrid w:val="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18</w:t>
            </w:r>
          </w:p>
        </w:tc>
        <w:tc>
          <w:tcPr>
            <w:tcW w:w="1988" w:type="dxa"/>
            <w:tcBorders>
              <w:top w:val="single" w:color="auto" w:sz="4" w:space="0"/>
              <w:left w:val="single" w:color="auto" w:sz="4" w:space="0"/>
              <w:bottom w:val="single" w:color="auto" w:sz="4" w:space="0"/>
              <w:right w:val="single" w:color="auto" w:sz="4" w:space="0"/>
            </w:tcBorders>
            <w:noWrap w:val="0"/>
            <w:vAlign w:val="center"/>
          </w:tcPr>
          <w:p w14:paraId="6EC94A7F">
            <w:pPr>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解释</w:t>
            </w:r>
          </w:p>
        </w:tc>
        <w:tc>
          <w:tcPr>
            <w:tcW w:w="6799" w:type="dxa"/>
            <w:tcBorders>
              <w:top w:val="single" w:color="auto" w:sz="4" w:space="0"/>
              <w:left w:val="single" w:color="auto" w:sz="4" w:space="0"/>
              <w:bottom w:val="single" w:color="auto" w:sz="4" w:space="0"/>
            </w:tcBorders>
            <w:noWrap w:val="0"/>
            <w:vAlign w:val="center"/>
          </w:tcPr>
          <w:p w14:paraId="6A3AC53A">
            <w:pPr>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本磋商文件的解释权属于竞争性磋商采购单位。</w:t>
            </w:r>
          </w:p>
        </w:tc>
      </w:tr>
    </w:tbl>
    <w:p w14:paraId="70D117BE">
      <w:pP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br w:type="page"/>
      </w:r>
    </w:p>
    <w:p w14:paraId="664D8829">
      <w:pPr>
        <w:pStyle w:val="7"/>
        <w:spacing w:before="0" w:after="0" w:line="30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 xml:space="preserve"> </w:t>
      </w:r>
      <w:bookmarkStart w:id="30" w:name="_Toc370"/>
      <w:bookmarkStart w:id="31" w:name="_Toc22739"/>
      <w:r>
        <w:rPr>
          <w:rFonts w:hint="eastAsia" w:ascii="宋体" w:hAnsi="宋体" w:eastAsia="宋体" w:cs="宋体"/>
          <w:color w:val="auto"/>
          <w:highlight w:val="none"/>
        </w:rPr>
        <w:t>二、总  则</w:t>
      </w:r>
      <w:bookmarkEnd w:id="30"/>
      <w:bookmarkEnd w:id="31"/>
    </w:p>
    <w:p w14:paraId="17E202DD">
      <w:pPr>
        <w:pageBreakBefore w:val="0"/>
        <w:widowControl w:val="0"/>
        <w:kinsoku/>
        <w:wordWrap/>
        <w:overflowPunct/>
        <w:topLinePunct w:val="0"/>
        <w:autoSpaceDE/>
        <w:autoSpaceDN/>
        <w:bidi w:val="0"/>
        <w:snapToGrid w:val="0"/>
        <w:spacing w:line="450" w:lineRule="exact"/>
        <w:ind w:firstLine="48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（一） 适用范围</w:t>
      </w:r>
    </w:p>
    <w:p w14:paraId="0BE60B53">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本磋商文件适用于</w:t>
      </w:r>
      <w:r>
        <w:rPr>
          <w:rFonts w:hint="eastAsia" w:ascii="宋体" w:hAnsi="宋体" w:cs="宋体"/>
          <w:color w:val="auto"/>
          <w:kern w:val="2"/>
          <w:sz w:val="24"/>
          <w:szCs w:val="24"/>
          <w:highlight w:val="none"/>
          <w:lang w:val="en-US" w:eastAsia="zh-CN" w:bidi="ar-SA"/>
        </w:rPr>
        <w:t>嘉善县天凝中学2025年度校舍常规维修</w:t>
      </w:r>
      <w:r>
        <w:rPr>
          <w:rFonts w:hint="eastAsia" w:ascii="宋体" w:hAnsi="宋体" w:eastAsia="宋体" w:cs="宋体"/>
          <w:color w:val="auto"/>
          <w:sz w:val="24"/>
          <w:szCs w:val="24"/>
          <w:highlight w:val="none"/>
        </w:rPr>
        <w:t>的磋商、评审、定标、验收、合同履约、付款等（法律、法规另有规定的，从其规定）。</w:t>
      </w:r>
    </w:p>
    <w:p w14:paraId="1917CC91">
      <w:pPr>
        <w:pageBreakBefore w:val="0"/>
        <w:widowControl w:val="0"/>
        <w:kinsoku/>
        <w:wordWrap/>
        <w:overflowPunct/>
        <w:topLinePunct w:val="0"/>
        <w:autoSpaceDE/>
        <w:autoSpaceDN/>
        <w:bidi w:val="0"/>
        <w:snapToGrid w:val="0"/>
        <w:spacing w:line="450" w:lineRule="exact"/>
        <w:ind w:firstLine="48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（二）定义</w:t>
      </w:r>
    </w:p>
    <w:p w14:paraId="2C5A4823">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1.“供应商”系指向代理机构提交磋商响应文</w:t>
      </w:r>
      <w:r>
        <w:rPr>
          <w:rFonts w:hint="eastAsia" w:ascii="宋体" w:hAnsi="宋体" w:eastAsia="宋体" w:cs="宋体"/>
          <w:color w:val="auto"/>
          <w:sz w:val="24"/>
          <w:highlight w:val="none"/>
        </w:rPr>
        <w:t>件的单位。</w:t>
      </w:r>
    </w:p>
    <w:p w14:paraId="6CAC0D43">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2.“服务”系指磋商文件规定供应商须承担的</w:t>
      </w:r>
      <w:r>
        <w:rPr>
          <w:rFonts w:hint="eastAsia" w:ascii="宋体" w:hAnsi="宋体" w:cs="宋体"/>
          <w:color w:val="auto"/>
          <w:kern w:val="2"/>
          <w:sz w:val="24"/>
          <w:szCs w:val="24"/>
          <w:highlight w:val="none"/>
          <w:lang w:val="en-US" w:eastAsia="zh-CN" w:bidi="ar-SA"/>
        </w:rPr>
        <w:t>嘉善县天凝中学2025年度校舍常规维修</w:t>
      </w:r>
      <w:r>
        <w:rPr>
          <w:rFonts w:hint="eastAsia" w:ascii="宋体" w:hAnsi="宋体" w:eastAsia="宋体" w:cs="宋体"/>
          <w:color w:val="auto"/>
          <w:sz w:val="24"/>
          <w:highlight w:val="none"/>
        </w:rPr>
        <w:t>。</w:t>
      </w:r>
    </w:p>
    <w:p w14:paraId="483771FE">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3.“施工”</w:t>
      </w:r>
      <w:r>
        <w:rPr>
          <w:rFonts w:hint="eastAsia" w:ascii="宋体" w:hAnsi="宋体" w:eastAsia="宋体" w:cs="宋体"/>
          <w:color w:val="auto"/>
          <w:sz w:val="24"/>
          <w:szCs w:val="24"/>
          <w:highlight w:val="none"/>
          <w:lang w:eastAsia="zh-CN"/>
        </w:rPr>
        <w:t>系指</w:t>
      </w:r>
      <w:r>
        <w:rPr>
          <w:rFonts w:hint="eastAsia" w:ascii="宋体" w:hAnsi="宋体" w:eastAsia="宋体" w:cs="宋体"/>
          <w:color w:val="auto"/>
          <w:sz w:val="24"/>
          <w:szCs w:val="24"/>
          <w:highlight w:val="none"/>
        </w:rPr>
        <w:t>供应商</w:t>
      </w:r>
      <w:r>
        <w:rPr>
          <w:rFonts w:hint="eastAsia" w:ascii="宋体" w:hAnsi="宋体" w:eastAsia="宋体" w:cs="宋体"/>
          <w:color w:val="auto"/>
          <w:sz w:val="24"/>
          <w:szCs w:val="24"/>
          <w:highlight w:val="none"/>
          <w:lang w:val="en-US" w:eastAsia="zh-CN"/>
        </w:rPr>
        <w:t>须按照竞争性磋商文件中规定的</w:t>
      </w:r>
      <w:r>
        <w:rPr>
          <w:rFonts w:hint="eastAsia" w:ascii="宋体" w:hAnsi="宋体" w:eastAsia="宋体" w:cs="宋体"/>
          <w:color w:val="auto"/>
          <w:sz w:val="24"/>
          <w:szCs w:val="24"/>
          <w:highlight w:val="none"/>
        </w:rPr>
        <w:t>招标范围和工程施工现场实际情况、合理的施工方法</w:t>
      </w:r>
      <w:r>
        <w:rPr>
          <w:rFonts w:hint="eastAsia" w:ascii="宋体" w:hAnsi="宋体" w:eastAsia="宋体" w:cs="宋体"/>
          <w:color w:val="auto"/>
          <w:sz w:val="24"/>
          <w:szCs w:val="24"/>
          <w:highlight w:val="none"/>
          <w:lang w:val="en-US" w:eastAsia="zh-CN"/>
        </w:rPr>
        <w:t>进行施工总承包。</w:t>
      </w:r>
    </w:p>
    <w:p w14:paraId="4AC01DF3">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．“项目”系指投标人按招标文件规定向采购人提供的</w:t>
      </w:r>
      <w:r>
        <w:rPr>
          <w:rFonts w:hint="eastAsia" w:ascii="宋体" w:hAnsi="宋体" w:eastAsia="宋体" w:cs="宋体"/>
          <w:color w:val="auto"/>
          <w:sz w:val="24"/>
          <w:szCs w:val="24"/>
          <w:highlight w:val="none"/>
          <w:lang w:val="en-US" w:eastAsia="zh-CN"/>
        </w:rPr>
        <w:t>施工和</w:t>
      </w:r>
      <w:r>
        <w:rPr>
          <w:rFonts w:hint="eastAsia" w:ascii="宋体" w:hAnsi="宋体" w:eastAsia="宋体" w:cs="宋体"/>
          <w:color w:val="auto"/>
          <w:sz w:val="24"/>
          <w:szCs w:val="24"/>
          <w:highlight w:val="none"/>
          <w:lang w:eastAsia="zh-CN"/>
        </w:rPr>
        <w:t>产品和服务。</w:t>
      </w:r>
    </w:p>
    <w:p w14:paraId="15334DF6">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.“书面形式”包括信函、传真、电报、电子文档等</w:t>
      </w:r>
      <w:r>
        <w:rPr>
          <w:rFonts w:hint="eastAsia" w:ascii="宋体" w:hAnsi="宋体" w:eastAsia="宋体" w:cs="宋体"/>
          <w:color w:val="auto"/>
          <w:sz w:val="24"/>
          <w:szCs w:val="24"/>
          <w:highlight w:val="none"/>
        </w:rPr>
        <w:t>。</w:t>
      </w:r>
    </w:p>
    <w:p w14:paraId="013EA163">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.“▲”系指实质性要求条款</w:t>
      </w:r>
      <w:r>
        <w:rPr>
          <w:rFonts w:hint="eastAsia" w:ascii="宋体" w:hAnsi="宋体" w:eastAsia="宋体" w:cs="宋体"/>
          <w:color w:val="auto"/>
          <w:sz w:val="24"/>
          <w:highlight w:val="none"/>
        </w:rPr>
        <w:t>，如有不满足，响应文件为无效文件</w:t>
      </w:r>
      <w:r>
        <w:rPr>
          <w:rFonts w:hint="eastAsia" w:ascii="宋体" w:hAnsi="宋体" w:eastAsia="宋体" w:cs="宋体"/>
          <w:color w:val="auto"/>
          <w:sz w:val="24"/>
          <w:szCs w:val="24"/>
          <w:highlight w:val="none"/>
        </w:rPr>
        <w:t>。</w:t>
      </w:r>
    </w:p>
    <w:p w14:paraId="77D2CC5F">
      <w:pPr>
        <w:pageBreakBefore w:val="0"/>
        <w:widowControl w:val="0"/>
        <w:kinsoku/>
        <w:wordWrap/>
        <w:overflowPunct/>
        <w:topLinePunct w:val="0"/>
        <w:autoSpaceDE/>
        <w:autoSpaceDN/>
        <w:bidi w:val="0"/>
        <w:snapToGrid w:val="0"/>
        <w:spacing w:line="450" w:lineRule="exact"/>
        <w:ind w:firstLine="48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（三）磋商方式</w:t>
      </w:r>
    </w:p>
    <w:p w14:paraId="168DA055">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本次采购采用竞争性磋商方式进行</w:t>
      </w:r>
      <w:r>
        <w:rPr>
          <w:rFonts w:hint="eastAsia" w:ascii="宋体" w:hAnsi="宋体" w:eastAsia="宋体" w:cs="宋体"/>
          <w:color w:val="auto"/>
          <w:sz w:val="24"/>
          <w:szCs w:val="24"/>
          <w:highlight w:val="none"/>
        </w:rPr>
        <w:t>。</w:t>
      </w:r>
    </w:p>
    <w:p w14:paraId="61DDABBC">
      <w:pPr>
        <w:pageBreakBefore w:val="0"/>
        <w:widowControl w:val="0"/>
        <w:kinsoku/>
        <w:wordWrap/>
        <w:overflowPunct/>
        <w:topLinePunct w:val="0"/>
        <w:autoSpaceDE/>
        <w:autoSpaceDN/>
        <w:bidi w:val="0"/>
        <w:snapToGrid w:val="0"/>
        <w:spacing w:line="450" w:lineRule="exact"/>
        <w:ind w:firstLine="48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（四）磋商委托</w:t>
      </w:r>
    </w:p>
    <w:p w14:paraId="7400A775">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如供应商代表不是法定代表人，还须有法定代表人出具的授权委托书。</w:t>
      </w:r>
    </w:p>
    <w:p w14:paraId="4DA66039">
      <w:pPr>
        <w:pageBreakBefore w:val="0"/>
        <w:widowControl w:val="0"/>
        <w:kinsoku/>
        <w:wordWrap/>
        <w:overflowPunct/>
        <w:topLinePunct w:val="0"/>
        <w:autoSpaceDE/>
        <w:autoSpaceDN/>
        <w:bidi w:val="0"/>
        <w:snapToGrid w:val="0"/>
        <w:spacing w:line="450" w:lineRule="exact"/>
        <w:ind w:firstLine="48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（五）磋商费用</w:t>
      </w:r>
    </w:p>
    <w:p w14:paraId="372F36AA">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不论磋商结果如何，供应商均应自行承担所有与磋商有关的全部费用。</w:t>
      </w:r>
    </w:p>
    <w:p w14:paraId="0176FC30">
      <w:pPr>
        <w:pageBreakBefore w:val="0"/>
        <w:widowControl w:val="0"/>
        <w:kinsoku/>
        <w:wordWrap/>
        <w:overflowPunct/>
        <w:topLinePunct w:val="0"/>
        <w:autoSpaceDE/>
        <w:autoSpaceDN/>
        <w:bidi w:val="0"/>
        <w:snapToGrid w:val="0"/>
        <w:spacing w:line="450" w:lineRule="exact"/>
        <w:ind w:firstLine="48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（六）联合体磋商</w:t>
      </w:r>
    </w:p>
    <w:p w14:paraId="29B02E8E">
      <w:pPr>
        <w:pageBreakBefore w:val="0"/>
        <w:widowControl w:val="0"/>
        <w:kinsoku/>
        <w:wordWrap/>
        <w:overflowPunct/>
        <w:topLinePunct w:val="0"/>
        <w:autoSpaceDE/>
        <w:autoSpaceDN/>
        <w:bidi w:val="0"/>
        <w:spacing w:line="450" w:lineRule="exact"/>
        <w:ind w:firstLine="715" w:firstLineChars="298"/>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sz w:val="24"/>
          <w:szCs w:val="24"/>
          <w:highlight w:val="none"/>
        </w:rPr>
        <w:t>▲本项目</w:t>
      </w:r>
      <w:r>
        <w:rPr>
          <w:rFonts w:hint="eastAsia" w:ascii="宋体" w:hAnsi="宋体" w:eastAsia="宋体" w:cs="宋体"/>
          <w:color w:val="auto"/>
          <w:sz w:val="24"/>
          <w:szCs w:val="24"/>
          <w:highlight w:val="none"/>
          <w:lang w:val="en-US" w:eastAsia="zh-CN"/>
        </w:rPr>
        <w:t>不</w:t>
      </w:r>
      <w:r>
        <w:rPr>
          <w:rFonts w:hint="eastAsia" w:ascii="宋体" w:hAnsi="宋体" w:eastAsia="宋体" w:cs="宋体"/>
          <w:color w:val="auto"/>
          <w:sz w:val="24"/>
          <w:szCs w:val="24"/>
          <w:highlight w:val="none"/>
        </w:rPr>
        <w:t>接受联合体磋商</w:t>
      </w:r>
      <w:r>
        <w:rPr>
          <w:rFonts w:hint="eastAsia" w:ascii="宋体" w:hAnsi="宋体" w:eastAsia="宋体" w:cs="宋体"/>
          <w:b/>
          <w:bCs/>
          <w:color w:val="auto"/>
          <w:sz w:val="24"/>
          <w:szCs w:val="24"/>
          <w:highlight w:val="none"/>
          <w:lang w:val="en-US" w:eastAsia="zh-CN"/>
        </w:rPr>
        <w:t>。</w:t>
      </w:r>
    </w:p>
    <w:p w14:paraId="5738FD34">
      <w:pPr>
        <w:pageBreakBefore w:val="0"/>
        <w:widowControl w:val="0"/>
        <w:kinsoku/>
        <w:wordWrap/>
        <w:overflowPunct/>
        <w:topLinePunct w:val="0"/>
        <w:autoSpaceDE/>
        <w:autoSpaceDN/>
        <w:bidi w:val="0"/>
        <w:snapToGrid w:val="0"/>
        <w:spacing w:line="450" w:lineRule="exact"/>
        <w:ind w:firstLine="48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（七）关联企业参与磋商</w:t>
      </w:r>
    </w:p>
    <w:p w14:paraId="3092B1B3">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1.本磋商文件所称关联企业,是指存在“关联关系”的企业</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“关联关系”的界定适用《中华人民共和国公司法》216条之规定。</w:t>
      </w:r>
    </w:p>
    <w:p w14:paraId="3C6FB40D">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2.▲关联企业中,法定代表人为同一个的两个及两个以上法人，母公司、全资子公司及其控股公司，都不得同时参加磋商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一经发现，将导致磋商响应同时被拒绝。</w:t>
      </w:r>
    </w:p>
    <w:p w14:paraId="6AFAB64E">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多家代理商或经销商参加采购活动，如其中两家或两家以上供应商存在分级代理或代销关系，且提供的是其所代理品牌的产品的，评审时，取其中通过资格审查后的报价最低一家为有效供应商；当报价相同时，则以技术标最优一家为有效供应商；均相同时，由磋商小组集体决定。</w:t>
      </w:r>
    </w:p>
    <w:p w14:paraId="521B59CD">
      <w:pPr>
        <w:pageBreakBefore w:val="0"/>
        <w:widowControl w:val="0"/>
        <w:kinsoku/>
        <w:wordWrap/>
        <w:overflowPunct/>
        <w:topLinePunct w:val="0"/>
        <w:autoSpaceDE/>
        <w:autoSpaceDN/>
        <w:bidi w:val="0"/>
        <w:snapToGrid w:val="0"/>
        <w:spacing w:line="450" w:lineRule="exact"/>
        <w:ind w:firstLine="48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（八）转包与分包</w:t>
      </w:r>
    </w:p>
    <w:p w14:paraId="606952F3">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1.本项目不允许转包。</w:t>
      </w:r>
    </w:p>
    <w:p w14:paraId="657A751B">
      <w:pPr>
        <w:pageBreakBefore w:val="0"/>
        <w:widowControl w:val="0"/>
        <w:kinsoku/>
        <w:wordWrap/>
        <w:overflowPunct/>
        <w:topLinePunct w:val="0"/>
        <w:autoSpaceDE/>
        <w:autoSpaceDN/>
        <w:bidi w:val="0"/>
        <w:adjustRightInd/>
        <w:snapToGrid w:val="0"/>
        <w:spacing w:line="420" w:lineRule="exact"/>
        <w:ind w:firstLine="480" w:firstLineChars="200"/>
        <w:textAlignment w:val="auto"/>
        <w:rPr>
          <w:rFonts w:hint="eastAsia" w:ascii="宋体" w:hAnsi="宋体" w:eastAsia="宋体" w:cs="宋体"/>
          <w:color w:val="auto"/>
          <w:sz w:val="24"/>
          <w:szCs w:val="24"/>
          <w:highlight w:val="none"/>
        </w:rPr>
      </w:pPr>
      <w:bookmarkStart w:id="32" w:name="_Toc487793386"/>
      <w:bookmarkStart w:id="33" w:name="_Toc437979776"/>
      <w:bookmarkStart w:id="34" w:name="_Toc192313107"/>
      <w:bookmarkStart w:id="35" w:name="_Toc487802024"/>
      <w:bookmarkStart w:id="36" w:name="_Toc487802093"/>
      <w:bookmarkStart w:id="37" w:name="_Toc493082114"/>
      <w:bookmarkStart w:id="38" w:name="_Toc493699298"/>
      <w:bookmarkStart w:id="39" w:name="_Toc177870542"/>
      <w:bookmarkStart w:id="40" w:name="_Toc448487535"/>
      <w:r>
        <w:rPr>
          <w:rFonts w:hint="eastAsia" w:ascii="宋体" w:hAnsi="宋体" w:cs="宋体"/>
          <w:color w:val="auto"/>
          <w:sz w:val="24"/>
          <w:szCs w:val="24"/>
          <w:highlight w:val="none"/>
        </w:rPr>
        <w:t>2.本项目不可以</w:t>
      </w:r>
      <w:r>
        <w:rPr>
          <w:rFonts w:hint="eastAsia" w:ascii="宋体" w:hAnsi="宋体" w:cs="宋体"/>
          <w:color w:val="auto"/>
          <w:sz w:val="24"/>
          <w:szCs w:val="24"/>
          <w:highlight w:val="none"/>
          <w:lang w:eastAsia="zh-CN"/>
        </w:rPr>
        <w:t>违规</w:t>
      </w:r>
      <w:r>
        <w:rPr>
          <w:rFonts w:hint="eastAsia" w:ascii="宋体" w:hAnsi="宋体" w:cs="宋体"/>
          <w:color w:val="auto"/>
          <w:sz w:val="24"/>
          <w:szCs w:val="24"/>
          <w:highlight w:val="none"/>
        </w:rPr>
        <w:t>分</w:t>
      </w:r>
      <w:r>
        <w:rPr>
          <w:rFonts w:hint="eastAsia" w:ascii="宋体" w:hAnsi="宋体" w:eastAsia="宋体" w:cs="宋体"/>
          <w:color w:val="auto"/>
          <w:sz w:val="24"/>
          <w:szCs w:val="24"/>
          <w:highlight w:val="none"/>
        </w:rPr>
        <w:t>包</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在不涉及国家禁止的且由业主书面同意方可分包</w:t>
      </w:r>
      <w:r>
        <w:rPr>
          <w:rFonts w:hint="eastAsia" w:ascii="宋体" w:hAnsi="宋体" w:eastAsia="宋体" w:cs="宋体"/>
          <w:color w:val="auto"/>
          <w:sz w:val="24"/>
          <w:szCs w:val="24"/>
          <w:highlight w:val="none"/>
        </w:rPr>
        <w:t>。</w:t>
      </w:r>
    </w:p>
    <w:p w14:paraId="79787522">
      <w:pPr>
        <w:pageBreakBefore w:val="0"/>
        <w:widowControl w:val="0"/>
        <w:kinsoku/>
        <w:wordWrap/>
        <w:overflowPunct/>
        <w:topLinePunct w:val="0"/>
        <w:autoSpaceDE/>
        <w:autoSpaceDN/>
        <w:bidi w:val="0"/>
        <w:snapToGrid w:val="0"/>
        <w:spacing w:line="450" w:lineRule="exact"/>
        <w:ind w:firstLine="48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（九）特别说明</w:t>
      </w:r>
      <w:bookmarkEnd w:id="32"/>
      <w:bookmarkEnd w:id="33"/>
      <w:bookmarkEnd w:id="34"/>
      <w:bookmarkEnd w:id="35"/>
      <w:bookmarkEnd w:id="36"/>
      <w:bookmarkEnd w:id="37"/>
      <w:bookmarkEnd w:id="38"/>
      <w:bookmarkEnd w:id="39"/>
      <w:bookmarkEnd w:id="40"/>
    </w:p>
    <w:p w14:paraId="65043DE6">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1.▲供应商磋商所使用的资格、信誉、荣誉、业绩与企业认证必须为本法人所拥有。</w:t>
      </w:r>
    </w:p>
    <w:p w14:paraId="58C2C4A2">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2.▲供应商磋商不得含有任何虚假材料,否则作无效处理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成交后发现的, 成交供应商须依照《中华人民共和国消费者权益保护法》第55条之规定赔偿采购人。民事上之赔偿不免除作假供应商之行政与刑事责任。</w:t>
      </w:r>
    </w:p>
    <w:p w14:paraId="343E06C8">
      <w:pPr>
        <w:pageBreakBefore w:val="0"/>
        <w:widowControl w:val="0"/>
        <w:kinsoku/>
        <w:wordWrap/>
        <w:overflowPunct/>
        <w:topLinePunct w:val="0"/>
        <w:autoSpaceDE/>
        <w:autoSpaceDN/>
        <w:bidi w:val="0"/>
        <w:snapToGrid w:val="0"/>
        <w:spacing w:line="450" w:lineRule="exact"/>
        <w:ind w:firstLine="482" w:firstLineChars="200"/>
        <w:textAlignment w:val="auto"/>
        <w:rPr>
          <w:rFonts w:hint="eastAsia" w:ascii="宋体" w:hAnsi="宋体" w:eastAsia="宋体" w:cs="宋体"/>
          <w:b/>
          <w:bCs/>
          <w:color w:val="auto"/>
          <w:highlight w:val="none"/>
        </w:rPr>
      </w:pPr>
      <w:bookmarkStart w:id="41" w:name="_Toc493082115"/>
      <w:bookmarkStart w:id="42" w:name="_Toc487793387"/>
      <w:bookmarkStart w:id="43" w:name="_Toc493699299"/>
      <w:bookmarkStart w:id="44" w:name="_Toc192313108"/>
      <w:bookmarkStart w:id="45" w:name="_Toc487802094"/>
      <w:bookmarkStart w:id="46" w:name="_Toc437979777"/>
      <w:bookmarkStart w:id="47" w:name="_Toc487802025"/>
      <w:bookmarkStart w:id="48" w:name="_Toc448487536"/>
      <w:bookmarkStart w:id="49" w:name="_Toc177870543"/>
      <w:r>
        <w:rPr>
          <w:rFonts w:hint="eastAsia" w:ascii="宋体" w:hAnsi="宋体" w:eastAsia="宋体" w:cs="宋体"/>
          <w:b/>
          <w:bCs/>
          <w:color w:val="auto"/>
          <w:highlight w:val="none"/>
        </w:rPr>
        <w:t>（十）质疑</w:t>
      </w:r>
      <w:bookmarkEnd w:id="41"/>
      <w:bookmarkEnd w:id="42"/>
      <w:bookmarkEnd w:id="43"/>
      <w:bookmarkEnd w:id="44"/>
      <w:bookmarkEnd w:id="45"/>
      <w:bookmarkEnd w:id="46"/>
      <w:bookmarkEnd w:id="47"/>
      <w:bookmarkEnd w:id="48"/>
      <w:bookmarkEnd w:id="49"/>
    </w:p>
    <w:p w14:paraId="606F995F">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1.供应商认为磋商文件、磋商过程和成交结果使自己的合法权益受到损害的，应当在知道或者应知其权益受到损害之日起七个工作日内，以书面形式一次性向采购人、采购代理机构提出</w:t>
      </w:r>
      <w:r>
        <w:rPr>
          <w:rFonts w:hint="eastAsia" w:ascii="宋体" w:hAnsi="宋体" w:eastAsia="宋体" w:cs="宋体"/>
          <w:color w:val="auto"/>
          <w:sz w:val="24"/>
          <w:szCs w:val="24"/>
          <w:highlight w:val="none"/>
        </w:rPr>
        <w:t>针对同一采购程序环节的</w:t>
      </w:r>
      <w:r>
        <w:rPr>
          <w:rFonts w:hint="eastAsia" w:ascii="宋体" w:hAnsi="宋体" w:eastAsia="宋体" w:cs="宋体"/>
          <w:color w:val="auto"/>
          <w:sz w:val="24"/>
          <w:szCs w:val="24"/>
          <w:highlight w:val="none"/>
        </w:rPr>
        <w:t>质疑。</w:t>
      </w:r>
      <w:r>
        <w:rPr>
          <w:rFonts w:hint="eastAsia" w:ascii="宋体" w:hAnsi="宋体" w:eastAsia="宋体" w:cs="宋体"/>
          <w:color w:val="auto"/>
          <w:sz w:val="24"/>
          <w:szCs w:val="24"/>
          <w:highlight w:val="none"/>
        </w:rPr>
        <w:t>质疑供应商对采购人、招标代理机构的答复不满意，或者采购人、招标代理机构未在规定时间内作出答复的，可以在答复期满后15个工作日内向规定的财政部门提起投诉。质疑函范本、投诉书范本见附件。</w:t>
      </w:r>
    </w:p>
    <w:p w14:paraId="5C03EE8F">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rPr>
        <w:t>质疑和投诉应当满足《政府采购质疑和投诉办法》（中华人民共和国财政部令第94号）要求</w:t>
      </w:r>
      <w:r>
        <w:rPr>
          <w:rFonts w:hint="eastAsia" w:ascii="宋体" w:hAnsi="宋体" w:eastAsia="宋体" w:cs="宋体"/>
          <w:color w:val="auto"/>
          <w:sz w:val="24"/>
          <w:szCs w:val="24"/>
          <w:highlight w:val="none"/>
        </w:rPr>
        <w:t>。</w:t>
      </w:r>
    </w:p>
    <w:p w14:paraId="55408E6C">
      <w:pPr>
        <w:pStyle w:val="7"/>
        <w:pageBreakBefore w:val="0"/>
        <w:widowControl w:val="0"/>
        <w:kinsoku/>
        <w:wordWrap/>
        <w:overflowPunct/>
        <w:topLinePunct w:val="0"/>
        <w:autoSpaceDE/>
        <w:autoSpaceDN/>
        <w:bidi w:val="0"/>
        <w:spacing w:before="0" w:after="0" w:line="45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 </w:t>
      </w:r>
      <w:bookmarkStart w:id="50" w:name="_Toc25112"/>
      <w:bookmarkStart w:id="51" w:name="_Toc292"/>
      <w:r>
        <w:rPr>
          <w:rFonts w:hint="eastAsia" w:ascii="宋体" w:hAnsi="宋体" w:eastAsia="宋体" w:cs="宋体"/>
          <w:color w:val="auto"/>
          <w:highlight w:val="none"/>
        </w:rPr>
        <w:t>三、磋商文件</w:t>
      </w:r>
      <w:bookmarkEnd w:id="50"/>
      <w:bookmarkEnd w:id="51"/>
    </w:p>
    <w:p w14:paraId="5E592553">
      <w:pPr>
        <w:keepNext w:val="0"/>
        <w:keepLines w:val="0"/>
        <w:pageBreakBefore w:val="0"/>
        <w:widowControl w:val="0"/>
        <w:kinsoku/>
        <w:wordWrap/>
        <w:overflowPunct/>
        <w:topLinePunct w:val="0"/>
        <w:autoSpaceDE/>
        <w:autoSpaceDN/>
        <w:bidi w:val="0"/>
        <w:adjustRightInd/>
        <w:snapToGrid w:val="0"/>
        <w:spacing w:line="450" w:lineRule="exact"/>
        <w:ind w:firstLine="48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（一）磋商文件的构成：</w:t>
      </w:r>
    </w:p>
    <w:p w14:paraId="4532F945">
      <w:pPr>
        <w:keepNext w:val="0"/>
        <w:keepLines w:val="0"/>
        <w:pageBreakBefore w:val="0"/>
        <w:widowControl w:val="0"/>
        <w:kinsoku/>
        <w:wordWrap/>
        <w:overflowPunct/>
        <w:topLinePunct w:val="0"/>
        <w:autoSpaceDE/>
        <w:autoSpaceDN/>
        <w:bidi w:val="0"/>
        <w:adjustRightInd/>
        <w:spacing w:line="45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1.竞争性磋商公告</w:t>
      </w:r>
    </w:p>
    <w:p w14:paraId="66BCD127">
      <w:pPr>
        <w:keepNext w:val="0"/>
        <w:keepLines w:val="0"/>
        <w:pageBreakBefore w:val="0"/>
        <w:widowControl w:val="0"/>
        <w:kinsoku/>
        <w:wordWrap/>
        <w:overflowPunct/>
        <w:topLinePunct w:val="0"/>
        <w:autoSpaceDE/>
        <w:autoSpaceDN/>
        <w:bidi w:val="0"/>
        <w:adjustRightInd/>
        <w:spacing w:line="450" w:lineRule="exact"/>
        <w:ind w:firstLine="48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sz w:val="24"/>
          <w:highlight w:val="none"/>
          <w:lang w:val="en-US" w:eastAsia="zh-CN"/>
        </w:rPr>
        <w:t>2.磋商项目需求</w:t>
      </w:r>
    </w:p>
    <w:p w14:paraId="4EDB4081">
      <w:pPr>
        <w:keepNext w:val="0"/>
        <w:keepLines w:val="0"/>
        <w:pageBreakBefore w:val="0"/>
        <w:widowControl w:val="0"/>
        <w:kinsoku/>
        <w:wordWrap/>
        <w:overflowPunct/>
        <w:topLinePunct w:val="0"/>
        <w:autoSpaceDE/>
        <w:autoSpaceDN/>
        <w:bidi w:val="0"/>
        <w:adjustRightInd/>
        <w:spacing w:line="45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.供应商须知</w:t>
      </w:r>
    </w:p>
    <w:p w14:paraId="1FAB1293">
      <w:pPr>
        <w:keepNext w:val="0"/>
        <w:keepLines w:val="0"/>
        <w:pageBreakBefore w:val="0"/>
        <w:widowControl w:val="0"/>
        <w:kinsoku/>
        <w:wordWrap/>
        <w:overflowPunct/>
        <w:topLinePunct w:val="0"/>
        <w:autoSpaceDE/>
        <w:autoSpaceDN/>
        <w:bidi w:val="0"/>
        <w:adjustRightInd/>
        <w:spacing w:line="45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.评审办法及标准</w:t>
      </w:r>
    </w:p>
    <w:p w14:paraId="62E0F3ED">
      <w:pPr>
        <w:keepNext w:val="0"/>
        <w:keepLines w:val="0"/>
        <w:pageBreakBefore w:val="0"/>
        <w:widowControl w:val="0"/>
        <w:kinsoku/>
        <w:wordWrap/>
        <w:overflowPunct/>
        <w:topLinePunct w:val="0"/>
        <w:autoSpaceDE/>
        <w:autoSpaceDN/>
        <w:bidi w:val="0"/>
        <w:adjustRightInd/>
        <w:spacing w:line="45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.合同主要条款</w:t>
      </w:r>
    </w:p>
    <w:p w14:paraId="4E9B26D1">
      <w:pPr>
        <w:keepNext w:val="0"/>
        <w:keepLines w:val="0"/>
        <w:pageBreakBefore w:val="0"/>
        <w:widowControl w:val="0"/>
        <w:kinsoku/>
        <w:wordWrap/>
        <w:overflowPunct/>
        <w:topLinePunct w:val="0"/>
        <w:autoSpaceDE/>
        <w:autoSpaceDN/>
        <w:bidi w:val="0"/>
        <w:adjustRightInd/>
        <w:spacing w:line="45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.磋商文件相关文件格式</w:t>
      </w:r>
    </w:p>
    <w:p w14:paraId="6AEFFA6C">
      <w:pPr>
        <w:keepNext w:val="0"/>
        <w:keepLines w:val="0"/>
        <w:pageBreakBefore w:val="0"/>
        <w:widowControl w:val="0"/>
        <w:kinsoku/>
        <w:wordWrap/>
        <w:overflowPunct/>
        <w:topLinePunct w:val="0"/>
        <w:autoSpaceDE/>
        <w:autoSpaceDN/>
        <w:bidi w:val="0"/>
        <w:adjustRightInd/>
        <w:spacing w:line="45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.本项目磋商文件的澄清、答复、修改、补充的内容。澄清、答复、修改、补充的内容均作为磋商文件的组成部分，具有约束作用。</w:t>
      </w:r>
    </w:p>
    <w:p w14:paraId="58CA943C">
      <w:pPr>
        <w:keepNext w:val="0"/>
        <w:keepLines w:val="0"/>
        <w:pageBreakBefore w:val="0"/>
        <w:widowControl w:val="0"/>
        <w:kinsoku/>
        <w:wordWrap/>
        <w:overflowPunct/>
        <w:topLinePunct w:val="0"/>
        <w:autoSpaceDE/>
        <w:autoSpaceDN/>
        <w:bidi w:val="0"/>
        <w:adjustRightInd/>
        <w:snapToGrid w:val="0"/>
        <w:spacing w:line="450" w:lineRule="exact"/>
        <w:ind w:firstLine="48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（二）存在的风险</w:t>
      </w:r>
    </w:p>
    <w:p w14:paraId="2014E8A0">
      <w:pPr>
        <w:keepNext w:val="0"/>
        <w:keepLines w:val="0"/>
        <w:pageBreakBefore w:val="0"/>
        <w:widowControl w:val="0"/>
        <w:kinsoku/>
        <w:wordWrap/>
        <w:overflowPunct/>
        <w:topLinePunct w:val="0"/>
        <w:autoSpaceDE/>
        <w:autoSpaceDN/>
        <w:bidi w:val="0"/>
        <w:adjustRightInd/>
        <w:snapToGrid w:val="0"/>
        <w:spacing w:line="45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供应商没有按照磋商文件要求提供全部资料，或者供应商没有对磋商文件在各方面都作出实质性响应是供应商的风险，并可能导致其磋商被拒绝。</w:t>
      </w:r>
    </w:p>
    <w:p w14:paraId="0B37B9F7">
      <w:pPr>
        <w:pStyle w:val="8"/>
        <w:keepNext w:val="0"/>
        <w:keepLines w:val="0"/>
        <w:pageBreakBefore w:val="0"/>
        <w:widowControl w:val="0"/>
        <w:numPr>
          <w:ilvl w:val="0"/>
          <w:numId w:val="0"/>
        </w:numPr>
        <w:tabs>
          <w:tab w:val="left" w:pos="900"/>
          <w:tab w:val="clear" w:pos="360"/>
        </w:tabs>
        <w:kinsoku/>
        <w:wordWrap/>
        <w:overflowPunct/>
        <w:topLinePunct w:val="0"/>
        <w:autoSpaceDE/>
        <w:autoSpaceDN/>
        <w:bidi w:val="0"/>
        <w:adjustRightInd/>
        <w:snapToGrid w:val="0"/>
        <w:spacing w:afterLines="0" w:line="450" w:lineRule="exact"/>
        <w:ind w:firstLine="281" w:firstLineChars="100"/>
        <w:jc w:val="both"/>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kern w:val="2"/>
          <w:sz w:val="28"/>
          <w:szCs w:val="28"/>
          <w:highlight w:val="none"/>
        </w:rPr>
        <w:t>（三）磋商文件的澄清与修改</w:t>
      </w:r>
      <w:r>
        <w:rPr>
          <w:rFonts w:hint="eastAsia" w:ascii="宋体" w:hAnsi="宋体" w:eastAsia="宋体" w:cs="宋体"/>
          <w:b/>
          <w:bCs/>
          <w:color w:val="auto"/>
          <w:sz w:val="28"/>
          <w:szCs w:val="28"/>
          <w:highlight w:val="none"/>
        </w:rPr>
        <w:t xml:space="preserve"> </w:t>
      </w:r>
    </w:p>
    <w:p w14:paraId="5D6C0DBE">
      <w:pPr>
        <w:keepNext w:val="0"/>
        <w:keepLines w:val="0"/>
        <w:pageBreakBefore w:val="0"/>
        <w:widowControl w:val="0"/>
        <w:kinsoku/>
        <w:wordWrap/>
        <w:overflowPunct/>
        <w:topLinePunct w:val="0"/>
        <w:autoSpaceDE/>
        <w:autoSpaceDN/>
        <w:bidi w:val="0"/>
        <w:adjustRightInd/>
        <w:spacing w:line="45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1.供应商应认真阅读本磋商文件，发现其中有误或有要求不合理的，供应商必须在在知道或者应当知道之日起七个工作日内以书面形式要求采购代理机构澄清，否则，由此产生的后果由供应商负责。</w:t>
      </w:r>
    </w:p>
    <w:p w14:paraId="1F06B91D">
      <w:pPr>
        <w:keepNext w:val="0"/>
        <w:keepLines w:val="0"/>
        <w:pageBreakBefore w:val="0"/>
        <w:widowControl w:val="0"/>
        <w:kinsoku/>
        <w:wordWrap/>
        <w:overflowPunct/>
        <w:topLinePunct w:val="0"/>
        <w:autoSpaceDE/>
        <w:autoSpaceDN/>
        <w:bidi w:val="0"/>
        <w:adjustRightInd/>
        <w:spacing w:line="45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2.采购代理机构必须以书面形式答复所有购买磋商文件的供应商（注：答复中不包含问题的来源）要求澄清的问题，同时认定其他澄清方式为无效。</w:t>
      </w:r>
    </w:p>
    <w:p w14:paraId="07D779F5">
      <w:pPr>
        <w:keepNext w:val="0"/>
        <w:keepLines w:val="0"/>
        <w:pageBreakBefore w:val="0"/>
        <w:widowControl w:val="0"/>
        <w:kinsoku/>
        <w:wordWrap/>
        <w:overflowPunct/>
        <w:topLinePunct w:val="0"/>
        <w:autoSpaceDE/>
        <w:autoSpaceDN/>
        <w:bidi w:val="0"/>
        <w:adjustRightInd/>
        <w:spacing w:line="45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采购代理机构对已发出的磋商文件进行必要澄清或者修改的，应当在财政部门指定的政府采购信息发布媒体上发布更正公告，并以书面形式通知所有磋商文件收受人。该澄清或者修改的内容为磋商文件的组成部分。</w:t>
      </w:r>
    </w:p>
    <w:p w14:paraId="6A351D79">
      <w:pPr>
        <w:keepNext w:val="0"/>
        <w:keepLines w:val="0"/>
        <w:pageBreakBefore w:val="0"/>
        <w:widowControl w:val="0"/>
        <w:kinsoku/>
        <w:wordWrap/>
        <w:overflowPunct/>
        <w:topLinePunct w:val="0"/>
        <w:autoSpaceDE/>
        <w:autoSpaceDN/>
        <w:bidi w:val="0"/>
        <w:adjustRightInd/>
        <w:spacing w:line="45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采购代理机构和采购单位可以视采购具体情况，延长提交磋商文件的截止时间和磋商时间，但至少应当在磋商文件要求提交磋商文件的截止时间5日前，将变更时间书面通知所有磋商文件收受人，并在财政部门指定的政府采购信息发布媒体上发布变更公告。</w:t>
      </w:r>
    </w:p>
    <w:p w14:paraId="36DC457D">
      <w:pPr>
        <w:keepNext w:val="0"/>
        <w:keepLines w:val="0"/>
        <w:pageBreakBefore w:val="0"/>
        <w:widowControl w:val="0"/>
        <w:kinsoku/>
        <w:wordWrap/>
        <w:overflowPunct/>
        <w:topLinePunct w:val="0"/>
        <w:autoSpaceDE/>
        <w:autoSpaceDN/>
        <w:bidi w:val="0"/>
        <w:adjustRightInd/>
        <w:spacing w:line="45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5.磋商文件的澄清或者修改都应该通过本代理机构以法定形式发布，采购人非通过本机构，不得擅自澄清或者修改磋商文件。</w:t>
      </w:r>
    </w:p>
    <w:p w14:paraId="1893CB15">
      <w:pPr>
        <w:pStyle w:val="7"/>
        <w:pageBreakBefore w:val="0"/>
        <w:widowControl w:val="0"/>
        <w:kinsoku/>
        <w:wordWrap/>
        <w:overflowPunct/>
        <w:topLinePunct w:val="0"/>
        <w:autoSpaceDE/>
        <w:autoSpaceDN/>
        <w:bidi w:val="0"/>
        <w:spacing w:before="0" w:after="0" w:line="45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 </w:t>
      </w:r>
      <w:bookmarkStart w:id="52" w:name="_Toc30729"/>
      <w:bookmarkStart w:id="53" w:name="_Toc20030"/>
      <w:r>
        <w:rPr>
          <w:rFonts w:hint="eastAsia" w:ascii="宋体" w:hAnsi="宋体" w:eastAsia="宋体" w:cs="宋体"/>
          <w:color w:val="auto"/>
          <w:highlight w:val="none"/>
        </w:rPr>
        <w:t>四、响应文件的编制</w:t>
      </w:r>
      <w:bookmarkEnd w:id="52"/>
      <w:bookmarkEnd w:id="53"/>
    </w:p>
    <w:p w14:paraId="396089B3">
      <w:pPr>
        <w:keepNext w:val="0"/>
        <w:keepLines w:val="0"/>
        <w:pageBreakBefore w:val="0"/>
        <w:widowControl w:val="0"/>
        <w:kinsoku/>
        <w:wordWrap/>
        <w:overflowPunct/>
        <w:topLinePunct w:val="0"/>
        <w:autoSpaceDE/>
        <w:autoSpaceDN/>
        <w:bidi w:val="0"/>
        <w:adjustRightInd/>
        <w:snapToGrid w:val="0"/>
        <w:spacing w:line="450" w:lineRule="exact"/>
        <w:ind w:left="0" w:leftChars="0" w:right="0" w:rightChars="0" w:firstLine="482" w:firstLineChars="200"/>
        <w:jc w:val="both"/>
        <w:textAlignment w:val="auto"/>
        <w:rPr>
          <w:rFonts w:hint="eastAsia" w:ascii="宋体" w:hAnsi="宋体" w:eastAsia="宋体" w:cs="宋体"/>
          <w:b/>
          <w:bCs/>
          <w:color w:val="auto"/>
          <w:sz w:val="24"/>
          <w:szCs w:val="24"/>
          <w:highlight w:val="none"/>
          <w:u w:val="none"/>
          <w:lang w:eastAsia="zh-CN"/>
        </w:rPr>
      </w:pPr>
      <w:r>
        <w:rPr>
          <w:rFonts w:hint="eastAsia" w:ascii="宋体" w:hAnsi="宋体" w:eastAsia="宋体" w:cs="宋体"/>
          <w:b/>
          <w:bCs/>
          <w:color w:val="auto"/>
          <w:sz w:val="24"/>
          <w:highlight w:val="none"/>
          <w:u w:val="none"/>
          <w:lang w:val="en-US" w:eastAsia="zh-CN"/>
        </w:rPr>
        <w:t>响应</w:t>
      </w:r>
      <w:r>
        <w:rPr>
          <w:rFonts w:hint="eastAsia" w:ascii="宋体" w:hAnsi="宋体" w:eastAsia="宋体" w:cs="宋体"/>
          <w:b/>
          <w:bCs/>
          <w:color w:val="auto"/>
          <w:sz w:val="24"/>
          <w:highlight w:val="none"/>
          <w:u w:val="none"/>
        </w:rPr>
        <w:t>文件必须包括</w:t>
      </w:r>
      <w:r>
        <w:rPr>
          <w:rFonts w:hint="eastAsia" w:ascii="宋体" w:hAnsi="宋体" w:eastAsia="宋体" w:cs="宋体"/>
          <w:b/>
          <w:bCs/>
          <w:color w:val="auto"/>
          <w:sz w:val="24"/>
          <w:highlight w:val="none"/>
          <w:u w:val="none"/>
          <w:lang w:val="en-US" w:eastAsia="zh-CN"/>
        </w:rPr>
        <w:t>本章节“</w:t>
      </w:r>
      <w:r>
        <w:rPr>
          <w:rFonts w:hint="eastAsia" w:ascii="宋体" w:hAnsi="宋体" w:eastAsia="宋体" w:cs="宋体"/>
          <w:b/>
          <w:bCs/>
          <w:color w:val="auto"/>
          <w:sz w:val="24"/>
          <w:highlight w:val="none"/>
          <w:u w:val="none"/>
        </w:rPr>
        <w:t>磋商响应文件的组成</w:t>
      </w:r>
      <w:r>
        <w:rPr>
          <w:rFonts w:hint="eastAsia" w:ascii="宋体" w:hAnsi="宋体" w:eastAsia="宋体" w:cs="宋体"/>
          <w:b/>
          <w:bCs/>
          <w:color w:val="auto"/>
          <w:sz w:val="24"/>
          <w:highlight w:val="none"/>
          <w:u w:val="none"/>
          <w:lang w:val="en-US" w:eastAsia="zh-CN"/>
        </w:rPr>
        <w:t>”</w:t>
      </w:r>
      <w:r>
        <w:rPr>
          <w:rFonts w:hint="eastAsia" w:ascii="宋体" w:hAnsi="宋体" w:eastAsia="宋体" w:cs="宋体"/>
          <w:b/>
          <w:bCs/>
          <w:color w:val="auto"/>
          <w:sz w:val="24"/>
          <w:highlight w:val="none"/>
          <w:u w:val="none"/>
        </w:rPr>
        <w:t>规定的内容</w:t>
      </w:r>
      <w:r>
        <w:rPr>
          <w:rFonts w:hint="eastAsia" w:ascii="宋体" w:hAnsi="宋体" w:eastAsia="宋体" w:cs="宋体"/>
          <w:b/>
          <w:bCs/>
          <w:color w:val="auto"/>
          <w:sz w:val="24"/>
          <w:highlight w:val="none"/>
          <w:u w:val="none"/>
          <w:lang w:eastAsia="zh-CN"/>
        </w:rPr>
        <w:t>（</w:t>
      </w:r>
      <w:r>
        <w:rPr>
          <w:rFonts w:hint="eastAsia" w:ascii="宋体" w:hAnsi="宋体" w:eastAsia="宋体" w:cs="宋体"/>
          <w:b/>
          <w:bCs/>
          <w:color w:val="auto"/>
          <w:sz w:val="24"/>
          <w:highlight w:val="none"/>
          <w:u w:val="none"/>
          <w:lang w:val="en-US" w:eastAsia="zh-CN"/>
        </w:rPr>
        <w:t>除磋商采购文件另行说明外</w:t>
      </w:r>
      <w:r>
        <w:rPr>
          <w:rFonts w:hint="eastAsia" w:ascii="宋体" w:hAnsi="宋体" w:eastAsia="宋体" w:cs="宋体"/>
          <w:b/>
          <w:bCs/>
          <w:color w:val="auto"/>
          <w:sz w:val="24"/>
          <w:highlight w:val="none"/>
          <w:u w:val="none"/>
          <w:lang w:eastAsia="zh-CN"/>
        </w:rPr>
        <w:t>）</w:t>
      </w:r>
      <w:r>
        <w:rPr>
          <w:rFonts w:hint="eastAsia" w:ascii="宋体" w:hAnsi="宋体" w:eastAsia="宋体" w:cs="宋体"/>
          <w:b/>
          <w:bCs/>
          <w:color w:val="auto"/>
          <w:sz w:val="24"/>
          <w:highlight w:val="none"/>
          <w:u w:val="none"/>
        </w:rPr>
        <w:t>，</w:t>
      </w:r>
      <w:r>
        <w:rPr>
          <w:rFonts w:hint="eastAsia" w:ascii="宋体" w:hAnsi="宋体" w:eastAsia="宋体" w:cs="宋体"/>
          <w:b/>
          <w:bCs/>
          <w:color w:val="auto"/>
          <w:sz w:val="24"/>
          <w:highlight w:val="none"/>
          <w:u w:val="none"/>
          <w:lang w:val="en-US" w:eastAsia="zh-CN"/>
        </w:rPr>
        <w:t>供应商</w:t>
      </w:r>
      <w:r>
        <w:rPr>
          <w:rFonts w:hint="eastAsia" w:ascii="宋体" w:hAnsi="宋体" w:eastAsia="宋体" w:cs="宋体"/>
          <w:b/>
          <w:bCs/>
          <w:color w:val="auto"/>
          <w:sz w:val="24"/>
          <w:highlight w:val="none"/>
          <w:u w:val="none"/>
        </w:rPr>
        <w:t>提交的</w:t>
      </w:r>
      <w:r>
        <w:rPr>
          <w:rFonts w:hint="eastAsia" w:ascii="宋体" w:hAnsi="宋体" w:eastAsia="宋体" w:cs="宋体"/>
          <w:b/>
          <w:bCs/>
          <w:color w:val="auto"/>
          <w:sz w:val="24"/>
          <w:highlight w:val="none"/>
          <w:u w:val="none"/>
          <w:lang w:val="en-US" w:eastAsia="zh-CN"/>
        </w:rPr>
        <w:t>响应</w:t>
      </w:r>
      <w:r>
        <w:rPr>
          <w:rFonts w:hint="eastAsia" w:ascii="宋体" w:hAnsi="宋体" w:eastAsia="宋体" w:cs="宋体"/>
          <w:b/>
          <w:bCs/>
          <w:color w:val="auto"/>
          <w:sz w:val="24"/>
          <w:highlight w:val="none"/>
          <w:u w:val="none"/>
        </w:rPr>
        <w:t>文件应当使用</w:t>
      </w:r>
      <w:r>
        <w:rPr>
          <w:rFonts w:hint="eastAsia" w:ascii="宋体" w:hAnsi="宋体" w:eastAsia="宋体" w:cs="宋体"/>
          <w:b/>
          <w:bCs/>
          <w:color w:val="auto"/>
          <w:sz w:val="24"/>
          <w:highlight w:val="none"/>
          <w:u w:val="none"/>
          <w:lang w:val="en-US" w:eastAsia="zh-CN"/>
        </w:rPr>
        <w:t>磋商响应</w:t>
      </w:r>
      <w:r>
        <w:rPr>
          <w:rFonts w:hint="eastAsia" w:ascii="宋体" w:hAnsi="宋体" w:eastAsia="宋体" w:cs="宋体"/>
          <w:b/>
          <w:bCs/>
          <w:color w:val="auto"/>
          <w:sz w:val="24"/>
          <w:highlight w:val="none"/>
          <w:u w:val="none"/>
        </w:rPr>
        <w:t>文件所提供的</w:t>
      </w:r>
      <w:r>
        <w:rPr>
          <w:rFonts w:hint="eastAsia" w:ascii="宋体" w:hAnsi="宋体" w:eastAsia="宋体" w:cs="宋体"/>
          <w:b/>
          <w:bCs/>
          <w:color w:val="auto"/>
          <w:sz w:val="24"/>
          <w:highlight w:val="none"/>
          <w:u w:val="none"/>
          <w:lang w:val="en-US" w:eastAsia="zh-CN"/>
        </w:rPr>
        <w:t>响应</w:t>
      </w:r>
      <w:r>
        <w:rPr>
          <w:rFonts w:hint="eastAsia" w:ascii="宋体" w:hAnsi="宋体" w:eastAsia="宋体" w:cs="宋体"/>
          <w:b/>
          <w:bCs/>
          <w:color w:val="auto"/>
          <w:sz w:val="24"/>
          <w:highlight w:val="none"/>
          <w:u w:val="none"/>
        </w:rPr>
        <w:t>文件全部格式（</w:t>
      </w:r>
      <w:r>
        <w:rPr>
          <w:rFonts w:hint="eastAsia" w:ascii="宋体" w:hAnsi="宋体" w:eastAsia="宋体" w:cs="宋体"/>
          <w:b/>
          <w:bCs/>
          <w:color w:val="auto"/>
          <w:sz w:val="24"/>
          <w:highlight w:val="none"/>
          <w:u w:val="none"/>
          <w:lang w:val="en-US" w:eastAsia="zh-CN"/>
        </w:rPr>
        <w:t>除报价一览表外，其余</w:t>
      </w:r>
      <w:r>
        <w:rPr>
          <w:rFonts w:hint="eastAsia" w:ascii="宋体" w:hAnsi="宋体" w:eastAsia="宋体" w:cs="宋体"/>
          <w:b/>
          <w:bCs/>
          <w:color w:val="auto"/>
          <w:sz w:val="24"/>
          <w:highlight w:val="none"/>
          <w:u w:val="none"/>
        </w:rPr>
        <w:t>表格</w:t>
      </w:r>
      <w:r>
        <w:rPr>
          <w:rFonts w:hint="eastAsia" w:ascii="宋体" w:hAnsi="宋体" w:eastAsia="宋体" w:cs="宋体"/>
          <w:b/>
          <w:bCs/>
          <w:color w:val="auto"/>
          <w:sz w:val="24"/>
          <w:highlight w:val="none"/>
          <w:u w:val="none"/>
          <w:lang w:val="en-US" w:eastAsia="zh-CN"/>
        </w:rPr>
        <w:t>均</w:t>
      </w:r>
      <w:r>
        <w:rPr>
          <w:rFonts w:hint="eastAsia" w:ascii="宋体" w:hAnsi="宋体" w:eastAsia="宋体" w:cs="宋体"/>
          <w:b/>
          <w:bCs/>
          <w:color w:val="auto"/>
          <w:sz w:val="24"/>
          <w:highlight w:val="none"/>
          <w:u w:val="none"/>
        </w:rPr>
        <w:t>可以按同样格式扩展）</w:t>
      </w:r>
      <w:r>
        <w:rPr>
          <w:rFonts w:hint="eastAsia" w:ascii="宋体" w:hAnsi="宋体" w:eastAsia="宋体" w:cs="宋体"/>
          <w:b/>
          <w:bCs/>
          <w:color w:val="auto"/>
          <w:sz w:val="24"/>
          <w:highlight w:val="none"/>
          <w:u w:val="none"/>
          <w:lang w:eastAsia="zh-CN"/>
        </w:rPr>
        <w:t>，</w:t>
      </w:r>
      <w:r>
        <w:rPr>
          <w:rFonts w:hint="eastAsia" w:ascii="宋体" w:hAnsi="宋体" w:eastAsia="宋体" w:cs="宋体"/>
          <w:b/>
          <w:bCs/>
          <w:color w:val="auto"/>
          <w:sz w:val="24"/>
          <w:szCs w:val="24"/>
          <w:highlight w:val="none"/>
          <w:u w:val="none"/>
        </w:rPr>
        <w:t>未给出的格式请自拟。本项目所涉响应文件格式请详见</w:t>
      </w:r>
      <w:r>
        <w:rPr>
          <w:rFonts w:hint="eastAsia" w:ascii="宋体" w:hAnsi="宋体" w:eastAsia="宋体" w:cs="宋体"/>
          <w:b/>
          <w:bCs/>
          <w:color w:val="auto"/>
          <w:sz w:val="24"/>
          <w:szCs w:val="24"/>
          <w:highlight w:val="none"/>
          <w:u w:val="none"/>
          <w:lang w:eastAsia="zh-CN"/>
        </w:rPr>
        <w:t>第六章。</w:t>
      </w:r>
    </w:p>
    <w:p w14:paraId="40224934">
      <w:pPr>
        <w:keepNext w:val="0"/>
        <w:keepLines w:val="0"/>
        <w:pageBreakBefore w:val="0"/>
        <w:widowControl w:val="0"/>
        <w:kinsoku/>
        <w:wordWrap/>
        <w:overflowPunct/>
        <w:topLinePunct w:val="0"/>
        <w:autoSpaceDE/>
        <w:autoSpaceDN/>
        <w:bidi w:val="0"/>
        <w:adjustRightInd/>
        <w:snapToGrid w:val="0"/>
        <w:spacing w:line="450" w:lineRule="exact"/>
        <w:ind w:left="0" w:leftChars="0" w:right="0" w:rightChars="0" w:firstLine="482" w:firstLineChars="200"/>
        <w:jc w:val="both"/>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在电子响应文件中所有</w:t>
      </w:r>
      <w:r>
        <w:rPr>
          <w:rFonts w:hint="eastAsia" w:ascii="宋体" w:hAnsi="宋体" w:eastAsia="宋体" w:cs="宋体"/>
          <w:b/>
          <w:color w:val="auto"/>
          <w:sz w:val="24"/>
          <w:highlight w:val="none"/>
          <w:lang w:val="en-US" w:eastAsia="zh-CN"/>
        </w:rPr>
        <w:t>要求</w:t>
      </w:r>
      <w:r>
        <w:rPr>
          <w:rFonts w:hint="eastAsia" w:ascii="宋体" w:hAnsi="宋体" w:eastAsia="宋体" w:cs="宋体"/>
          <w:b/>
          <w:color w:val="auto"/>
          <w:sz w:val="24"/>
          <w:highlight w:val="none"/>
        </w:rPr>
        <w:t>加盖公章的均</w:t>
      </w:r>
      <w:r>
        <w:rPr>
          <w:rFonts w:hint="eastAsia" w:ascii="宋体" w:hAnsi="宋体" w:eastAsia="宋体" w:cs="宋体"/>
          <w:b/>
          <w:color w:val="auto"/>
          <w:sz w:val="24"/>
          <w:highlight w:val="none"/>
          <w:lang w:val="en-US" w:eastAsia="zh-CN"/>
        </w:rPr>
        <w:t>应</w:t>
      </w:r>
      <w:r>
        <w:rPr>
          <w:rFonts w:hint="eastAsia" w:ascii="宋体" w:hAnsi="宋体" w:eastAsia="宋体" w:cs="宋体"/>
          <w:b/>
          <w:color w:val="auto"/>
          <w:sz w:val="24"/>
          <w:highlight w:val="none"/>
        </w:rPr>
        <w:t>采用CA签章。</w:t>
      </w:r>
    </w:p>
    <w:p w14:paraId="54CCDC16">
      <w:pPr>
        <w:keepNext w:val="0"/>
        <w:keepLines w:val="0"/>
        <w:pageBreakBefore w:val="0"/>
        <w:widowControl w:val="0"/>
        <w:kinsoku/>
        <w:wordWrap/>
        <w:overflowPunct/>
        <w:topLinePunct w:val="0"/>
        <w:autoSpaceDE/>
        <w:autoSpaceDN/>
        <w:bidi w:val="0"/>
        <w:adjustRightInd/>
        <w:snapToGrid w:val="0"/>
        <w:spacing w:line="450" w:lineRule="exact"/>
        <w:ind w:left="0" w:leftChars="0" w:right="0" w:rightChars="0" w:firstLine="482" w:firstLineChars="200"/>
        <w:jc w:val="both"/>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（一）磋商响应文件的组成</w:t>
      </w:r>
    </w:p>
    <w:p w14:paraId="1B988A0B">
      <w:pPr>
        <w:keepNext w:val="0"/>
        <w:keepLines w:val="0"/>
        <w:pageBreakBefore w:val="0"/>
        <w:widowControl w:val="0"/>
        <w:kinsoku/>
        <w:wordWrap/>
        <w:overflowPunct/>
        <w:topLinePunct w:val="0"/>
        <w:autoSpaceDE/>
        <w:autoSpaceDN/>
        <w:bidi w:val="0"/>
        <w:adjustRightInd/>
        <w:snapToGrid w:val="0"/>
        <w:spacing w:line="400" w:lineRule="exact"/>
        <w:ind w:firstLine="482" w:firstLineChars="200"/>
        <w:contextualSpacing/>
        <w:jc w:val="left"/>
        <w:textAlignment w:val="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磋商响应文件由</w:t>
      </w:r>
      <w:r>
        <w:rPr>
          <w:rFonts w:hint="eastAsia" w:hAnsi="宋体" w:cs="宋体"/>
          <w:b/>
          <w:bCs/>
          <w:color w:val="auto"/>
          <w:sz w:val="24"/>
          <w:szCs w:val="24"/>
          <w:highlight w:val="none"/>
        </w:rPr>
        <w:t>资格文件、商务技术文件、报价文件</w:t>
      </w:r>
      <w:r>
        <w:rPr>
          <w:rFonts w:hint="eastAsia" w:ascii="宋体" w:hAnsi="宋体" w:cs="宋体"/>
          <w:b/>
          <w:bCs/>
          <w:color w:val="auto"/>
          <w:sz w:val="24"/>
          <w:szCs w:val="24"/>
          <w:highlight w:val="none"/>
        </w:rPr>
        <w:t>三部份组成：</w:t>
      </w:r>
    </w:p>
    <w:p w14:paraId="4BD71C6C">
      <w:pPr>
        <w:keepNext w:val="0"/>
        <w:keepLines w:val="0"/>
        <w:pageBreakBefore w:val="0"/>
        <w:widowControl w:val="0"/>
        <w:numPr>
          <w:ilvl w:val="0"/>
          <w:numId w:val="4"/>
        </w:numPr>
        <w:kinsoku/>
        <w:wordWrap/>
        <w:overflowPunct/>
        <w:topLinePunct w:val="0"/>
        <w:autoSpaceDE/>
        <w:autoSpaceDN/>
        <w:bidi w:val="0"/>
        <w:adjustRightInd/>
        <w:snapToGrid w:val="0"/>
        <w:spacing w:line="400" w:lineRule="exact"/>
        <w:ind w:left="482"/>
        <w:contextualSpacing/>
        <w:jc w:val="left"/>
        <w:textAlignment w:val="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资格文件（资格文件所需的证明材料均需加盖供应商公章</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且均须清晰可辨，否</w:t>
      </w:r>
    </w:p>
    <w:p w14:paraId="36C18625">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contextualSpacing/>
        <w:jc w:val="left"/>
        <w:textAlignment w:val="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lang w:val="en-US" w:eastAsia="zh-CN"/>
        </w:rPr>
        <w:t>则后果自负</w:t>
      </w:r>
      <w:r>
        <w:rPr>
          <w:rFonts w:hint="eastAsia" w:ascii="宋体" w:hAnsi="宋体" w:cs="宋体"/>
          <w:b/>
          <w:bCs/>
          <w:color w:val="auto"/>
          <w:sz w:val="24"/>
          <w:szCs w:val="24"/>
          <w:highlight w:val="none"/>
        </w:rPr>
        <w:t>）：</w:t>
      </w:r>
    </w:p>
    <w:p w14:paraId="00F5760B">
      <w:pPr>
        <w:keepNext w:val="0"/>
        <w:keepLines w:val="0"/>
        <w:pageBreakBefore w:val="0"/>
        <w:widowControl w:val="0"/>
        <w:kinsoku/>
        <w:overflowPunct/>
        <w:topLinePunct w:val="0"/>
        <w:autoSpaceDE/>
        <w:autoSpaceDN/>
        <w:bidi w:val="0"/>
        <w:adjustRightInd/>
        <w:spacing w:line="40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（1）营业执照；</w:t>
      </w:r>
    </w:p>
    <w:p w14:paraId="02AE8221">
      <w:pPr>
        <w:keepNext w:val="0"/>
        <w:keepLines w:val="0"/>
        <w:pageBreakBefore w:val="0"/>
        <w:widowControl w:val="0"/>
        <w:kinsoku/>
        <w:overflowPunct/>
        <w:topLinePunct w:val="0"/>
        <w:autoSpaceDE/>
        <w:autoSpaceDN/>
        <w:bidi w:val="0"/>
        <w:adjustRightInd/>
        <w:spacing w:line="40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（2）符合参加政府采购活动应当具备的一般条件的承诺函（格式见第六章）；</w:t>
      </w:r>
    </w:p>
    <w:p w14:paraId="7663F521">
      <w:pPr>
        <w:keepNext w:val="0"/>
        <w:keepLines w:val="0"/>
        <w:pageBreakBefore w:val="0"/>
        <w:widowControl w:val="0"/>
        <w:kinsoku/>
        <w:overflowPunct/>
        <w:topLinePunct w:val="0"/>
        <w:autoSpaceDE/>
        <w:autoSpaceDN/>
        <w:bidi w:val="0"/>
        <w:adjustRightInd/>
        <w:spacing w:line="400" w:lineRule="exact"/>
        <w:ind w:firstLine="480" w:firstLineChars="200"/>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企业资质等级证书</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要求</w:t>
      </w:r>
      <w:r>
        <w:rPr>
          <w:rFonts w:hint="eastAsia" w:ascii="宋体" w:hAnsi="宋体" w:cs="宋体"/>
          <w:color w:val="auto"/>
          <w:sz w:val="24"/>
          <w:szCs w:val="24"/>
          <w:highlight w:val="none"/>
        </w:rPr>
        <w:t>在有效期内，且企业资质等级、类别满足采购公告中的特定资格要求</w:t>
      </w:r>
      <w:r>
        <w:rPr>
          <w:rFonts w:hint="eastAsia" w:ascii="宋体" w:hAnsi="宋体" w:cs="宋体"/>
          <w:color w:val="auto"/>
          <w:sz w:val="24"/>
          <w:szCs w:val="24"/>
          <w:highlight w:val="none"/>
          <w:lang w:eastAsia="zh-CN"/>
        </w:rPr>
        <w:t>）；</w:t>
      </w:r>
    </w:p>
    <w:p w14:paraId="64A81249">
      <w:pPr>
        <w:keepNext w:val="0"/>
        <w:keepLines w:val="0"/>
        <w:pageBreakBefore w:val="0"/>
        <w:widowControl w:val="0"/>
        <w:kinsoku/>
        <w:overflowPunct/>
        <w:topLinePunct w:val="0"/>
        <w:autoSpaceDE/>
        <w:autoSpaceDN/>
        <w:bidi w:val="0"/>
        <w:adjustRightInd/>
        <w:spacing w:line="400" w:lineRule="exact"/>
        <w:ind w:firstLine="480" w:firstLineChars="200"/>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企业安全生产许可证（副本）</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要求</w:t>
      </w:r>
      <w:r>
        <w:rPr>
          <w:rFonts w:hint="eastAsia" w:ascii="宋体" w:hAnsi="宋体" w:cs="宋体"/>
          <w:color w:val="auto"/>
          <w:sz w:val="24"/>
          <w:szCs w:val="24"/>
          <w:highlight w:val="none"/>
        </w:rPr>
        <w:t>在有效期内</w:t>
      </w:r>
      <w:r>
        <w:rPr>
          <w:rFonts w:hint="eastAsia" w:ascii="宋体" w:hAnsi="宋体" w:cs="宋体"/>
          <w:color w:val="auto"/>
          <w:sz w:val="24"/>
          <w:szCs w:val="24"/>
          <w:highlight w:val="none"/>
          <w:lang w:eastAsia="zh-CN"/>
        </w:rPr>
        <w:t>）；</w:t>
      </w:r>
    </w:p>
    <w:p w14:paraId="23F0CB74">
      <w:pPr>
        <w:keepNext w:val="0"/>
        <w:keepLines w:val="0"/>
        <w:pageBreakBefore w:val="0"/>
        <w:widowControl w:val="0"/>
        <w:kinsoku/>
        <w:overflowPunct/>
        <w:topLinePunct w:val="0"/>
        <w:autoSpaceDE/>
        <w:autoSpaceDN/>
        <w:bidi w:val="0"/>
        <w:adjustRightInd/>
        <w:spacing w:line="400" w:lineRule="exact"/>
        <w:ind w:firstLine="480" w:firstLineChars="200"/>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参加本次磋商的项目负责人的的建造师证书及B类人员证书</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要求</w:t>
      </w:r>
      <w:r>
        <w:rPr>
          <w:rFonts w:hint="eastAsia" w:ascii="宋体" w:hAnsi="宋体" w:cs="宋体"/>
          <w:color w:val="auto"/>
          <w:sz w:val="24"/>
          <w:szCs w:val="24"/>
          <w:highlight w:val="none"/>
        </w:rPr>
        <w:t>在注册有效期内</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注册单位与投标人名称一致；项目负责人资质等级、类别满足采购公告中的特定资格要求的项目负责人资质要求</w:t>
      </w:r>
      <w:r>
        <w:rPr>
          <w:rFonts w:hint="eastAsia" w:ascii="宋体" w:hAnsi="宋体" w:cs="宋体"/>
          <w:color w:val="auto"/>
          <w:sz w:val="24"/>
          <w:szCs w:val="24"/>
          <w:highlight w:val="none"/>
          <w:lang w:eastAsia="zh-CN"/>
        </w:rPr>
        <w:t>）；</w:t>
      </w:r>
    </w:p>
    <w:p w14:paraId="6F03CFAA">
      <w:pPr>
        <w:keepNext w:val="0"/>
        <w:keepLines w:val="0"/>
        <w:pageBreakBefore w:val="0"/>
        <w:widowControl w:val="0"/>
        <w:kinsoku/>
        <w:overflowPunct/>
        <w:topLinePunct w:val="0"/>
        <w:autoSpaceDE/>
        <w:autoSpaceDN/>
        <w:bidi w:val="0"/>
        <w:adjustRightInd/>
        <w:spacing w:line="400" w:lineRule="exact"/>
        <w:ind w:firstLine="480" w:firstLineChars="200"/>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中小企业声明函或监狱和戒毒企业企业证明材料或残疾人福利性单位声明函（格式见第六章）</w:t>
      </w:r>
      <w:r>
        <w:rPr>
          <w:rFonts w:hint="eastAsia" w:ascii="宋体" w:hAnsi="宋体" w:cs="宋体"/>
          <w:color w:val="auto"/>
          <w:sz w:val="24"/>
          <w:szCs w:val="24"/>
          <w:highlight w:val="none"/>
          <w:lang w:eastAsia="zh-CN"/>
        </w:rPr>
        <w:t>。</w:t>
      </w:r>
    </w:p>
    <w:p w14:paraId="30C2ECAD">
      <w:pPr>
        <w:keepNext w:val="0"/>
        <w:keepLines w:val="0"/>
        <w:pageBreakBefore w:val="0"/>
        <w:widowControl w:val="0"/>
        <w:kinsoku/>
        <w:wordWrap/>
        <w:overflowPunct/>
        <w:topLinePunct w:val="0"/>
        <w:autoSpaceDE/>
        <w:autoSpaceDN/>
        <w:bidi w:val="0"/>
        <w:adjustRightInd/>
        <w:spacing w:line="400" w:lineRule="exact"/>
        <w:ind w:firstLine="482" w:firstLineChars="200"/>
        <w:textAlignment w:val="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2.商务技术文件：</w:t>
      </w:r>
    </w:p>
    <w:p w14:paraId="5CF6E642">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480" w:firstLineChars="200"/>
        <w:contextualSpacing/>
        <w:jc w:val="both"/>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w:t>
      </w:r>
      <w:r>
        <w:rPr>
          <w:rFonts w:hint="eastAsia" w:ascii="宋体" w:hAnsi="宋体" w:cs="宋体"/>
          <w:color w:val="auto"/>
          <w:sz w:val="24"/>
          <w:highlight w:val="none"/>
        </w:rPr>
        <w:t>磋商</w:t>
      </w:r>
      <w:r>
        <w:rPr>
          <w:rFonts w:hint="eastAsia" w:ascii="宋体" w:hAnsi="宋体" w:cs="宋体"/>
          <w:color w:val="auto"/>
          <w:sz w:val="24"/>
          <w:szCs w:val="24"/>
          <w:highlight w:val="none"/>
        </w:rPr>
        <w:t>声明书（格式见</w:t>
      </w:r>
      <w:r>
        <w:rPr>
          <w:rFonts w:hint="eastAsia" w:ascii="宋体" w:hAnsi="宋体" w:cs="宋体"/>
          <w:color w:val="auto"/>
          <w:sz w:val="24"/>
          <w:szCs w:val="24"/>
          <w:highlight w:val="none"/>
          <w:lang w:eastAsia="zh-CN"/>
        </w:rPr>
        <w:t>第六章</w:t>
      </w:r>
      <w:r>
        <w:rPr>
          <w:rFonts w:hint="eastAsia" w:ascii="宋体" w:hAnsi="宋体" w:cs="宋体"/>
          <w:color w:val="auto"/>
          <w:sz w:val="24"/>
          <w:szCs w:val="24"/>
          <w:highlight w:val="none"/>
        </w:rPr>
        <w:t>）；</w:t>
      </w:r>
    </w:p>
    <w:p w14:paraId="7D5D1E24">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480" w:firstLineChars="200"/>
        <w:contextualSpacing/>
        <w:jc w:val="both"/>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）诚信承诺书（格式见</w:t>
      </w:r>
      <w:r>
        <w:rPr>
          <w:rFonts w:hint="eastAsia" w:ascii="宋体" w:hAnsi="宋体" w:cs="宋体"/>
          <w:color w:val="auto"/>
          <w:sz w:val="24"/>
          <w:szCs w:val="24"/>
          <w:highlight w:val="none"/>
          <w:lang w:eastAsia="zh-CN"/>
        </w:rPr>
        <w:t>第六章</w:t>
      </w:r>
      <w:r>
        <w:rPr>
          <w:rFonts w:hint="eastAsia" w:ascii="宋体" w:hAnsi="宋体" w:cs="宋体"/>
          <w:color w:val="auto"/>
          <w:sz w:val="24"/>
          <w:szCs w:val="24"/>
          <w:highlight w:val="none"/>
        </w:rPr>
        <w:t>）；</w:t>
      </w:r>
    </w:p>
    <w:p w14:paraId="5958C891">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480" w:firstLineChars="200"/>
        <w:contextualSpacing/>
        <w:jc w:val="both"/>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）法定代表人授权委托书（格式见</w:t>
      </w:r>
      <w:r>
        <w:rPr>
          <w:rFonts w:hint="eastAsia" w:ascii="宋体" w:hAnsi="宋体" w:cs="宋体"/>
          <w:color w:val="auto"/>
          <w:sz w:val="24"/>
          <w:szCs w:val="24"/>
          <w:highlight w:val="none"/>
          <w:lang w:eastAsia="zh-CN"/>
        </w:rPr>
        <w:t>第六章</w:t>
      </w:r>
      <w:r>
        <w:rPr>
          <w:rFonts w:hint="eastAsia" w:ascii="宋体" w:hAnsi="宋体" w:cs="宋体"/>
          <w:color w:val="auto"/>
          <w:sz w:val="24"/>
          <w:szCs w:val="24"/>
          <w:highlight w:val="none"/>
        </w:rPr>
        <w:t>）；</w:t>
      </w:r>
    </w:p>
    <w:p w14:paraId="796860EF">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480" w:firstLineChars="200"/>
        <w:contextualSpacing/>
        <w:jc w:val="both"/>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）供应商基本情况表（格式见</w:t>
      </w:r>
      <w:r>
        <w:rPr>
          <w:rFonts w:hint="eastAsia" w:ascii="宋体" w:hAnsi="宋体" w:cs="宋体"/>
          <w:color w:val="auto"/>
          <w:sz w:val="24"/>
          <w:szCs w:val="24"/>
          <w:highlight w:val="none"/>
          <w:lang w:eastAsia="zh-CN"/>
        </w:rPr>
        <w:t>第六章</w:t>
      </w:r>
      <w:r>
        <w:rPr>
          <w:rFonts w:hint="eastAsia" w:ascii="宋体" w:hAnsi="宋体" w:cs="宋体"/>
          <w:color w:val="auto"/>
          <w:sz w:val="24"/>
          <w:szCs w:val="24"/>
          <w:highlight w:val="none"/>
        </w:rPr>
        <w:t>）；</w:t>
      </w:r>
    </w:p>
    <w:p w14:paraId="63101AEE">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480" w:firstLineChars="200"/>
        <w:contextualSpacing/>
        <w:jc w:val="both"/>
        <w:textAlignment w:val="auto"/>
        <w:rPr>
          <w:rFonts w:hint="eastAsia" w:ascii="宋体" w:hAnsi="宋体" w:cs="宋体"/>
          <w:bCs/>
          <w:color w:val="auto"/>
          <w:sz w:val="24"/>
          <w:highlight w:val="none"/>
        </w:rPr>
      </w:pPr>
      <w:r>
        <w:rPr>
          <w:rFonts w:hint="eastAsia" w:ascii="宋体" w:hAnsi="宋体" w:cs="宋体"/>
          <w:bCs/>
          <w:color w:val="auto"/>
          <w:sz w:val="24"/>
          <w:highlight w:val="none"/>
          <w:lang w:eastAsia="zh-CN"/>
        </w:rPr>
        <w:t>（</w:t>
      </w:r>
      <w:r>
        <w:rPr>
          <w:rFonts w:hint="eastAsia" w:ascii="宋体" w:hAnsi="宋体" w:cs="宋体"/>
          <w:bCs/>
          <w:color w:val="auto"/>
          <w:sz w:val="24"/>
          <w:highlight w:val="none"/>
          <w:lang w:val="en-US" w:eastAsia="zh-CN"/>
        </w:rPr>
        <w:t>5</w:t>
      </w:r>
      <w:r>
        <w:rPr>
          <w:rFonts w:hint="eastAsia" w:ascii="宋体" w:hAnsi="宋体" w:cs="宋体"/>
          <w:bCs/>
          <w:color w:val="auto"/>
          <w:sz w:val="24"/>
          <w:highlight w:val="none"/>
          <w:lang w:eastAsia="zh-CN"/>
        </w:rPr>
        <w:t>）</w:t>
      </w:r>
      <w:r>
        <w:rPr>
          <w:rFonts w:hint="eastAsia" w:ascii="宋体" w:hAnsi="宋体" w:cs="宋体"/>
          <w:bCs/>
          <w:color w:val="auto"/>
          <w:sz w:val="24"/>
          <w:highlight w:val="none"/>
        </w:rPr>
        <w:t>项目负责人简历表（格式见</w:t>
      </w:r>
      <w:r>
        <w:rPr>
          <w:rFonts w:hint="eastAsia" w:ascii="宋体" w:hAnsi="宋体" w:cs="宋体"/>
          <w:bCs/>
          <w:color w:val="auto"/>
          <w:sz w:val="24"/>
          <w:highlight w:val="none"/>
          <w:lang w:eastAsia="zh-CN"/>
        </w:rPr>
        <w:t>第六章</w:t>
      </w:r>
      <w:r>
        <w:rPr>
          <w:rFonts w:hint="eastAsia" w:ascii="宋体" w:hAnsi="宋体" w:cs="宋体"/>
          <w:bCs/>
          <w:color w:val="auto"/>
          <w:sz w:val="24"/>
          <w:highlight w:val="none"/>
        </w:rPr>
        <w:t>）；</w:t>
      </w:r>
    </w:p>
    <w:p w14:paraId="65E2084A">
      <w:pPr>
        <w:keepNext w:val="0"/>
        <w:keepLines w:val="0"/>
        <w:pageBreakBefore w:val="0"/>
        <w:widowControl w:val="0"/>
        <w:numPr>
          <w:ilvl w:val="0"/>
          <w:numId w:val="0"/>
        </w:numPr>
        <w:tabs>
          <w:tab w:val="left" w:pos="805"/>
          <w:tab w:val="left" w:pos="966"/>
        </w:tabs>
        <w:kinsoku/>
        <w:wordWrap/>
        <w:overflowPunct/>
        <w:topLinePunct w:val="0"/>
        <w:autoSpaceDE/>
        <w:autoSpaceDN/>
        <w:bidi w:val="0"/>
        <w:adjustRightInd/>
        <w:spacing w:line="400" w:lineRule="exact"/>
        <w:ind w:left="0" w:leftChars="0" w:right="0" w:rightChars="0" w:firstLine="480" w:firstLineChars="200"/>
        <w:jc w:val="both"/>
        <w:textAlignment w:val="auto"/>
        <w:rPr>
          <w:rFonts w:hint="eastAsia"/>
          <w:color w:val="auto"/>
          <w:sz w:val="24"/>
          <w:highlight w:val="none"/>
          <w:lang w:val="en-US" w:eastAsia="zh-CN"/>
        </w:rPr>
      </w:pPr>
      <w:r>
        <w:rPr>
          <w:rFonts w:hint="eastAsia"/>
          <w:color w:val="auto"/>
          <w:sz w:val="24"/>
          <w:highlight w:val="none"/>
          <w:lang w:val="en-US" w:eastAsia="zh-CN"/>
        </w:rPr>
        <w:t>（6）项目技术负责人简历表（格式自拟）；</w:t>
      </w:r>
    </w:p>
    <w:p w14:paraId="58E6BC62">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480" w:firstLineChars="200"/>
        <w:contextualSpacing/>
        <w:jc w:val="both"/>
        <w:textAlignment w:val="auto"/>
        <w:rPr>
          <w:rFonts w:hint="eastAsia"/>
          <w:color w:val="auto"/>
          <w:sz w:val="24"/>
          <w:highlight w:val="none"/>
          <w:lang w:val="en-US" w:eastAsia="zh-CN"/>
        </w:rPr>
      </w:pPr>
      <w:r>
        <w:rPr>
          <w:rFonts w:hint="eastAsia" w:ascii="宋体" w:hAnsi="宋体" w:cs="宋体"/>
          <w:bCs/>
          <w:color w:val="auto"/>
          <w:sz w:val="24"/>
          <w:highlight w:val="none"/>
        </w:rPr>
        <w:t>（</w:t>
      </w:r>
      <w:r>
        <w:rPr>
          <w:rFonts w:hint="eastAsia" w:ascii="宋体" w:hAnsi="宋体" w:cs="宋体"/>
          <w:bCs/>
          <w:color w:val="auto"/>
          <w:sz w:val="24"/>
          <w:highlight w:val="none"/>
          <w:lang w:val="en-US" w:eastAsia="zh-CN"/>
        </w:rPr>
        <w:t>7</w:t>
      </w:r>
      <w:r>
        <w:rPr>
          <w:rFonts w:hint="eastAsia" w:ascii="宋体" w:hAnsi="宋体" w:cs="宋体"/>
          <w:bCs/>
          <w:color w:val="auto"/>
          <w:sz w:val="24"/>
          <w:highlight w:val="none"/>
        </w:rPr>
        <w:t>）</w:t>
      </w:r>
      <w:r>
        <w:rPr>
          <w:rFonts w:hint="eastAsia"/>
          <w:color w:val="auto"/>
          <w:sz w:val="24"/>
          <w:highlight w:val="none"/>
          <w:lang w:val="en-US" w:eastAsia="zh-CN"/>
        </w:rPr>
        <w:t>施工组织设计或施工方案；</w:t>
      </w:r>
    </w:p>
    <w:p w14:paraId="2647A4BC">
      <w:pPr>
        <w:keepNext w:val="0"/>
        <w:keepLines w:val="0"/>
        <w:pageBreakBefore w:val="0"/>
        <w:widowControl w:val="0"/>
        <w:numPr>
          <w:ilvl w:val="0"/>
          <w:numId w:val="0"/>
        </w:numPr>
        <w:tabs>
          <w:tab w:val="left" w:pos="805"/>
          <w:tab w:val="left" w:pos="966"/>
        </w:tabs>
        <w:kinsoku/>
        <w:wordWrap/>
        <w:overflowPunct/>
        <w:topLinePunct w:val="0"/>
        <w:autoSpaceDE/>
        <w:autoSpaceDN/>
        <w:bidi w:val="0"/>
        <w:adjustRightInd/>
        <w:spacing w:line="400" w:lineRule="exact"/>
        <w:ind w:left="0" w:leftChars="0" w:right="0" w:rightChars="0" w:firstLine="720" w:firstLineChars="300"/>
        <w:jc w:val="both"/>
        <w:textAlignment w:val="auto"/>
        <w:rPr>
          <w:color w:val="auto"/>
          <w:sz w:val="24"/>
          <w:highlight w:val="none"/>
        </w:rPr>
      </w:pPr>
      <w:r>
        <w:rPr>
          <w:rFonts w:hint="eastAsia"/>
          <w:color w:val="auto"/>
          <w:sz w:val="24"/>
          <w:highlight w:val="none"/>
        </w:rPr>
        <w:t>①确保工程质量的技术组织措施；　</w:t>
      </w:r>
    </w:p>
    <w:p w14:paraId="67775E2E">
      <w:pPr>
        <w:keepNext w:val="0"/>
        <w:keepLines w:val="0"/>
        <w:pageBreakBefore w:val="0"/>
        <w:widowControl w:val="0"/>
        <w:numPr>
          <w:ilvl w:val="0"/>
          <w:numId w:val="0"/>
        </w:numPr>
        <w:tabs>
          <w:tab w:val="left" w:pos="805"/>
          <w:tab w:val="left" w:pos="966"/>
        </w:tabs>
        <w:kinsoku/>
        <w:wordWrap/>
        <w:overflowPunct/>
        <w:topLinePunct w:val="0"/>
        <w:autoSpaceDE/>
        <w:autoSpaceDN/>
        <w:bidi w:val="0"/>
        <w:adjustRightInd/>
        <w:spacing w:line="400" w:lineRule="exact"/>
        <w:ind w:left="0" w:leftChars="0" w:right="0" w:rightChars="0" w:firstLine="720" w:firstLineChars="300"/>
        <w:jc w:val="both"/>
        <w:textAlignment w:val="auto"/>
        <w:rPr>
          <w:color w:val="auto"/>
          <w:sz w:val="24"/>
          <w:highlight w:val="none"/>
        </w:rPr>
      </w:pPr>
      <w:r>
        <w:rPr>
          <w:rFonts w:hint="eastAsia" w:ascii="宋体" w:hAnsi="宋体" w:eastAsia="宋体" w:cs="宋体"/>
          <w:color w:val="auto"/>
          <w:sz w:val="24"/>
          <w:highlight w:val="none"/>
        </w:rPr>
        <w:t>②</w:t>
      </w:r>
      <w:r>
        <w:rPr>
          <w:rFonts w:hint="eastAsia"/>
          <w:color w:val="auto"/>
          <w:sz w:val="24"/>
          <w:highlight w:val="none"/>
        </w:rPr>
        <w:t>确保安全生产的技术组织措施；</w:t>
      </w:r>
    </w:p>
    <w:p w14:paraId="231D5528">
      <w:pPr>
        <w:keepNext w:val="0"/>
        <w:keepLines w:val="0"/>
        <w:pageBreakBefore w:val="0"/>
        <w:widowControl w:val="0"/>
        <w:numPr>
          <w:ilvl w:val="0"/>
          <w:numId w:val="0"/>
        </w:numPr>
        <w:tabs>
          <w:tab w:val="left" w:pos="805"/>
          <w:tab w:val="left" w:pos="966"/>
        </w:tabs>
        <w:kinsoku/>
        <w:wordWrap/>
        <w:overflowPunct/>
        <w:topLinePunct w:val="0"/>
        <w:autoSpaceDE/>
        <w:autoSpaceDN/>
        <w:bidi w:val="0"/>
        <w:adjustRightInd/>
        <w:spacing w:line="400" w:lineRule="exact"/>
        <w:ind w:left="0" w:leftChars="0" w:right="0" w:rightChars="0" w:firstLine="720" w:firstLineChars="300"/>
        <w:jc w:val="both"/>
        <w:textAlignment w:val="auto"/>
        <w:rPr>
          <w:color w:val="auto"/>
          <w:sz w:val="24"/>
          <w:highlight w:val="none"/>
        </w:rPr>
      </w:pPr>
      <w:r>
        <w:rPr>
          <w:rFonts w:hint="eastAsia" w:ascii="宋体" w:hAnsi="宋体" w:eastAsia="宋体" w:cs="宋体"/>
          <w:color w:val="auto"/>
          <w:sz w:val="24"/>
          <w:highlight w:val="none"/>
        </w:rPr>
        <w:t>③</w:t>
      </w:r>
      <w:r>
        <w:rPr>
          <w:rFonts w:hint="eastAsia"/>
          <w:color w:val="auto"/>
          <w:sz w:val="24"/>
          <w:highlight w:val="none"/>
        </w:rPr>
        <w:t>确保工期的技术组织措施；</w:t>
      </w:r>
    </w:p>
    <w:p w14:paraId="7DA9EF56">
      <w:pPr>
        <w:keepNext w:val="0"/>
        <w:keepLines w:val="0"/>
        <w:pageBreakBefore w:val="0"/>
        <w:widowControl w:val="0"/>
        <w:numPr>
          <w:ilvl w:val="0"/>
          <w:numId w:val="0"/>
        </w:numPr>
        <w:tabs>
          <w:tab w:val="left" w:pos="805"/>
          <w:tab w:val="left" w:pos="966"/>
        </w:tabs>
        <w:kinsoku/>
        <w:wordWrap/>
        <w:overflowPunct/>
        <w:topLinePunct w:val="0"/>
        <w:autoSpaceDE/>
        <w:autoSpaceDN/>
        <w:bidi w:val="0"/>
        <w:adjustRightInd/>
        <w:spacing w:line="400" w:lineRule="exact"/>
        <w:ind w:left="0" w:leftChars="0" w:right="0" w:rightChars="0" w:firstLine="720" w:firstLineChars="300"/>
        <w:jc w:val="both"/>
        <w:textAlignment w:val="auto"/>
        <w:rPr>
          <w:color w:val="auto"/>
          <w:sz w:val="24"/>
          <w:highlight w:val="none"/>
        </w:rPr>
      </w:pPr>
      <w:r>
        <w:rPr>
          <w:rFonts w:hint="eastAsia" w:ascii="宋体" w:hAnsi="宋体" w:eastAsia="宋体" w:cs="宋体"/>
          <w:color w:val="auto"/>
          <w:sz w:val="24"/>
          <w:highlight w:val="none"/>
        </w:rPr>
        <w:t>④</w:t>
      </w:r>
      <w:r>
        <w:rPr>
          <w:rFonts w:hint="eastAsia"/>
          <w:color w:val="auto"/>
          <w:sz w:val="24"/>
          <w:highlight w:val="none"/>
        </w:rPr>
        <w:t>主要材料供应计划；</w:t>
      </w:r>
    </w:p>
    <w:p w14:paraId="08EBE203">
      <w:pPr>
        <w:keepNext w:val="0"/>
        <w:keepLines w:val="0"/>
        <w:pageBreakBefore w:val="0"/>
        <w:widowControl w:val="0"/>
        <w:numPr>
          <w:ilvl w:val="0"/>
          <w:numId w:val="0"/>
        </w:numPr>
        <w:tabs>
          <w:tab w:val="left" w:pos="805"/>
          <w:tab w:val="left" w:pos="966"/>
        </w:tabs>
        <w:kinsoku/>
        <w:wordWrap/>
        <w:overflowPunct/>
        <w:topLinePunct w:val="0"/>
        <w:autoSpaceDE/>
        <w:autoSpaceDN/>
        <w:bidi w:val="0"/>
        <w:adjustRightInd/>
        <w:spacing w:line="400" w:lineRule="exact"/>
        <w:ind w:left="0" w:leftChars="0" w:right="0" w:rightChars="0" w:firstLine="720" w:firstLineChars="300"/>
        <w:jc w:val="both"/>
        <w:textAlignment w:val="auto"/>
        <w:rPr>
          <w:color w:val="auto"/>
          <w:sz w:val="24"/>
          <w:highlight w:val="none"/>
        </w:rPr>
      </w:pPr>
      <w:r>
        <w:rPr>
          <w:rFonts w:hint="eastAsia" w:ascii="宋体" w:hAnsi="宋体" w:eastAsia="宋体" w:cs="宋体"/>
          <w:color w:val="auto"/>
          <w:sz w:val="24"/>
          <w:highlight w:val="none"/>
        </w:rPr>
        <w:t>⑤</w:t>
      </w:r>
      <w:r>
        <w:rPr>
          <w:rFonts w:hint="eastAsia"/>
          <w:color w:val="auto"/>
          <w:sz w:val="24"/>
          <w:highlight w:val="none"/>
        </w:rPr>
        <w:t>劳动力</w:t>
      </w:r>
      <w:r>
        <w:rPr>
          <w:rFonts w:hint="eastAsia"/>
          <w:color w:val="auto"/>
          <w:sz w:val="24"/>
          <w:highlight w:val="none"/>
          <w:lang w:val="en-US" w:eastAsia="zh-CN"/>
        </w:rPr>
        <w:t>安</w:t>
      </w:r>
      <w:r>
        <w:rPr>
          <w:rFonts w:hint="eastAsia"/>
          <w:color w:val="auto"/>
          <w:sz w:val="24"/>
          <w:highlight w:val="none"/>
        </w:rPr>
        <w:t>排计划；</w:t>
      </w:r>
    </w:p>
    <w:p w14:paraId="536E666C">
      <w:pPr>
        <w:keepNext w:val="0"/>
        <w:keepLines w:val="0"/>
        <w:pageBreakBefore w:val="0"/>
        <w:widowControl w:val="0"/>
        <w:numPr>
          <w:ilvl w:val="0"/>
          <w:numId w:val="0"/>
        </w:numPr>
        <w:tabs>
          <w:tab w:val="left" w:pos="805"/>
          <w:tab w:val="left" w:pos="966"/>
        </w:tabs>
        <w:kinsoku/>
        <w:wordWrap/>
        <w:overflowPunct/>
        <w:topLinePunct w:val="0"/>
        <w:autoSpaceDE/>
        <w:autoSpaceDN/>
        <w:bidi w:val="0"/>
        <w:adjustRightInd/>
        <w:spacing w:line="400" w:lineRule="exact"/>
        <w:ind w:left="0" w:leftChars="0" w:right="0" w:rightChars="0" w:firstLine="720" w:firstLineChars="300"/>
        <w:jc w:val="both"/>
        <w:textAlignment w:val="auto"/>
        <w:rPr>
          <w:color w:val="auto"/>
          <w:sz w:val="24"/>
          <w:highlight w:val="none"/>
        </w:rPr>
      </w:pPr>
      <w:r>
        <w:rPr>
          <w:rFonts w:hint="eastAsia" w:ascii="宋体" w:hAnsi="宋体" w:eastAsia="宋体" w:cs="宋体"/>
          <w:color w:val="auto"/>
          <w:sz w:val="24"/>
          <w:highlight w:val="none"/>
        </w:rPr>
        <w:t>⑥</w:t>
      </w:r>
      <w:r>
        <w:rPr>
          <w:rFonts w:hint="eastAsia" w:ascii="宋体" w:hAnsi="宋体" w:eastAsia="宋体" w:cs="宋体"/>
          <w:color w:val="auto"/>
          <w:sz w:val="24"/>
          <w:highlight w:val="none"/>
          <w:lang w:val="en-US" w:eastAsia="zh-CN"/>
        </w:rPr>
        <w:t>投标人</w:t>
      </w:r>
      <w:r>
        <w:rPr>
          <w:rFonts w:hint="eastAsia"/>
          <w:color w:val="auto"/>
          <w:sz w:val="24"/>
          <w:highlight w:val="none"/>
          <w:lang w:val="en-US" w:eastAsia="zh-CN"/>
        </w:rPr>
        <w:t>根据评标办法要求需要提供的其他内容</w:t>
      </w:r>
      <w:r>
        <w:rPr>
          <w:rFonts w:hint="eastAsia"/>
          <w:color w:val="auto"/>
          <w:sz w:val="24"/>
          <w:highlight w:val="none"/>
        </w:rPr>
        <w:t>。</w:t>
      </w:r>
    </w:p>
    <w:p w14:paraId="0DCCA876">
      <w:pPr>
        <w:keepNext w:val="0"/>
        <w:keepLines w:val="0"/>
        <w:pageBreakBefore w:val="0"/>
        <w:widowControl w:val="0"/>
        <w:numPr>
          <w:ilvl w:val="0"/>
          <w:numId w:val="0"/>
        </w:numPr>
        <w:tabs>
          <w:tab w:val="left" w:pos="805"/>
          <w:tab w:val="left" w:pos="966"/>
        </w:tabs>
        <w:kinsoku/>
        <w:wordWrap/>
        <w:overflowPunct/>
        <w:topLinePunct w:val="0"/>
        <w:autoSpaceDE/>
        <w:autoSpaceDN/>
        <w:bidi w:val="0"/>
        <w:adjustRightInd/>
        <w:spacing w:line="400" w:lineRule="exact"/>
        <w:ind w:left="0" w:leftChars="0" w:right="0" w:rightChars="0" w:firstLine="480" w:firstLineChars="200"/>
        <w:jc w:val="both"/>
        <w:textAlignment w:val="auto"/>
        <w:rPr>
          <w:rFonts w:hint="eastAsia"/>
          <w:color w:val="auto"/>
          <w:sz w:val="24"/>
          <w:highlight w:val="none"/>
          <w:lang w:val="en-US" w:eastAsia="zh-CN"/>
        </w:rPr>
      </w:pPr>
      <w:r>
        <w:rPr>
          <w:rFonts w:hint="eastAsia"/>
          <w:color w:val="auto"/>
          <w:sz w:val="24"/>
          <w:highlight w:val="none"/>
          <w:lang w:val="en-US" w:eastAsia="zh-CN"/>
        </w:rPr>
        <w:t>（8）农民工工资发放的保障体系。</w:t>
      </w:r>
    </w:p>
    <w:p w14:paraId="71C65BF3">
      <w:pPr>
        <w:keepNext w:val="0"/>
        <w:keepLines w:val="0"/>
        <w:pageBreakBefore w:val="0"/>
        <w:widowControl w:val="0"/>
        <w:numPr>
          <w:ilvl w:val="0"/>
          <w:numId w:val="0"/>
        </w:numPr>
        <w:tabs>
          <w:tab w:val="left" w:pos="805"/>
          <w:tab w:val="left" w:pos="966"/>
        </w:tabs>
        <w:kinsoku/>
        <w:wordWrap/>
        <w:overflowPunct/>
        <w:topLinePunct w:val="0"/>
        <w:autoSpaceDE/>
        <w:autoSpaceDN/>
        <w:bidi w:val="0"/>
        <w:adjustRightInd/>
        <w:spacing w:line="400" w:lineRule="exact"/>
        <w:ind w:left="0" w:leftChars="0" w:right="0" w:rightChars="0" w:firstLine="480" w:firstLineChars="200"/>
        <w:jc w:val="both"/>
        <w:textAlignment w:val="auto"/>
        <w:rPr>
          <w:rFonts w:hint="eastAsia"/>
          <w:color w:val="auto"/>
          <w:sz w:val="24"/>
          <w:highlight w:val="none"/>
          <w:lang w:val="en-US" w:eastAsia="zh-CN"/>
        </w:rPr>
      </w:pPr>
      <w:r>
        <w:rPr>
          <w:rFonts w:hint="eastAsia"/>
          <w:color w:val="auto"/>
          <w:sz w:val="24"/>
          <w:highlight w:val="none"/>
          <w:lang w:val="en-US" w:eastAsia="zh-CN"/>
        </w:rPr>
        <w:t>（9）拟投入施工现场的主要管理人员情况表（格式见第六章）。</w:t>
      </w:r>
    </w:p>
    <w:p w14:paraId="7751A7A9">
      <w:pPr>
        <w:keepNext w:val="0"/>
        <w:keepLines w:val="0"/>
        <w:pageBreakBefore w:val="0"/>
        <w:widowControl w:val="0"/>
        <w:numPr>
          <w:ilvl w:val="0"/>
          <w:numId w:val="0"/>
        </w:numPr>
        <w:tabs>
          <w:tab w:val="left" w:pos="805"/>
          <w:tab w:val="left" w:pos="966"/>
        </w:tabs>
        <w:kinsoku/>
        <w:wordWrap/>
        <w:overflowPunct/>
        <w:topLinePunct w:val="0"/>
        <w:autoSpaceDE/>
        <w:autoSpaceDN/>
        <w:bidi w:val="0"/>
        <w:adjustRightInd/>
        <w:spacing w:line="400" w:lineRule="exact"/>
        <w:ind w:left="0" w:leftChars="0" w:right="0" w:rightChars="0" w:firstLine="480" w:firstLineChars="200"/>
        <w:jc w:val="both"/>
        <w:textAlignment w:val="auto"/>
        <w:rPr>
          <w:rFonts w:hint="eastAsia" w:ascii="宋体" w:hAnsi="宋体" w:eastAsia="宋体" w:cs="宋体"/>
          <w:color w:val="auto"/>
          <w:sz w:val="24"/>
          <w:highlight w:val="none"/>
          <w:lang w:val="en-US" w:eastAsia="zh-CN"/>
        </w:rPr>
      </w:pPr>
      <w:r>
        <w:rPr>
          <w:rFonts w:hint="eastAsia"/>
          <w:color w:val="auto"/>
          <w:sz w:val="24"/>
          <w:highlight w:val="none"/>
          <w:lang w:val="en-US" w:eastAsia="zh-CN"/>
        </w:rPr>
        <w:t>（10）投标人根据评标办法需要提供的其他资料。</w:t>
      </w:r>
    </w:p>
    <w:p w14:paraId="43BD3E84">
      <w:pPr>
        <w:keepNext w:val="0"/>
        <w:keepLines w:val="0"/>
        <w:pageBreakBefore w:val="0"/>
        <w:widowControl w:val="0"/>
        <w:kinsoku/>
        <w:wordWrap/>
        <w:overflowPunct/>
        <w:topLinePunct w:val="0"/>
        <w:autoSpaceDE/>
        <w:autoSpaceDN/>
        <w:bidi w:val="0"/>
        <w:adjustRightInd/>
        <w:snapToGrid w:val="0"/>
        <w:spacing w:line="450" w:lineRule="exact"/>
        <w:ind w:left="0" w:leftChars="0" w:right="0" w:rightChars="0" w:firstLine="482" w:firstLineChars="200"/>
        <w:contextualSpacing/>
        <w:jc w:val="both"/>
        <w:textAlignment w:val="auto"/>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．报价文件：</w:t>
      </w:r>
    </w:p>
    <w:p w14:paraId="56F6EA9A">
      <w:pPr>
        <w:keepNext w:val="0"/>
        <w:keepLines w:val="0"/>
        <w:pageBreakBefore w:val="0"/>
        <w:widowControl w:val="0"/>
        <w:kinsoku/>
        <w:wordWrap/>
        <w:overflowPunct/>
        <w:topLinePunct w:val="0"/>
        <w:autoSpaceDE/>
        <w:autoSpaceDN/>
        <w:bidi w:val="0"/>
        <w:adjustRightInd/>
        <w:snapToGrid w:val="0"/>
        <w:spacing w:line="450" w:lineRule="exact"/>
        <w:ind w:left="0" w:leftChars="0" w:right="0" w:rightChars="0" w:firstLine="480" w:firstLineChars="200"/>
        <w:contextualSpacing/>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（1）磋商函（格式见</w:t>
      </w:r>
      <w:r>
        <w:rPr>
          <w:rFonts w:hint="eastAsia" w:ascii="宋体" w:hAnsi="宋体" w:eastAsia="宋体" w:cs="宋体"/>
          <w:color w:val="auto"/>
          <w:sz w:val="24"/>
          <w:highlight w:val="none"/>
          <w:lang w:eastAsia="zh-CN"/>
        </w:rPr>
        <w:t>第</w:t>
      </w:r>
      <w:r>
        <w:rPr>
          <w:rFonts w:hint="eastAsia" w:ascii="宋体" w:hAnsi="宋体" w:eastAsia="宋体" w:cs="宋体"/>
          <w:color w:val="auto"/>
          <w:sz w:val="24"/>
          <w:highlight w:val="none"/>
          <w:lang w:val="en-US" w:eastAsia="zh-CN"/>
        </w:rPr>
        <w:t>六</w:t>
      </w:r>
      <w:r>
        <w:rPr>
          <w:rFonts w:hint="eastAsia" w:ascii="宋体" w:hAnsi="宋体" w:eastAsia="宋体" w:cs="宋体"/>
          <w:color w:val="auto"/>
          <w:sz w:val="24"/>
          <w:highlight w:val="none"/>
          <w:lang w:eastAsia="zh-CN"/>
        </w:rPr>
        <w:t>章</w:t>
      </w:r>
      <w:r>
        <w:rPr>
          <w:rFonts w:hint="eastAsia" w:ascii="宋体" w:hAnsi="宋体" w:eastAsia="宋体" w:cs="宋体"/>
          <w:color w:val="auto"/>
          <w:sz w:val="24"/>
          <w:highlight w:val="none"/>
        </w:rPr>
        <w:t xml:space="preserve">）； </w:t>
      </w:r>
    </w:p>
    <w:p w14:paraId="20EEF501">
      <w:pPr>
        <w:keepNext w:val="0"/>
        <w:keepLines w:val="0"/>
        <w:pageBreakBefore w:val="0"/>
        <w:widowControl w:val="0"/>
        <w:kinsoku/>
        <w:wordWrap/>
        <w:overflowPunct/>
        <w:topLinePunct w:val="0"/>
        <w:autoSpaceDE/>
        <w:autoSpaceDN/>
        <w:bidi w:val="0"/>
        <w:adjustRightInd/>
        <w:snapToGrid w:val="0"/>
        <w:spacing w:line="450" w:lineRule="exact"/>
        <w:ind w:left="0" w:leftChars="0" w:right="0" w:rightChars="0" w:firstLine="480" w:firstLineChars="200"/>
        <w:contextualSpacing/>
        <w:jc w:val="both"/>
        <w:textAlignment w:val="auto"/>
        <w:rPr>
          <w:rFonts w:hint="eastAsia" w:ascii="宋体" w:hAnsi="宋体" w:eastAsia="宋体" w:cs="宋体"/>
          <w:color w:val="auto"/>
          <w:spacing w:val="-6"/>
          <w:sz w:val="24"/>
          <w:highlight w:val="none"/>
          <w:lang w:val="en-US" w:eastAsia="zh-CN"/>
        </w:rPr>
      </w:pPr>
      <w:r>
        <w:rPr>
          <w:rFonts w:hint="eastAsia" w:ascii="宋体" w:hAnsi="宋体" w:eastAsia="宋体" w:cs="宋体"/>
          <w:color w:val="auto"/>
          <w:sz w:val="24"/>
          <w:highlight w:val="none"/>
        </w:rPr>
        <w:t>（2）</w:t>
      </w:r>
      <w:r>
        <w:rPr>
          <w:rFonts w:hint="eastAsia" w:ascii="宋体" w:hAnsi="宋体" w:eastAsia="宋体" w:cs="宋体"/>
          <w:color w:val="auto"/>
          <w:spacing w:val="-6"/>
          <w:sz w:val="24"/>
          <w:highlight w:val="none"/>
          <w:lang w:val="en-US" w:eastAsia="zh-CN"/>
        </w:rPr>
        <w:t>第壹轮报价一览表（格式见第六章）；</w:t>
      </w:r>
    </w:p>
    <w:p w14:paraId="6C5C14B7">
      <w:pPr>
        <w:keepNext w:val="0"/>
        <w:keepLines w:val="0"/>
        <w:pageBreakBefore w:val="0"/>
        <w:widowControl w:val="0"/>
        <w:kinsoku/>
        <w:wordWrap/>
        <w:overflowPunct/>
        <w:topLinePunct w:val="0"/>
        <w:autoSpaceDE/>
        <w:autoSpaceDN/>
        <w:bidi w:val="0"/>
        <w:adjustRightInd/>
        <w:snapToGrid w:val="0"/>
        <w:spacing w:line="450" w:lineRule="exact"/>
        <w:ind w:left="0" w:leftChars="0" w:right="0" w:rightChars="0" w:firstLine="480" w:firstLineChars="200"/>
        <w:contextualSpacing/>
        <w:jc w:val="both"/>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w:t>
      </w:r>
      <w:r>
        <w:rPr>
          <w:rFonts w:hint="eastAsia" w:ascii="宋体" w:hAnsi="宋体" w:eastAsia="宋体" w:cs="宋体"/>
          <w:color w:val="auto"/>
          <w:spacing w:val="-6"/>
          <w:sz w:val="24"/>
          <w:highlight w:val="none"/>
          <w:lang w:val="en-US" w:eastAsia="zh-CN"/>
        </w:rPr>
        <w:t>最终</w:t>
      </w:r>
      <w:r>
        <w:rPr>
          <w:rFonts w:hint="eastAsia" w:ascii="宋体" w:hAnsi="宋体" w:eastAsia="宋体" w:cs="宋体"/>
          <w:color w:val="auto"/>
          <w:spacing w:val="-6"/>
          <w:sz w:val="24"/>
          <w:highlight w:val="none"/>
        </w:rPr>
        <w:t>报价一览表（格式见</w:t>
      </w:r>
      <w:r>
        <w:rPr>
          <w:rFonts w:hint="eastAsia" w:ascii="宋体" w:hAnsi="宋体" w:eastAsia="宋体" w:cs="宋体"/>
          <w:color w:val="auto"/>
          <w:spacing w:val="-6"/>
          <w:sz w:val="24"/>
          <w:highlight w:val="none"/>
          <w:lang w:eastAsia="zh-CN"/>
        </w:rPr>
        <w:t>第六章</w:t>
      </w:r>
      <w:r>
        <w:rPr>
          <w:rFonts w:hint="eastAsia" w:ascii="宋体" w:hAnsi="宋体" w:eastAsia="宋体" w:cs="宋体"/>
          <w:color w:val="auto"/>
          <w:spacing w:val="-6"/>
          <w:sz w:val="24"/>
          <w:highlight w:val="none"/>
        </w:rPr>
        <w:t>）</w:t>
      </w:r>
      <w:r>
        <w:rPr>
          <w:rFonts w:hint="eastAsia" w:ascii="宋体" w:hAnsi="宋体" w:eastAsia="宋体" w:cs="宋体"/>
          <w:color w:val="auto"/>
          <w:spacing w:val="-6"/>
          <w:sz w:val="24"/>
          <w:highlight w:val="none"/>
          <w:lang w:eastAsia="zh-CN"/>
        </w:rPr>
        <w:t>；（</w:t>
      </w:r>
      <w:r>
        <w:rPr>
          <w:rFonts w:hint="eastAsia" w:ascii="宋体" w:hAnsi="宋体" w:eastAsia="宋体" w:cs="宋体"/>
          <w:b/>
          <w:bCs/>
          <w:color w:val="auto"/>
          <w:spacing w:val="-6"/>
          <w:sz w:val="24"/>
          <w:highlight w:val="none"/>
          <w:lang w:val="en-US" w:eastAsia="zh-CN"/>
        </w:rPr>
        <w:t>仅在开标时要求第二轮报价时按规定提供</w:t>
      </w:r>
      <w:r>
        <w:rPr>
          <w:rFonts w:hint="eastAsia" w:ascii="宋体" w:hAnsi="宋体" w:eastAsia="宋体" w:cs="宋体"/>
          <w:color w:val="auto"/>
          <w:spacing w:val="-6"/>
          <w:sz w:val="24"/>
          <w:highlight w:val="none"/>
          <w:lang w:eastAsia="zh-CN"/>
        </w:rPr>
        <w:t>）</w:t>
      </w:r>
    </w:p>
    <w:p w14:paraId="6B62E503">
      <w:pPr>
        <w:keepNext w:val="0"/>
        <w:keepLines w:val="0"/>
        <w:pageBreakBefore w:val="0"/>
        <w:widowControl w:val="0"/>
        <w:kinsoku/>
        <w:wordWrap/>
        <w:overflowPunct/>
        <w:topLinePunct w:val="0"/>
        <w:autoSpaceDE/>
        <w:autoSpaceDN/>
        <w:bidi w:val="0"/>
        <w:adjustRightInd/>
        <w:snapToGrid w:val="0"/>
        <w:spacing w:line="450" w:lineRule="exact"/>
        <w:ind w:left="0" w:leftChars="0" w:right="0" w:rightChars="0" w:firstLine="480" w:firstLineChars="200"/>
        <w:contextualSpacing/>
        <w:jc w:val="both"/>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分项报价明细表</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①-</w:t>
      </w:r>
      <w:r>
        <w:rPr>
          <w:rFonts w:hint="eastAsia" w:ascii="宋体" w:hAnsi="宋体" w:eastAsia="宋体" w:cs="宋体"/>
          <w:color w:val="auto"/>
          <w:sz w:val="24"/>
          <w:highlight w:val="none"/>
          <w:lang w:val="en-US" w:eastAsia="zh-CN"/>
        </w:rPr>
        <w:t>⑳</w:t>
      </w:r>
      <w:r>
        <w:rPr>
          <w:rFonts w:hint="eastAsia" w:ascii="宋体" w:hAnsi="宋体" w:eastAsia="宋体" w:cs="宋体"/>
          <w:color w:val="auto"/>
          <w:sz w:val="24"/>
          <w:highlight w:val="none"/>
          <w:lang w:val="en-US" w:eastAsia="zh-CN"/>
        </w:rPr>
        <w:t>项格式见第六章</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w:t>
      </w:r>
    </w:p>
    <w:p w14:paraId="38F4AE88">
      <w:pPr>
        <w:keepNext w:val="0"/>
        <w:keepLines w:val="0"/>
        <w:pageBreakBefore w:val="0"/>
        <w:widowControl w:val="0"/>
        <w:numPr>
          <w:ilvl w:val="0"/>
          <w:numId w:val="0"/>
        </w:numPr>
        <w:tabs>
          <w:tab w:val="left" w:pos="1154"/>
        </w:tabs>
        <w:kinsoku/>
        <w:wordWrap/>
        <w:overflowPunct/>
        <w:topLinePunct w:val="0"/>
        <w:autoSpaceDE/>
        <w:autoSpaceDN/>
        <w:bidi w:val="0"/>
        <w:adjustRightInd/>
        <w:snapToGrid/>
        <w:spacing w:line="450" w:lineRule="exact"/>
        <w:ind w:left="0" w:leftChars="0" w:right="0" w:rightChars="0" w:firstLine="720" w:firstLineChars="300"/>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①</w:t>
      </w:r>
      <w:r>
        <w:rPr>
          <w:rFonts w:hint="eastAsia" w:ascii="宋体" w:hAnsi="宋体" w:eastAsia="宋体" w:cs="宋体"/>
          <w:color w:val="auto"/>
          <w:sz w:val="24"/>
          <w:highlight w:val="none"/>
        </w:rPr>
        <w:t>投标</w:t>
      </w:r>
      <w:r>
        <w:rPr>
          <w:rFonts w:hint="eastAsia" w:ascii="宋体" w:hAnsi="宋体" w:eastAsia="宋体" w:cs="宋体"/>
          <w:color w:val="auto"/>
          <w:sz w:val="24"/>
          <w:highlight w:val="none"/>
          <w:lang w:eastAsia="zh-CN"/>
        </w:rPr>
        <w:t>报</w:t>
      </w:r>
      <w:r>
        <w:rPr>
          <w:rFonts w:hint="eastAsia" w:ascii="宋体" w:hAnsi="宋体" w:eastAsia="宋体" w:cs="宋体"/>
          <w:color w:val="auto"/>
          <w:sz w:val="24"/>
          <w:highlight w:val="none"/>
        </w:rPr>
        <w:t>价；</w:t>
      </w:r>
    </w:p>
    <w:p w14:paraId="31BC6F7C">
      <w:pPr>
        <w:keepNext w:val="0"/>
        <w:keepLines w:val="0"/>
        <w:pageBreakBefore w:val="0"/>
        <w:widowControl w:val="0"/>
        <w:numPr>
          <w:ilvl w:val="0"/>
          <w:numId w:val="0"/>
        </w:numPr>
        <w:tabs>
          <w:tab w:val="left" w:pos="1154"/>
        </w:tabs>
        <w:kinsoku/>
        <w:wordWrap/>
        <w:overflowPunct/>
        <w:topLinePunct w:val="0"/>
        <w:autoSpaceDE/>
        <w:autoSpaceDN/>
        <w:bidi w:val="0"/>
        <w:adjustRightInd/>
        <w:snapToGrid/>
        <w:spacing w:line="450" w:lineRule="exact"/>
        <w:ind w:left="0" w:leftChars="0" w:right="0" w:rightChars="0" w:firstLine="720" w:firstLineChars="300"/>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②</w:t>
      </w:r>
      <w:r>
        <w:rPr>
          <w:rFonts w:hint="eastAsia" w:ascii="宋体" w:hAnsi="宋体" w:eastAsia="宋体" w:cs="宋体"/>
          <w:color w:val="auto"/>
          <w:sz w:val="24"/>
          <w:highlight w:val="none"/>
          <w:lang w:eastAsia="zh-CN"/>
        </w:rPr>
        <w:t>编制</w:t>
      </w:r>
      <w:r>
        <w:rPr>
          <w:rFonts w:hint="eastAsia" w:ascii="宋体" w:hAnsi="宋体" w:eastAsia="宋体" w:cs="宋体"/>
          <w:color w:val="auto"/>
          <w:sz w:val="24"/>
          <w:highlight w:val="none"/>
        </w:rPr>
        <w:t>说明；</w:t>
      </w:r>
    </w:p>
    <w:p w14:paraId="2A716615">
      <w:pPr>
        <w:keepNext w:val="0"/>
        <w:keepLines w:val="0"/>
        <w:pageBreakBefore w:val="0"/>
        <w:widowControl w:val="0"/>
        <w:numPr>
          <w:ilvl w:val="0"/>
          <w:numId w:val="0"/>
        </w:numPr>
        <w:tabs>
          <w:tab w:val="left" w:pos="1154"/>
        </w:tabs>
        <w:kinsoku/>
        <w:wordWrap/>
        <w:overflowPunct/>
        <w:topLinePunct w:val="0"/>
        <w:autoSpaceDE/>
        <w:autoSpaceDN/>
        <w:bidi w:val="0"/>
        <w:adjustRightInd/>
        <w:snapToGrid/>
        <w:spacing w:line="450" w:lineRule="exact"/>
        <w:ind w:left="0" w:leftChars="0" w:right="0" w:rightChars="0" w:firstLine="720" w:firstLineChars="300"/>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③</w:t>
      </w:r>
      <w:r>
        <w:rPr>
          <w:rFonts w:hint="eastAsia" w:ascii="宋体" w:hAnsi="宋体" w:eastAsia="宋体" w:cs="宋体"/>
          <w:color w:val="auto"/>
          <w:sz w:val="24"/>
          <w:highlight w:val="none"/>
        </w:rPr>
        <w:t>投标报价费用表</w:t>
      </w:r>
      <w:r>
        <w:rPr>
          <w:rFonts w:hint="eastAsia" w:ascii="宋体" w:hAnsi="宋体" w:eastAsia="宋体" w:cs="宋体"/>
          <w:color w:val="auto"/>
          <w:sz w:val="24"/>
          <w:highlight w:val="none"/>
        </w:rPr>
        <w:t>；</w:t>
      </w:r>
    </w:p>
    <w:p w14:paraId="129BE598">
      <w:pPr>
        <w:keepNext w:val="0"/>
        <w:keepLines w:val="0"/>
        <w:pageBreakBefore w:val="0"/>
        <w:widowControl w:val="0"/>
        <w:numPr>
          <w:ilvl w:val="0"/>
          <w:numId w:val="0"/>
        </w:numPr>
        <w:tabs>
          <w:tab w:val="left" w:pos="1154"/>
        </w:tabs>
        <w:kinsoku/>
        <w:wordWrap/>
        <w:overflowPunct/>
        <w:topLinePunct w:val="0"/>
        <w:autoSpaceDE/>
        <w:autoSpaceDN/>
        <w:bidi w:val="0"/>
        <w:adjustRightInd/>
        <w:snapToGrid/>
        <w:spacing w:line="450" w:lineRule="exact"/>
        <w:ind w:left="0" w:leftChars="0" w:right="0" w:rightChars="0" w:firstLine="720" w:firstLineChars="300"/>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④</w:t>
      </w:r>
      <w:r>
        <w:rPr>
          <w:rFonts w:hint="eastAsia" w:ascii="宋体" w:hAnsi="宋体" w:eastAsia="宋体" w:cs="宋体"/>
          <w:color w:val="auto"/>
          <w:sz w:val="24"/>
          <w:highlight w:val="none"/>
        </w:rPr>
        <w:t>单位（专业）工程投标报价计算表</w:t>
      </w:r>
      <w:r>
        <w:rPr>
          <w:rFonts w:hint="eastAsia" w:ascii="宋体" w:hAnsi="宋体" w:eastAsia="宋体" w:cs="宋体"/>
          <w:color w:val="auto"/>
          <w:sz w:val="24"/>
          <w:highlight w:val="none"/>
        </w:rPr>
        <w:t>；</w:t>
      </w:r>
    </w:p>
    <w:p w14:paraId="3ECD8A82">
      <w:pPr>
        <w:keepNext w:val="0"/>
        <w:keepLines w:val="0"/>
        <w:pageBreakBefore w:val="0"/>
        <w:widowControl w:val="0"/>
        <w:numPr>
          <w:ilvl w:val="0"/>
          <w:numId w:val="0"/>
        </w:numPr>
        <w:tabs>
          <w:tab w:val="left" w:pos="1154"/>
        </w:tabs>
        <w:kinsoku/>
        <w:wordWrap/>
        <w:overflowPunct/>
        <w:topLinePunct w:val="0"/>
        <w:autoSpaceDE/>
        <w:autoSpaceDN/>
        <w:bidi w:val="0"/>
        <w:adjustRightInd/>
        <w:snapToGrid/>
        <w:spacing w:line="450" w:lineRule="exact"/>
        <w:ind w:left="0" w:leftChars="0" w:right="0" w:rightChars="0" w:firstLine="720" w:firstLineChars="300"/>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⑤</w:t>
      </w:r>
      <w:r>
        <w:rPr>
          <w:rFonts w:hint="eastAsia" w:ascii="宋体" w:hAnsi="宋体" w:eastAsia="宋体" w:cs="宋体"/>
          <w:color w:val="auto"/>
          <w:sz w:val="24"/>
          <w:szCs w:val="24"/>
          <w:highlight w:val="none"/>
        </w:rPr>
        <w:t>分部分项工程量清单与计价表</w:t>
      </w:r>
      <w:r>
        <w:rPr>
          <w:rFonts w:hint="eastAsia" w:ascii="宋体" w:hAnsi="宋体" w:eastAsia="宋体" w:cs="宋体"/>
          <w:color w:val="auto"/>
          <w:sz w:val="24"/>
          <w:highlight w:val="none"/>
        </w:rPr>
        <w:t>；</w:t>
      </w:r>
    </w:p>
    <w:p w14:paraId="6D4E5CB6">
      <w:pPr>
        <w:keepNext w:val="0"/>
        <w:keepLines w:val="0"/>
        <w:pageBreakBefore w:val="0"/>
        <w:widowControl w:val="0"/>
        <w:numPr>
          <w:ilvl w:val="0"/>
          <w:numId w:val="0"/>
        </w:numPr>
        <w:tabs>
          <w:tab w:val="left" w:pos="1154"/>
        </w:tabs>
        <w:kinsoku/>
        <w:wordWrap/>
        <w:overflowPunct/>
        <w:topLinePunct w:val="0"/>
        <w:autoSpaceDE/>
        <w:autoSpaceDN/>
        <w:bidi w:val="0"/>
        <w:adjustRightInd/>
        <w:snapToGrid/>
        <w:spacing w:line="450" w:lineRule="exact"/>
        <w:ind w:left="0" w:leftChars="0" w:right="0" w:rightChars="0" w:firstLine="720" w:firstLineChars="300"/>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⑥</w:t>
      </w:r>
      <w:r>
        <w:rPr>
          <w:rFonts w:hint="eastAsia" w:ascii="宋体" w:hAnsi="宋体" w:eastAsia="宋体" w:cs="宋体"/>
          <w:color w:val="auto"/>
          <w:sz w:val="24"/>
          <w:highlight w:val="none"/>
        </w:rPr>
        <w:t>施工技术措施项目清单与计价表</w:t>
      </w:r>
      <w:r>
        <w:rPr>
          <w:rFonts w:hint="eastAsia" w:ascii="宋体" w:hAnsi="宋体" w:eastAsia="宋体" w:cs="宋体"/>
          <w:color w:val="auto"/>
          <w:sz w:val="24"/>
          <w:highlight w:val="none"/>
          <w:lang w:eastAsia="zh-CN"/>
        </w:rPr>
        <w:t>；</w:t>
      </w:r>
    </w:p>
    <w:p w14:paraId="1D3E4ABD">
      <w:pPr>
        <w:keepNext w:val="0"/>
        <w:keepLines w:val="0"/>
        <w:pageBreakBefore w:val="0"/>
        <w:widowControl w:val="0"/>
        <w:numPr>
          <w:ilvl w:val="0"/>
          <w:numId w:val="0"/>
        </w:numPr>
        <w:tabs>
          <w:tab w:val="left" w:pos="1154"/>
        </w:tabs>
        <w:kinsoku/>
        <w:wordWrap/>
        <w:overflowPunct/>
        <w:topLinePunct w:val="0"/>
        <w:autoSpaceDE/>
        <w:autoSpaceDN/>
        <w:bidi w:val="0"/>
        <w:adjustRightInd/>
        <w:snapToGrid/>
        <w:spacing w:line="450" w:lineRule="exact"/>
        <w:ind w:left="0" w:leftChars="0" w:right="0" w:rightChars="0" w:firstLine="720" w:firstLineChars="300"/>
        <w:jc w:val="both"/>
        <w:textAlignment w:val="auto"/>
        <w:rPr>
          <w:rFonts w:hint="eastAsia" w:ascii="宋体" w:hAnsi="宋体" w:eastAsia="宋体" w:cs="宋体"/>
          <w:b/>
          <w:bCs/>
          <w:color w:val="auto"/>
          <w:sz w:val="24"/>
          <w:highlight w:val="none"/>
          <w:lang w:eastAsia="zh-CN"/>
        </w:rPr>
      </w:pPr>
      <w:r>
        <w:rPr>
          <w:rFonts w:hint="eastAsia" w:ascii="宋体" w:hAnsi="宋体" w:eastAsia="宋体" w:cs="宋体"/>
          <w:color w:val="auto"/>
          <w:sz w:val="24"/>
          <w:highlight w:val="none"/>
          <w:lang w:val="en-US" w:eastAsia="zh-CN"/>
        </w:rPr>
        <w:t>⑦</w:t>
      </w:r>
      <w:r>
        <w:rPr>
          <w:rFonts w:hint="eastAsia" w:ascii="宋体" w:hAnsi="宋体" w:eastAsia="宋体" w:cs="宋体"/>
          <w:color w:val="auto"/>
          <w:sz w:val="24"/>
          <w:highlight w:val="none"/>
        </w:rPr>
        <w:t>综合单价计算表(注：含综合单价及技术措施)</w:t>
      </w:r>
      <w:r>
        <w:rPr>
          <w:rFonts w:hint="eastAsia" w:ascii="宋体" w:hAnsi="宋体" w:eastAsia="宋体" w:cs="宋体"/>
          <w:b/>
          <w:bCs/>
          <w:color w:val="auto"/>
          <w:sz w:val="24"/>
          <w:highlight w:val="none"/>
          <w:lang w:eastAsia="zh-CN"/>
        </w:rPr>
        <w:t>；</w:t>
      </w:r>
      <w:r>
        <w:rPr>
          <w:rFonts w:hint="eastAsia" w:ascii="宋体" w:hAnsi="宋体" w:eastAsia="宋体" w:cs="宋体"/>
          <w:b/>
          <w:color w:val="auto"/>
          <w:sz w:val="24"/>
          <w:highlight w:val="none"/>
        </w:rPr>
        <w:t>（仅在中标后的一份</w:t>
      </w:r>
      <w:r>
        <w:rPr>
          <w:rFonts w:hint="eastAsia" w:ascii="宋体" w:hAnsi="宋体" w:eastAsia="宋体" w:cs="宋体"/>
          <w:b/>
          <w:color w:val="auto"/>
          <w:sz w:val="24"/>
          <w:highlight w:val="none"/>
          <w:lang w:val="en-US" w:eastAsia="zh-CN"/>
        </w:rPr>
        <w:t>报价文件</w:t>
      </w:r>
      <w:r>
        <w:rPr>
          <w:rFonts w:hint="eastAsia" w:ascii="宋体" w:hAnsi="宋体" w:eastAsia="宋体" w:cs="宋体"/>
          <w:b/>
          <w:color w:val="auto"/>
          <w:sz w:val="24"/>
          <w:highlight w:val="none"/>
        </w:rPr>
        <w:t>副本中提供）</w:t>
      </w:r>
      <w:r>
        <w:rPr>
          <w:rFonts w:hint="eastAsia" w:ascii="宋体" w:hAnsi="宋体" w:eastAsia="宋体" w:cs="宋体"/>
          <w:b/>
          <w:color w:val="auto"/>
          <w:sz w:val="24"/>
          <w:highlight w:val="none"/>
          <w:lang w:eastAsia="zh-CN"/>
        </w:rPr>
        <w:t>；</w:t>
      </w:r>
    </w:p>
    <w:p w14:paraId="6A84E11F">
      <w:pPr>
        <w:keepNext w:val="0"/>
        <w:keepLines w:val="0"/>
        <w:pageBreakBefore w:val="0"/>
        <w:widowControl w:val="0"/>
        <w:numPr>
          <w:ilvl w:val="0"/>
          <w:numId w:val="0"/>
        </w:numPr>
        <w:tabs>
          <w:tab w:val="left" w:pos="1154"/>
        </w:tabs>
        <w:kinsoku/>
        <w:wordWrap/>
        <w:overflowPunct/>
        <w:topLinePunct w:val="0"/>
        <w:autoSpaceDE/>
        <w:autoSpaceDN/>
        <w:bidi w:val="0"/>
        <w:adjustRightInd/>
        <w:snapToGrid/>
        <w:spacing w:line="450" w:lineRule="exact"/>
        <w:ind w:left="0" w:leftChars="0" w:right="0" w:rightChars="0" w:firstLine="720" w:firstLineChars="300"/>
        <w:jc w:val="both"/>
        <w:textAlignment w:val="auto"/>
        <w:rPr>
          <w:rFonts w:hint="eastAsia" w:ascii="宋体" w:hAnsi="宋体" w:eastAsia="宋体" w:cs="宋体"/>
          <w:b/>
          <w:bCs/>
          <w:color w:val="auto"/>
          <w:sz w:val="24"/>
          <w:highlight w:val="none"/>
          <w:lang w:eastAsia="zh-CN"/>
        </w:rPr>
      </w:pPr>
      <w:r>
        <w:rPr>
          <w:rFonts w:hint="eastAsia" w:ascii="宋体" w:hAnsi="宋体" w:eastAsia="宋体" w:cs="宋体"/>
          <w:color w:val="auto"/>
          <w:sz w:val="24"/>
          <w:highlight w:val="none"/>
          <w:lang w:val="en-US" w:eastAsia="zh-CN"/>
        </w:rPr>
        <w:t>⑧</w:t>
      </w:r>
      <w:r>
        <w:rPr>
          <w:rFonts w:hint="eastAsia" w:ascii="宋体" w:hAnsi="宋体" w:eastAsia="宋体" w:cs="宋体"/>
          <w:color w:val="auto"/>
          <w:sz w:val="24"/>
          <w:highlight w:val="none"/>
        </w:rPr>
        <w:t>综合单价工料机分析表(注：含综合单价及技术措施)</w:t>
      </w:r>
      <w:r>
        <w:rPr>
          <w:rFonts w:hint="eastAsia" w:ascii="宋体" w:hAnsi="宋体" w:eastAsia="宋体" w:cs="宋体"/>
          <w:color w:val="auto"/>
          <w:sz w:val="24"/>
          <w:szCs w:val="24"/>
          <w:highlight w:val="none"/>
        </w:rPr>
        <w:t xml:space="preserve"> </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eastAsia="zh-CN"/>
        </w:rPr>
        <w:t>（</w:t>
      </w:r>
      <w:r>
        <w:rPr>
          <w:rFonts w:hint="eastAsia" w:ascii="宋体" w:hAnsi="宋体" w:eastAsia="宋体" w:cs="宋体"/>
          <w:b/>
          <w:color w:val="auto"/>
          <w:sz w:val="24"/>
          <w:highlight w:val="none"/>
        </w:rPr>
        <w:t>仅在中标后的一份</w:t>
      </w:r>
      <w:r>
        <w:rPr>
          <w:rFonts w:hint="eastAsia" w:ascii="宋体" w:hAnsi="宋体" w:eastAsia="宋体" w:cs="宋体"/>
          <w:b/>
          <w:color w:val="auto"/>
          <w:sz w:val="24"/>
          <w:highlight w:val="none"/>
          <w:lang w:val="en-US" w:eastAsia="zh-CN"/>
        </w:rPr>
        <w:t>报价文件</w:t>
      </w:r>
      <w:r>
        <w:rPr>
          <w:rFonts w:hint="eastAsia" w:ascii="宋体" w:hAnsi="宋体" w:eastAsia="宋体" w:cs="宋体"/>
          <w:b/>
          <w:color w:val="auto"/>
          <w:sz w:val="24"/>
          <w:highlight w:val="none"/>
        </w:rPr>
        <w:t>副本中提供）</w:t>
      </w:r>
      <w:r>
        <w:rPr>
          <w:rFonts w:hint="eastAsia" w:ascii="宋体" w:hAnsi="宋体" w:eastAsia="宋体" w:cs="宋体"/>
          <w:b/>
          <w:color w:val="auto"/>
          <w:sz w:val="24"/>
          <w:highlight w:val="none"/>
          <w:lang w:eastAsia="zh-CN"/>
        </w:rPr>
        <w:t>；</w:t>
      </w:r>
    </w:p>
    <w:p w14:paraId="3568A964">
      <w:pPr>
        <w:keepNext w:val="0"/>
        <w:keepLines w:val="0"/>
        <w:pageBreakBefore w:val="0"/>
        <w:widowControl w:val="0"/>
        <w:numPr>
          <w:ilvl w:val="0"/>
          <w:numId w:val="0"/>
        </w:numPr>
        <w:tabs>
          <w:tab w:val="left" w:pos="1154"/>
        </w:tabs>
        <w:kinsoku/>
        <w:wordWrap/>
        <w:overflowPunct/>
        <w:topLinePunct w:val="0"/>
        <w:autoSpaceDE/>
        <w:autoSpaceDN/>
        <w:bidi w:val="0"/>
        <w:adjustRightInd/>
        <w:snapToGrid/>
        <w:spacing w:line="450" w:lineRule="exact"/>
        <w:ind w:left="0" w:leftChars="0" w:right="0" w:rightChars="0" w:firstLine="720" w:firstLineChars="300"/>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⑨</w:t>
      </w:r>
      <w:r>
        <w:rPr>
          <w:rFonts w:hint="eastAsia" w:ascii="宋体" w:hAnsi="宋体" w:eastAsia="宋体" w:cs="宋体"/>
          <w:color w:val="auto"/>
          <w:sz w:val="24"/>
          <w:highlight w:val="none"/>
        </w:rPr>
        <w:t>施工组织（总价）措施项目清单与计价表</w:t>
      </w:r>
      <w:r>
        <w:rPr>
          <w:rFonts w:hint="eastAsia" w:ascii="宋体" w:hAnsi="宋体" w:eastAsia="宋体" w:cs="宋体"/>
          <w:color w:val="auto"/>
          <w:sz w:val="24"/>
          <w:highlight w:val="none"/>
          <w:lang w:eastAsia="zh-CN"/>
        </w:rPr>
        <w:t>；</w:t>
      </w:r>
    </w:p>
    <w:p w14:paraId="59E11D14">
      <w:pPr>
        <w:keepNext w:val="0"/>
        <w:keepLines w:val="0"/>
        <w:pageBreakBefore w:val="0"/>
        <w:widowControl w:val="0"/>
        <w:numPr>
          <w:ilvl w:val="0"/>
          <w:numId w:val="0"/>
        </w:numPr>
        <w:tabs>
          <w:tab w:val="left" w:pos="1154"/>
        </w:tabs>
        <w:kinsoku/>
        <w:wordWrap/>
        <w:overflowPunct/>
        <w:topLinePunct w:val="0"/>
        <w:autoSpaceDE/>
        <w:autoSpaceDN/>
        <w:bidi w:val="0"/>
        <w:adjustRightInd/>
        <w:snapToGrid/>
        <w:spacing w:line="450" w:lineRule="exact"/>
        <w:ind w:left="0" w:leftChars="0" w:right="0" w:rightChars="0" w:firstLine="720" w:firstLineChars="300"/>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⑩</w:t>
      </w:r>
      <w:r>
        <w:rPr>
          <w:rFonts w:hint="eastAsia" w:ascii="宋体" w:hAnsi="宋体" w:eastAsia="宋体" w:cs="宋体"/>
          <w:color w:val="auto"/>
          <w:sz w:val="24"/>
          <w:highlight w:val="none"/>
        </w:rPr>
        <w:t>其他项目清单与计价汇总表</w:t>
      </w:r>
      <w:r>
        <w:rPr>
          <w:rFonts w:hint="eastAsia" w:ascii="宋体" w:hAnsi="宋体" w:eastAsia="宋体" w:cs="宋体"/>
          <w:color w:val="auto"/>
          <w:sz w:val="24"/>
          <w:highlight w:val="none"/>
          <w:lang w:eastAsia="zh-CN"/>
        </w:rPr>
        <w:t>；</w:t>
      </w:r>
    </w:p>
    <w:p w14:paraId="330BC6FC">
      <w:pPr>
        <w:keepNext w:val="0"/>
        <w:keepLines w:val="0"/>
        <w:pageBreakBefore w:val="0"/>
        <w:widowControl w:val="0"/>
        <w:numPr>
          <w:ilvl w:val="0"/>
          <w:numId w:val="0"/>
        </w:numPr>
        <w:tabs>
          <w:tab w:val="left" w:pos="1154"/>
        </w:tabs>
        <w:kinsoku/>
        <w:wordWrap/>
        <w:overflowPunct/>
        <w:topLinePunct w:val="0"/>
        <w:autoSpaceDE/>
        <w:autoSpaceDN/>
        <w:bidi w:val="0"/>
        <w:adjustRightInd/>
        <w:snapToGrid/>
        <w:spacing w:line="450" w:lineRule="exact"/>
        <w:ind w:left="0" w:leftChars="0" w:right="0" w:rightChars="0" w:firstLine="720" w:firstLineChars="300"/>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⑪暂列金额明细表</w:t>
      </w:r>
      <w:r>
        <w:rPr>
          <w:rFonts w:hint="eastAsia" w:ascii="宋体" w:hAnsi="宋体" w:eastAsia="宋体" w:cs="宋体"/>
          <w:color w:val="auto"/>
          <w:sz w:val="24"/>
          <w:highlight w:val="none"/>
        </w:rPr>
        <w:t xml:space="preserve">； </w:t>
      </w:r>
    </w:p>
    <w:p w14:paraId="3FC981D9">
      <w:pPr>
        <w:keepNext w:val="0"/>
        <w:keepLines w:val="0"/>
        <w:pageBreakBefore w:val="0"/>
        <w:widowControl w:val="0"/>
        <w:numPr>
          <w:ilvl w:val="0"/>
          <w:numId w:val="0"/>
        </w:numPr>
        <w:tabs>
          <w:tab w:val="left" w:pos="1154"/>
        </w:tabs>
        <w:kinsoku/>
        <w:wordWrap/>
        <w:overflowPunct/>
        <w:topLinePunct w:val="0"/>
        <w:autoSpaceDE/>
        <w:autoSpaceDN/>
        <w:bidi w:val="0"/>
        <w:adjustRightInd/>
        <w:snapToGrid/>
        <w:spacing w:line="450" w:lineRule="exact"/>
        <w:ind w:left="0" w:leftChars="0" w:right="0" w:rightChars="0" w:firstLine="720" w:firstLineChars="300"/>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⑫材料（工程设备）暂估单价表</w:t>
      </w:r>
      <w:r>
        <w:rPr>
          <w:rFonts w:hint="eastAsia" w:ascii="宋体" w:hAnsi="宋体" w:eastAsia="宋体" w:cs="宋体"/>
          <w:color w:val="auto"/>
          <w:sz w:val="24"/>
          <w:highlight w:val="none"/>
        </w:rPr>
        <w:t>；</w:t>
      </w:r>
    </w:p>
    <w:p w14:paraId="014D0CD4">
      <w:pPr>
        <w:keepNext w:val="0"/>
        <w:keepLines w:val="0"/>
        <w:pageBreakBefore w:val="0"/>
        <w:widowControl w:val="0"/>
        <w:numPr>
          <w:ilvl w:val="0"/>
          <w:numId w:val="0"/>
        </w:numPr>
        <w:tabs>
          <w:tab w:val="left" w:pos="1154"/>
        </w:tabs>
        <w:kinsoku/>
        <w:wordWrap/>
        <w:overflowPunct/>
        <w:topLinePunct w:val="0"/>
        <w:autoSpaceDE/>
        <w:autoSpaceDN/>
        <w:bidi w:val="0"/>
        <w:adjustRightInd/>
        <w:snapToGrid/>
        <w:spacing w:line="450" w:lineRule="exact"/>
        <w:ind w:left="0" w:leftChars="0" w:right="0" w:rightChars="0" w:firstLine="720" w:firstLineChars="300"/>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⑬</w:t>
      </w:r>
      <w:r>
        <w:rPr>
          <w:rFonts w:hint="eastAsia" w:ascii="宋体" w:hAnsi="宋体" w:eastAsia="宋体" w:cs="宋体"/>
          <w:color w:val="auto"/>
          <w:sz w:val="24"/>
          <w:highlight w:val="none"/>
        </w:rPr>
        <w:t>专业工程暂估价表</w:t>
      </w:r>
      <w:r>
        <w:rPr>
          <w:rFonts w:hint="eastAsia" w:ascii="宋体" w:hAnsi="宋体" w:eastAsia="宋体" w:cs="宋体"/>
          <w:color w:val="auto"/>
          <w:sz w:val="24"/>
          <w:highlight w:val="none"/>
        </w:rPr>
        <w:t>；</w:t>
      </w:r>
    </w:p>
    <w:p w14:paraId="733FC218">
      <w:pPr>
        <w:keepNext w:val="0"/>
        <w:keepLines w:val="0"/>
        <w:pageBreakBefore w:val="0"/>
        <w:widowControl w:val="0"/>
        <w:numPr>
          <w:ilvl w:val="0"/>
          <w:numId w:val="0"/>
        </w:numPr>
        <w:tabs>
          <w:tab w:val="left" w:pos="1154"/>
        </w:tabs>
        <w:kinsoku/>
        <w:wordWrap/>
        <w:overflowPunct/>
        <w:topLinePunct w:val="0"/>
        <w:autoSpaceDE/>
        <w:autoSpaceDN/>
        <w:bidi w:val="0"/>
        <w:adjustRightInd/>
        <w:snapToGrid/>
        <w:spacing w:line="450" w:lineRule="exact"/>
        <w:ind w:left="0" w:leftChars="0" w:right="0" w:rightChars="0" w:firstLine="720" w:firstLineChars="300"/>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⑭</w:t>
      </w:r>
      <w:r>
        <w:rPr>
          <w:rFonts w:hint="eastAsia" w:ascii="宋体" w:hAnsi="宋体" w:eastAsia="宋体" w:cs="宋体"/>
          <w:color w:val="auto"/>
          <w:sz w:val="24"/>
          <w:highlight w:val="none"/>
        </w:rPr>
        <w:t>专项技术措施暂估价表</w:t>
      </w:r>
      <w:r>
        <w:rPr>
          <w:rFonts w:hint="eastAsia" w:ascii="宋体" w:hAnsi="宋体" w:eastAsia="宋体" w:cs="宋体"/>
          <w:color w:val="auto"/>
          <w:sz w:val="24"/>
          <w:highlight w:val="none"/>
          <w:lang w:eastAsia="zh-CN"/>
        </w:rPr>
        <w:t>；</w:t>
      </w:r>
    </w:p>
    <w:p w14:paraId="5BF68386">
      <w:pPr>
        <w:keepNext w:val="0"/>
        <w:keepLines w:val="0"/>
        <w:pageBreakBefore w:val="0"/>
        <w:widowControl w:val="0"/>
        <w:numPr>
          <w:ilvl w:val="0"/>
          <w:numId w:val="0"/>
        </w:numPr>
        <w:tabs>
          <w:tab w:val="left" w:pos="1154"/>
        </w:tabs>
        <w:kinsoku/>
        <w:wordWrap/>
        <w:overflowPunct/>
        <w:topLinePunct w:val="0"/>
        <w:autoSpaceDE/>
        <w:autoSpaceDN/>
        <w:bidi w:val="0"/>
        <w:adjustRightInd/>
        <w:snapToGrid/>
        <w:spacing w:line="450" w:lineRule="exact"/>
        <w:ind w:left="0" w:leftChars="0" w:right="0" w:rightChars="0" w:firstLine="720" w:firstLineChars="300"/>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⑮</w:t>
      </w:r>
      <w:r>
        <w:rPr>
          <w:rFonts w:hint="eastAsia" w:ascii="宋体" w:hAnsi="宋体" w:eastAsia="宋体" w:cs="宋体"/>
          <w:color w:val="auto"/>
          <w:sz w:val="24"/>
          <w:highlight w:val="none"/>
        </w:rPr>
        <w:t>计日工表</w:t>
      </w:r>
      <w:r>
        <w:rPr>
          <w:rFonts w:hint="eastAsia" w:ascii="宋体" w:hAnsi="宋体" w:eastAsia="宋体" w:cs="宋体"/>
          <w:color w:val="auto"/>
          <w:sz w:val="24"/>
          <w:highlight w:val="none"/>
          <w:lang w:eastAsia="zh-CN"/>
        </w:rPr>
        <w:t>；</w:t>
      </w:r>
    </w:p>
    <w:p w14:paraId="688EBAC3">
      <w:pPr>
        <w:keepNext w:val="0"/>
        <w:keepLines w:val="0"/>
        <w:pageBreakBefore w:val="0"/>
        <w:widowControl w:val="0"/>
        <w:numPr>
          <w:ilvl w:val="0"/>
          <w:numId w:val="0"/>
        </w:numPr>
        <w:tabs>
          <w:tab w:val="left" w:pos="1154"/>
        </w:tabs>
        <w:kinsoku/>
        <w:wordWrap/>
        <w:overflowPunct/>
        <w:topLinePunct w:val="0"/>
        <w:autoSpaceDE/>
        <w:autoSpaceDN/>
        <w:bidi w:val="0"/>
        <w:adjustRightInd/>
        <w:snapToGrid/>
        <w:spacing w:line="450" w:lineRule="exact"/>
        <w:ind w:left="0" w:leftChars="0" w:right="0" w:rightChars="0" w:firstLine="720" w:firstLineChars="300"/>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⑯</w:t>
      </w:r>
      <w:r>
        <w:rPr>
          <w:rFonts w:hint="eastAsia" w:ascii="宋体" w:hAnsi="宋体" w:eastAsia="宋体" w:cs="宋体"/>
          <w:color w:val="auto"/>
          <w:sz w:val="24"/>
          <w:highlight w:val="none"/>
        </w:rPr>
        <w:t>总承包服务费计价表</w:t>
      </w:r>
      <w:r>
        <w:rPr>
          <w:rFonts w:hint="eastAsia" w:ascii="宋体" w:hAnsi="宋体" w:eastAsia="宋体" w:cs="宋体"/>
          <w:color w:val="auto"/>
          <w:sz w:val="24"/>
          <w:highlight w:val="none"/>
          <w:lang w:val="en-US" w:eastAsia="zh-CN"/>
        </w:rPr>
        <w:t>；</w:t>
      </w:r>
    </w:p>
    <w:p w14:paraId="0D102C15">
      <w:pPr>
        <w:keepNext w:val="0"/>
        <w:keepLines w:val="0"/>
        <w:pageBreakBefore w:val="0"/>
        <w:widowControl w:val="0"/>
        <w:numPr>
          <w:ilvl w:val="0"/>
          <w:numId w:val="0"/>
        </w:numPr>
        <w:tabs>
          <w:tab w:val="left" w:pos="1154"/>
        </w:tabs>
        <w:kinsoku/>
        <w:wordWrap/>
        <w:overflowPunct/>
        <w:topLinePunct w:val="0"/>
        <w:autoSpaceDE/>
        <w:autoSpaceDN/>
        <w:bidi w:val="0"/>
        <w:adjustRightInd/>
        <w:snapToGrid/>
        <w:spacing w:line="450" w:lineRule="exact"/>
        <w:ind w:left="0" w:leftChars="0" w:right="0" w:rightChars="0" w:firstLine="720" w:firstLineChars="300"/>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⑰</w:t>
      </w:r>
      <w:r>
        <w:rPr>
          <w:rFonts w:hint="eastAsia" w:ascii="宋体" w:hAnsi="宋体" w:eastAsia="宋体" w:cs="宋体"/>
          <w:color w:val="auto"/>
          <w:sz w:val="24"/>
          <w:highlight w:val="none"/>
        </w:rPr>
        <w:t>主要工日一览表</w:t>
      </w:r>
      <w:r>
        <w:rPr>
          <w:rFonts w:hint="eastAsia" w:ascii="宋体" w:hAnsi="宋体" w:eastAsia="宋体" w:cs="宋体"/>
          <w:color w:val="auto"/>
          <w:sz w:val="24"/>
          <w:highlight w:val="none"/>
        </w:rPr>
        <w:t>；</w:t>
      </w:r>
    </w:p>
    <w:p w14:paraId="567775AE">
      <w:pPr>
        <w:keepNext w:val="0"/>
        <w:keepLines w:val="0"/>
        <w:pageBreakBefore w:val="0"/>
        <w:widowControl w:val="0"/>
        <w:numPr>
          <w:ilvl w:val="0"/>
          <w:numId w:val="0"/>
        </w:numPr>
        <w:tabs>
          <w:tab w:val="left" w:pos="1154"/>
        </w:tabs>
        <w:kinsoku/>
        <w:wordWrap/>
        <w:overflowPunct/>
        <w:topLinePunct w:val="0"/>
        <w:autoSpaceDE/>
        <w:autoSpaceDN/>
        <w:bidi w:val="0"/>
        <w:adjustRightInd/>
        <w:snapToGrid/>
        <w:spacing w:line="450" w:lineRule="exact"/>
        <w:ind w:left="0" w:leftChars="0" w:right="0" w:rightChars="0" w:firstLine="720" w:firstLineChars="300"/>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⑱</w:t>
      </w:r>
      <w:r>
        <w:rPr>
          <w:rFonts w:hint="eastAsia" w:ascii="宋体" w:hAnsi="宋体" w:eastAsia="宋体" w:cs="宋体"/>
          <w:color w:val="auto"/>
          <w:sz w:val="24"/>
          <w:highlight w:val="none"/>
        </w:rPr>
        <w:t>发包人提供材料和工程设备一览表</w:t>
      </w:r>
      <w:r>
        <w:rPr>
          <w:rFonts w:hint="eastAsia" w:ascii="宋体" w:hAnsi="宋体" w:eastAsia="宋体" w:cs="宋体"/>
          <w:color w:val="auto"/>
          <w:sz w:val="24"/>
          <w:szCs w:val="24"/>
          <w:highlight w:val="none"/>
          <w:lang w:eastAsia="zh-CN"/>
        </w:rPr>
        <w:t>；</w:t>
      </w:r>
    </w:p>
    <w:p w14:paraId="71EA84E8">
      <w:pPr>
        <w:keepNext w:val="0"/>
        <w:keepLines w:val="0"/>
        <w:pageBreakBefore w:val="0"/>
        <w:widowControl w:val="0"/>
        <w:numPr>
          <w:ilvl w:val="0"/>
          <w:numId w:val="0"/>
        </w:numPr>
        <w:tabs>
          <w:tab w:val="left" w:pos="1154"/>
        </w:tabs>
        <w:kinsoku/>
        <w:wordWrap/>
        <w:overflowPunct/>
        <w:topLinePunct w:val="0"/>
        <w:autoSpaceDE/>
        <w:autoSpaceDN/>
        <w:bidi w:val="0"/>
        <w:adjustRightInd/>
        <w:snapToGrid/>
        <w:spacing w:line="450" w:lineRule="exact"/>
        <w:ind w:left="0" w:leftChars="0" w:right="0" w:rightChars="0" w:firstLine="720" w:firstLineChars="300"/>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⑲</w:t>
      </w:r>
      <w:r>
        <w:rPr>
          <w:rFonts w:hint="eastAsia" w:ascii="宋体" w:hAnsi="宋体" w:eastAsia="宋体" w:cs="宋体"/>
          <w:color w:val="auto"/>
          <w:sz w:val="24"/>
          <w:highlight w:val="none"/>
        </w:rPr>
        <w:t>主要材料和工程设备一览表</w:t>
      </w:r>
      <w:r>
        <w:rPr>
          <w:rFonts w:hint="eastAsia" w:ascii="宋体" w:hAnsi="宋体" w:eastAsia="宋体" w:cs="宋体"/>
          <w:color w:val="auto"/>
          <w:sz w:val="24"/>
          <w:highlight w:val="none"/>
          <w:lang w:eastAsia="zh-CN"/>
        </w:rPr>
        <w:t>；</w:t>
      </w:r>
    </w:p>
    <w:p w14:paraId="7AF17492">
      <w:pPr>
        <w:pStyle w:val="2"/>
        <w:keepNext w:val="0"/>
        <w:keepLines w:val="0"/>
        <w:pageBreakBefore w:val="0"/>
        <w:widowControl w:val="0"/>
        <w:numPr>
          <w:ilvl w:val="0"/>
          <w:numId w:val="0"/>
        </w:numPr>
        <w:kinsoku/>
        <w:wordWrap/>
        <w:overflowPunct/>
        <w:topLinePunct w:val="0"/>
        <w:autoSpaceDE/>
        <w:autoSpaceDN/>
        <w:bidi w:val="0"/>
        <w:adjustRightInd/>
        <w:snapToGrid/>
        <w:spacing w:after="0" w:line="450" w:lineRule="exact"/>
        <w:ind w:left="0" w:leftChars="0" w:right="0" w:rightChars="0" w:firstLine="720" w:firstLineChars="300"/>
        <w:jc w:val="both"/>
        <w:textAlignment w:val="auto"/>
        <w:rPr>
          <w:rFonts w:hint="eastAsia" w:ascii="宋体" w:hAnsi="宋体" w:eastAsia="宋体" w:cs="宋体"/>
          <w:color w:val="auto"/>
          <w:highlight w:val="none"/>
          <w:lang w:eastAsia="zh-CN"/>
        </w:rPr>
      </w:pPr>
      <w:r>
        <w:rPr>
          <w:rFonts w:hint="eastAsia" w:ascii="宋体" w:hAnsi="宋体" w:eastAsia="宋体" w:cs="宋体"/>
          <w:color w:val="auto"/>
          <w:sz w:val="24"/>
          <w:highlight w:val="none"/>
          <w:lang w:val="en-US" w:eastAsia="zh-CN"/>
        </w:rPr>
        <w:t>⑳</w:t>
      </w:r>
      <w:r>
        <w:rPr>
          <w:rFonts w:hint="eastAsia" w:ascii="宋体" w:hAnsi="宋体" w:eastAsia="宋体" w:cs="宋体"/>
          <w:color w:val="auto"/>
          <w:sz w:val="24"/>
          <w:highlight w:val="none"/>
        </w:rPr>
        <w:t>主要机械台班一览表</w:t>
      </w:r>
      <w:r>
        <w:rPr>
          <w:rFonts w:hint="eastAsia" w:ascii="宋体" w:hAnsi="宋体" w:eastAsia="宋体" w:cs="宋体"/>
          <w:color w:val="auto"/>
          <w:sz w:val="24"/>
          <w:highlight w:val="none"/>
          <w:lang w:eastAsia="zh-CN"/>
        </w:rPr>
        <w:t>。</w:t>
      </w:r>
    </w:p>
    <w:p w14:paraId="4FFE2122">
      <w:pPr>
        <w:keepNext w:val="0"/>
        <w:keepLines w:val="0"/>
        <w:pageBreakBefore w:val="0"/>
        <w:widowControl w:val="0"/>
        <w:kinsoku/>
        <w:wordWrap/>
        <w:overflowPunct/>
        <w:topLinePunct w:val="0"/>
        <w:autoSpaceDE/>
        <w:autoSpaceDN/>
        <w:bidi w:val="0"/>
        <w:adjustRightInd/>
        <w:snapToGrid w:val="0"/>
        <w:spacing w:line="450" w:lineRule="exact"/>
        <w:ind w:left="0" w:leftChars="0" w:right="0" w:rightChars="0" w:firstLine="480" w:firstLineChars="200"/>
        <w:contextualSpacing/>
        <w:jc w:val="both"/>
        <w:textAlignment w:val="auto"/>
        <w:rPr>
          <w:rFonts w:hint="eastAsia" w:ascii="宋体" w:hAnsi="宋体" w:eastAsia="宋体" w:cs="宋体"/>
          <w:color w:val="auto"/>
          <w:highlight w:val="none"/>
          <w:lang w:val="en-US" w:eastAsia="zh-CN"/>
        </w:rPr>
      </w:pPr>
      <w:r>
        <w:rPr>
          <w:rFonts w:hint="eastAsia" w:ascii="宋体" w:hAnsi="宋体" w:eastAsia="宋体" w:cs="宋体"/>
          <w:color w:val="auto"/>
          <w:sz w:val="24"/>
          <w:szCs w:val="22"/>
          <w:highlight w:val="none"/>
          <w:lang w:eastAsia="zh-CN"/>
        </w:rPr>
        <w:t>（</w:t>
      </w:r>
      <w:r>
        <w:rPr>
          <w:rFonts w:hint="eastAsia" w:ascii="宋体" w:hAnsi="宋体" w:eastAsia="宋体" w:cs="宋体"/>
          <w:color w:val="auto"/>
          <w:sz w:val="24"/>
          <w:szCs w:val="22"/>
          <w:highlight w:val="none"/>
          <w:lang w:val="en-US" w:eastAsia="zh-CN"/>
        </w:rPr>
        <w:t>5</w:t>
      </w:r>
      <w:r>
        <w:rPr>
          <w:rFonts w:hint="eastAsia" w:ascii="宋体" w:hAnsi="宋体" w:eastAsia="宋体" w:cs="宋体"/>
          <w:color w:val="auto"/>
          <w:sz w:val="24"/>
          <w:szCs w:val="22"/>
          <w:highlight w:val="none"/>
          <w:lang w:eastAsia="zh-CN"/>
        </w:rPr>
        <w:t>）</w:t>
      </w:r>
      <w:r>
        <w:rPr>
          <w:rFonts w:hint="eastAsia" w:ascii="宋体" w:hAnsi="宋体" w:eastAsia="宋体" w:cs="宋体"/>
          <w:color w:val="auto"/>
          <w:sz w:val="24"/>
          <w:szCs w:val="22"/>
          <w:highlight w:val="none"/>
        </w:rPr>
        <w:t>委托编制协议</w:t>
      </w:r>
      <w:r>
        <w:rPr>
          <w:rFonts w:hint="eastAsia" w:ascii="宋体" w:hAnsi="宋体" w:eastAsia="宋体" w:cs="宋体"/>
          <w:color w:val="auto"/>
          <w:sz w:val="24"/>
          <w:szCs w:val="22"/>
          <w:highlight w:val="none"/>
          <w:lang w:val="en-US" w:eastAsia="zh-CN"/>
        </w:rPr>
        <w:t>原件扫描件</w:t>
      </w:r>
      <w:r>
        <w:rPr>
          <w:rFonts w:hint="eastAsia" w:ascii="宋体" w:hAnsi="宋体" w:eastAsia="宋体" w:cs="宋体"/>
          <w:color w:val="auto"/>
          <w:sz w:val="24"/>
          <w:szCs w:val="22"/>
          <w:highlight w:val="none"/>
        </w:rPr>
        <w:t>（如工程量清单投标报价委托其他单位编制的需提供）</w:t>
      </w:r>
      <w:r>
        <w:rPr>
          <w:rFonts w:hint="eastAsia" w:ascii="宋体" w:hAnsi="宋体" w:eastAsia="宋体" w:cs="宋体"/>
          <w:color w:val="auto"/>
          <w:sz w:val="24"/>
          <w:szCs w:val="22"/>
          <w:highlight w:val="none"/>
          <w:lang w:eastAsia="zh-CN"/>
        </w:rPr>
        <w:t>；</w:t>
      </w:r>
    </w:p>
    <w:p w14:paraId="0E144ED3">
      <w:pPr>
        <w:keepNext w:val="0"/>
        <w:keepLines w:val="0"/>
        <w:pageBreakBefore w:val="0"/>
        <w:widowControl w:val="0"/>
        <w:kinsoku/>
        <w:wordWrap/>
        <w:overflowPunct/>
        <w:topLinePunct w:val="0"/>
        <w:autoSpaceDE/>
        <w:autoSpaceDN/>
        <w:bidi w:val="0"/>
        <w:adjustRightInd/>
        <w:snapToGrid w:val="0"/>
        <w:spacing w:line="450" w:lineRule="exact"/>
        <w:ind w:left="0" w:leftChars="0" w:right="0" w:rightChars="0" w:firstLine="480" w:firstLineChars="200"/>
        <w:contextualSpacing/>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供应商需要说明的其他事项。</w:t>
      </w:r>
    </w:p>
    <w:p w14:paraId="0DEE6F17">
      <w:pPr>
        <w:pStyle w:val="19"/>
        <w:keepNext w:val="0"/>
        <w:keepLines w:val="0"/>
        <w:pageBreakBefore w:val="0"/>
        <w:widowControl w:val="0"/>
        <w:kinsoku/>
        <w:wordWrap/>
        <w:overflowPunct/>
        <w:topLinePunct w:val="0"/>
        <w:autoSpaceDE/>
        <w:autoSpaceDN/>
        <w:bidi w:val="0"/>
        <w:adjustRightInd/>
        <w:snapToGrid w:val="0"/>
        <w:spacing w:before="0" w:afterLines="0" w:line="360" w:lineRule="auto"/>
        <w:ind w:left="0" w:leftChars="0" w:right="0" w:rightChars="0" w:firstLine="482" w:firstLineChars="200"/>
        <w:contextualSpacing/>
        <w:jc w:val="both"/>
        <w:textAlignment w:val="auto"/>
        <w:rPr>
          <w:rFonts w:hint="eastAsia" w:ascii="宋体" w:hAnsi="宋体" w:cs="宋体"/>
          <w:b/>
          <w:bCs/>
          <w:color w:val="auto"/>
          <w:highlight w:val="none"/>
        </w:rPr>
      </w:pPr>
      <w:r>
        <w:rPr>
          <w:rFonts w:hint="eastAsia" w:ascii="宋体" w:hAnsi="宋体" w:cs="宋体"/>
          <w:b/>
          <w:bCs/>
          <w:color w:val="auto"/>
          <w:highlight w:val="none"/>
        </w:rPr>
        <w:t>注：</w:t>
      </w:r>
      <w:r>
        <w:rPr>
          <w:rFonts w:hint="eastAsia" w:ascii="宋体" w:hAnsi="宋体" w:cs="宋体"/>
          <w:b/>
          <w:bCs/>
          <w:color w:val="auto"/>
          <w:highlight w:val="none"/>
          <w:lang w:val="en-US" w:eastAsia="zh-CN"/>
        </w:rPr>
        <w:t>1.</w:t>
      </w:r>
      <w:r>
        <w:rPr>
          <w:rFonts w:hint="eastAsia" w:ascii="宋体" w:hAnsi="宋体" w:cs="宋体"/>
          <w:b/>
          <w:bCs/>
          <w:color w:val="auto"/>
          <w:highlight w:val="none"/>
        </w:rPr>
        <w:t>法定代表人授权委托书、磋商声明书必须由法定代表人（</w:t>
      </w:r>
      <w:r>
        <w:rPr>
          <w:rFonts w:hint="eastAsia" w:ascii="宋体" w:hAnsi="宋体" w:cs="宋体"/>
          <w:b/>
          <w:bCs/>
          <w:color w:val="auto"/>
          <w:highlight w:val="none"/>
          <w:lang w:val="en-US" w:eastAsia="zh-CN"/>
        </w:rPr>
        <w:t>签字</w:t>
      </w:r>
      <w:r>
        <w:rPr>
          <w:rFonts w:hint="eastAsia" w:ascii="宋体" w:hAnsi="宋体" w:cs="宋体"/>
          <w:b/>
          <w:bCs/>
          <w:color w:val="auto"/>
          <w:highlight w:val="none"/>
        </w:rPr>
        <w:t>或盖章）并加盖CA公章；诚信承诺书、磋商函、报价一览表</w:t>
      </w:r>
      <w:r>
        <w:rPr>
          <w:rFonts w:hint="eastAsia" w:ascii="宋体" w:hAnsi="宋体" w:eastAsia="宋体" w:cs="宋体"/>
          <w:b/>
          <w:bCs/>
          <w:color w:val="auto"/>
          <w:highlight w:val="none"/>
        </w:rPr>
        <w:t>、</w:t>
      </w:r>
      <w:r>
        <w:rPr>
          <w:rFonts w:hint="eastAsia" w:ascii="宋体" w:hAnsi="宋体" w:eastAsia="宋体" w:cs="宋体"/>
          <w:b/>
          <w:bCs/>
          <w:color w:val="auto"/>
          <w:highlight w:val="none"/>
          <w:lang w:val="en-US" w:eastAsia="zh-CN"/>
        </w:rPr>
        <w:t>分项报价明细表中的</w:t>
      </w:r>
      <w:r>
        <w:rPr>
          <w:rFonts w:hint="eastAsia" w:ascii="宋体" w:hAnsi="宋体" w:eastAsia="宋体" w:cs="宋体"/>
          <w:b/>
          <w:bCs/>
          <w:color w:val="auto"/>
          <w:highlight w:val="none"/>
        </w:rPr>
        <w:t>投标</w:t>
      </w:r>
      <w:r>
        <w:rPr>
          <w:rFonts w:hint="eastAsia" w:ascii="宋体" w:hAnsi="宋体" w:eastAsia="宋体" w:cs="宋体"/>
          <w:b/>
          <w:bCs/>
          <w:color w:val="auto"/>
          <w:highlight w:val="none"/>
          <w:lang w:eastAsia="zh-CN"/>
        </w:rPr>
        <w:t>报</w:t>
      </w:r>
      <w:r>
        <w:rPr>
          <w:rFonts w:hint="eastAsia" w:ascii="宋体" w:hAnsi="宋体" w:eastAsia="宋体" w:cs="宋体"/>
          <w:b/>
          <w:bCs/>
          <w:color w:val="auto"/>
          <w:highlight w:val="none"/>
        </w:rPr>
        <w:t>价</w:t>
      </w:r>
      <w:r>
        <w:rPr>
          <w:rFonts w:hint="eastAsia" w:ascii="宋体" w:hAnsi="宋体" w:eastAsia="宋体" w:cs="宋体"/>
          <w:b/>
          <w:bCs/>
          <w:color w:val="auto"/>
          <w:highlight w:val="none"/>
          <w:lang w:val="en-US" w:eastAsia="zh-CN"/>
        </w:rPr>
        <w:t>表、</w:t>
      </w:r>
      <w:r>
        <w:rPr>
          <w:rFonts w:hint="eastAsia" w:ascii="宋体" w:hAnsi="宋体" w:eastAsia="宋体" w:cs="宋体"/>
          <w:b/>
          <w:bCs/>
          <w:color w:val="auto"/>
          <w:highlight w:val="none"/>
        </w:rPr>
        <w:t>供应</w:t>
      </w:r>
      <w:r>
        <w:rPr>
          <w:rFonts w:hint="eastAsia" w:ascii="宋体" w:hAnsi="宋体" w:cs="宋体"/>
          <w:b/>
          <w:bCs/>
          <w:color w:val="auto"/>
          <w:highlight w:val="none"/>
        </w:rPr>
        <w:t>商基本情况表、项目负责人简历表、拟投入施工现场的主要管理人员情况</w:t>
      </w:r>
      <w:r>
        <w:rPr>
          <w:rFonts w:hint="eastAsia" w:ascii="宋体" w:hAnsi="宋体" w:cs="宋体"/>
          <w:b/>
          <w:bCs/>
          <w:color w:val="auto"/>
          <w:highlight w:val="none"/>
          <w:lang w:val="en-US" w:eastAsia="zh-CN"/>
        </w:rPr>
        <w:t>表、</w:t>
      </w:r>
      <w:r>
        <w:rPr>
          <w:rFonts w:hint="eastAsia" w:ascii="宋体" w:hAnsi="宋体" w:cs="宋体"/>
          <w:b/>
          <w:bCs/>
          <w:color w:val="auto"/>
          <w:highlight w:val="none"/>
        </w:rPr>
        <w:t>残疾人福利性单位声明函</w:t>
      </w:r>
      <w:r>
        <w:rPr>
          <w:rFonts w:hint="eastAsia" w:ascii="宋体" w:hAnsi="宋体" w:cs="宋体"/>
          <w:b/>
          <w:bCs/>
          <w:color w:val="auto"/>
          <w:highlight w:val="none"/>
          <w:lang w:eastAsia="zh-CN"/>
        </w:rPr>
        <w:t>（</w:t>
      </w:r>
      <w:r>
        <w:rPr>
          <w:rFonts w:hint="eastAsia" w:ascii="宋体" w:hAnsi="宋体" w:cs="宋体"/>
          <w:b/>
          <w:bCs/>
          <w:color w:val="auto"/>
          <w:highlight w:val="none"/>
          <w:lang w:val="en-US" w:eastAsia="zh-CN"/>
        </w:rPr>
        <w:t>如有</w:t>
      </w:r>
      <w:r>
        <w:rPr>
          <w:rFonts w:hint="eastAsia" w:ascii="宋体" w:hAnsi="宋体" w:cs="宋体"/>
          <w:b/>
          <w:bCs/>
          <w:color w:val="auto"/>
          <w:highlight w:val="none"/>
          <w:lang w:eastAsia="zh-CN"/>
        </w:rPr>
        <w:t>）</w:t>
      </w:r>
      <w:r>
        <w:rPr>
          <w:rFonts w:hint="eastAsia" w:ascii="宋体" w:hAnsi="宋体" w:cs="宋体"/>
          <w:b/>
          <w:bCs/>
          <w:color w:val="auto"/>
          <w:highlight w:val="none"/>
        </w:rPr>
        <w:t>必须由法定代表人或授权</w:t>
      </w:r>
      <w:r>
        <w:rPr>
          <w:rFonts w:hint="eastAsia" w:ascii="宋体" w:hAnsi="宋体" w:cs="宋体"/>
          <w:b/>
          <w:bCs/>
          <w:color w:val="auto"/>
          <w:highlight w:val="none"/>
          <w:lang w:val="en-US" w:eastAsia="zh-CN"/>
        </w:rPr>
        <w:t>代表</w:t>
      </w:r>
      <w:r>
        <w:rPr>
          <w:rFonts w:hint="eastAsia" w:ascii="宋体" w:hAnsi="宋体" w:cs="宋体"/>
          <w:b/>
          <w:bCs/>
          <w:color w:val="auto"/>
          <w:highlight w:val="none"/>
        </w:rPr>
        <w:t>（</w:t>
      </w:r>
      <w:r>
        <w:rPr>
          <w:rFonts w:hint="eastAsia" w:ascii="宋体" w:hAnsi="宋体" w:cs="宋体"/>
          <w:b/>
          <w:bCs/>
          <w:color w:val="auto"/>
          <w:highlight w:val="none"/>
          <w:lang w:val="en-US" w:eastAsia="zh-CN"/>
        </w:rPr>
        <w:t>签字</w:t>
      </w:r>
      <w:r>
        <w:rPr>
          <w:rFonts w:hint="eastAsia" w:ascii="宋体" w:hAnsi="宋体" w:cs="宋体"/>
          <w:b/>
          <w:bCs/>
          <w:color w:val="auto"/>
          <w:highlight w:val="none"/>
        </w:rPr>
        <w:t>或盖章）并加盖CA公章；中小企业声明函必须加盖CA公章；签章不齐的视同未提供。</w:t>
      </w:r>
    </w:p>
    <w:p w14:paraId="4E5A7CDC">
      <w:pPr>
        <w:pStyle w:val="19"/>
        <w:keepNext w:val="0"/>
        <w:keepLines w:val="0"/>
        <w:pageBreakBefore w:val="0"/>
        <w:widowControl w:val="0"/>
        <w:kinsoku/>
        <w:wordWrap/>
        <w:overflowPunct/>
        <w:topLinePunct w:val="0"/>
        <w:autoSpaceDE/>
        <w:autoSpaceDN/>
        <w:bidi w:val="0"/>
        <w:adjustRightInd/>
        <w:snapToGrid w:val="0"/>
        <w:spacing w:before="0" w:afterLines="0" w:line="360" w:lineRule="auto"/>
        <w:ind w:left="0" w:leftChars="0" w:right="0" w:rightChars="0" w:firstLine="482" w:firstLineChars="200"/>
        <w:contextualSpacing/>
        <w:jc w:val="both"/>
        <w:textAlignment w:val="auto"/>
        <w:rPr>
          <w:rFonts w:hint="eastAsia" w:ascii="宋体" w:hAnsi="宋体" w:eastAsia="宋体" w:cs="宋体"/>
          <w:b/>
          <w:bCs/>
          <w:color w:val="auto"/>
          <w:highlight w:val="none"/>
          <w:lang w:val="en-US" w:eastAsia="zh-CN"/>
        </w:rPr>
      </w:pPr>
      <w:r>
        <w:rPr>
          <w:rFonts w:hint="eastAsia" w:ascii="宋体" w:hAnsi="宋体"/>
          <w:b/>
          <w:bCs/>
          <w:color w:val="auto"/>
          <w:kern w:val="2"/>
          <w:szCs w:val="21"/>
          <w:highlight w:val="none"/>
          <w:lang w:val="en-US" w:eastAsia="zh-CN"/>
        </w:rPr>
        <w:t>2.</w:t>
      </w:r>
      <w:r>
        <w:rPr>
          <w:rFonts w:hint="eastAsia" w:ascii="宋体" w:hAnsi="宋体"/>
          <w:b/>
          <w:bCs/>
          <w:color w:val="auto"/>
          <w:kern w:val="2"/>
          <w:szCs w:val="21"/>
          <w:highlight w:val="none"/>
        </w:rPr>
        <w:t>《</w:t>
      </w:r>
      <w:r>
        <w:rPr>
          <w:rFonts w:hint="eastAsia" w:ascii="宋体" w:hAnsi="宋体"/>
          <w:b/>
          <w:bCs/>
          <w:color w:val="auto"/>
          <w:kern w:val="2"/>
          <w:szCs w:val="21"/>
          <w:highlight w:val="none"/>
          <w:lang w:val="en-US" w:eastAsia="zh-CN"/>
        </w:rPr>
        <w:t>报价</w:t>
      </w:r>
      <w:r>
        <w:rPr>
          <w:rFonts w:hint="eastAsia" w:ascii="宋体" w:hAnsi="宋体"/>
          <w:b/>
          <w:bCs/>
          <w:color w:val="auto"/>
          <w:kern w:val="2"/>
          <w:szCs w:val="21"/>
          <w:highlight w:val="none"/>
        </w:rPr>
        <w:t>一览表》应要求按格式填写、统一规范，不得自行增减内容</w:t>
      </w:r>
      <w:r>
        <w:rPr>
          <w:rFonts w:hint="eastAsia" w:ascii="宋体" w:hAnsi="宋体"/>
          <w:b/>
          <w:bCs/>
          <w:color w:val="auto"/>
          <w:kern w:val="2"/>
          <w:szCs w:val="21"/>
          <w:highlight w:val="none"/>
          <w:lang w:eastAsia="zh-CN"/>
        </w:rPr>
        <w:t>。</w:t>
      </w:r>
    </w:p>
    <w:p w14:paraId="2864323C">
      <w:pPr>
        <w:pStyle w:val="19"/>
        <w:keepNext w:val="0"/>
        <w:keepLines w:val="0"/>
        <w:pageBreakBefore w:val="0"/>
        <w:widowControl w:val="0"/>
        <w:kinsoku/>
        <w:wordWrap/>
        <w:overflowPunct/>
        <w:topLinePunct w:val="0"/>
        <w:autoSpaceDE/>
        <w:autoSpaceDN/>
        <w:bidi w:val="0"/>
        <w:adjustRightInd/>
        <w:snapToGrid w:val="0"/>
        <w:spacing w:before="0" w:afterLines="0" w:line="360" w:lineRule="auto"/>
        <w:ind w:left="0" w:leftChars="0" w:right="0" w:rightChars="0" w:firstLine="482" w:firstLineChars="200"/>
        <w:contextualSpacing/>
        <w:jc w:val="both"/>
        <w:textAlignment w:val="auto"/>
        <w:rPr>
          <w:rFonts w:hint="eastAsia" w:ascii="宋体" w:hAnsi="宋体" w:eastAsia="宋体" w:cs="宋体"/>
          <w:b/>
          <w:bCs/>
          <w:color w:val="auto"/>
          <w:kern w:val="0"/>
          <w:sz w:val="24"/>
          <w:szCs w:val="24"/>
          <w:highlight w:val="none"/>
          <w:lang w:val="en-US" w:eastAsia="zh-CN" w:bidi="ar-SA"/>
        </w:rPr>
      </w:pPr>
      <w:r>
        <w:rPr>
          <w:rFonts w:hint="eastAsia" w:ascii="宋体" w:hAnsi="宋体" w:cs="宋体"/>
          <w:b/>
          <w:bCs/>
          <w:color w:val="auto"/>
          <w:kern w:val="0"/>
          <w:sz w:val="24"/>
          <w:szCs w:val="24"/>
          <w:highlight w:val="none"/>
          <w:lang w:val="en-US" w:eastAsia="zh-CN" w:bidi="ar-SA"/>
        </w:rPr>
        <w:t>3</w:t>
      </w:r>
      <w:r>
        <w:rPr>
          <w:rFonts w:hint="eastAsia" w:ascii="宋体" w:hAnsi="宋体" w:eastAsia="宋体" w:cs="宋体"/>
          <w:b/>
          <w:bCs/>
          <w:color w:val="auto"/>
          <w:kern w:val="0"/>
          <w:sz w:val="24"/>
          <w:szCs w:val="24"/>
          <w:highlight w:val="none"/>
          <w:lang w:val="en-US" w:eastAsia="zh-CN" w:bidi="ar-SA"/>
        </w:rPr>
        <w:t>.本项目投标时无须提供纸质投标文件。</w:t>
      </w:r>
      <w:r>
        <w:rPr>
          <w:rFonts w:hint="eastAsia" w:ascii="宋体" w:hAnsi="宋体" w:cs="宋体"/>
          <w:b/>
          <w:bCs/>
          <w:color w:val="auto"/>
          <w:kern w:val="0"/>
          <w:sz w:val="24"/>
          <w:szCs w:val="24"/>
          <w:highlight w:val="none"/>
          <w:lang w:val="en-US" w:eastAsia="zh-CN" w:bidi="ar-SA"/>
        </w:rPr>
        <w:t>成交</w:t>
      </w:r>
      <w:r>
        <w:rPr>
          <w:rFonts w:hint="eastAsia" w:ascii="宋体" w:hAnsi="宋体" w:eastAsia="宋体" w:cs="宋体"/>
          <w:b/>
          <w:bCs/>
          <w:color w:val="auto"/>
          <w:kern w:val="0"/>
          <w:sz w:val="24"/>
          <w:szCs w:val="24"/>
          <w:highlight w:val="none"/>
          <w:lang w:val="en-US" w:eastAsia="zh-CN" w:bidi="ar-SA"/>
        </w:rPr>
        <w:t>通知书发出前，</w:t>
      </w:r>
      <w:r>
        <w:rPr>
          <w:rFonts w:hint="eastAsia" w:ascii="宋体" w:hAnsi="宋体" w:cs="宋体"/>
          <w:b/>
          <w:bCs/>
          <w:color w:val="auto"/>
          <w:kern w:val="0"/>
          <w:sz w:val="24"/>
          <w:szCs w:val="24"/>
          <w:highlight w:val="none"/>
          <w:lang w:val="en-US" w:eastAsia="zh-CN" w:bidi="ar-SA"/>
        </w:rPr>
        <w:t>成交供应商</w:t>
      </w:r>
      <w:r>
        <w:rPr>
          <w:rFonts w:hint="eastAsia" w:ascii="宋体" w:hAnsi="宋体" w:eastAsia="宋体" w:cs="宋体"/>
          <w:b/>
          <w:bCs/>
          <w:color w:val="auto"/>
          <w:kern w:val="0"/>
          <w:sz w:val="24"/>
          <w:szCs w:val="24"/>
          <w:highlight w:val="none"/>
          <w:lang w:val="en-US" w:eastAsia="zh-CN" w:bidi="ar-SA"/>
        </w:rPr>
        <w:t>须向招标人（招标代理机构）提供纸质投标文件一式肆份（其中一份</w:t>
      </w:r>
      <w:r>
        <w:rPr>
          <w:rFonts w:hint="eastAsia" w:ascii="宋体" w:hAnsi="宋体" w:cs="宋体"/>
          <w:b/>
          <w:bCs/>
          <w:color w:val="auto"/>
          <w:kern w:val="0"/>
          <w:sz w:val="24"/>
          <w:szCs w:val="24"/>
          <w:highlight w:val="none"/>
          <w:lang w:val="en-US" w:eastAsia="zh-CN" w:bidi="ar-SA"/>
        </w:rPr>
        <w:t>报价文件</w:t>
      </w:r>
      <w:r>
        <w:rPr>
          <w:rFonts w:hint="eastAsia" w:ascii="宋体" w:hAnsi="宋体" w:eastAsia="宋体" w:cs="宋体"/>
          <w:b/>
          <w:bCs/>
          <w:color w:val="auto"/>
          <w:kern w:val="0"/>
          <w:sz w:val="24"/>
          <w:szCs w:val="24"/>
          <w:highlight w:val="none"/>
          <w:lang w:val="en-US" w:eastAsia="zh-CN" w:bidi="ar-SA"/>
        </w:rPr>
        <w:t>副本中须包含“综合单价计算表(注：含综合单价及技术措施)”、“综合单价工料机分析表(注：含综合单价及技术措施)”）。提供的纸质投标文件须与投标时的电子投标文件内容完全一致。</w:t>
      </w:r>
    </w:p>
    <w:p w14:paraId="05DC4BA1">
      <w:pPr>
        <w:keepNext w:val="0"/>
        <w:keepLines w:val="0"/>
        <w:pageBreakBefore w:val="0"/>
        <w:widowControl w:val="0"/>
        <w:kinsoku/>
        <w:wordWrap/>
        <w:overflowPunct/>
        <w:topLinePunct w:val="0"/>
        <w:autoSpaceDE/>
        <w:autoSpaceDN/>
        <w:bidi w:val="0"/>
        <w:snapToGrid w:val="0"/>
        <w:spacing w:line="450" w:lineRule="exact"/>
        <w:ind w:firstLine="48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（二）响应文件的语言及计量</w:t>
      </w:r>
    </w:p>
    <w:p w14:paraId="04716BF2">
      <w:pPr>
        <w:keepNext w:val="0"/>
        <w:keepLines w:val="0"/>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响应文件以及磋商双方就有关磋商事宜的所有来往函电，均应以中文汉语书写。除签名、盖章、专用名称等特殊情形外，以中文汉语以外的文字表述的响应文件视同未提供。</w:t>
      </w:r>
    </w:p>
    <w:p w14:paraId="42D73A3E">
      <w:pPr>
        <w:keepNext w:val="0"/>
        <w:keepLines w:val="0"/>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磋商计量单位，磋商文件已有明确规定的，使用磋商文件规定的计量单位；磋商文件没有规定的，应采用中华人民共和国法定计量单位（货币单位：人民币元），否则视同未响应。</w:t>
      </w:r>
    </w:p>
    <w:p w14:paraId="45C9E5EF">
      <w:pPr>
        <w:keepNext w:val="0"/>
        <w:keepLines w:val="0"/>
        <w:pageBreakBefore w:val="0"/>
        <w:widowControl w:val="0"/>
        <w:numPr>
          <w:ilvl w:val="0"/>
          <w:numId w:val="5"/>
        </w:numPr>
        <w:kinsoku/>
        <w:wordWrap/>
        <w:overflowPunct/>
        <w:topLinePunct w:val="0"/>
        <w:autoSpaceDE/>
        <w:autoSpaceDN/>
        <w:bidi w:val="0"/>
        <w:snapToGrid w:val="0"/>
        <w:spacing w:line="450" w:lineRule="exact"/>
        <w:ind w:firstLine="482"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highlight w:val="none"/>
        </w:rPr>
        <w:t>磋商报价</w:t>
      </w:r>
    </w:p>
    <w:p w14:paraId="570DF761">
      <w:pPr>
        <w:keepNext w:val="0"/>
        <w:keepLines w:val="0"/>
        <w:pageBreakBefore w:val="0"/>
        <w:widowControl w:val="0"/>
        <w:numPr>
          <w:ilvl w:val="0"/>
          <w:numId w:val="0"/>
        </w:numPr>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详见磋商需求</w:t>
      </w:r>
    </w:p>
    <w:p w14:paraId="7AFBB8E9">
      <w:pPr>
        <w:pStyle w:val="8"/>
        <w:keepNext w:val="0"/>
        <w:keepLines w:val="0"/>
        <w:pageBreakBefore w:val="0"/>
        <w:widowControl w:val="0"/>
        <w:tabs>
          <w:tab w:val="left" w:pos="900"/>
        </w:tabs>
        <w:kinsoku/>
        <w:wordWrap/>
        <w:overflowPunct/>
        <w:topLinePunct w:val="0"/>
        <w:autoSpaceDE/>
        <w:autoSpaceDN/>
        <w:bidi w:val="0"/>
        <w:snapToGrid w:val="0"/>
        <w:spacing w:afterLines="0" w:line="450" w:lineRule="exact"/>
        <w:ind w:left="0" w:firstLine="562" w:firstLineChars="200"/>
        <w:jc w:val="both"/>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（四）响应文件的有效期</w:t>
      </w:r>
    </w:p>
    <w:p w14:paraId="0CE8D0DE">
      <w:pPr>
        <w:keepNext w:val="0"/>
        <w:keepLines w:val="0"/>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highlight w:val="none"/>
        </w:rPr>
        <w:t>▲</w:t>
      </w:r>
      <w:r>
        <w:rPr>
          <w:rFonts w:hint="eastAsia" w:ascii="宋体" w:hAnsi="宋体" w:eastAsia="宋体" w:cs="宋体"/>
          <w:color w:val="auto"/>
          <w:sz w:val="24"/>
          <w:szCs w:val="24"/>
          <w:highlight w:val="none"/>
        </w:rPr>
        <w:t>1</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自提交首次响应文件截止日起</w:t>
      </w:r>
      <w:r>
        <w:rPr>
          <w:rFonts w:hint="eastAsia" w:ascii="宋体" w:hAnsi="宋体" w:eastAsia="宋体" w:cs="宋体"/>
          <w:b/>
          <w:bCs/>
          <w:color w:val="auto"/>
          <w:sz w:val="24"/>
          <w:szCs w:val="24"/>
          <w:highlight w:val="none"/>
        </w:rPr>
        <w:t>90天</w:t>
      </w:r>
      <w:r>
        <w:rPr>
          <w:rFonts w:hint="eastAsia" w:ascii="宋体" w:hAnsi="宋体" w:eastAsia="宋体" w:cs="宋体"/>
          <w:color w:val="auto"/>
          <w:sz w:val="24"/>
          <w:szCs w:val="24"/>
          <w:highlight w:val="none"/>
        </w:rPr>
        <w:t>响应文件应保持有效。有效期不足的响应文件将被拒绝。</w:t>
      </w:r>
    </w:p>
    <w:p w14:paraId="08E6855B">
      <w:pPr>
        <w:keepNext w:val="0"/>
        <w:keepLines w:val="0"/>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在特殊情况下，招标人可与供应商协商延长响应文件的有效期，这种要求和答复均以书面形式进行。</w:t>
      </w:r>
    </w:p>
    <w:p w14:paraId="0AF2B27D">
      <w:pPr>
        <w:keepNext w:val="0"/>
        <w:keepLines w:val="0"/>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供应商可拒绝接受延期要求。同意延长有效期的不能修改响应文件。</w:t>
      </w:r>
    </w:p>
    <w:p w14:paraId="1A35878F">
      <w:pPr>
        <w:keepNext w:val="0"/>
        <w:keepLines w:val="0"/>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成交供应商的响应文件文件自磋商之日起至合同履行完毕止均应保持有效。</w:t>
      </w:r>
    </w:p>
    <w:p w14:paraId="54311458">
      <w:pPr>
        <w:pStyle w:val="8"/>
        <w:keepNext w:val="0"/>
        <w:keepLines w:val="0"/>
        <w:pageBreakBefore w:val="0"/>
        <w:widowControl w:val="0"/>
        <w:tabs>
          <w:tab w:val="left" w:pos="900"/>
        </w:tabs>
        <w:kinsoku/>
        <w:wordWrap/>
        <w:overflowPunct/>
        <w:topLinePunct w:val="0"/>
        <w:autoSpaceDE/>
        <w:autoSpaceDN/>
        <w:bidi w:val="0"/>
        <w:snapToGrid w:val="0"/>
        <w:spacing w:afterLines="0" w:line="450" w:lineRule="exact"/>
        <w:ind w:left="0" w:firstLine="562" w:firstLineChars="200"/>
        <w:jc w:val="both"/>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（五）响应文件的递交</w:t>
      </w:r>
    </w:p>
    <w:p w14:paraId="5300E466">
      <w:pPr>
        <w:keepNext w:val="0"/>
        <w:keepLines w:val="0"/>
        <w:pageBreakBefore w:val="0"/>
        <w:widowControl w:val="0"/>
        <w:kinsoku/>
        <w:wordWrap/>
        <w:overflowPunct/>
        <w:topLinePunct w:val="0"/>
        <w:autoSpaceDE/>
        <w:autoSpaceDN/>
        <w:bidi w:val="0"/>
        <w:snapToGrid w:val="0"/>
        <w:spacing w:line="450" w:lineRule="exact"/>
        <w:ind w:firstLine="472" w:firstLineChars="196"/>
        <w:jc w:val="left"/>
        <w:textAlignment w:val="auto"/>
        <w:outlineLvl w:val="0"/>
        <w:rPr>
          <w:rFonts w:hint="eastAsia" w:ascii="宋体" w:hAnsi="宋体" w:eastAsia="宋体" w:cs="宋体"/>
          <w:b/>
          <w:color w:val="auto"/>
          <w:sz w:val="24"/>
          <w:highlight w:val="none"/>
        </w:rPr>
      </w:pPr>
      <w:bookmarkStart w:id="54" w:name="_Toc8274"/>
      <w:bookmarkStart w:id="55" w:name="_Toc30503"/>
      <w:r>
        <w:rPr>
          <w:rFonts w:hint="eastAsia" w:ascii="宋体" w:hAnsi="宋体" w:eastAsia="宋体" w:cs="宋体"/>
          <w:b/>
          <w:color w:val="auto"/>
          <w:sz w:val="24"/>
          <w:highlight w:val="none"/>
        </w:rPr>
        <w:t>电子响应文件</w:t>
      </w:r>
      <w:bookmarkEnd w:id="54"/>
      <w:bookmarkEnd w:id="55"/>
    </w:p>
    <w:p w14:paraId="7134F1F0">
      <w:pPr>
        <w:keepNext w:val="0"/>
        <w:keepLines w:val="0"/>
        <w:pageBreakBefore w:val="0"/>
        <w:widowControl w:val="0"/>
        <w:kinsoku/>
        <w:wordWrap/>
        <w:overflowPunct/>
        <w:topLinePunct w:val="0"/>
        <w:autoSpaceDE/>
        <w:autoSpaceDN/>
        <w:bidi w:val="0"/>
        <w:snapToGrid w:val="0"/>
        <w:spacing w:line="450" w:lineRule="exact"/>
        <w:ind w:firstLine="470" w:firstLineChars="196"/>
        <w:jc w:val="left"/>
        <w:textAlignment w:val="auto"/>
        <w:outlineLvl w:val="0"/>
        <w:rPr>
          <w:rFonts w:hint="eastAsia" w:ascii="宋体" w:hAnsi="宋体" w:eastAsia="宋体" w:cs="宋体"/>
          <w:color w:val="auto"/>
          <w:kern w:val="0"/>
          <w:sz w:val="24"/>
          <w:highlight w:val="none"/>
        </w:rPr>
      </w:pPr>
      <w:bookmarkStart w:id="56" w:name="_Toc29804"/>
      <w:bookmarkStart w:id="57" w:name="_Toc25626"/>
      <w:r>
        <w:rPr>
          <w:rFonts w:hint="eastAsia" w:ascii="宋体" w:hAnsi="宋体" w:eastAsia="宋体" w:cs="宋体"/>
          <w:color w:val="auto"/>
          <w:kern w:val="0"/>
          <w:sz w:val="24"/>
          <w:highlight w:val="none"/>
        </w:rPr>
        <w:t>电子响应文件按政采云平台供应商电子招投标操作指南（网址：</w:t>
      </w:r>
      <w:r>
        <w:rPr>
          <w:rFonts w:hint="eastAsia" w:ascii="宋体" w:hAnsi="宋体" w:eastAsia="宋体" w:cs="宋体"/>
          <w:color w:val="auto"/>
          <w:kern w:val="0"/>
          <w:sz w:val="24"/>
          <w:highlight w:val="none"/>
        </w:rPr>
        <w:fldChar w:fldCharType="begin"/>
      </w:r>
      <w:r>
        <w:rPr>
          <w:rFonts w:hint="eastAsia" w:ascii="宋体" w:hAnsi="宋体" w:eastAsia="宋体" w:cs="宋体"/>
          <w:color w:val="auto"/>
          <w:kern w:val="0"/>
          <w:sz w:val="24"/>
          <w:highlight w:val="none"/>
        </w:rPr>
        <w:instrText xml:space="preserve"> HYPERLINK "https://help.zcygov.cn/web/site_2/2018/12-28/2573.html）及本招标文件规定的格式和顺序编制电子投标文件并进行关联定位。" </w:instrText>
      </w:r>
      <w:r>
        <w:rPr>
          <w:rFonts w:hint="eastAsia" w:ascii="宋体" w:hAnsi="宋体" w:eastAsia="宋体" w:cs="宋体"/>
          <w:color w:val="auto"/>
          <w:kern w:val="0"/>
          <w:sz w:val="24"/>
          <w:highlight w:val="none"/>
        </w:rPr>
        <w:fldChar w:fldCharType="separate"/>
      </w:r>
      <w:r>
        <w:rPr>
          <w:rFonts w:hint="eastAsia" w:ascii="宋体" w:hAnsi="宋体" w:eastAsia="宋体" w:cs="宋体"/>
          <w:color w:val="auto"/>
          <w:kern w:val="0"/>
          <w:sz w:val="24"/>
          <w:szCs w:val="22"/>
          <w:highlight w:val="none"/>
        </w:rPr>
        <w:fldChar w:fldCharType="begin"/>
      </w:r>
      <w:r>
        <w:rPr>
          <w:rStyle w:val="28"/>
          <w:rFonts w:hint="eastAsia" w:ascii="宋体" w:hAnsi="宋体" w:eastAsia="宋体" w:cs="宋体"/>
          <w:color w:val="auto"/>
          <w:kern w:val="0"/>
          <w:sz w:val="24"/>
          <w:szCs w:val="22"/>
          <w:highlight w:val="none"/>
        </w:rPr>
        <w:instrText xml:space="preserve"> HYPERLINK "https://service.zcygov.cn/" \l "/knowledges/CW1EtGwBFdiHxlNd6I3m/6IMVAG0BFdiHxlNdQ8Na" </w:instrText>
      </w:r>
      <w:r>
        <w:rPr>
          <w:rFonts w:hint="eastAsia" w:ascii="宋体" w:hAnsi="宋体" w:eastAsia="宋体" w:cs="宋体"/>
          <w:color w:val="auto"/>
          <w:kern w:val="0"/>
          <w:sz w:val="24"/>
          <w:szCs w:val="22"/>
          <w:highlight w:val="none"/>
        </w:rPr>
        <w:fldChar w:fldCharType="separate"/>
      </w:r>
      <w:r>
        <w:rPr>
          <w:rStyle w:val="28"/>
          <w:rFonts w:hint="eastAsia" w:ascii="宋体" w:hAnsi="宋体" w:eastAsia="宋体" w:cs="宋体"/>
          <w:color w:val="auto"/>
          <w:kern w:val="0"/>
          <w:sz w:val="24"/>
          <w:szCs w:val="22"/>
          <w:highlight w:val="none"/>
        </w:rPr>
        <w:t>https://service.zcygov.cn/#/knowledges/CW1EtGwBFdiHxlNd6I3m/6IMVAG0BFdiHxlNdQ8Na</w:t>
      </w:r>
      <w:r>
        <w:rPr>
          <w:rFonts w:hint="eastAsia" w:ascii="宋体" w:hAnsi="宋体" w:eastAsia="宋体" w:cs="宋体"/>
          <w:color w:val="auto"/>
          <w:kern w:val="0"/>
          <w:sz w:val="24"/>
          <w:szCs w:val="22"/>
          <w:highlight w:val="none"/>
        </w:rPr>
        <w:fldChar w:fldCharType="end"/>
      </w:r>
      <w:r>
        <w:rPr>
          <w:rStyle w:val="28"/>
          <w:rFonts w:hint="eastAsia" w:ascii="宋体" w:hAnsi="宋体" w:eastAsia="宋体" w:cs="宋体"/>
          <w:color w:val="auto"/>
          <w:kern w:val="0"/>
          <w:sz w:val="24"/>
          <w:highlight w:val="none"/>
        </w:rPr>
        <w:t>）及本磋商文件规定的格式和顺序编制电子响应文件并进行关联定位。</w:t>
      </w:r>
      <w:r>
        <w:rPr>
          <w:rFonts w:hint="eastAsia" w:ascii="宋体" w:hAnsi="宋体" w:eastAsia="宋体" w:cs="宋体"/>
          <w:color w:val="auto"/>
          <w:kern w:val="0"/>
          <w:sz w:val="24"/>
          <w:highlight w:val="none"/>
        </w:rPr>
        <w:fldChar w:fldCharType="end"/>
      </w:r>
      <w:bookmarkEnd w:id="56"/>
      <w:bookmarkEnd w:id="57"/>
    </w:p>
    <w:p w14:paraId="38400C36">
      <w:pPr>
        <w:keepNext w:val="0"/>
        <w:keepLines w:val="0"/>
        <w:pageBreakBefore w:val="0"/>
        <w:widowControl w:val="0"/>
        <w:tabs>
          <w:tab w:val="left" w:pos="2212"/>
        </w:tabs>
        <w:kinsoku/>
        <w:wordWrap/>
        <w:overflowPunct/>
        <w:topLinePunct w:val="0"/>
        <w:autoSpaceDE/>
        <w:autoSpaceDN/>
        <w:bidi w:val="0"/>
        <w:adjustRightInd w:val="0"/>
        <w:snapToGrid w:val="0"/>
        <w:spacing w:line="450" w:lineRule="exact"/>
        <w:ind w:firstLine="480" w:firstLineChars="200"/>
        <w:textAlignment w:val="auto"/>
        <w:rPr>
          <w:rFonts w:hint="eastAsia" w:ascii="宋体" w:hAnsi="宋体" w:eastAsia="宋体" w:cs="宋体"/>
          <w:color w:val="auto"/>
          <w:sz w:val="24"/>
          <w:szCs w:val="21"/>
          <w:highlight w:val="none"/>
        </w:rPr>
      </w:pPr>
      <w:r>
        <w:rPr>
          <w:rFonts w:hint="eastAsia" w:ascii="宋体" w:hAnsi="宋体" w:eastAsia="宋体" w:cs="宋体"/>
          <w:bCs/>
          <w:color w:val="auto"/>
          <w:sz w:val="24"/>
          <w:highlight w:val="none"/>
        </w:rPr>
        <w:t>1.</w:t>
      </w:r>
      <w:r>
        <w:rPr>
          <w:rFonts w:hint="eastAsia" w:ascii="宋体" w:hAnsi="宋体" w:eastAsia="宋体" w:cs="宋体"/>
          <w:bCs/>
          <w:color w:val="auto"/>
          <w:sz w:val="24"/>
          <w:szCs w:val="21"/>
          <w:highlight w:val="none"/>
        </w:rPr>
        <w:t>供应商</w:t>
      </w:r>
      <w:r>
        <w:rPr>
          <w:rFonts w:hint="eastAsia" w:ascii="宋体" w:hAnsi="宋体" w:eastAsia="宋体" w:cs="宋体"/>
          <w:color w:val="auto"/>
          <w:sz w:val="24"/>
          <w:szCs w:val="21"/>
          <w:highlight w:val="none"/>
        </w:rPr>
        <w:t>应</w:t>
      </w:r>
      <w:r>
        <w:rPr>
          <w:rFonts w:hint="eastAsia" w:ascii="宋体" w:hAnsi="宋体" w:eastAsia="宋体" w:cs="宋体"/>
          <w:color w:val="auto"/>
          <w:sz w:val="24"/>
          <w:szCs w:val="21"/>
          <w:highlight w:val="none"/>
        </w:rPr>
        <w:t>于</w:t>
      </w:r>
      <w:r>
        <w:rPr>
          <w:rFonts w:hint="eastAsia" w:ascii="宋体" w:hAnsi="宋体" w:cs="宋体"/>
          <w:color w:val="auto"/>
          <w:sz w:val="24"/>
          <w:szCs w:val="21"/>
          <w:highlight w:val="none"/>
          <w:lang w:eastAsia="zh-CN"/>
        </w:rPr>
        <w:t>2025年</w:t>
      </w:r>
      <w:r>
        <w:rPr>
          <w:rFonts w:hint="eastAsia" w:ascii="宋体" w:hAnsi="宋体" w:cs="宋体"/>
          <w:color w:val="auto"/>
          <w:sz w:val="24"/>
          <w:szCs w:val="21"/>
          <w:highlight w:val="none"/>
          <w:lang w:val="en-US" w:eastAsia="zh-CN"/>
        </w:rPr>
        <w:t>7</w:t>
      </w:r>
      <w:r>
        <w:rPr>
          <w:rFonts w:hint="eastAsia" w:ascii="宋体" w:hAnsi="宋体" w:eastAsia="宋体" w:cs="宋体"/>
          <w:color w:val="auto"/>
          <w:sz w:val="24"/>
          <w:szCs w:val="21"/>
          <w:highlight w:val="none"/>
        </w:rPr>
        <w:t>月</w:t>
      </w:r>
      <w:r>
        <w:rPr>
          <w:rFonts w:hint="eastAsia" w:ascii="宋体" w:hAnsi="宋体" w:cs="宋体"/>
          <w:color w:val="auto"/>
          <w:sz w:val="24"/>
          <w:szCs w:val="21"/>
          <w:highlight w:val="none"/>
          <w:lang w:val="en-US" w:eastAsia="zh-CN"/>
        </w:rPr>
        <w:t>1</w:t>
      </w:r>
      <w:r>
        <w:rPr>
          <w:rFonts w:hint="eastAsia" w:ascii="宋体" w:hAnsi="宋体" w:eastAsia="宋体" w:cs="宋体"/>
          <w:color w:val="auto"/>
          <w:sz w:val="24"/>
          <w:szCs w:val="21"/>
          <w:highlight w:val="none"/>
        </w:rPr>
        <w:t>日</w:t>
      </w:r>
      <w:r>
        <w:rPr>
          <w:rFonts w:hint="eastAsia" w:ascii="宋体" w:hAnsi="宋体" w:cs="宋体"/>
          <w:color w:val="auto"/>
          <w:sz w:val="24"/>
          <w:szCs w:val="21"/>
          <w:highlight w:val="none"/>
          <w:lang w:val="en-US" w:eastAsia="zh-CN"/>
        </w:rPr>
        <w:t>09</w:t>
      </w:r>
      <w:r>
        <w:rPr>
          <w:rFonts w:hint="eastAsia" w:ascii="宋体" w:hAnsi="宋体" w:eastAsia="宋体" w:cs="宋体"/>
          <w:color w:val="auto"/>
          <w:sz w:val="24"/>
          <w:szCs w:val="21"/>
          <w:highlight w:val="none"/>
        </w:rPr>
        <w:t>：</w:t>
      </w:r>
      <w:r>
        <w:rPr>
          <w:rFonts w:hint="eastAsia" w:ascii="宋体" w:hAnsi="宋体" w:cs="宋体"/>
          <w:color w:val="auto"/>
          <w:sz w:val="24"/>
          <w:szCs w:val="21"/>
          <w:highlight w:val="none"/>
          <w:lang w:val="en-US" w:eastAsia="zh-CN"/>
        </w:rPr>
        <w:t>00</w:t>
      </w:r>
      <w:r>
        <w:rPr>
          <w:rFonts w:hint="eastAsia" w:ascii="宋体" w:hAnsi="宋体" w:eastAsia="宋体" w:cs="宋体"/>
          <w:color w:val="auto"/>
          <w:sz w:val="24"/>
          <w:szCs w:val="21"/>
          <w:highlight w:val="none"/>
        </w:rPr>
        <w:t>前在</w:t>
      </w:r>
      <w:r>
        <w:rPr>
          <w:rFonts w:hint="eastAsia" w:ascii="宋体" w:hAnsi="宋体" w:eastAsia="宋体" w:cs="宋体"/>
          <w:color w:val="auto"/>
          <w:sz w:val="24"/>
          <w:szCs w:val="21"/>
          <w:highlight w:val="none"/>
        </w:rPr>
        <w:t>“</w:t>
      </w:r>
      <w:r>
        <w:rPr>
          <w:rFonts w:hint="eastAsia" w:ascii="宋体" w:hAnsi="宋体" w:eastAsia="宋体" w:cs="宋体"/>
          <w:color w:val="auto"/>
          <w:sz w:val="24"/>
          <w:szCs w:val="21"/>
          <w:highlight w:val="none"/>
        </w:rPr>
        <w:t>政采云”上自行加密上传电子响应文件，逾期上传或未按要求上传的响应文件将予以拒收。</w:t>
      </w:r>
    </w:p>
    <w:p w14:paraId="7AF035C1">
      <w:pPr>
        <w:keepNext w:val="0"/>
        <w:keepLines w:val="0"/>
        <w:pageBreakBefore w:val="0"/>
        <w:widowControl w:val="0"/>
        <w:tabs>
          <w:tab w:val="left" w:pos="2212"/>
        </w:tabs>
        <w:kinsoku/>
        <w:wordWrap/>
        <w:overflowPunct/>
        <w:topLinePunct w:val="0"/>
        <w:autoSpaceDE/>
        <w:autoSpaceDN/>
        <w:bidi w:val="0"/>
        <w:adjustRightInd w:val="0"/>
        <w:snapToGrid w:val="0"/>
        <w:spacing w:line="450" w:lineRule="exact"/>
        <w:ind w:firstLine="480" w:firstLineChars="200"/>
        <w:textAlignment w:val="auto"/>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2.代理机构在规定的响应截止时间以后“政采云平台”将不接收响应文件。</w:t>
      </w:r>
    </w:p>
    <w:p w14:paraId="3312EEA3">
      <w:pPr>
        <w:pStyle w:val="12"/>
        <w:keepNext w:val="0"/>
        <w:keepLines w:val="0"/>
        <w:pageBreakBefore w:val="0"/>
        <w:widowControl w:val="0"/>
        <w:kinsoku/>
        <w:wordWrap/>
        <w:overflowPunct/>
        <w:topLinePunct w:val="0"/>
        <w:autoSpaceDE/>
        <w:autoSpaceDN/>
        <w:bidi w:val="0"/>
        <w:spacing w:beforeLines="0" w:afterLines="0" w:line="45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响应文件解密</w:t>
      </w:r>
    </w:p>
    <w:p w14:paraId="5314B56F">
      <w:pPr>
        <w:keepNext w:val="0"/>
        <w:keepLines w:val="0"/>
        <w:pageBreakBefore w:val="0"/>
        <w:widowControl w:val="0"/>
        <w:tabs>
          <w:tab w:val="left" w:pos="2212"/>
        </w:tabs>
        <w:kinsoku/>
        <w:wordWrap/>
        <w:overflowPunct/>
        <w:topLinePunct w:val="0"/>
        <w:autoSpaceDE/>
        <w:autoSpaceDN/>
        <w:bidi w:val="0"/>
        <w:adjustRightInd w:val="0"/>
        <w:snapToGrid w:val="0"/>
        <w:spacing w:line="45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响应文件提交截止时间后半小时</w:t>
      </w:r>
      <w:r>
        <w:rPr>
          <w:rFonts w:hint="eastAsia" w:ascii="宋体" w:hAnsi="宋体" w:eastAsia="宋体" w:cs="宋体"/>
          <w:color w:val="auto"/>
          <w:sz w:val="24"/>
          <w:szCs w:val="24"/>
          <w:highlight w:val="none"/>
        </w:rPr>
        <w:t>内（</w:t>
      </w:r>
      <w:r>
        <w:rPr>
          <w:rFonts w:hint="eastAsia" w:ascii="宋体" w:hAnsi="宋体" w:cs="宋体"/>
          <w:color w:val="auto"/>
          <w:sz w:val="24"/>
          <w:szCs w:val="24"/>
          <w:highlight w:val="none"/>
          <w:lang w:eastAsia="zh-CN"/>
        </w:rPr>
        <w:t>2025年</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val="en-US" w:eastAsia="zh-CN"/>
        </w:rPr>
        <w:t>09</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30</w:t>
      </w:r>
      <w:r>
        <w:rPr>
          <w:rFonts w:hint="eastAsia" w:ascii="宋体" w:hAnsi="宋体" w:eastAsia="宋体" w:cs="宋体"/>
          <w:color w:val="auto"/>
          <w:sz w:val="24"/>
          <w:szCs w:val="24"/>
          <w:highlight w:val="none"/>
        </w:rPr>
        <w:t>前</w:t>
      </w:r>
      <w:r>
        <w:rPr>
          <w:rFonts w:hint="eastAsia" w:ascii="宋体" w:hAnsi="宋体" w:eastAsia="宋体" w:cs="宋体"/>
          <w:color w:val="auto"/>
          <w:sz w:val="24"/>
          <w:szCs w:val="24"/>
          <w:highlight w:val="none"/>
        </w:rPr>
        <w:t>）供应商可以登录“政采云”平台，用“项目采购-开标评标”功能进行解密响应文件。若供应商在规定时间内</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2</w:t>
      </w:r>
      <w:r>
        <w:rPr>
          <w:rFonts w:hint="eastAsia" w:ascii="宋体" w:hAnsi="宋体" w:cs="宋体"/>
          <w:color w:val="auto"/>
          <w:sz w:val="24"/>
          <w:szCs w:val="24"/>
          <w:highlight w:val="none"/>
          <w:lang w:eastAsia="zh-CN"/>
        </w:rPr>
        <w:t>025年</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val="en-US" w:eastAsia="zh-CN"/>
        </w:rPr>
        <w:t>09</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30</w:t>
      </w:r>
      <w:r>
        <w:rPr>
          <w:rFonts w:hint="eastAsia" w:ascii="宋体" w:hAnsi="宋体" w:eastAsia="宋体" w:cs="宋体"/>
          <w:color w:val="auto"/>
          <w:sz w:val="24"/>
          <w:szCs w:val="24"/>
          <w:highlight w:val="none"/>
        </w:rPr>
        <w:t>前</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rPr>
        <w:t>无法解密或解密失败，将导致投响应无效或失败。</w:t>
      </w:r>
    </w:p>
    <w:p w14:paraId="65A98FE4">
      <w:pPr>
        <w:pStyle w:val="12"/>
        <w:keepNext w:val="0"/>
        <w:keepLines w:val="0"/>
        <w:pageBreakBefore w:val="0"/>
        <w:widowControl w:val="0"/>
        <w:kinsoku/>
        <w:wordWrap/>
        <w:overflowPunct/>
        <w:topLinePunct w:val="0"/>
        <w:autoSpaceDE/>
        <w:autoSpaceDN/>
        <w:bidi w:val="0"/>
        <w:adjustRightInd w:val="0"/>
        <w:snapToGrid w:val="0"/>
        <w:spacing w:beforeLines="0" w:afterLines="0" w:line="45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r>
        <w:rPr>
          <w:rFonts w:hint="eastAsia" w:ascii="宋体" w:hAnsi="宋体" w:eastAsia="宋体" w:cs="宋体"/>
          <w:b/>
          <w:color w:val="auto"/>
          <w:sz w:val="24"/>
          <w:szCs w:val="24"/>
          <w:highlight w:val="none"/>
        </w:rPr>
        <w:t>为确保采购项目顺利实施，避免因解密失败导致供应商响应无效，供应商可在</w:t>
      </w:r>
      <w:r>
        <w:rPr>
          <w:rFonts w:hint="eastAsia" w:hAnsi="宋体" w:cs="宋体"/>
          <w:b/>
          <w:color w:val="auto"/>
          <w:sz w:val="24"/>
          <w:szCs w:val="24"/>
          <w:highlight w:val="none"/>
          <w:lang w:eastAsia="zh-CN"/>
        </w:rPr>
        <w:t>2025年</w:t>
      </w:r>
      <w:r>
        <w:rPr>
          <w:rFonts w:hint="eastAsia" w:hAnsi="宋体" w:cs="宋体"/>
          <w:b/>
          <w:color w:val="auto"/>
          <w:sz w:val="24"/>
          <w:szCs w:val="24"/>
          <w:highlight w:val="none"/>
          <w:lang w:val="en-US" w:eastAsia="zh-CN"/>
        </w:rPr>
        <w:t>7</w:t>
      </w:r>
      <w:r>
        <w:rPr>
          <w:rFonts w:hint="eastAsia" w:ascii="宋体" w:hAnsi="宋体" w:eastAsia="宋体" w:cs="宋体"/>
          <w:b/>
          <w:color w:val="auto"/>
          <w:sz w:val="24"/>
          <w:szCs w:val="24"/>
          <w:highlight w:val="none"/>
        </w:rPr>
        <w:t>月</w:t>
      </w:r>
      <w:r>
        <w:rPr>
          <w:rFonts w:hint="eastAsia" w:hAnsi="宋体" w:cs="宋体"/>
          <w:b/>
          <w:color w:val="auto"/>
          <w:sz w:val="24"/>
          <w:szCs w:val="24"/>
          <w:highlight w:val="none"/>
          <w:lang w:val="en-US" w:eastAsia="zh-CN"/>
        </w:rPr>
        <w:t>1</w:t>
      </w:r>
      <w:r>
        <w:rPr>
          <w:rFonts w:hint="eastAsia" w:ascii="宋体" w:hAnsi="宋体" w:eastAsia="宋体" w:cs="宋体"/>
          <w:b/>
          <w:color w:val="auto"/>
          <w:sz w:val="24"/>
          <w:szCs w:val="24"/>
          <w:highlight w:val="none"/>
        </w:rPr>
        <w:t>日</w:t>
      </w:r>
      <w:r>
        <w:rPr>
          <w:rFonts w:hint="eastAsia" w:hAnsi="宋体" w:cs="宋体"/>
          <w:b/>
          <w:color w:val="auto"/>
          <w:sz w:val="24"/>
          <w:szCs w:val="24"/>
          <w:highlight w:val="none"/>
          <w:lang w:val="en-US" w:eastAsia="zh-CN"/>
        </w:rPr>
        <w:t>09</w:t>
      </w:r>
      <w:r>
        <w:rPr>
          <w:rFonts w:hint="eastAsia" w:ascii="宋体" w:hAnsi="宋体" w:eastAsia="宋体" w:cs="宋体"/>
          <w:b/>
          <w:color w:val="auto"/>
          <w:sz w:val="24"/>
          <w:szCs w:val="24"/>
          <w:highlight w:val="none"/>
        </w:rPr>
        <w:t>:</w:t>
      </w:r>
      <w:r>
        <w:rPr>
          <w:rFonts w:hint="eastAsia" w:hAnsi="宋体" w:cs="宋体"/>
          <w:b/>
          <w:color w:val="auto"/>
          <w:sz w:val="24"/>
          <w:szCs w:val="24"/>
          <w:highlight w:val="none"/>
          <w:lang w:val="en-US" w:eastAsia="zh-CN"/>
        </w:rPr>
        <w:t>00</w:t>
      </w:r>
      <w:r>
        <w:rPr>
          <w:rFonts w:hint="eastAsia" w:ascii="宋体" w:hAnsi="宋体" w:eastAsia="宋体" w:cs="宋体"/>
          <w:b/>
          <w:color w:val="auto"/>
          <w:sz w:val="24"/>
          <w:szCs w:val="24"/>
          <w:highlight w:val="none"/>
        </w:rPr>
        <w:t>前</w:t>
      </w:r>
      <w:r>
        <w:rPr>
          <w:rFonts w:hint="eastAsia" w:ascii="宋体" w:hAnsi="宋体" w:eastAsia="宋体" w:cs="宋体"/>
          <w:b/>
          <w:color w:val="auto"/>
          <w:sz w:val="24"/>
          <w:szCs w:val="24"/>
          <w:highlight w:val="none"/>
        </w:rPr>
        <w:t>将在政采云平台上最后生成的具备电子签章的备份电子标文件</w:t>
      </w: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光盘上应当用不褪色墨水笔注明供应商名称、项目名称、标项以及法定代表人或其委托代理人签名，供应商应当确保电子光盘能够打开运行并正常使用</w:t>
      </w:r>
      <w:r>
        <w:rPr>
          <w:rFonts w:hint="eastAsia" w:ascii="宋体" w:hAnsi="宋体" w:eastAsia="宋体" w:cs="宋体"/>
          <w:color w:val="auto"/>
          <w:sz w:val="24"/>
          <w:szCs w:val="24"/>
          <w:highlight w:val="none"/>
        </w:rPr>
        <w:t>）装袋密封后邮寄或直接送达至</w:t>
      </w:r>
      <w:r>
        <w:rPr>
          <w:rFonts w:hint="eastAsia" w:hAnsi="宋体" w:cs="宋体"/>
          <w:color w:val="auto"/>
          <w:sz w:val="24"/>
          <w:highlight w:val="none"/>
          <w:lang w:eastAsia="zh-CN"/>
        </w:rPr>
        <w:t>浙江中合工程管理有限公司</w:t>
      </w:r>
      <w:r>
        <w:rPr>
          <w:rFonts w:hint="eastAsia" w:ascii="宋体" w:hAnsi="宋体" w:eastAsia="宋体" w:cs="宋体"/>
          <w:color w:val="auto"/>
          <w:sz w:val="24"/>
          <w:szCs w:val="24"/>
          <w:highlight w:val="none"/>
        </w:rPr>
        <w:t>，密封袋上有接缝处均需加盖单位公章和法定代表人印章（送达地址：</w:t>
      </w:r>
      <w:r>
        <w:rPr>
          <w:rFonts w:hint="eastAsia" w:ascii="宋体" w:hAnsi="宋体" w:eastAsia="宋体" w:cs="宋体"/>
          <w:color w:val="auto"/>
          <w:sz w:val="24"/>
          <w:szCs w:val="24"/>
          <w:highlight w:val="none"/>
          <w:lang w:eastAsia="zh-CN"/>
        </w:rPr>
        <w:t>嘉善县罗星街道乔克国贸中心2-1002室</w:t>
      </w:r>
      <w:r>
        <w:rPr>
          <w:rFonts w:hint="eastAsia" w:ascii="宋体" w:hAnsi="宋体" w:eastAsia="宋体" w:cs="宋体"/>
          <w:color w:val="auto"/>
          <w:sz w:val="24"/>
          <w:szCs w:val="24"/>
          <w:highlight w:val="none"/>
        </w:rPr>
        <w:t>，收件人：</w:t>
      </w:r>
      <w:r>
        <w:rPr>
          <w:rFonts w:hint="eastAsia" w:hAnsi="宋体" w:cs="宋体"/>
          <w:color w:val="auto"/>
          <w:sz w:val="24"/>
          <w:szCs w:val="24"/>
          <w:highlight w:val="none"/>
          <w:lang w:val="en-US" w:eastAsia="zh-CN"/>
        </w:rPr>
        <w:t>胡女士</w:t>
      </w:r>
      <w:r>
        <w:rPr>
          <w:rFonts w:hint="eastAsia" w:ascii="宋体" w:hAnsi="宋体" w:eastAsia="宋体" w:cs="宋体"/>
          <w:color w:val="auto"/>
          <w:sz w:val="24"/>
          <w:szCs w:val="24"/>
          <w:highlight w:val="none"/>
        </w:rPr>
        <w:t>，联系电话：</w:t>
      </w:r>
      <w:r>
        <w:rPr>
          <w:rFonts w:hint="eastAsia" w:hAnsi="宋体" w:cs="宋体"/>
          <w:color w:val="auto"/>
          <w:sz w:val="24"/>
          <w:szCs w:val="24"/>
          <w:highlight w:val="none"/>
          <w:lang w:eastAsia="zh-CN"/>
        </w:rPr>
        <w:t>0573-84033354</w:t>
      </w: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，如在开标过程中出现解密失败情况，以备份文件作为替代响应文件，如供应商未按照规定时间及要求提供有效备份文件，同时政采云上响应文件解密失败的，将导致响应无效。</w:t>
      </w:r>
    </w:p>
    <w:p w14:paraId="72C2B6E5">
      <w:pPr>
        <w:keepNext w:val="0"/>
        <w:keepLines w:val="0"/>
        <w:pageBreakBefore w:val="0"/>
        <w:widowControl w:val="0"/>
        <w:kinsoku/>
        <w:wordWrap/>
        <w:overflowPunct/>
        <w:topLinePunct w:val="0"/>
        <w:autoSpaceDE/>
        <w:autoSpaceDN/>
        <w:bidi w:val="0"/>
        <w:snapToGrid w:val="0"/>
        <w:spacing w:line="450" w:lineRule="exact"/>
        <w:ind w:firstLine="482" w:firstLineChars="200"/>
        <w:jc w:val="left"/>
        <w:textAlignment w:val="auto"/>
        <w:rPr>
          <w:rFonts w:hint="eastAsia" w:ascii="宋体" w:hAnsi="宋体" w:eastAsia="宋体" w:cs="宋体"/>
          <w:color w:val="auto"/>
          <w:sz w:val="24"/>
          <w:szCs w:val="21"/>
          <w:highlight w:val="none"/>
        </w:rPr>
      </w:pPr>
      <w:r>
        <w:rPr>
          <w:rFonts w:hint="eastAsia" w:ascii="宋体" w:hAnsi="宋体" w:eastAsia="宋体" w:cs="宋体"/>
          <w:b/>
          <w:bCs/>
          <w:color w:val="auto"/>
          <w:sz w:val="24"/>
          <w:highlight w:val="none"/>
        </w:rPr>
        <w:t>3.</w:t>
      </w:r>
      <w:r>
        <w:rPr>
          <w:rFonts w:hint="eastAsia" w:ascii="宋体" w:hAnsi="宋体" w:eastAsia="宋体" w:cs="宋体"/>
          <w:color w:val="auto"/>
          <w:sz w:val="24"/>
          <w:szCs w:val="21"/>
          <w:highlight w:val="none"/>
        </w:rPr>
        <w:t>供应商在提交响应文件以后，在规定的响应截止时间之前，可以以重新补充修改或撤回已上传的响应文件，补充、修改的内容为响应文件的组成部分。</w:t>
      </w:r>
    </w:p>
    <w:p w14:paraId="6ABB881E">
      <w:pPr>
        <w:keepNext w:val="0"/>
        <w:keepLines w:val="0"/>
        <w:pageBreakBefore w:val="0"/>
        <w:widowControl w:val="0"/>
        <w:tabs>
          <w:tab w:val="left" w:pos="2212"/>
        </w:tabs>
        <w:kinsoku/>
        <w:wordWrap/>
        <w:overflowPunct/>
        <w:topLinePunct w:val="0"/>
        <w:autoSpaceDE/>
        <w:autoSpaceDN/>
        <w:bidi w:val="0"/>
        <w:adjustRightInd w:val="0"/>
        <w:snapToGrid w:val="0"/>
        <w:spacing w:line="450" w:lineRule="exact"/>
        <w:textAlignment w:val="auto"/>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 xml:space="preserve">    在响应截止时间之后，供应商不得对其投标做任何修改。</w:t>
      </w:r>
    </w:p>
    <w:p w14:paraId="7C0E78EE">
      <w:pPr>
        <w:keepNext w:val="0"/>
        <w:keepLines w:val="0"/>
        <w:pageBreakBefore w:val="0"/>
        <w:widowControl w:val="0"/>
        <w:tabs>
          <w:tab w:val="left" w:pos="2212"/>
        </w:tabs>
        <w:kinsoku/>
        <w:wordWrap/>
        <w:overflowPunct/>
        <w:topLinePunct w:val="0"/>
        <w:autoSpaceDE/>
        <w:autoSpaceDN/>
        <w:bidi w:val="0"/>
        <w:adjustRightInd w:val="0"/>
        <w:snapToGrid w:val="0"/>
        <w:spacing w:line="450" w:lineRule="exact"/>
        <w:textAlignment w:val="auto"/>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 xml:space="preserve">    从响应截止时间至供应商在响应文件中确定的响应有效期期满这段时间内，供应商不得撤回其响应文件。</w:t>
      </w:r>
    </w:p>
    <w:p w14:paraId="01F89155">
      <w:pPr>
        <w:pStyle w:val="8"/>
        <w:keepNext w:val="0"/>
        <w:keepLines w:val="0"/>
        <w:pageBreakBefore w:val="0"/>
        <w:widowControl w:val="0"/>
        <w:tabs>
          <w:tab w:val="left" w:pos="900"/>
        </w:tabs>
        <w:kinsoku/>
        <w:wordWrap/>
        <w:overflowPunct/>
        <w:topLinePunct w:val="0"/>
        <w:autoSpaceDE/>
        <w:autoSpaceDN/>
        <w:bidi w:val="0"/>
        <w:snapToGrid w:val="0"/>
        <w:spacing w:afterLines="0" w:line="450" w:lineRule="exact"/>
        <w:ind w:left="0" w:firstLine="562" w:firstLineChars="200"/>
        <w:jc w:val="both"/>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（六）响应无效的情形</w:t>
      </w:r>
    </w:p>
    <w:p w14:paraId="61975150">
      <w:pPr>
        <w:pStyle w:val="8"/>
        <w:keepNext w:val="0"/>
        <w:keepLines w:val="0"/>
        <w:pageBreakBefore w:val="0"/>
        <w:widowControl w:val="0"/>
        <w:numPr>
          <w:ilvl w:val="0"/>
          <w:numId w:val="0"/>
        </w:numPr>
        <w:tabs>
          <w:tab w:val="left" w:pos="900"/>
          <w:tab w:val="clear" w:pos="360"/>
        </w:tabs>
        <w:kinsoku/>
        <w:wordWrap/>
        <w:overflowPunct/>
        <w:topLinePunct w:val="0"/>
        <w:autoSpaceDE/>
        <w:autoSpaceDN/>
        <w:bidi w:val="0"/>
        <w:snapToGrid w:val="0"/>
        <w:spacing w:afterLines="0" w:line="450" w:lineRule="exact"/>
        <w:ind w:leftChars="200"/>
        <w:jc w:val="both"/>
        <w:textAlignment w:val="auto"/>
        <w:rPr>
          <w:rFonts w:hint="eastAsia" w:ascii="宋体" w:hAnsi="宋体" w:eastAsia="宋体" w:cs="宋体"/>
          <w:b/>
          <w:bCs w:val="0"/>
          <w:color w:val="auto"/>
          <w:highlight w:val="none"/>
        </w:rPr>
      </w:pPr>
      <w:r>
        <w:rPr>
          <w:rFonts w:hint="eastAsia" w:ascii="宋体" w:hAnsi="宋体" w:eastAsia="宋体" w:cs="宋体"/>
          <w:b/>
          <w:bCs w:val="0"/>
          <w:color w:val="auto"/>
          <w:highlight w:val="none"/>
        </w:rPr>
        <w:t>1.有下列情形之一的，视为供应商串通投标，其投标无效：</w:t>
      </w:r>
    </w:p>
    <w:p w14:paraId="2744E0AA">
      <w:pPr>
        <w:pStyle w:val="8"/>
        <w:keepNext w:val="0"/>
        <w:keepLines w:val="0"/>
        <w:pageBreakBefore w:val="0"/>
        <w:widowControl w:val="0"/>
        <w:numPr>
          <w:ilvl w:val="0"/>
          <w:numId w:val="0"/>
        </w:numPr>
        <w:tabs>
          <w:tab w:val="left" w:pos="900"/>
          <w:tab w:val="clear" w:pos="360"/>
        </w:tabs>
        <w:kinsoku/>
        <w:wordWrap/>
        <w:overflowPunct/>
        <w:topLinePunct w:val="0"/>
        <w:autoSpaceDE/>
        <w:autoSpaceDN/>
        <w:bidi w:val="0"/>
        <w:snapToGrid w:val="0"/>
        <w:spacing w:afterLines="0" w:line="450" w:lineRule="exact"/>
        <w:ind w:leftChars="200"/>
        <w:jc w:val="both"/>
        <w:textAlignment w:val="auto"/>
        <w:rPr>
          <w:rFonts w:hint="eastAsia" w:ascii="宋体" w:hAnsi="宋体" w:eastAsia="宋体" w:cs="宋体"/>
          <w:b/>
          <w:bCs w:val="0"/>
          <w:color w:val="auto"/>
          <w:highlight w:val="none"/>
        </w:rPr>
      </w:pPr>
      <w:r>
        <w:rPr>
          <w:rFonts w:hint="eastAsia" w:ascii="宋体" w:hAnsi="宋体" w:eastAsia="宋体" w:cs="宋体"/>
          <w:b/>
          <w:bCs w:val="0"/>
          <w:color w:val="auto"/>
          <w:highlight w:val="none"/>
        </w:rPr>
        <w:t>1.1不同供应商的响应文件由同一单位或者个人编制；</w:t>
      </w:r>
    </w:p>
    <w:p w14:paraId="5263CED3">
      <w:pPr>
        <w:pStyle w:val="8"/>
        <w:keepNext w:val="0"/>
        <w:keepLines w:val="0"/>
        <w:pageBreakBefore w:val="0"/>
        <w:widowControl w:val="0"/>
        <w:numPr>
          <w:ilvl w:val="0"/>
          <w:numId w:val="0"/>
        </w:numPr>
        <w:tabs>
          <w:tab w:val="left" w:pos="900"/>
          <w:tab w:val="clear" w:pos="360"/>
        </w:tabs>
        <w:kinsoku/>
        <w:wordWrap/>
        <w:overflowPunct/>
        <w:topLinePunct w:val="0"/>
        <w:autoSpaceDE/>
        <w:autoSpaceDN/>
        <w:bidi w:val="0"/>
        <w:snapToGrid w:val="0"/>
        <w:spacing w:afterLines="0" w:line="450" w:lineRule="exact"/>
        <w:ind w:leftChars="200"/>
        <w:jc w:val="both"/>
        <w:textAlignment w:val="auto"/>
        <w:rPr>
          <w:rFonts w:hint="eastAsia" w:ascii="宋体" w:hAnsi="宋体" w:eastAsia="宋体" w:cs="宋体"/>
          <w:b/>
          <w:bCs w:val="0"/>
          <w:color w:val="auto"/>
          <w:highlight w:val="none"/>
        </w:rPr>
      </w:pPr>
      <w:r>
        <w:rPr>
          <w:rFonts w:hint="eastAsia" w:ascii="宋体" w:hAnsi="宋体" w:eastAsia="宋体" w:cs="宋体"/>
          <w:b/>
          <w:bCs w:val="0"/>
          <w:color w:val="auto"/>
          <w:highlight w:val="none"/>
        </w:rPr>
        <w:t>1.2不同供应商委托同一单位或者个人办理投标事宜；</w:t>
      </w:r>
    </w:p>
    <w:p w14:paraId="29BCF13E">
      <w:pPr>
        <w:pStyle w:val="8"/>
        <w:keepNext w:val="0"/>
        <w:keepLines w:val="0"/>
        <w:pageBreakBefore w:val="0"/>
        <w:widowControl w:val="0"/>
        <w:numPr>
          <w:ilvl w:val="0"/>
          <w:numId w:val="0"/>
        </w:numPr>
        <w:tabs>
          <w:tab w:val="left" w:pos="900"/>
          <w:tab w:val="clear" w:pos="360"/>
        </w:tabs>
        <w:kinsoku/>
        <w:wordWrap/>
        <w:overflowPunct/>
        <w:topLinePunct w:val="0"/>
        <w:autoSpaceDE/>
        <w:autoSpaceDN/>
        <w:bidi w:val="0"/>
        <w:snapToGrid w:val="0"/>
        <w:spacing w:afterLines="0" w:line="450" w:lineRule="exact"/>
        <w:ind w:leftChars="200"/>
        <w:jc w:val="both"/>
        <w:textAlignment w:val="auto"/>
        <w:rPr>
          <w:rFonts w:hint="eastAsia" w:ascii="宋体" w:hAnsi="宋体" w:eastAsia="宋体" w:cs="宋体"/>
          <w:b/>
          <w:bCs w:val="0"/>
          <w:color w:val="auto"/>
          <w:highlight w:val="none"/>
        </w:rPr>
      </w:pPr>
      <w:r>
        <w:rPr>
          <w:rFonts w:hint="eastAsia" w:ascii="宋体" w:hAnsi="宋体" w:eastAsia="宋体" w:cs="宋体"/>
          <w:b/>
          <w:bCs w:val="0"/>
          <w:color w:val="auto"/>
          <w:highlight w:val="none"/>
        </w:rPr>
        <w:t>1.3不同供应商的响应文件载明的项目管理成员或者联系人员为同一人；</w:t>
      </w:r>
    </w:p>
    <w:p w14:paraId="5711BD02">
      <w:pPr>
        <w:pStyle w:val="8"/>
        <w:keepNext w:val="0"/>
        <w:keepLines w:val="0"/>
        <w:pageBreakBefore w:val="0"/>
        <w:widowControl w:val="0"/>
        <w:numPr>
          <w:ilvl w:val="0"/>
          <w:numId w:val="0"/>
        </w:numPr>
        <w:tabs>
          <w:tab w:val="left" w:pos="900"/>
          <w:tab w:val="clear" w:pos="360"/>
        </w:tabs>
        <w:kinsoku/>
        <w:wordWrap/>
        <w:overflowPunct/>
        <w:topLinePunct w:val="0"/>
        <w:autoSpaceDE/>
        <w:autoSpaceDN/>
        <w:bidi w:val="0"/>
        <w:snapToGrid w:val="0"/>
        <w:spacing w:afterLines="0" w:line="450" w:lineRule="exact"/>
        <w:ind w:leftChars="200"/>
        <w:jc w:val="both"/>
        <w:textAlignment w:val="auto"/>
        <w:rPr>
          <w:rFonts w:hint="eastAsia" w:ascii="宋体" w:hAnsi="宋体" w:eastAsia="宋体" w:cs="宋体"/>
          <w:b/>
          <w:bCs w:val="0"/>
          <w:color w:val="auto"/>
          <w:highlight w:val="none"/>
        </w:rPr>
      </w:pPr>
      <w:r>
        <w:rPr>
          <w:rFonts w:hint="eastAsia" w:ascii="宋体" w:hAnsi="宋体" w:eastAsia="宋体" w:cs="宋体"/>
          <w:b/>
          <w:bCs w:val="0"/>
          <w:color w:val="auto"/>
          <w:highlight w:val="none"/>
        </w:rPr>
        <w:t>1.4不同供应商的响应文件异常一致或者磋商报价呈规律性差异；</w:t>
      </w:r>
    </w:p>
    <w:p w14:paraId="4E91DA39">
      <w:pPr>
        <w:pStyle w:val="8"/>
        <w:keepNext w:val="0"/>
        <w:keepLines w:val="0"/>
        <w:pageBreakBefore w:val="0"/>
        <w:widowControl w:val="0"/>
        <w:numPr>
          <w:ilvl w:val="0"/>
          <w:numId w:val="0"/>
        </w:numPr>
        <w:tabs>
          <w:tab w:val="left" w:pos="900"/>
          <w:tab w:val="clear" w:pos="360"/>
        </w:tabs>
        <w:kinsoku/>
        <w:wordWrap/>
        <w:overflowPunct/>
        <w:topLinePunct w:val="0"/>
        <w:autoSpaceDE/>
        <w:autoSpaceDN/>
        <w:bidi w:val="0"/>
        <w:snapToGrid w:val="0"/>
        <w:spacing w:afterLines="0" w:line="450" w:lineRule="exact"/>
        <w:ind w:leftChars="200"/>
        <w:jc w:val="both"/>
        <w:textAlignment w:val="auto"/>
        <w:rPr>
          <w:rFonts w:hint="eastAsia" w:ascii="宋体" w:hAnsi="宋体" w:eastAsia="宋体" w:cs="宋体"/>
          <w:b/>
          <w:bCs w:val="0"/>
          <w:color w:val="auto"/>
          <w:highlight w:val="none"/>
        </w:rPr>
      </w:pPr>
      <w:r>
        <w:rPr>
          <w:rFonts w:hint="eastAsia" w:ascii="宋体" w:hAnsi="宋体" w:eastAsia="宋体" w:cs="宋体"/>
          <w:b/>
          <w:bCs w:val="0"/>
          <w:color w:val="auto"/>
          <w:highlight w:val="none"/>
        </w:rPr>
        <w:t>1.5不同供应商的响应文件相互混装。</w:t>
      </w:r>
    </w:p>
    <w:p w14:paraId="64A77B53">
      <w:pPr>
        <w:pStyle w:val="8"/>
        <w:keepNext w:val="0"/>
        <w:keepLines w:val="0"/>
        <w:pageBreakBefore w:val="0"/>
        <w:widowControl w:val="0"/>
        <w:numPr>
          <w:ilvl w:val="0"/>
          <w:numId w:val="0"/>
        </w:numPr>
        <w:tabs>
          <w:tab w:val="left" w:pos="900"/>
          <w:tab w:val="clear" w:pos="360"/>
        </w:tabs>
        <w:kinsoku/>
        <w:wordWrap/>
        <w:overflowPunct/>
        <w:topLinePunct w:val="0"/>
        <w:autoSpaceDE/>
        <w:autoSpaceDN/>
        <w:bidi w:val="0"/>
        <w:snapToGrid w:val="0"/>
        <w:spacing w:afterLines="0" w:line="450" w:lineRule="exact"/>
        <w:ind w:firstLine="480" w:firstLineChars="200"/>
        <w:jc w:val="both"/>
        <w:textAlignment w:val="auto"/>
        <w:rPr>
          <w:rFonts w:hint="eastAsia" w:ascii="宋体" w:hAnsi="宋体" w:eastAsia="宋体" w:cs="宋体"/>
          <w:b/>
          <w:bCs/>
          <w:color w:val="auto"/>
          <w:sz w:val="28"/>
          <w:szCs w:val="28"/>
          <w:highlight w:val="none"/>
        </w:rPr>
      </w:pPr>
      <w:r>
        <w:rPr>
          <w:rFonts w:hint="eastAsia" w:ascii="宋体" w:hAnsi="宋体" w:eastAsia="宋体" w:cs="宋体"/>
          <w:bCs/>
          <w:color w:val="auto"/>
          <w:highlight w:val="none"/>
          <w:lang w:val="en-US" w:eastAsia="zh-CN"/>
        </w:rPr>
        <w:t>2.</w:t>
      </w:r>
      <w:r>
        <w:rPr>
          <w:rFonts w:hint="eastAsia" w:ascii="宋体" w:hAnsi="宋体" w:eastAsia="宋体" w:cs="宋体"/>
          <w:bCs/>
          <w:color w:val="auto"/>
          <w:highlight w:val="none"/>
        </w:rPr>
        <w:t>实质上没有响应磋商文件要求的响应将被视为无效。供应商不得通过修正或撤消不合要求的偏离或保留从而使其响应文件成为实质上的响应，但经磋商认定属于供应商疏忽、笔误所造成的差错，应当允许其在磋商结束之前进行修改或者补正（可以是复印件、传真件等，原件必须加盖单位公章）。修改或者补正响应文件必须以书面形式进行，并应在成交结果公告之前查核原件。限期内不补正或经补正后仍不符合磋商文件要求的，应认定其响应文件无效。供应商修改、补正响应文件后，不影响磋商小组对其响应文件所作的评价和评分结果。</w:t>
      </w:r>
    </w:p>
    <w:p w14:paraId="27584877">
      <w:pPr>
        <w:pStyle w:val="8"/>
        <w:keepNext w:val="0"/>
        <w:keepLines w:val="0"/>
        <w:pageBreakBefore w:val="0"/>
        <w:widowControl w:val="0"/>
        <w:numPr>
          <w:ilvl w:val="0"/>
          <w:numId w:val="0"/>
        </w:numPr>
        <w:tabs>
          <w:tab w:val="left" w:pos="900"/>
          <w:tab w:val="clear" w:pos="360"/>
        </w:tabs>
        <w:kinsoku/>
        <w:wordWrap/>
        <w:overflowPunct/>
        <w:topLinePunct w:val="0"/>
        <w:autoSpaceDE/>
        <w:autoSpaceDN/>
        <w:bidi w:val="0"/>
        <w:snapToGrid w:val="0"/>
        <w:spacing w:afterLines="0" w:line="450" w:lineRule="exact"/>
        <w:ind w:firstLine="482" w:firstLineChars="200"/>
        <w:jc w:val="both"/>
        <w:textAlignment w:val="auto"/>
        <w:rPr>
          <w:rFonts w:hint="eastAsia" w:ascii="宋体" w:hAnsi="宋体" w:eastAsia="宋体" w:cs="宋体"/>
          <w:b/>
          <w:color w:val="auto"/>
          <w:highlight w:val="none"/>
        </w:rPr>
      </w:pPr>
      <w:r>
        <w:rPr>
          <w:rFonts w:hint="eastAsia" w:ascii="宋体" w:hAnsi="宋体" w:eastAsia="宋体" w:cs="宋体"/>
          <w:b/>
          <w:color w:val="auto"/>
          <w:highlight w:val="none"/>
          <w:lang w:val="en-US" w:eastAsia="zh-CN"/>
        </w:rPr>
        <w:t>3</w:t>
      </w:r>
      <w:r>
        <w:rPr>
          <w:rFonts w:hint="eastAsia" w:ascii="宋体" w:hAnsi="宋体" w:eastAsia="宋体" w:cs="宋体"/>
          <w:b/>
          <w:color w:val="auto"/>
          <w:highlight w:val="none"/>
        </w:rPr>
        <w:t>.未通过资格审查、商务技术文件符合性审查、技术评审、报价评审的响应文件均被视为无效，具体详见第四章评审办法第二条评审程序。</w:t>
      </w:r>
    </w:p>
    <w:p w14:paraId="050B1736">
      <w:pPr>
        <w:pStyle w:val="10"/>
        <w:keepNext w:val="0"/>
        <w:keepLines w:val="0"/>
        <w:pageBreakBefore w:val="0"/>
        <w:widowControl w:val="0"/>
        <w:kinsoku/>
        <w:wordWrap/>
        <w:overflowPunct/>
        <w:topLinePunct w:val="0"/>
        <w:autoSpaceDE/>
        <w:autoSpaceDN/>
        <w:bidi w:val="0"/>
        <w:snapToGrid w:val="0"/>
        <w:spacing w:line="450" w:lineRule="exact"/>
        <w:ind w:firstLine="472" w:firstLineChars="196"/>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4</w:t>
      </w:r>
      <w:r>
        <w:rPr>
          <w:rFonts w:hint="eastAsia" w:ascii="宋体" w:hAnsi="宋体" w:eastAsia="宋体" w:cs="宋体"/>
          <w:b/>
          <w:bCs/>
          <w:color w:val="auto"/>
          <w:highlight w:val="none"/>
        </w:rPr>
        <w:t>.被拒绝的响应文件为无效。</w:t>
      </w:r>
    </w:p>
    <w:p w14:paraId="0E758F31">
      <w:pPr>
        <w:pStyle w:val="7"/>
        <w:pageBreakBefore w:val="0"/>
        <w:widowControl w:val="0"/>
        <w:kinsoku/>
        <w:wordWrap/>
        <w:overflowPunct/>
        <w:topLinePunct w:val="0"/>
        <w:autoSpaceDE/>
        <w:autoSpaceDN/>
        <w:bidi w:val="0"/>
        <w:spacing w:before="0" w:after="0" w:line="450" w:lineRule="exact"/>
        <w:jc w:val="center"/>
        <w:textAlignment w:val="auto"/>
        <w:rPr>
          <w:rFonts w:hint="eastAsia" w:ascii="宋体" w:hAnsi="宋体" w:eastAsia="宋体" w:cs="宋体"/>
          <w:color w:val="auto"/>
          <w:highlight w:val="none"/>
        </w:rPr>
      </w:pPr>
      <w:bookmarkStart w:id="58" w:name="_Toc30756"/>
      <w:bookmarkStart w:id="59" w:name="_Toc5235"/>
      <w:r>
        <w:rPr>
          <w:rFonts w:hint="eastAsia" w:ascii="宋体" w:hAnsi="宋体" w:eastAsia="宋体" w:cs="宋体"/>
          <w:color w:val="auto"/>
          <w:highlight w:val="none"/>
        </w:rPr>
        <w:t>五、磋商前的准备</w:t>
      </w:r>
      <w:bookmarkEnd w:id="58"/>
      <w:bookmarkEnd w:id="59"/>
    </w:p>
    <w:p w14:paraId="2F37372B">
      <w:pPr>
        <w:pageBreakBefore w:val="0"/>
        <w:widowControl w:val="0"/>
        <w:kinsoku/>
        <w:wordWrap/>
        <w:overflowPunct/>
        <w:topLinePunct w:val="0"/>
        <w:autoSpaceDE/>
        <w:autoSpaceDN/>
        <w:bidi w:val="0"/>
        <w:spacing w:line="45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highlight w:val="none"/>
        </w:rPr>
        <w:t>（一）</w:t>
      </w:r>
      <w:r>
        <w:rPr>
          <w:rFonts w:hint="eastAsia" w:ascii="宋体" w:hAnsi="宋体" w:eastAsia="宋体" w:cs="宋体"/>
          <w:color w:val="auto"/>
          <w:sz w:val="24"/>
          <w:szCs w:val="24"/>
          <w:highlight w:val="none"/>
        </w:rPr>
        <w:t>采购代理机构将在规定的时间和地点启封磋商响应文件，供应商的法定代表人或其委托代理人应准时在线参加会议。</w:t>
      </w:r>
    </w:p>
    <w:p w14:paraId="16304E1F">
      <w:pPr>
        <w:pageBreakBefore w:val="0"/>
        <w:widowControl w:val="0"/>
        <w:kinsoku/>
        <w:wordWrap/>
        <w:overflowPunct/>
        <w:topLinePunct w:val="0"/>
        <w:autoSpaceDE/>
        <w:autoSpaceDN/>
        <w:bidi w:val="0"/>
        <w:spacing w:line="45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highlight w:val="none"/>
        </w:rPr>
        <w:t>（二）</w:t>
      </w:r>
      <w:r>
        <w:rPr>
          <w:rFonts w:hint="eastAsia" w:ascii="宋体" w:hAnsi="宋体" w:eastAsia="宋体" w:cs="宋体"/>
          <w:b/>
          <w:color w:val="auto"/>
          <w:sz w:val="24"/>
          <w:szCs w:val="24"/>
          <w:highlight w:val="none"/>
        </w:rPr>
        <w:t>准备工作程序：</w:t>
      </w:r>
    </w:p>
    <w:p w14:paraId="78E013FD">
      <w:pPr>
        <w:pageBreakBefore w:val="0"/>
        <w:widowControl w:val="0"/>
        <w:kinsoku/>
        <w:wordWrap/>
        <w:overflowPunct/>
        <w:topLinePunct w:val="0"/>
        <w:autoSpaceDE/>
        <w:autoSpaceDN/>
        <w:bidi w:val="0"/>
        <w:spacing w:line="45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1.开标的准备工作由采购组织机构负责落实；</w:t>
      </w:r>
    </w:p>
    <w:p w14:paraId="490DDB73">
      <w:pPr>
        <w:pageBreakBefore w:val="0"/>
        <w:widowControl w:val="0"/>
        <w:kinsoku/>
        <w:wordWrap/>
        <w:overflowPunct/>
        <w:topLinePunct w:val="0"/>
        <w:autoSpaceDE/>
        <w:autoSpaceDN/>
        <w:bidi w:val="0"/>
        <w:spacing w:line="45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组织机构将按照招标文件规定的时间通过“政府采购云平台”组织开标、开启响应文件，所有供应商均应当准时在线参加。供应商如不参加开标的，视同认可磋商结果，事后不得对采购相关人员、磋商过程和磋商结果提出异议，同时供应商因未在线参加磋商而导致响应文件无法按时解密等一切后果由供应商自己承担。</w:t>
      </w:r>
    </w:p>
    <w:p w14:paraId="7DAB9F15">
      <w:pPr>
        <w:pStyle w:val="7"/>
        <w:pageBreakBefore w:val="0"/>
        <w:widowControl w:val="0"/>
        <w:kinsoku/>
        <w:wordWrap/>
        <w:overflowPunct/>
        <w:topLinePunct w:val="0"/>
        <w:autoSpaceDE/>
        <w:autoSpaceDN/>
        <w:bidi w:val="0"/>
        <w:spacing w:before="0" w:after="0" w:line="450" w:lineRule="exact"/>
        <w:jc w:val="center"/>
        <w:textAlignment w:val="auto"/>
        <w:rPr>
          <w:rFonts w:hint="eastAsia" w:ascii="宋体" w:hAnsi="宋体" w:eastAsia="宋体" w:cs="宋体"/>
          <w:color w:val="auto"/>
          <w:highlight w:val="none"/>
        </w:rPr>
      </w:pPr>
      <w:bookmarkStart w:id="60" w:name="_Toc5580"/>
      <w:bookmarkStart w:id="61" w:name="_Toc13713"/>
      <w:r>
        <w:rPr>
          <w:rFonts w:hint="eastAsia" w:ascii="宋体" w:hAnsi="宋体" w:eastAsia="宋体" w:cs="宋体"/>
          <w:color w:val="auto"/>
          <w:highlight w:val="none"/>
        </w:rPr>
        <w:t>六、磋商程序</w:t>
      </w:r>
      <w:bookmarkEnd w:id="60"/>
      <w:bookmarkEnd w:id="61"/>
    </w:p>
    <w:p w14:paraId="6ADED991">
      <w:pPr>
        <w:pageBreakBefore w:val="0"/>
        <w:widowControl w:val="0"/>
        <w:kinsoku/>
        <w:wordWrap/>
        <w:overflowPunct/>
        <w:topLinePunct w:val="0"/>
        <w:autoSpaceDE/>
        <w:autoSpaceDN/>
        <w:bidi w:val="0"/>
        <w:spacing w:line="450" w:lineRule="exact"/>
        <w:ind w:firstLine="482" w:firstLineChars="200"/>
        <w:textAlignment w:val="auto"/>
        <w:rPr>
          <w:rFonts w:hint="eastAsia" w:ascii="宋体" w:hAnsi="宋体" w:eastAsia="宋体" w:cs="宋体"/>
          <w:b/>
          <w:color w:val="auto"/>
          <w:sz w:val="24"/>
          <w:szCs w:val="24"/>
          <w:highlight w:val="none"/>
        </w:rPr>
      </w:pPr>
      <w:bookmarkStart w:id="62" w:name="_Toc332724041"/>
      <w:bookmarkStart w:id="63" w:name="_Toc522609461"/>
      <w:r>
        <w:rPr>
          <w:rFonts w:hint="eastAsia" w:ascii="宋体" w:hAnsi="宋体" w:eastAsia="宋体" w:cs="宋体"/>
          <w:b/>
          <w:color w:val="auto"/>
          <w:sz w:val="24"/>
          <w:highlight w:val="none"/>
        </w:rPr>
        <w:t>（一）</w:t>
      </w:r>
      <w:r>
        <w:rPr>
          <w:rFonts w:hint="eastAsia" w:ascii="宋体" w:hAnsi="宋体" w:eastAsia="宋体" w:cs="宋体"/>
          <w:b/>
          <w:color w:val="auto"/>
          <w:sz w:val="24"/>
          <w:szCs w:val="24"/>
          <w:highlight w:val="none"/>
        </w:rPr>
        <w:t>磋商流程</w:t>
      </w:r>
    </w:p>
    <w:p w14:paraId="7D8F1FC7">
      <w:pPr>
        <w:pageBreakBefore w:val="0"/>
        <w:widowControl w:val="0"/>
        <w:kinsoku/>
        <w:wordWrap/>
        <w:overflowPunct/>
        <w:topLinePunct w:val="0"/>
        <w:autoSpaceDE/>
        <w:autoSpaceDN/>
        <w:bidi w:val="0"/>
        <w:spacing w:line="45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1.磋商小组讨论、通过磋商工作流程和磋商要点。</w:t>
      </w:r>
    </w:p>
    <w:p w14:paraId="2F5D64FB">
      <w:pPr>
        <w:pageBreakBefore w:val="0"/>
        <w:widowControl w:val="0"/>
        <w:kinsoku/>
        <w:wordWrap/>
        <w:overflowPunct/>
        <w:topLinePunct w:val="0"/>
        <w:autoSpaceDE/>
        <w:autoSpaceDN/>
        <w:bidi w:val="0"/>
        <w:spacing w:line="45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2.主持人宣布磋商的有关事项。</w:t>
      </w:r>
    </w:p>
    <w:p w14:paraId="0A59FDC1">
      <w:pPr>
        <w:pageBreakBefore w:val="0"/>
        <w:widowControl w:val="0"/>
        <w:kinsoku/>
        <w:wordWrap/>
        <w:overflowPunct/>
        <w:topLinePunct w:val="0"/>
        <w:autoSpaceDE/>
        <w:autoSpaceDN/>
        <w:bidi w:val="0"/>
        <w:spacing w:line="45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3.采购组织机构将按照招标文件规定的时间通过“政府采购云平台”组织开标、开启响应文件，所有供应商均应当准时在线参加。</w:t>
      </w:r>
    </w:p>
    <w:p w14:paraId="64D21E5E">
      <w:pPr>
        <w:pageBreakBefore w:val="0"/>
        <w:widowControl w:val="0"/>
        <w:kinsoku/>
        <w:wordWrap/>
        <w:overflowPunct/>
        <w:topLinePunct w:val="0"/>
        <w:autoSpaceDE/>
        <w:autoSpaceDN/>
        <w:bidi w:val="0"/>
        <w:spacing w:line="45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向各供应商发出电子加密响应文件【开始解密】通知，由供应商按磋商文件规定的时间内自行进行响应文件解密。供应商在规定的时间内无法完成已递交的“电子加密投标文件”解密的，如已按规定递交了备份响应文件的，将由采购组织机构按“政府采购云平台”操作规范将备份响应文件上传至“政府采购云平台”，上传成功后，“电子加密投标文件”自动失效。</w:t>
      </w:r>
    </w:p>
    <w:p w14:paraId="57B86AF3">
      <w:pPr>
        <w:pageBreakBefore w:val="0"/>
        <w:widowControl w:val="0"/>
        <w:kinsoku/>
        <w:wordWrap/>
        <w:overflowPunct/>
        <w:topLinePunct w:val="0"/>
        <w:autoSpaceDE/>
        <w:autoSpaceDN/>
        <w:bidi w:val="0"/>
        <w:spacing w:line="45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5.响应文件解密结束。</w:t>
      </w:r>
    </w:p>
    <w:p w14:paraId="43A6F2A8">
      <w:pPr>
        <w:pageBreakBefore w:val="0"/>
        <w:widowControl w:val="0"/>
        <w:kinsoku/>
        <w:wordWrap/>
        <w:overflowPunct/>
        <w:topLinePunct w:val="0"/>
        <w:autoSpaceDE/>
        <w:autoSpaceDN/>
        <w:bidi w:val="0"/>
        <w:spacing w:line="45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6.开启响应文件，进入资格审查。</w:t>
      </w:r>
    </w:p>
    <w:p w14:paraId="4A23FA63">
      <w:pPr>
        <w:pageBreakBefore w:val="0"/>
        <w:widowControl w:val="0"/>
        <w:kinsoku/>
        <w:wordWrap/>
        <w:overflowPunct/>
        <w:topLinePunct w:val="0"/>
        <w:autoSpaceDE/>
        <w:autoSpaceDN/>
        <w:bidi w:val="0"/>
        <w:spacing w:line="45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7.资格审查通过的供应商的商务技术文件进入商务及技术文件符合性审查、技术评审。</w:t>
      </w:r>
    </w:p>
    <w:p w14:paraId="5E1A4AB0">
      <w:pPr>
        <w:pageBreakBefore w:val="0"/>
        <w:widowControl w:val="0"/>
        <w:kinsoku/>
        <w:wordWrap/>
        <w:overflowPunct/>
        <w:topLinePunct w:val="0"/>
        <w:autoSpaceDE/>
        <w:autoSpaceDN/>
        <w:bidi w:val="0"/>
        <w:spacing w:line="45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8.商务及技术文件符合性审查、技术评审结束后。</w:t>
      </w:r>
    </w:p>
    <w:p w14:paraId="05E13ADD">
      <w:pPr>
        <w:pageBreakBefore w:val="0"/>
        <w:widowControl w:val="0"/>
        <w:kinsoku/>
        <w:wordWrap/>
        <w:overflowPunct/>
        <w:topLinePunct w:val="0"/>
        <w:autoSpaceDE/>
        <w:autoSpaceDN/>
        <w:bidi w:val="0"/>
        <w:spacing w:line="45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9.开启有效供应商的初次《报价文件》，由评标委员会对报价的合理性、准确性等进行审查核实。</w:t>
      </w:r>
    </w:p>
    <w:p w14:paraId="2D269FCF">
      <w:pPr>
        <w:pageBreakBefore w:val="0"/>
        <w:widowControl w:val="0"/>
        <w:kinsoku/>
        <w:wordWrap/>
        <w:overflowPunct/>
        <w:topLinePunct w:val="0"/>
        <w:autoSpaceDE/>
        <w:autoSpaceDN/>
        <w:bidi w:val="0"/>
        <w:spacing w:line="45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10.磋商小组通过电话等方式在线与各磋商响应方就公司情况、项目需求、服务内容、售后服务、价格构成、付款方式等要素分别进行磋商。逐家磋商</w:t>
      </w:r>
      <w:r>
        <w:rPr>
          <w:rFonts w:hint="eastAsia" w:ascii="宋体" w:hAnsi="宋体" w:eastAsia="宋体" w:cs="宋体"/>
          <w:color w:val="auto"/>
          <w:sz w:val="24"/>
          <w:szCs w:val="24"/>
          <w:highlight w:val="none"/>
          <w:lang w:val="en-US" w:eastAsia="zh-CN"/>
        </w:rPr>
        <w:t>壹</w:t>
      </w:r>
      <w:r>
        <w:rPr>
          <w:rFonts w:hint="eastAsia" w:ascii="宋体" w:hAnsi="宋体" w:eastAsia="宋体" w:cs="宋体"/>
          <w:color w:val="auto"/>
          <w:sz w:val="24"/>
          <w:szCs w:val="24"/>
          <w:highlight w:val="none"/>
        </w:rPr>
        <w:t>次为</w:t>
      </w:r>
      <w:r>
        <w:rPr>
          <w:rFonts w:hint="eastAsia" w:ascii="宋体" w:hAnsi="宋体" w:eastAsia="宋体" w:cs="宋体"/>
          <w:color w:val="auto"/>
          <w:sz w:val="24"/>
          <w:szCs w:val="24"/>
          <w:highlight w:val="none"/>
          <w:lang w:val="en-US" w:eastAsia="zh-CN"/>
        </w:rPr>
        <w:t>壹</w:t>
      </w:r>
      <w:r>
        <w:rPr>
          <w:rFonts w:hint="eastAsia" w:ascii="宋体" w:hAnsi="宋体" w:eastAsia="宋体" w:cs="宋体"/>
          <w:color w:val="auto"/>
          <w:sz w:val="24"/>
          <w:szCs w:val="24"/>
          <w:highlight w:val="none"/>
        </w:rPr>
        <w:t>个轮次，本磋商轮次为</w:t>
      </w:r>
      <w:r>
        <w:rPr>
          <w:rFonts w:hint="eastAsia" w:ascii="宋体" w:hAnsi="宋体" w:eastAsia="宋体" w:cs="宋体"/>
          <w:color w:val="auto"/>
          <w:sz w:val="24"/>
          <w:szCs w:val="24"/>
          <w:highlight w:val="none"/>
          <w:lang w:val="en-US" w:eastAsia="zh-CN"/>
        </w:rPr>
        <w:t>壹</w:t>
      </w:r>
      <w:r>
        <w:rPr>
          <w:rFonts w:hint="eastAsia" w:ascii="宋体" w:hAnsi="宋体" w:eastAsia="宋体" w:cs="宋体"/>
          <w:color w:val="auto"/>
          <w:sz w:val="24"/>
          <w:szCs w:val="24"/>
          <w:highlight w:val="none"/>
        </w:rPr>
        <w:t>轮。</w:t>
      </w:r>
    </w:p>
    <w:p w14:paraId="226E0250">
      <w:pPr>
        <w:pageBreakBefore w:val="0"/>
        <w:widowControl w:val="0"/>
        <w:kinsoku/>
        <w:wordWrap/>
        <w:overflowPunct/>
        <w:topLinePunct w:val="0"/>
        <w:autoSpaceDE/>
        <w:autoSpaceDN/>
        <w:bidi w:val="0"/>
        <w:spacing w:line="45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11.磋商结束后，主持人宣布本次最终报价的最高限价，并要求各磋商响应方在规定时间内进行在线最终报价并签章。在规定时间内没有提交最终报价的磋商供应商，其磋商响应文件视为无效。</w:t>
      </w:r>
    </w:p>
    <w:p w14:paraId="283C1443">
      <w:pPr>
        <w:pageBreakBefore w:val="0"/>
        <w:widowControl w:val="0"/>
        <w:kinsoku/>
        <w:wordWrap/>
        <w:overflowPunct/>
        <w:topLinePunct w:val="0"/>
        <w:autoSpaceDE/>
        <w:autoSpaceDN/>
        <w:bidi w:val="0"/>
        <w:spacing w:line="45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12.在各磋商响应方最终报价过程中，同时磋商小组根据评审方法及评分标准对各磋商响应方的资信技术情况进行评审打分。工作人员按照磋商小组独立评定结果进行算术平均值计算。</w:t>
      </w:r>
    </w:p>
    <w:p w14:paraId="102B0757">
      <w:pPr>
        <w:pageBreakBefore w:val="0"/>
        <w:widowControl w:val="0"/>
        <w:kinsoku/>
        <w:wordWrap/>
        <w:overflowPunct/>
        <w:topLinePunct w:val="0"/>
        <w:autoSpaceDE/>
        <w:autoSpaceDN/>
        <w:bidi w:val="0"/>
        <w:spacing w:line="45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13.主持人宣布磋商最终报价评审的有关事项。</w:t>
      </w:r>
    </w:p>
    <w:p w14:paraId="2B70B39B">
      <w:pPr>
        <w:pageBreakBefore w:val="0"/>
        <w:widowControl w:val="0"/>
        <w:kinsoku/>
        <w:wordWrap/>
        <w:overflowPunct/>
        <w:topLinePunct w:val="0"/>
        <w:autoSpaceDE/>
        <w:autoSpaceDN/>
        <w:bidi w:val="0"/>
        <w:spacing w:line="45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14.工作人员根据各磋商响应方提交的按规定进入价格评审的磋商最终报价，并公开宣读最终报价。</w:t>
      </w:r>
    </w:p>
    <w:p w14:paraId="4CD6C3FC">
      <w:pPr>
        <w:pageBreakBefore w:val="0"/>
        <w:widowControl w:val="0"/>
        <w:kinsoku/>
        <w:wordWrap/>
        <w:overflowPunct/>
        <w:topLinePunct w:val="0"/>
        <w:autoSpaceDE/>
        <w:autoSpaceDN/>
        <w:bidi w:val="0"/>
        <w:spacing w:line="45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磋商小组对最终报价的合理性进行审核，决定是否结束磋商。若报价合理，磋商小组则根据评审方法计算出总得分并推荐成交供应商。</w:t>
      </w:r>
    </w:p>
    <w:p w14:paraId="0BBE8BA4">
      <w:pPr>
        <w:pageBreakBefore w:val="0"/>
        <w:widowControl w:val="0"/>
        <w:kinsoku/>
        <w:wordWrap/>
        <w:overflowPunct/>
        <w:topLinePunct w:val="0"/>
        <w:autoSpaceDE/>
        <w:autoSpaceDN/>
        <w:bidi w:val="0"/>
        <w:spacing w:line="45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15.磋商结束后，主持人公布有效磋商响应方的总得分结果和推荐的成交候选供应商。</w:t>
      </w:r>
    </w:p>
    <w:p w14:paraId="0746FD08">
      <w:pPr>
        <w:pageBreakBefore w:val="0"/>
        <w:widowControl w:val="0"/>
        <w:kinsoku/>
        <w:wordWrap/>
        <w:overflowPunct/>
        <w:topLinePunct w:val="0"/>
        <w:autoSpaceDE/>
        <w:autoSpaceDN/>
        <w:bidi w:val="0"/>
        <w:spacing w:line="45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磋商原则：磋商小组必须公平、公正、客观，不带任何倾向性和启发性；不得向外界透露任何与磋商有关的内容；任何单位和个人不得干扰、影响磋商的正常进行；磋商小组及有关工作人员不得私下与磋商响应方接触。</w:t>
      </w:r>
    </w:p>
    <w:p w14:paraId="5F92942C">
      <w:pPr>
        <w:pageBreakBefore w:val="0"/>
        <w:widowControl w:val="0"/>
        <w:kinsoku/>
        <w:wordWrap/>
        <w:overflowPunct/>
        <w:topLinePunct w:val="0"/>
        <w:autoSpaceDE/>
        <w:autoSpaceDN/>
        <w:bidi w:val="0"/>
        <w:spacing w:line="45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rPr>
        <w:t>特别说明：如遇“政府采购云平台”电子化开标或评审程序调整的，按调整后程序执行。</w:t>
      </w:r>
    </w:p>
    <w:p w14:paraId="0A1CCA76">
      <w:pPr>
        <w:pageBreakBefore w:val="0"/>
        <w:widowControl w:val="0"/>
        <w:kinsoku/>
        <w:wordWrap/>
        <w:overflowPunct/>
        <w:topLinePunct w:val="0"/>
        <w:autoSpaceDE/>
        <w:autoSpaceDN/>
        <w:bidi w:val="0"/>
        <w:spacing w:line="450" w:lineRule="exact"/>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（二）响应文件的澄清</w:t>
      </w:r>
      <w:bookmarkEnd w:id="62"/>
      <w:bookmarkEnd w:id="63"/>
    </w:p>
    <w:p w14:paraId="6AED5F4F">
      <w:pPr>
        <w:pageBreakBefore w:val="0"/>
        <w:widowControl w:val="0"/>
        <w:kinsoku/>
        <w:wordWrap/>
        <w:overflowPunct/>
        <w:topLinePunct w:val="0"/>
        <w:autoSpaceDE/>
        <w:autoSpaceDN/>
        <w:bidi w:val="0"/>
        <w:spacing w:line="45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1.在磋商期间，磋商小组有权要求供应商对其响应文件含义不明确、同类问题表述不一致或者有明显文字和计算错误的内容进行澄清。供应商应派授权代表和技术服务人员按磋商小组通知的时间、方式接受询标。</w:t>
      </w:r>
    </w:p>
    <w:p w14:paraId="293D4FE4">
      <w:pPr>
        <w:pageBreakBefore w:val="0"/>
        <w:widowControl w:val="0"/>
        <w:kinsoku/>
        <w:wordWrap/>
        <w:overflowPunct/>
        <w:topLinePunct w:val="0"/>
        <w:autoSpaceDE/>
        <w:autoSpaceDN/>
        <w:bidi w:val="0"/>
        <w:spacing w:line="45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2.磋商小组认为有必要，可要求供应商对某些问题作出必要的澄清、说明和纠正。供应商的澄清、说明或者补正应当采用系统在线澄清、说明或者补正形式，由其授权的代表签字，</w:t>
      </w:r>
      <w:r>
        <w:rPr>
          <w:rFonts w:hint="eastAsia" w:ascii="宋体" w:hAnsi="宋体" w:eastAsia="宋体" w:cs="宋体"/>
          <w:color w:val="auto"/>
          <w:kern w:val="0"/>
          <w:sz w:val="24"/>
          <w:highlight w:val="none"/>
        </w:rPr>
        <w:t>并不得超出响应文件的范围或者改变响应文件的实质性内容</w:t>
      </w:r>
      <w:r>
        <w:rPr>
          <w:rFonts w:hint="eastAsia" w:ascii="宋体" w:hAnsi="宋体" w:eastAsia="宋体" w:cs="宋体"/>
          <w:color w:val="auto"/>
          <w:sz w:val="24"/>
          <w:highlight w:val="none"/>
        </w:rPr>
        <w:t>。供应商的书面澄清材料作为响应文件的补充。</w:t>
      </w:r>
    </w:p>
    <w:p w14:paraId="1F491DD1">
      <w:pPr>
        <w:pageBreakBefore w:val="0"/>
        <w:widowControl w:val="0"/>
        <w:kinsoku/>
        <w:wordWrap/>
        <w:overflowPunct/>
        <w:topLinePunct w:val="0"/>
        <w:autoSpaceDE/>
        <w:autoSpaceDN/>
        <w:bidi w:val="0"/>
        <w:spacing w:line="45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3.供应商不按磋商小组规定的时间作书面澄清，将视为放弃该权利。</w:t>
      </w:r>
    </w:p>
    <w:p w14:paraId="711822CA">
      <w:pPr>
        <w:pageBreakBefore w:val="0"/>
        <w:widowControl w:val="0"/>
        <w:kinsoku/>
        <w:wordWrap/>
        <w:overflowPunct/>
        <w:topLinePunct w:val="0"/>
        <w:autoSpaceDE/>
        <w:autoSpaceDN/>
        <w:bidi w:val="0"/>
        <w:spacing w:line="45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4.并非每个供应商都将被询标。</w:t>
      </w:r>
      <w:bookmarkStart w:id="64" w:name="_Toc522609462"/>
      <w:bookmarkStart w:id="65" w:name="_Toc332724042"/>
    </w:p>
    <w:p w14:paraId="47DD179C">
      <w:pPr>
        <w:pageBreakBefore w:val="0"/>
        <w:widowControl w:val="0"/>
        <w:kinsoku/>
        <w:wordWrap/>
        <w:overflowPunct/>
        <w:topLinePunct w:val="0"/>
        <w:autoSpaceDE/>
        <w:autoSpaceDN/>
        <w:bidi w:val="0"/>
        <w:spacing w:line="450" w:lineRule="exact"/>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（三）确定成交供应商</w:t>
      </w:r>
      <w:bookmarkEnd w:id="64"/>
      <w:bookmarkEnd w:id="65"/>
    </w:p>
    <w:p w14:paraId="6660B42E">
      <w:pPr>
        <w:pageBreakBefore w:val="0"/>
        <w:widowControl w:val="0"/>
        <w:kinsoku/>
        <w:wordWrap/>
        <w:overflowPunct/>
        <w:topLinePunct w:val="0"/>
        <w:autoSpaceDE/>
        <w:autoSpaceDN/>
        <w:bidi w:val="0"/>
        <w:spacing w:line="45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1.磋商小组将对通过资格性审查和符合性审查的响应文件进行评价和比较。</w:t>
      </w:r>
    </w:p>
    <w:p w14:paraId="6B1E1484">
      <w:pPr>
        <w:pageBreakBefore w:val="0"/>
        <w:widowControl w:val="0"/>
        <w:kinsoku/>
        <w:wordWrap/>
        <w:overflowPunct/>
        <w:topLinePunct w:val="0"/>
        <w:autoSpaceDE/>
        <w:autoSpaceDN/>
        <w:bidi w:val="0"/>
        <w:spacing w:line="45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2.磋商小组按磋商文件公布的评定成交标准对响应文件进行评审</w:t>
      </w:r>
      <w:bookmarkStart w:id="66" w:name="_Toc522609463"/>
      <w:bookmarkStart w:id="67" w:name="_Toc332724043"/>
      <w:r>
        <w:rPr>
          <w:rFonts w:hint="eastAsia" w:ascii="宋体" w:hAnsi="宋体" w:eastAsia="宋体" w:cs="宋体"/>
          <w:color w:val="auto"/>
          <w:sz w:val="24"/>
          <w:highlight w:val="none"/>
        </w:rPr>
        <w:t>，确定成交候选人。最低报价等任何单项因素的最优不能作为成交的保证。</w:t>
      </w:r>
    </w:p>
    <w:p w14:paraId="6F1B96B6">
      <w:pPr>
        <w:pageBreakBefore w:val="0"/>
        <w:widowControl w:val="0"/>
        <w:kinsoku/>
        <w:wordWrap/>
        <w:overflowPunct/>
        <w:topLinePunct w:val="0"/>
        <w:autoSpaceDE/>
        <w:autoSpaceDN/>
        <w:bidi w:val="0"/>
        <w:spacing w:line="450" w:lineRule="exact"/>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（四）磋商过程保密</w:t>
      </w:r>
      <w:bookmarkEnd w:id="66"/>
      <w:bookmarkEnd w:id="67"/>
    </w:p>
    <w:p w14:paraId="077A5E32">
      <w:pPr>
        <w:pageBreakBefore w:val="0"/>
        <w:widowControl w:val="0"/>
        <w:kinsoku/>
        <w:wordWrap/>
        <w:overflowPunct/>
        <w:topLinePunct w:val="0"/>
        <w:autoSpaceDE/>
        <w:autoSpaceDN/>
        <w:bidi w:val="0"/>
        <w:spacing w:line="45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1.在宣布成交结果之前，凡属于审查、澄清、评价、比较磋商文件等有关信息，相关当事人均不得泄露给任何磋商供应商或与磋商工作无关的人员。</w:t>
      </w:r>
    </w:p>
    <w:p w14:paraId="69D604CF">
      <w:pPr>
        <w:pageBreakBefore w:val="0"/>
        <w:widowControl w:val="0"/>
        <w:kinsoku/>
        <w:wordWrap/>
        <w:overflowPunct/>
        <w:topLinePunct w:val="0"/>
        <w:autoSpaceDE/>
        <w:autoSpaceDN/>
        <w:bidi w:val="0"/>
        <w:spacing w:line="45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2.供应商不得探听上述信息，不得以任何行为影响磋商过程，否则其响应文件将被作为无效响应文件。</w:t>
      </w:r>
    </w:p>
    <w:p w14:paraId="7EF38AE7">
      <w:pPr>
        <w:pageBreakBefore w:val="0"/>
        <w:widowControl w:val="0"/>
        <w:kinsoku/>
        <w:wordWrap/>
        <w:overflowPunct/>
        <w:topLinePunct w:val="0"/>
        <w:autoSpaceDE/>
        <w:autoSpaceDN/>
        <w:bidi w:val="0"/>
        <w:spacing w:line="45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3.在磋商期间，招标代理机构将有专门人员与供应商进行联络。</w:t>
      </w:r>
    </w:p>
    <w:p w14:paraId="3EDEB677">
      <w:pPr>
        <w:pageBreakBefore w:val="0"/>
        <w:widowControl w:val="0"/>
        <w:kinsoku/>
        <w:wordWrap/>
        <w:overflowPunct/>
        <w:topLinePunct w:val="0"/>
        <w:autoSpaceDE/>
        <w:autoSpaceDN/>
        <w:bidi w:val="0"/>
        <w:spacing w:line="45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4.招标代理机构和磋商小组不向未成交的供应商解释未成交原因，也不对磋商过程中的细节问题进行公布。</w:t>
      </w:r>
      <w:bookmarkStart w:id="68" w:name="_Toc332724044"/>
      <w:bookmarkStart w:id="69" w:name="_Toc522609464"/>
    </w:p>
    <w:p w14:paraId="12BB0616">
      <w:pPr>
        <w:pageBreakBefore w:val="0"/>
        <w:widowControl w:val="0"/>
        <w:kinsoku/>
        <w:wordWrap/>
        <w:overflowPunct/>
        <w:topLinePunct w:val="0"/>
        <w:autoSpaceDE/>
        <w:autoSpaceDN/>
        <w:bidi w:val="0"/>
        <w:spacing w:line="450" w:lineRule="exact"/>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（五）供应商不足三家的处理</w:t>
      </w:r>
      <w:bookmarkEnd w:id="68"/>
      <w:bookmarkEnd w:id="69"/>
    </w:p>
    <w:p w14:paraId="1C63DED6">
      <w:pPr>
        <w:pageBreakBefore w:val="0"/>
        <w:widowControl w:val="0"/>
        <w:kinsoku/>
        <w:wordWrap/>
        <w:overflowPunct/>
        <w:topLinePunct w:val="0"/>
        <w:autoSpaceDE/>
        <w:autoSpaceDN/>
        <w:bidi w:val="0"/>
        <w:spacing w:line="45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至磋商报价截止时间，各标项供应商不足3家以及在磋商期间出现符合专业条件的供应商或者对采购文件做出实质性响应的供应商不足3家的，按照《财政部关于政府采购竞争性磋商采购方式管理暂行办法有关问题的补充通知》（财库【2015】124号）办理。</w:t>
      </w:r>
    </w:p>
    <w:p w14:paraId="2C25EA32">
      <w:pPr>
        <w:pStyle w:val="7"/>
        <w:pageBreakBefore w:val="0"/>
        <w:widowControl w:val="0"/>
        <w:kinsoku/>
        <w:wordWrap/>
        <w:overflowPunct/>
        <w:topLinePunct w:val="0"/>
        <w:autoSpaceDE/>
        <w:autoSpaceDN/>
        <w:bidi w:val="0"/>
        <w:spacing w:before="0" w:after="0" w:line="450" w:lineRule="exact"/>
        <w:jc w:val="center"/>
        <w:textAlignment w:val="auto"/>
        <w:rPr>
          <w:rFonts w:hint="eastAsia" w:ascii="宋体" w:hAnsi="宋体" w:eastAsia="宋体" w:cs="宋体"/>
          <w:color w:val="auto"/>
          <w:highlight w:val="none"/>
        </w:rPr>
      </w:pPr>
      <w:bookmarkStart w:id="70" w:name="_Toc2461"/>
      <w:r>
        <w:rPr>
          <w:rFonts w:hint="eastAsia" w:ascii="宋体" w:hAnsi="宋体" w:eastAsia="宋体" w:cs="宋体"/>
          <w:color w:val="auto"/>
          <w:highlight w:val="none"/>
        </w:rPr>
        <w:t>七、评审</w:t>
      </w:r>
      <w:bookmarkEnd w:id="70"/>
    </w:p>
    <w:p w14:paraId="72B4D141">
      <w:pPr>
        <w:pageBreakBefore w:val="0"/>
        <w:widowControl w:val="0"/>
        <w:kinsoku/>
        <w:wordWrap/>
        <w:overflowPunct/>
        <w:topLinePunct w:val="0"/>
        <w:autoSpaceDE/>
        <w:autoSpaceDN/>
        <w:bidi w:val="0"/>
        <w:snapToGrid w:val="0"/>
        <w:spacing w:line="450" w:lineRule="exact"/>
        <w:ind w:firstLine="482" w:firstLineChars="200"/>
        <w:textAlignment w:val="auto"/>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（一）组建磋商小组</w:t>
      </w:r>
    </w:p>
    <w:p w14:paraId="3FD59598">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本项目磋商小组由政府采购评审专家2人、采购人代表1人，共3人组成。</w:t>
      </w:r>
    </w:p>
    <w:p w14:paraId="76F417A8">
      <w:pPr>
        <w:pageBreakBefore w:val="0"/>
        <w:widowControl w:val="0"/>
        <w:kinsoku/>
        <w:wordWrap/>
        <w:overflowPunct/>
        <w:topLinePunct w:val="0"/>
        <w:autoSpaceDE/>
        <w:autoSpaceDN/>
        <w:bidi w:val="0"/>
        <w:snapToGrid w:val="0"/>
        <w:spacing w:line="450" w:lineRule="exact"/>
        <w:ind w:firstLine="482" w:firstLineChars="200"/>
        <w:textAlignment w:val="auto"/>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（二）磋商的方式</w:t>
      </w:r>
    </w:p>
    <w:p w14:paraId="5C10F16B">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本项目采用</w:t>
      </w:r>
      <w:r>
        <w:rPr>
          <w:rFonts w:hint="eastAsia" w:ascii="宋体" w:hAnsi="宋体" w:eastAsia="宋体" w:cs="宋体"/>
          <w:color w:val="auto"/>
          <w:kern w:val="0"/>
          <w:sz w:val="24"/>
          <w:highlight w:val="none"/>
          <w:lang w:val="en-US" w:eastAsia="zh-CN"/>
        </w:rPr>
        <w:t>不</w:t>
      </w:r>
      <w:r>
        <w:rPr>
          <w:rFonts w:hint="eastAsia" w:ascii="宋体" w:hAnsi="宋体" w:eastAsia="宋体" w:cs="宋体"/>
          <w:color w:val="auto"/>
          <w:kern w:val="0"/>
          <w:sz w:val="24"/>
          <w:highlight w:val="none"/>
        </w:rPr>
        <w:t>公开方式</w:t>
      </w:r>
      <w:r>
        <w:rPr>
          <w:rFonts w:hint="eastAsia" w:ascii="宋体" w:hAnsi="宋体" w:eastAsia="宋体" w:cs="宋体"/>
          <w:b/>
          <w:bCs/>
          <w:color w:val="auto"/>
          <w:kern w:val="0"/>
          <w:sz w:val="24"/>
          <w:highlight w:val="none"/>
        </w:rPr>
        <w:t>磋商</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评标</w:t>
      </w:r>
      <w:r>
        <w:rPr>
          <w:rFonts w:hint="eastAsia" w:ascii="宋体" w:hAnsi="宋体" w:eastAsia="宋体" w:cs="宋体"/>
          <w:color w:val="auto"/>
          <w:kern w:val="0"/>
          <w:sz w:val="24"/>
          <w:highlight w:val="none"/>
        </w:rPr>
        <w:t>的依据为竞争性磋商文件和</w:t>
      </w:r>
      <w:r>
        <w:rPr>
          <w:rFonts w:hint="eastAsia" w:ascii="宋体" w:hAnsi="宋体" w:eastAsia="宋体" w:cs="宋体"/>
          <w:color w:val="auto"/>
          <w:kern w:val="0"/>
          <w:sz w:val="24"/>
          <w:highlight w:val="none"/>
          <w:lang w:val="en-US" w:eastAsia="zh-CN"/>
        </w:rPr>
        <w:t>磋商</w:t>
      </w:r>
      <w:r>
        <w:rPr>
          <w:rFonts w:hint="eastAsia" w:ascii="宋体" w:hAnsi="宋体" w:eastAsia="宋体" w:cs="宋体"/>
          <w:color w:val="auto"/>
          <w:kern w:val="0"/>
          <w:sz w:val="24"/>
          <w:highlight w:val="none"/>
        </w:rPr>
        <w:t>响应文件。</w:t>
      </w:r>
    </w:p>
    <w:p w14:paraId="060AD482">
      <w:pPr>
        <w:pageBreakBefore w:val="0"/>
        <w:widowControl w:val="0"/>
        <w:kinsoku/>
        <w:wordWrap/>
        <w:overflowPunct/>
        <w:topLinePunct w:val="0"/>
        <w:autoSpaceDE/>
        <w:autoSpaceDN/>
        <w:bidi w:val="0"/>
        <w:snapToGrid w:val="0"/>
        <w:spacing w:line="450" w:lineRule="exact"/>
        <w:ind w:firstLine="482" w:firstLineChars="200"/>
        <w:textAlignment w:val="auto"/>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（三）磋商程序</w:t>
      </w:r>
    </w:p>
    <w:p w14:paraId="5085EC62">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1.形式审查</w:t>
      </w:r>
    </w:p>
    <w:p w14:paraId="2B9945FF">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磋商小组对磋商供应商的资格和响应文件的完整性、合法性等进行审查。</w:t>
      </w:r>
    </w:p>
    <w:p w14:paraId="61AC16DC">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2.实质审查与比较</w:t>
      </w:r>
    </w:p>
    <w:p w14:paraId="30A8271E">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2.1磋商小组审查响应文件的实质性内容是否符合磋商文件的实质性要求。</w:t>
      </w:r>
    </w:p>
    <w:p w14:paraId="4A1ACA97">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2.2磋商小组将根据磋商供应商的响应文件进行审查、核对,如有疑问,将对磋商供应商进行询标,磋商供应商要向磋商小组澄清有关问题,并最终以书面形式进行答复。</w:t>
      </w:r>
    </w:p>
    <w:p w14:paraId="28789EB3">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询标时，磋商供应商代表未到场或者拒绝澄清或者澄清的内容改变了响应文件的实质性内容的，磋商小组有权对该响应文件作出不利于磋商供应商的评判。</w:t>
      </w:r>
    </w:p>
    <w:p w14:paraId="08EDBCA5">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2.3各磋商供应商的商务及技术分按照磋商小组成员的独立评分汇总后的算术平均分计算。</w:t>
      </w:r>
    </w:p>
    <w:p w14:paraId="2B5B4EB3">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2.4代理公司工作人员协助磋商小组根据本项目的评分标准操作政府采购业务系统，由系统计算各磋商供应商的商务报价得分。</w:t>
      </w:r>
    </w:p>
    <w:p w14:paraId="0C8955D7">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2.5磋商小组完成评审后,评委对各部分得分汇总,计算出本项目最终得分、性价比、评标价等。磋商小组按评审原则推荐成交候选人同时起草评审报告。</w:t>
      </w:r>
    </w:p>
    <w:p w14:paraId="1655F3EC">
      <w:pPr>
        <w:pageBreakBefore w:val="0"/>
        <w:widowControl w:val="0"/>
        <w:kinsoku/>
        <w:wordWrap/>
        <w:overflowPunct/>
        <w:topLinePunct w:val="0"/>
        <w:autoSpaceDE/>
        <w:autoSpaceDN/>
        <w:bidi w:val="0"/>
        <w:snapToGrid w:val="0"/>
        <w:spacing w:line="450" w:lineRule="exact"/>
        <w:ind w:firstLine="482" w:firstLineChars="200"/>
        <w:textAlignment w:val="auto"/>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（四）澄清问题的形式</w:t>
      </w:r>
    </w:p>
    <w:p w14:paraId="456DF5BD">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对磋商响应文件中含义不明确、同类问题表述不一致或者有明显文字和计算错误的内容，评标委员会可要求供应商作出必要的澄清、说明或者纠正。</w:t>
      </w:r>
    </w:p>
    <w:p w14:paraId="0070E4CC">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评标委员会可以在“政采云”平台在线询标要求供应商对同一份磋商响应文件含义不明确或同类问题表述不一致的内容（招标文件其它地方有规定处理方法的除外）作必要的澄清或说明。供应商应</w:t>
      </w:r>
      <w:r>
        <w:rPr>
          <w:rFonts w:hint="eastAsia" w:ascii="宋体" w:hAnsi="宋体" w:eastAsia="宋体" w:cs="宋体"/>
          <w:color w:val="auto"/>
          <w:kern w:val="0"/>
          <w:sz w:val="24"/>
          <w:highlight w:val="none"/>
          <w:lang w:val="en-US" w:eastAsia="zh-CN"/>
        </w:rPr>
        <w:t>在</w:t>
      </w:r>
      <w:r>
        <w:rPr>
          <w:rFonts w:hint="eastAsia" w:ascii="宋体" w:hAnsi="宋体" w:eastAsia="宋体" w:cs="宋体"/>
          <w:color w:val="auto"/>
          <w:kern w:val="0"/>
          <w:sz w:val="24"/>
          <w:highlight w:val="none"/>
        </w:rPr>
        <w:t>规定时间内在线进行澄清或说明，但不得超出磋商响应文件的范围或改变磋商响应文件的实质性内容。凡属于评标委员会在评标中发现的计算错误并进行核实的修改不在此列。</w:t>
      </w:r>
    </w:p>
    <w:p w14:paraId="79F7B9AE">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如果供应商代表拒绝或未按评标委员会要求</w:t>
      </w:r>
      <w:r>
        <w:rPr>
          <w:rFonts w:hint="eastAsia" w:ascii="宋体" w:hAnsi="宋体" w:eastAsia="宋体" w:cs="宋体"/>
          <w:color w:val="auto"/>
          <w:kern w:val="0"/>
          <w:sz w:val="24"/>
          <w:highlight w:val="none"/>
          <w:lang w:val="en-US" w:eastAsia="zh-CN"/>
        </w:rPr>
        <w:t>的规定时间内在</w:t>
      </w:r>
      <w:r>
        <w:rPr>
          <w:rFonts w:hint="eastAsia" w:ascii="宋体" w:hAnsi="宋体" w:eastAsia="宋体" w:cs="宋体"/>
          <w:color w:val="auto"/>
          <w:kern w:val="0"/>
          <w:sz w:val="24"/>
          <w:highlight w:val="none"/>
        </w:rPr>
        <w:t>“政采云”平台作出在线回复的，评标委员会可以对其作出无效标处理。</w:t>
      </w:r>
    </w:p>
    <w:p w14:paraId="0A1B827C">
      <w:pPr>
        <w:pageBreakBefore w:val="0"/>
        <w:widowControl w:val="0"/>
        <w:kinsoku/>
        <w:wordWrap/>
        <w:overflowPunct/>
        <w:topLinePunct w:val="0"/>
        <w:autoSpaceDE/>
        <w:autoSpaceDN/>
        <w:bidi w:val="0"/>
        <w:snapToGrid w:val="0"/>
        <w:spacing w:line="450" w:lineRule="exact"/>
        <w:ind w:firstLine="482" w:firstLineChars="200"/>
        <w:textAlignment w:val="auto"/>
        <w:rPr>
          <w:rFonts w:hint="eastAsia" w:ascii="宋体" w:hAnsi="宋体" w:eastAsia="宋体" w:cs="宋体"/>
          <w:b/>
          <w:bCs/>
          <w:color w:val="auto"/>
          <w:kern w:val="0"/>
          <w:sz w:val="24"/>
          <w:highlight w:val="none"/>
          <w:lang w:eastAsia="zh-CN"/>
        </w:rPr>
      </w:pPr>
      <w:r>
        <w:rPr>
          <w:rFonts w:hint="eastAsia" w:ascii="宋体" w:hAnsi="宋体" w:eastAsia="宋体" w:cs="宋体"/>
          <w:b/>
          <w:bCs/>
          <w:color w:val="auto"/>
          <w:kern w:val="0"/>
          <w:sz w:val="24"/>
          <w:highlight w:val="none"/>
        </w:rPr>
        <w:t>（</w:t>
      </w:r>
      <w:r>
        <w:rPr>
          <w:rFonts w:hint="eastAsia" w:ascii="宋体" w:hAnsi="宋体" w:eastAsia="宋体" w:cs="宋体"/>
          <w:b/>
          <w:bCs/>
          <w:color w:val="auto"/>
          <w:kern w:val="0"/>
          <w:sz w:val="24"/>
          <w:highlight w:val="none"/>
          <w:lang w:val="en-US" w:eastAsia="zh-CN"/>
        </w:rPr>
        <w:t>五</w:t>
      </w:r>
      <w:r>
        <w:rPr>
          <w:rFonts w:hint="eastAsia" w:ascii="宋体" w:hAnsi="宋体" w:eastAsia="宋体" w:cs="宋体"/>
          <w:b/>
          <w:bCs/>
          <w:color w:val="auto"/>
          <w:kern w:val="0"/>
          <w:sz w:val="24"/>
          <w:highlight w:val="none"/>
        </w:rPr>
        <w:t>）错误修正</w:t>
      </w:r>
    </w:p>
    <w:p w14:paraId="6DB48681">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响应文件如果出现计算或表达上的错误，修正错误的原则如下：</w:t>
      </w:r>
    </w:p>
    <w:p w14:paraId="04E6A080">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1.投标文件中的大写金额与小写金额不一致的，以大写金额为准；</w:t>
      </w:r>
    </w:p>
    <w:p w14:paraId="53312870">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2.总价金额与依据单价计算出的结果不一致的，以单价金额为准修正总价，但单价金额小数点有明显错误的除外；</w:t>
      </w:r>
    </w:p>
    <w:p w14:paraId="771C17A0">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3.当单价与数量相乘不等于合价时，以单价计算为准，如果单价有明显的小数点位置差错，应以标出的合价为准，同时对单价予以修正；</w:t>
      </w:r>
    </w:p>
    <w:p w14:paraId="52795A3A">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4.当各子目的合价累积不等于总价时，应以各子目合价累积计数为准，修正总价。</w:t>
      </w:r>
    </w:p>
    <w:p w14:paraId="650A1BE0">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5.在招标人给定的工程量清单中漏报了某个工程子目的单价、合价或总额价，则漏报的工程子目单价、合价和总额价或单价、合价和总额价中减少的报价内容视为已含入其他工程子目的单价、合价和总额价之中。</w:t>
      </w:r>
    </w:p>
    <w:p w14:paraId="65C7D750">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6.在招标人给定的工程量清单中多报了某个工程子目的单价、合价或总额价，则从投标报价中扣除多报的工程子目报价或工程子目报价中增加了报价范围的部分报价。</w:t>
      </w:r>
    </w:p>
    <w:p w14:paraId="54A6A88F">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7.修正后的最终投标报价若超过</w:t>
      </w:r>
      <w:r>
        <w:rPr>
          <w:rFonts w:hint="eastAsia" w:ascii="宋体" w:hAnsi="宋体" w:eastAsia="宋体" w:cs="宋体"/>
          <w:color w:val="auto"/>
          <w:kern w:val="0"/>
          <w:sz w:val="24"/>
          <w:highlight w:val="none"/>
          <w:lang w:val="en-US" w:eastAsia="zh-CN"/>
        </w:rPr>
        <w:t>最高投标限价，</w:t>
      </w:r>
      <w:r>
        <w:rPr>
          <w:rFonts w:hint="eastAsia" w:ascii="宋体" w:hAnsi="宋体" w:eastAsia="宋体" w:cs="宋体"/>
          <w:color w:val="auto"/>
          <w:kern w:val="0"/>
          <w:sz w:val="24"/>
          <w:highlight w:val="none"/>
        </w:rPr>
        <w:t>投标人的投标文件作废标处理。</w:t>
      </w:r>
    </w:p>
    <w:p w14:paraId="10CDCC20">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按上述修正错误的原则及方法调整或修正响应文件的报价，评审小组应当通过电子交易平台要求供应商对修正后的报价予以确认并对供应商产生约束力，如果磋商供应商不接受修正后的报价或在规定的时间内不予确认的，则其响应将作为无效响应处理。</w:t>
      </w:r>
    </w:p>
    <w:p w14:paraId="7C7A2433">
      <w:pPr>
        <w:pageBreakBefore w:val="0"/>
        <w:widowControl w:val="0"/>
        <w:kinsoku/>
        <w:wordWrap/>
        <w:overflowPunct/>
        <w:topLinePunct w:val="0"/>
        <w:autoSpaceDE/>
        <w:autoSpaceDN/>
        <w:bidi w:val="0"/>
        <w:snapToGrid w:val="0"/>
        <w:spacing w:line="450" w:lineRule="exact"/>
        <w:ind w:firstLine="482" w:firstLineChars="200"/>
        <w:textAlignment w:val="auto"/>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w:t>
      </w:r>
      <w:r>
        <w:rPr>
          <w:rFonts w:hint="eastAsia" w:ascii="宋体" w:hAnsi="宋体" w:eastAsia="宋体" w:cs="宋体"/>
          <w:b/>
          <w:bCs/>
          <w:color w:val="auto"/>
          <w:kern w:val="0"/>
          <w:sz w:val="24"/>
          <w:highlight w:val="none"/>
          <w:lang w:val="en-US" w:eastAsia="zh-CN"/>
        </w:rPr>
        <w:t>六</w:t>
      </w:r>
      <w:r>
        <w:rPr>
          <w:rFonts w:hint="eastAsia" w:ascii="宋体" w:hAnsi="宋体" w:eastAsia="宋体" w:cs="宋体"/>
          <w:b/>
          <w:bCs/>
          <w:color w:val="auto"/>
          <w:kern w:val="0"/>
          <w:sz w:val="24"/>
          <w:highlight w:val="none"/>
        </w:rPr>
        <w:t>）评审原则和评审办法</w:t>
      </w:r>
    </w:p>
    <w:p w14:paraId="7C293BCC">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评审原则。磋商小组必须公平、公正、客观，不带任何倾向性和启发性；不得向外界透露任何与评审有关的内容；任何单位和个人不得干扰、影响评审的正常进行；磋商小组及有关工作人员不得私下与磋商供应商接触。</w:t>
      </w:r>
    </w:p>
    <w:p w14:paraId="720B97EC">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2.评审办法。本项目评审办法是综合评分法，具体评审内容及评分标准等详见《第四章：评审办法及评分标准》。</w:t>
      </w:r>
    </w:p>
    <w:p w14:paraId="5C96C446">
      <w:pPr>
        <w:pageBreakBefore w:val="0"/>
        <w:widowControl w:val="0"/>
        <w:kinsoku/>
        <w:wordWrap/>
        <w:overflowPunct/>
        <w:topLinePunct w:val="0"/>
        <w:autoSpaceDE/>
        <w:autoSpaceDN/>
        <w:bidi w:val="0"/>
        <w:snapToGrid w:val="0"/>
        <w:spacing w:line="450" w:lineRule="exact"/>
        <w:ind w:firstLine="482" w:firstLineChars="200"/>
        <w:textAlignment w:val="auto"/>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w:t>
      </w:r>
      <w:r>
        <w:rPr>
          <w:rFonts w:hint="eastAsia" w:ascii="宋体" w:hAnsi="宋体" w:eastAsia="宋体" w:cs="宋体"/>
          <w:b/>
          <w:bCs/>
          <w:color w:val="auto"/>
          <w:kern w:val="0"/>
          <w:sz w:val="24"/>
          <w:highlight w:val="none"/>
          <w:lang w:val="en-US" w:eastAsia="zh-CN"/>
        </w:rPr>
        <w:t>七</w:t>
      </w:r>
      <w:r>
        <w:rPr>
          <w:rFonts w:hint="eastAsia" w:ascii="宋体" w:hAnsi="宋体" w:eastAsia="宋体" w:cs="宋体"/>
          <w:b/>
          <w:bCs/>
          <w:color w:val="auto"/>
          <w:kern w:val="0"/>
          <w:sz w:val="24"/>
          <w:highlight w:val="none"/>
        </w:rPr>
        <w:t>）磋商过程的监控</w:t>
      </w:r>
    </w:p>
    <w:p w14:paraId="2313F2D6">
      <w:pPr>
        <w:bidi w:val="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highlight w:val="none"/>
        </w:rPr>
        <w:t>本项目磋商过程实行全程录音、录像监控，并由相关监督管理部门进行现场监督。供</w:t>
      </w:r>
      <w:r>
        <w:rPr>
          <w:rFonts w:hint="eastAsia" w:ascii="宋体" w:hAnsi="宋体" w:eastAsia="宋体" w:cs="宋体"/>
          <w:color w:val="auto"/>
          <w:kern w:val="0"/>
          <w:sz w:val="24"/>
          <w:szCs w:val="24"/>
          <w:highlight w:val="none"/>
        </w:rPr>
        <w:t>应商在评审过程中所进行的试图影响评审结果的不公正活动，可能导致其响应被拒绝。</w:t>
      </w:r>
    </w:p>
    <w:p w14:paraId="2D872FA6">
      <w:pPr>
        <w:pStyle w:val="7"/>
        <w:pageBreakBefore w:val="0"/>
        <w:widowControl w:val="0"/>
        <w:kinsoku/>
        <w:wordWrap/>
        <w:overflowPunct/>
        <w:topLinePunct w:val="0"/>
        <w:autoSpaceDE/>
        <w:autoSpaceDN/>
        <w:bidi w:val="0"/>
        <w:spacing w:before="0" w:after="0" w:line="450" w:lineRule="exact"/>
        <w:jc w:val="center"/>
        <w:textAlignment w:val="auto"/>
        <w:rPr>
          <w:rFonts w:hint="eastAsia" w:ascii="宋体" w:hAnsi="宋体" w:eastAsia="宋体" w:cs="宋体"/>
          <w:color w:val="auto"/>
          <w:highlight w:val="none"/>
        </w:rPr>
      </w:pPr>
      <w:bookmarkStart w:id="71" w:name="_Toc27113"/>
      <w:bookmarkStart w:id="72" w:name="_Toc15789"/>
      <w:r>
        <w:rPr>
          <w:rFonts w:hint="eastAsia" w:ascii="宋体" w:hAnsi="宋体" w:eastAsia="宋体" w:cs="宋体"/>
          <w:color w:val="auto"/>
          <w:highlight w:val="none"/>
        </w:rPr>
        <w:t>八、磋商结果的确定</w:t>
      </w:r>
      <w:bookmarkEnd w:id="71"/>
      <w:bookmarkEnd w:id="72"/>
    </w:p>
    <w:p w14:paraId="69A818D0">
      <w:pPr>
        <w:keepNext w:val="0"/>
        <w:keepLines w:val="0"/>
        <w:pageBreakBefore w:val="0"/>
        <w:widowControl w:val="0"/>
        <w:kinsoku/>
        <w:wordWrap/>
        <w:overflowPunct/>
        <w:topLinePunct w:val="0"/>
        <w:autoSpaceDE/>
        <w:autoSpaceDN/>
        <w:bidi w:val="0"/>
        <w:adjustRightInd/>
        <w:spacing w:line="450" w:lineRule="exact"/>
        <w:ind w:firstLine="482" w:firstLineChars="200"/>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（一）磋商结果确定</w:t>
      </w:r>
    </w:p>
    <w:p w14:paraId="59969981">
      <w:pPr>
        <w:keepNext w:val="0"/>
        <w:keepLines w:val="0"/>
        <w:pageBreakBefore w:val="0"/>
        <w:widowControl w:val="0"/>
        <w:kinsoku/>
        <w:wordWrap/>
        <w:overflowPunct/>
        <w:topLinePunct w:val="0"/>
        <w:autoSpaceDE/>
        <w:autoSpaceDN/>
        <w:bidi w:val="0"/>
        <w:adjustRightInd/>
        <w:snapToGrid w:val="0"/>
        <w:spacing w:line="45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1.采购单位事先授权磋商小组直接确定成交供应商，磋商小组可直接确定成交供应商。</w:t>
      </w:r>
    </w:p>
    <w:p w14:paraId="088D1DEB">
      <w:pPr>
        <w:keepNext w:val="0"/>
        <w:keepLines w:val="0"/>
        <w:pageBreakBefore w:val="0"/>
        <w:widowControl w:val="0"/>
        <w:kinsoku/>
        <w:wordWrap/>
        <w:overflowPunct/>
        <w:topLinePunct w:val="0"/>
        <w:autoSpaceDE/>
        <w:autoSpaceDN/>
        <w:bidi w:val="0"/>
        <w:adjustRightInd/>
        <w:snapToGrid w:val="0"/>
        <w:spacing w:line="45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2.没有事先授权的，采购代理机构在磋商结束后2个工作日内将磋商结果交采购人确认。采购人应在收到后5个工作日内对磋商结果进行确认。</w:t>
      </w:r>
    </w:p>
    <w:p w14:paraId="65CC0FCB">
      <w:pPr>
        <w:keepNext w:val="0"/>
        <w:keepLines w:val="0"/>
        <w:pageBreakBefore w:val="0"/>
        <w:widowControl w:val="0"/>
        <w:kinsoku/>
        <w:wordWrap/>
        <w:overflowPunct/>
        <w:topLinePunct w:val="0"/>
        <w:autoSpaceDE/>
        <w:autoSpaceDN/>
        <w:bidi w:val="0"/>
        <w:adjustRightInd/>
        <w:snapToGrid w:val="0"/>
        <w:spacing w:line="45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（二）成交公告：成交公告期限为1个工作日。</w:t>
      </w:r>
    </w:p>
    <w:p w14:paraId="0524B300">
      <w:pPr>
        <w:keepNext w:val="0"/>
        <w:keepLines w:val="0"/>
        <w:pageBreakBefore w:val="0"/>
        <w:widowControl w:val="0"/>
        <w:kinsoku/>
        <w:wordWrap/>
        <w:overflowPunct/>
        <w:topLinePunct w:val="0"/>
        <w:autoSpaceDE/>
        <w:autoSpaceDN/>
        <w:bidi w:val="0"/>
        <w:adjustRightInd/>
        <w:snapToGrid w:val="0"/>
        <w:spacing w:line="45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b w:val="0"/>
          <w:bCs w:val="0"/>
          <w:color w:val="auto"/>
          <w:kern w:val="0"/>
          <w:sz w:val="24"/>
          <w:szCs w:val="24"/>
          <w:highlight w:val="none"/>
        </w:rPr>
        <w:t>（</w:t>
      </w:r>
      <w:r>
        <w:rPr>
          <w:rFonts w:hint="eastAsia" w:ascii="宋体" w:hAnsi="宋体" w:eastAsia="宋体" w:cs="宋体"/>
          <w:b w:val="0"/>
          <w:bCs w:val="0"/>
          <w:color w:val="auto"/>
          <w:kern w:val="0"/>
          <w:sz w:val="24"/>
          <w:szCs w:val="24"/>
          <w:highlight w:val="none"/>
          <w:lang w:val="en-US" w:eastAsia="zh-CN"/>
        </w:rPr>
        <w:t>三</w:t>
      </w:r>
      <w:r>
        <w:rPr>
          <w:rFonts w:hint="eastAsia" w:ascii="宋体" w:hAnsi="宋体" w:eastAsia="宋体" w:cs="宋体"/>
          <w:b w:val="0"/>
          <w:bCs w:val="0"/>
          <w:color w:val="auto"/>
          <w:kern w:val="0"/>
          <w:sz w:val="24"/>
          <w:szCs w:val="24"/>
          <w:highlight w:val="none"/>
        </w:rPr>
        <w:t>）在公告成交结果</w:t>
      </w:r>
      <w:r>
        <w:rPr>
          <w:rFonts w:hint="eastAsia" w:ascii="宋体" w:hAnsi="宋体" w:eastAsia="宋体" w:cs="宋体"/>
          <w:color w:val="auto"/>
          <w:kern w:val="0"/>
          <w:sz w:val="24"/>
          <w:szCs w:val="24"/>
          <w:highlight w:val="none"/>
        </w:rPr>
        <w:t>的同时，代理机构向成交供应商发出成交通知书。</w:t>
      </w:r>
    </w:p>
    <w:p w14:paraId="04F13CAF">
      <w:pPr>
        <w:pStyle w:val="7"/>
        <w:pageBreakBefore w:val="0"/>
        <w:widowControl w:val="0"/>
        <w:kinsoku/>
        <w:wordWrap/>
        <w:overflowPunct/>
        <w:topLinePunct w:val="0"/>
        <w:autoSpaceDE/>
        <w:autoSpaceDN/>
        <w:bidi w:val="0"/>
        <w:spacing w:before="0" w:after="0" w:line="450" w:lineRule="exact"/>
        <w:jc w:val="center"/>
        <w:textAlignment w:val="auto"/>
        <w:rPr>
          <w:rFonts w:hint="eastAsia" w:ascii="宋体" w:hAnsi="宋体" w:eastAsia="宋体" w:cs="宋体"/>
          <w:color w:val="auto"/>
          <w:highlight w:val="none"/>
        </w:rPr>
      </w:pPr>
    </w:p>
    <w:p w14:paraId="5DB3DE82">
      <w:pPr>
        <w:pStyle w:val="7"/>
        <w:pageBreakBefore w:val="0"/>
        <w:widowControl w:val="0"/>
        <w:kinsoku/>
        <w:wordWrap/>
        <w:overflowPunct/>
        <w:topLinePunct w:val="0"/>
        <w:autoSpaceDE/>
        <w:autoSpaceDN/>
        <w:bidi w:val="0"/>
        <w:spacing w:before="0" w:after="0" w:line="450" w:lineRule="exact"/>
        <w:jc w:val="center"/>
        <w:textAlignment w:val="auto"/>
        <w:rPr>
          <w:rFonts w:hint="eastAsia" w:ascii="宋体" w:hAnsi="宋体" w:eastAsia="宋体" w:cs="宋体"/>
          <w:color w:val="auto"/>
          <w:highlight w:val="none"/>
        </w:rPr>
      </w:pPr>
      <w:bookmarkStart w:id="73" w:name="_Toc2403"/>
      <w:bookmarkStart w:id="74" w:name="_Toc20813"/>
      <w:r>
        <w:rPr>
          <w:rFonts w:hint="eastAsia" w:ascii="宋体" w:hAnsi="宋体" w:eastAsia="宋体" w:cs="宋体"/>
          <w:color w:val="auto"/>
          <w:highlight w:val="none"/>
        </w:rPr>
        <w:t>九、合同授予</w:t>
      </w:r>
      <w:bookmarkEnd w:id="73"/>
      <w:bookmarkEnd w:id="74"/>
    </w:p>
    <w:p w14:paraId="09B3AA2F">
      <w:pPr>
        <w:pStyle w:val="12"/>
        <w:keepNext w:val="0"/>
        <w:keepLines w:val="0"/>
        <w:pageBreakBefore w:val="0"/>
        <w:widowControl w:val="0"/>
        <w:kinsoku/>
        <w:wordWrap/>
        <w:overflowPunct/>
        <w:topLinePunct w:val="0"/>
        <w:autoSpaceDE/>
        <w:autoSpaceDN/>
        <w:bidi w:val="0"/>
        <w:adjustRightInd/>
        <w:snapToGrid w:val="0"/>
        <w:spacing w:beforeLines="0" w:afterLines="0" w:line="450" w:lineRule="exact"/>
        <w:ind w:firstLine="562" w:firstLineChars="200"/>
        <w:jc w:val="left"/>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（一）签订合同</w:t>
      </w:r>
    </w:p>
    <w:p w14:paraId="371DBF4F">
      <w:pPr>
        <w:keepNext w:val="0"/>
        <w:keepLines w:val="0"/>
        <w:pageBreakBefore w:val="0"/>
        <w:widowControl w:val="0"/>
        <w:kinsoku/>
        <w:wordWrap/>
        <w:overflowPunct/>
        <w:topLinePunct w:val="0"/>
        <w:autoSpaceDE/>
        <w:autoSpaceDN/>
        <w:bidi w:val="0"/>
        <w:adjustRightInd/>
        <w:snapToGrid w:val="0"/>
        <w:spacing w:line="45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1．成交供应商</w:t>
      </w:r>
      <w:r>
        <w:rPr>
          <w:rFonts w:hint="eastAsia" w:ascii="宋体" w:hAnsi="宋体" w:eastAsia="宋体" w:cs="宋体"/>
          <w:color w:val="auto"/>
          <w:sz w:val="24"/>
          <w:szCs w:val="24"/>
          <w:highlight w:val="none"/>
        </w:rPr>
        <w:t>应自接到成交通知书后</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30</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天内与采购人签订合同。同时，采购代理机构对合同内容进行审查，如发现与采购结果和磋商响应承诺内容不一致的，应予以纠正。</w:t>
      </w:r>
    </w:p>
    <w:p w14:paraId="17011BC2">
      <w:pPr>
        <w:keepNext w:val="0"/>
        <w:keepLines w:val="0"/>
        <w:pageBreakBefore w:val="0"/>
        <w:widowControl w:val="0"/>
        <w:kinsoku/>
        <w:wordWrap/>
        <w:overflowPunct/>
        <w:topLinePunct w:val="0"/>
        <w:autoSpaceDE/>
        <w:autoSpaceDN/>
        <w:bidi w:val="0"/>
        <w:adjustRightInd/>
        <w:snapToGrid w:val="0"/>
        <w:spacing w:line="45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2．成交供应商拖延、拒签合同的，将被取消成交资格。</w:t>
      </w:r>
    </w:p>
    <w:p w14:paraId="00C6C1AC">
      <w:pPr>
        <w:pStyle w:val="12"/>
        <w:keepNext w:val="0"/>
        <w:keepLines w:val="0"/>
        <w:pageBreakBefore w:val="0"/>
        <w:widowControl w:val="0"/>
        <w:kinsoku/>
        <w:wordWrap/>
        <w:overflowPunct/>
        <w:topLinePunct w:val="0"/>
        <w:autoSpaceDE/>
        <w:autoSpaceDN/>
        <w:bidi w:val="0"/>
        <w:adjustRightInd/>
        <w:snapToGrid w:val="0"/>
        <w:spacing w:beforeLines="0" w:afterLines="0" w:line="450" w:lineRule="exact"/>
        <w:ind w:firstLine="562" w:firstLineChars="200"/>
        <w:jc w:val="left"/>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（二）履约保证金</w:t>
      </w:r>
    </w:p>
    <w:p w14:paraId="45E5B022">
      <w:pPr>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项目实施前</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向采购人交纳合同金额的</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%作为履约保证金，履约保证金在项目</w:t>
      </w:r>
      <w:r>
        <w:rPr>
          <w:rFonts w:hint="eastAsia" w:ascii="宋体" w:hAnsi="宋体" w:eastAsia="宋体" w:cs="宋体"/>
          <w:color w:val="auto"/>
          <w:sz w:val="24"/>
          <w:szCs w:val="24"/>
          <w:highlight w:val="none"/>
          <w:lang w:val="en-US" w:eastAsia="zh-CN"/>
        </w:rPr>
        <w:t>竣工</w:t>
      </w:r>
      <w:r>
        <w:rPr>
          <w:rFonts w:hint="eastAsia" w:ascii="宋体" w:hAnsi="宋体" w:eastAsia="宋体" w:cs="宋体"/>
          <w:color w:val="auto"/>
          <w:sz w:val="24"/>
          <w:szCs w:val="24"/>
          <w:highlight w:val="none"/>
        </w:rPr>
        <w:t>验收合格后</w:t>
      </w:r>
      <w:r>
        <w:rPr>
          <w:rFonts w:hint="eastAsia" w:ascii="宋体" w:hAnsi="宋体" w:eastAsia="宋体" w:cs="宋体"/>
          <w:color w:val="auto"/>
          <w:sz w:val="24"/>
          <w:szCs w:val="24"/>
          <w:highlight w:val="none"/>
          <w:lang w:val="en-US" w:eastAsia="zh-CN"/>
        </w:rPr>
        <w:t>10日</w:t>
      </w:r>
      <w:r>
        <w:rPr>
          <w:rFonts w:hint="eastAsia" w:ascii="宋体" w:hAnsi="宋体" w:eastAsia="宋体" w:cs="宋体"/>
          <w:color w:val="auto"/>
          <w:sz w:val="24"/>
          <w:szCs w:val="24"/>
          <w:highlight w:val="none"/>
        </w:rPr>
        <w:t>内无息退还。供应商应当</w:t>
      </w:r>
      <w:r>
        <w:rPr>
          <w:rFonts w:hint="eastAsia" w:ascii="宋体" w:hAnsi="宋体" w:eastAsia="宋体" w:cs="宋体"/>
          <w:color w:val="auto"/>
          <w:sz w:val="24"/>
          <w:szCs w:val="24"/>
          <w:highlight w:val="none"/>
          <w:lang w:val="en-US" w:eastAsia="zh-CN"/>
        </w:rPr>
        <w:t>以</w:t>
      </w:r>
      <w:r>
        <w:rPr>
          <w:rFonts w:hint="eastAsia" w:ascii="宋体" w:hAnsi="宋体" w:eastAsia="宋体" w:cs="宋体"/>
          <w:color w:val="auto"/>
          <w:kern w:val="0"/>
          <w:sz w:val="24"/>
          <w:highlight w:val="none"/>
        </w:rPr>
        <w:t>汇款/转账</w:t>
      </w:r>
      <w:r>
        <w:rPr>
          <w:rFonts w:hint="eastAsia" w:ascii="宋体" w:hAnsi="宋体" w:eastAsia="宋体" w:cs="宋体"/>
          <w:color w:val="auto"/>
          <w:kern w:val="0"/>
          <w:sz w:val="24"/>
          <w:highlight w:val="none"/>
          <w:lang w:val="en-US" w:eastAsia="zh-CN"/>
        </w:rPr>
        <w:t>/</w:t>
      </w:r>
      <w:r>
        <w:rPr>
          <w:rFonts w:hint="eastAsia" w:ascii="宋体" w:hAnsi="宋体" w:eastAsia="宋体" w:cs="宋体"/>
          <w:color w:val="auto"/>
          <w:kern w:val="0"/>
          <w:sz w:val="24"/>
          <w:highlight w:val="none"/>
        </w:rPr>
        <w:t>银行保函</w:t>
      </w:r>
      <w:r>
        <w:rPr>
          <w:rFonts w:hint="eastAsia" w:ascii="宋体" w:hAnsi="宋体" w:eastAsia="宋体" w:cs="宋体"/>
          <w:color w:val="auto"/>
          <w:kern w:val="0"/>
          <w:sz w:val="24"/>
          <w:highlight w:val="none"/>
          <w:lang w:val="en-US" w:eastAsia="zh-CN"/>
        </w:rPr>
        <w:t>/</w:t>
      </w:r>
      <w:r>
        <w:rPr>
          <w:rFonts w:hint="eastAsia" w:ascii="宋体" w:hAnsi="宋体" w:eastAsia="宋体" w:cs="宋体"/>
          <w:color w:val="auto"/>
          <w:kern w:val="0"/>
          <w:sz w:val="24"/>
          <w:highlight w:val="none"/>
        </w:rPr>
        <w:t>保险机构保证保险保单</w:t>
      </w:r>
      <w:r>
        <w:rPr>
          <w:rFonts w:hint="eastAsia" w:ascii="宋体" w:hAnsi="宋体" w:eastAsia="宋体" w:cs="宋体"/>
          <w:color w:val="auto"/>
          <w:kern w:val="0"/>
          <w:sz w:val="24"/>
          <w:highlight w:val="none"/>
          <w:lang w:val="en-US" w:eastAsia="zh-CN"/>
        </w:rPr>
        <w:t>/</w:t>
      </w:r>
      <w:r>
        <w:rPr>
          <w:rFonts w:hint="eastAsia" w:ascii="宋体" w:hAnsi="宋体" w:eastAsia="宋体" w:cs="宋体"/>
          <w:color w:val="auto"/>
          <w:kern w:val="0"/>
          <w:sz w:val="24"/>
          <w:highlight w:val="none"/>
        </w:rPr>
        <w:t>融资担保公司保函等非现金形式</w:t>
      </w:r>
      <w:r>
        <w:rPr>
          <w:rFonts w:hint="eastAsia" w:ascii="宋体" w:hAnsi="宋体" w:eastAsia="宋体" w:cs="宋体"/>
          <w:color w:val="auto"/>
          <w:sz w:val="24"/>
          <w:szCs w:val="24"/>
          <w:highlight w:val="none"/>
        </w:rPr>
        <w:t>提交。</w:t>
      </w:r>
    </w:p>
    <w:p w14:paraId="256309CE">
      <w:pPr>
        <w:ind w:firstLine="480" w:firstLineChars="200"/>
        <w:rPr>
          <w:rFonts w:hint="eastAsia" w:ascii="宋体" w:hAnsi="宋体" w:eastAsia="宋体" w:cs="宋体"/>
          <w:color w:val="auto"/>
          <w:highlight w:val="none"/>
          <w:lang w:eastAsia="zh-CN"/>
        </w:rPr>
      </w:pPr>
      <w:r>
        <w:rPr>
          <w:rFonts w:hint="eastAsia" w:ascii="宋体" w:hAnsi="宋体" w:cs="宋体"/>
          <w:color w:val="auto"/>
          <w:sz w:val="24"/>
          <w:szCs w:val="24"/>
          <w:highlight w:val="none"/>
        </w:rPr>
        <w:t>2．签订合同后，如中标人不按双方签订合同约定履约，则没收其全部履约保证金，履约保证金不足以赔偿损失的，按实际损失赔偿。</w:t>
      </w:r>
      <w:r>
        <w:rPr>
          <w:rFonts w:hint="eastAsia" w:ascii="宋体" w:hAnsi="宋体" w:eastAsia="宋体" w:cs="宋体"/>
          <w:color w:val="auto"/>
          <w:highlight w:val="none"/>
          <w:lang w:eastAsia="zh-CN"/>
        </w:rPr>
        <w:br w:type="page"/>
      </w:r>
    </w:p>
    <w:p w14:paraId="6102A0A3">
      <w:pPr>
        <w:pStyle w:val="23"/>
        <w:rPr>
          <w:rFonts w:hint="eastAsia" w:ascii="宋体" w:hAnsi="宋体" w:eastAsia="宋体" w:cs="宋体"/>
          <w:color w:val="auto"/>
          <w:sz w:val="36"/>
          <w:szCs w:val="36"/>
          <w:highlight w:val="none"/>
        </w:rPr>
      </w:pPr>
      <w:bookmarkStart w:id="75" w:name="_Toc1454"/>
      <w:bookmarkStart w:id="76" w:name="_Toc20224"/>
      <w:r>
        <w:rPr>
          <w:rFonts w:hint="eastAsia" w:ascii="宋体" w:hAnsi="宋体" w:eastAsia="宋体" w:cs="宋体"/>
          <w:color w:val="auto"/>
          <w:sz w:val="36"/>
          <w:szCs w:val="36"/>
          <w:highlight w:val="none"/>
        </w:rPr>
        <w:t>第</w:t>
      </w:r>
      <w:r>
        <w:rPr>
          <w:rFonts w:hint="eastAsia" w:ascii="宋体" w:hAnsi="宋体" w:eastAsia="宋体" w:cs="宋体"/>
          <w:color w:val="auto"/>
          <w:sz w:val="36"/>
          <w:szCs w:val="36"/>
          <w:highlight w:val="none"/>
          <w:lang w:val="en-US" w:eastAsia="zh-CN"/>
        </w:rPr>
        <w:t>四</w:t>
      </w:r>
      <w:r>
        <w:rPr>
          <w:rFonts w:hint="eastAsia" w:ascii="宋体" w:hAnsi="宋体" w:eastAsia="宋体" w:cs="宋体"/>
          <w:color w:val="auto"/>
          <w:sz w:val="36"/>
          <w:szCs w:val="36"/>
          <w:highlight w:val="none"/>
        </w:rPr>
        <w:t>章  评审办法</w:t>
      </w:r>
      <w:bookmarkEnd w:id="75"/>
      <w:bookmarkEnd w:id="76"/>
    </w:p>
    <w:p w14:paraId="2DCA4E5F">
      <w:pPr>
        <w:pStyle w:val="12"/>
        <w:spacing w:beforeLines="0" w:afterLines="0" w:line="300" w:lineRule="auto"/>
        <w:ind w:firstLine="148" w:firstLineChars="49"/>
        <w:jc w:val="center"/>
        <w:rPr>
          <w:rFonts w:hint="eastAsia" w:ascii="宋体" w:hAnsi="宋体" w:eastAsia="宋体" w:cs="宋体"/>
          <w:b/>
          <w:bCs/>
          <w:color w:val="auto"/>
          <w:sz w:val="30"/>
          <w:szCs w:val="30"/>
          <w:highlight w:val="none"/>
        </w:rPr>
      </w:pPr>
      <w:r>
        <w:rPr>
          <w:rFonts w:hint="eastAsia" w:hAnsi="宋体" w:cs="宋体"/>
          <w:b/>
          <w:bCs/>
          <w:color w:val="auto"/>
          <w:sz w:val="30"/>
          <w:szCs w:val="30"/>
          <w:highlight w:val="none"/>
          <w:lang w:val="en-US" w:eastAsia="zh-CN"/>
        </w:rPr>
        <w:t>嘉善县天凝中学2025年度校舍常规维修</w:t>
      </w:r>
      <w:r>
        <w:rPr>
          <w:rFonts w:hint="eastAsia" w:ascii="宋体" w:hAnsi="宋体" w:eastAsia="宋体" w:cs="宋体"/>
          <w:b/>
          <w:bCs/>
          <w:color w:val="auto"/>
          <w:sz w:val="30"/>
          <w:szCs w:val="30"/>
          <w:highlight w:val="none"/>
        </w:rPr>
        <w:t>评审办法</w:t>
      </w:r>
    </w:p>
    <w:p w14:paraId="47C782CC">
      <w:pPr>
        <w:keepNext w:val="0"/>
        <w:keepLines w:val="0"/>
        <w:pageBreakBefore w:val="0"/>
        <w:widowControl w:val="0"/>
        <w:kinsoku/>
        <w:wordWrap/>
        <w:overflowPunct/>
        <w:topLinePunct w:val="0"/>
        <w:autoSpaceDE/>
        <w:autoSpaceDN/>
        <w:bidi w:val="0"/>
        <w:adjustRightInd/>
        <w:spacing w:line="400" w:lineRule="exact"/>
        <w:ind w:firstLine="464"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4"/>
          <w:sz w:val="24"/>
          <w:highlight w:val="none"/>
        </w:rPr>
        <w:t>为公正、公平、科学地选择成交供应商，根据《中华人民共和国政府采购法》、《中华人民共和国政府采购法实施条例》、《政府采购竞争性磋商采购方式管理暂行办法》、《浙江省政府采购活动现场组织管理办法》等规定等有关法律法规的规定，并结合本项目的实际，制定本办法。</w:t>
      </w:r>
      <w:r>
        <w:rPr>
          <w:rFonts w:hint="eastAsia" w:ascii="宋体" w:hAnsi="宋体" w:eastAsia="宋体" w:cs="宋体"/>
          <w:color w:val="auto"/>
          <w:sz w:val="24"/>
          <w:szCs w:val="24"/>
          <w:highlight w:val="none"/>
        </w:rPr>
        <w:t>本办法适用于</w:t>
      </w:r>
      <w:r>
        <w:rPr>
          <w:rFonts w:hint="eastAsia" w:ascii="宋体" w:hAnsi="宋体" w:cs="宋体"/>
          <w:color w:val="auto"/>
          <w:sz w:val="24"/>
          <w:szCs w:val="24"/>
          <w:highlight w:val="none"/>
          <w:lang w:val="en-US" w:eastAsia="zh-CN"/>
        </w:rPr>
        <w:t>嘉善县天凝中学2025年度校舍常规维修</w:t>
      </w:r>
      <w:r>
        <w:rPr>
          <w:rFonts w:hint="eastAsia" w:ascii="宋体" w:hAnsi="宋体" w:eastAsia="宋体" w:cs="宋体"/>
          <w:color w:val="auto"/>
          <w:sz w:val="24"/>
          <w:szCs w:val="24"/>
          <w:highlight w:val="none"/>
        </w:rPr>
        <w:t>项目。</w:t>
      </w:r>
    </w:p>
    <w:p w14:paraId="07B774B5">
      <w:pPr>
        <w:pStyle w:val="14"/>
        <w:keepNext w:val="0"/>
        <w:keepLines w:val="0"/>
        <w:pageBreakBefore w:val="0"/>
        <w:widowControl w:val="0"/>
        <w:kinsoku/>
        <w:wordWrap/>
        <w:overflowPunct/>
        <w:topLinePunct w:val="0"/>
        <w:autoSpaceDE/>
        <w:autoSpaceDN/>
        <w:bidi w:val="0"/>
        <w:adjustRightInd/>
        <w:spacing w:line="400" w:lineRule="exact"/>
        <w:ind w:firstLine="562"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一、总则</w:t>
      </w:r>
    </w:p>
    <w:p w14:paraId="1C7361E6">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本次评审采用综合评分法，总分为100分，其中价格分</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分、</w:t>
      </w:r>
      <w:r>
        <w:rPr>
          <w:rFonts w:hint="eastAsia" w:ascii="宋体" w:hAnsi="宋体" w:cs="宋体"/>
          <w:color w:val="auto"/>
          <w:sz w:val="24"/>
          <w:szCs w:val="24"/>
          <w:highlight w:val="none"/>
        </w:rPr>
        <w:t>商务技术</w:t>
      </w:r>
      <w:r>
        <w:rPr>
          <w:rFonts w:hint="eastAsia" w:ascii="宋体" w:hAnsi="宋体" w:eastAsia="宋体" w:cs="宋体"/>
          <w:color w:val="auto"/>
          <w:sz w:val="24"/>
          <w:szCs w:val="24"/>
          <w:highlight w:val="none"/>
        </w:rPr>
        <w:t>分</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分。合格供应商的评审得分为各项目汇总得分，成交候选供应商资格按评审总分由高到低顺序排列，评审总分相同的，按照最后报价由低到高的顺序推荐，评审总分且最后报价相同的，按照技术指标优劣顺序推荐。综合得分排名第一的供应商为第一成交候选供应商，综合得分排名第二的供应商为第二成交候选供应商，其他供应商的成交候选资格依此类推</w:t>
      </w:r>
      <w:r>
        <w:rPr>
          <w:rFonts w:hint="eastAsia" w:ascii="宋体" w:hAnsi="宋体" w:eastAsia="宋体" w:cs="宋体"/>
          <w:b/>
          <w:bCs/>
          <w:color w:val="auto"/>
          <w:sz w:val="24"/>
          <w:szCs w:val="24"/>
          <w:highlight w:val="none"/>
        </w:rPr>
        <w:t>。</w:t>
      </w:r>
      <w:r>
        <w:rPr>
          <w:rFonts w:hint="eastAsia" w:ascii="宋体" w:hAnsi="宋体" w:eastAsia="宋体" w:cs="宋体"/>
          <w:color w:val="auto"/>
          <w:sz w:val="24"/>
          <w:szCs w:val="24"/>
          <w:highlight w:val="none"/>
        </w:rPr>
        <w:t>评分过程中采用四舍五入法，并保留小数2位。</w:t>
      </w:r>
    </w:p>
    <w:p w14:paraId="764E33F6">
      <w:pPr>
        <w:pStyle w:val="14"/>
        <w:keepNext w:val="0"/>
        <w:keepLines w:val="0"/>
        <w:pageBreakBefore w:val="0"/>
        <w:widowControl w:val="0"/>
        <w:kinsoku/>
        <w:wordWrap/>
        <w:overflowPunct/>
        <w:topLinePunct w:val="0"/>
        <w:autoSpaceDE/>
        <w:autoSpaceDN/>
        <w:bidi w:val="0"/>
        <w:adjustRightInd/>
        <w:spacing w:line="400" w:lineRule="exact"/>
        <w:ind w:firstLine="562"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二、评审程序</w:t>
      </w:r>
    </w:p>
    <w:p w14:paraId="7E19E209">
      <w:pPr>
        <w:keepNext w:val="0"/>
        <w:keepLines w:val="0"/>
        <w:pageBreakBefore w:val="0"/>
        <w:widowControl w:val="0"/>
        <w:kinsoku/>
        <w:wordWrap/>
        <w:overflowPunct/>
        <w:topLinePunct w:val="0"/>
        <w:autoSpaceDE/>
        <w:autoSpaceDN/>
        <w:bidi w:val="0"/>
        <w:adjustRightInd/>
        <w:snapToGrid w:val="0"/>
        <w:spacing w:line="400" w:lineRule="exact"/>
        <w:ind w:firstLine="482" w:firstLineChars="200"/>
        <w:textAlignment w:val="auto"/>
        <w:rPr>
          <w:rFonts w:hint="eastAsia" w:ascii="宋体" w:hAnsi="宋体" w:cs="宋体"/>
          <w:b/>
          <w:color w:val="auto"/>
          <w:sz w:val="24"/>
          <w:highlight w:val="none"/>
        </w:rPr>
      </w:pPr>
      <w:r>
        <w:rPr>
          <w:rFonts w:hint="eastAsia" w:ascii="宋体" w:hAnsi="宋体" w:cs="宋体"/>
          <w:b/>
          <w:color w:val="auto"/>
          <w:sz w:val="24"/>
          <w:highlight w:val="none"/>
        </w:rPr>
        <w:t>（一）对供应商的资格进行审查。资格证明材料不全的，或者不符合磋商文件标明的资格要求的，响应文件将被视为无效。</w:t>
      </w:r>
    </w:p>
    <w:p w14:paraId="63F2B817">
      <w:pPr>
        <w:keepNext w:val="0"/>
        <w:keepLines w:val="0"/>
        <w:pageBreakBefore w:val="0"/>
        <w:widowControl w:val="0"/>
        <w:kinsoku/>
        <w:wordWrap/>
        <w:overflowPunct/>
        <w:topLinePunct w:val="0"/>
        <w:autoSpaceDE/>
        <w:autoSpaceDN/>
        <w:bidi w:val="0"/>
        <w:adjustRightInd/>
        <w:snapToGrid w:val="0"/>
        <w:spacing w:line="400" w:lineRule="exact"/>
        <w:ind w:firstLine="482" w:firstLineChars="200"/>
        <w:textAlignment w:val="auto"/>
        <w:rPr>
          <w:rFonts w:hint="eastAsia" w:ascii="宋体" w:hAnsi="宋体" w:cs="宋体"/>
          <w:b/>
          <w:color w:val="auto"/>
          <w:sz w:val="24"/>
          <w:highlight w:val="none"/>
        </w:rPr>
      </w:pPr>
      <w:r>
        <w:rPr>
          <w:rFonts w:hint="eastAsia" w:ascii="宋体" w:hAnsi="宋体" w:cs="宋体"/>
          <w:b/>
          <w:color w:val="auto"/>
          <w:sz w:val="24"/>
          <w:highlight w:val="none"/>
        </w:rPr>
        <w:t>（二）磋商小组对</w:t>
      </w:r>
      <w:r>
        <w:rPr>
          <w:rFonts w:hint="eastAsia" w:ascii="宋体" w:hAnsi="宋体" w:cs="宋体"/>
          <w:b/>
          <w:bCs/>
          <w:color w:val="auto"/>
          <w:sz w:val="24"/>
          <w:szCs w:val="24"/>
          <w:highlight w:val="none"/>
        </w:rPr>
        <w:t>商务</w:t>
      </w:r>
      <w:r>
        <w:rPr>
          <w:rFonts w:hint="eastAsia" w:ascii="宋体" w:hAnsi="宋体" w:cs="宋体"/>
          <w:b/>
          <w:color w:val="auto"/>
          <w:sz w:val="24"/>
          <w:highlight w:val="none"/>
        </w:rPr>
        <w:t>技术文件进行符合性审查、技术评审，对报价文件进行报价评审。</w:t>
      </w:r>
    </w:p>
    <w:p w14:paraId="642B2B8A">
      <w:pPr>
        <w:keepNext w:val="0"/>
        <w:keepLines w:val="0"/>
        <w:pageBreakBefore w:val="0"/>
        <w:widowControl w:val="0"/>
        <w:kinsoku/>
        <w:wordWrap/>
        <w:overflowPunct/>
        <w:topLinePunct w:val="0"/>
        <w:autoSpaceDE/>
        <w:autoSpaceDN/>
        <w:bidi w:val="0"/>
        <w:adjustRightInd/>
        <w:snapToGrid w:val="0"/>
        <w:spacing w:line="400" w:lineRule="exact"/>
        <w:ind w:firstLine="472" w:firstLineChars="196"/>
        <w:textAlignment w:val="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1.在商务技术文件符合性审查时，如发现下列情形之一的，响应文件将被视为无效：</w:t>
      </w:r>
    </w:p>
    <w:p w14:paraId="375F8B3C">
      <w:pPr>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eastAsia" w:ascii="宋体" w:hAnsi="宋体" w:cs="宋体"/>
          <w:color w:val="auto"/>
          <w:sz w:val="24"/>
          <w:highlight w:val="none"/>
        </w:rPr>
      </w:pPr>
      <w:r>
        <w:rPr>
          <w:rFonts w:hint="eastAsia" w:ascii="宋体" w:hAnsi="宋体" w:cs="宋体"/>
          <w:color w:val="auto"/>
          <w:sz w:val="24"/>
          <w:highlight w:val="none"/>
        </w:rPr>
        <w:t>（1）电子投标文件未按规定要求提供电子签章的；</w:t>
      </w:r>
    </w:p>
    <w:p w14:paraId="0153B3C5">
      <w:pPr>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bCs/>
          <w:color w:val="auto"/>
          <w:sz w:val="24"/>
          <w:highlight w:val="none"/>
        </w:rPr>
        <w:t>在商务及技术文件中出现报价的；</w:t>
      </w:r>
    </w:p>
    <w:p w14:paraId="331CDD9C">
      <w:pPr>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eastAsia" w:ascii="宋体" w:hAnsi="宋体" w:cs="宋体"/>
          <w:bCs/>
          <w:color w:val="auto"/>
          <w:kern w:val="0"/>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rPr>
        <w:t>商务及技术文件法定代表人或授权代表</w:t>
      </w:r>
      <w:r>
        <w:rPr>
          <w:rFonts w:hint="eastAsia" w:ascii="宋体" w:hAnsi="宋体" w:cs="宋体"/>
          <w:b w:val="0"/>
          <w:bCs w:val="0"/>
          <w:color w:val="auto"/>
          <w:sz w:val="24"/>
          <w:highlight w:val="none"/>
          <w:lang w:val="en-US" w:eastAsia="zh-CN"/>
        </w:rPr>
        <w:t>未按规定</w:t>
      </w:r>
      <w:r>
        <w:rPr>
          <w:rFonts w:hint="eastAsia" w:ascii="宋体" w:hAnsi="宋体" w:cs="宋体"/>
          <w:color w:val="auto"/>
          <w:sz w:val="24"/>
          <w:highlight w:val="none"/>
          <w:lang w:val="en-US" w:eastAsia="zh-CN"/>
        </w:rPr>
        <w:t>进行</w:t>
      </w:r>
      <w:r>
        <w:rPr>
          <w:rFonts w:hint="eastAsia" w:ascii="宋体" w:hAnsi="宋体" w:cs="宋体"/>
          <w:color w:val="auto"/>
          <w:sz w:val="24"/>
          <w:highlight w:val="none"/>
        </w:rPr>
        <w:t>签字（或盖章），</w:t>
      </w:r>
      <w:r>
        <w:rPr>
          <w:rFonts w:hint="eastAsia" w:ascii="宋体" w:hAnsi="宋体" w:cs="宋体"/>
          <w:color w:val="auto"/>
          <w:sz w:val="24"/>
          <w:highlight w:val="none"/>
        </w:rPr>
        <w:t>或未</w:t>
      </w:r>
      <w:r>
        <w:rPr>
          <w:rFonts w:hint="eastAsia" w:ascii="宋体" w:hAnsi="宋体" w:cs="宋体"/>
          <w:bCs/>
          <w:color w:val="auto"/>
          <w:kern w:val="0"/>
          <w:sz w:val="24"/>
          <w:highlight w:val="none"/>
        </w:rPr>
        <w:t>提供法定代表人授权委托书、磋商声明书或者填写项目不齐全的；</w:t>
      </w:r>
    </w:p>
    <w:p w14:paraId="6A251FBF">
      <w:pPr>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eastAsia" w:ascii="宋体" w:hAnsi="宋体" w:cs="宋体"/>
          <w:color w:val="auto"/>
          <w:sz w:val="24"/>
          <w:highlight w:val="none"/>
        </w:rPr>
      </w:pPr>
      <w:r>
        <w:rPr>
          <w:rFonts w:hint="eastAsia" w:ascii="宋体" w:hAnsi="宋体" w:cs="宋体"/>
          <w:color w:val="auto"/>
          <w:sz w:val="24"/>
          <w:highlight w:val="none"/>
        </w:rPr>
        <w:t>（4）供应商代表未能出具身份证明或与法定代表人授权委托人身份不符的；</w:t>
      </w:r>
    </w:p>
    <w:p w14:paraId="69A5469F">
      <w:pPr>
        <w:pStyle w:val="10"/>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eastAsia" w:ascii="宋体" w:hAnsi="宋体" w:cs="宋体"/>
          <w:color w:val="auto"/>
          <w:kern w:val="2"/>
          <w:szCs w:val="28"/>
          <w:highlight w:val="none"/>
        </w:rPr>
      </w:pPr>
      <w:r>
        <w:rPr>
          <w:rFonts w:hint="eastAsia" w:ascii="宋体" w:hAnsi="宋体" w:cs="宋体"/>
          <w:color w:val="auto"/>
          <w:kern w:val="2"/>
          <w:szCs w:val="28"/>
          <w:highlight w:val="none"/>
        </w:rPr>
        <w:t>（5）</w:t>
      </w:r>
      <w:r>
        <w:rPr>
          <w:rFonts w:hint="eastAsia" w:ascii="宋体" w:hAnsi="宋体" w:cs="宋体"/>
          <w:bCs/>
          <w:color w:val="auto"/>
          <w:highlight w:val="none"/>
        </w:rPr>
        <w:t>商务及技术文件</w:t>
      </w:r>
      <w:r>
        <w:rPr>
          <w:rFonts w:hint="eastAsia" w:ascii="宋体" w:hAnsi="宋体" w:cs="宋体"/>
          <w:color w:val="auto"/>
          <w:kern w:val="2"/>
          <w:szCs w:val="28"/>
          <w:highlight w:val="none"/>
        </w:rPr>
        <w:t>格式不规范、项目不齐全或者内容虚假的；</w:t>
      </w:r>
    </w:p>
    <w:p w14:paraId="06ECE440">
      <w:pPr>
        <w:pStyle w:val="10"/>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eastAsia" w:ascii="宋体" w:hAnsi="宋体" w:cs="宋体"/>
          <w:color w:val="auto"/>
          <w:kern w:val="2"/>
          <w:szCs w:val="28"/>
          <w:highlight w:val="none"/>
        </w:rPr>
      </w:pPr>
      <w:r>
        <w:rPr>
          <w:rFonts w:hint="eastAsia" w:ascii="宋体" w:hAnsi="宋体" w:cs="宋体"/>
          <w:bCs/>
          <w:color w:val="auto"/>
          <w:kern w:val="2"/>
          <w:szCs w:val="28"/>
          <w:highlight w:val="none"/>
        </w:rPr>
        <w:t>（6）商务及技术文件的实质性内容未使用中文表述、意思表述不明确、前后矛盾</w:t>
      </w:r>
      <w:r>
        <w:rPr>
          <w:rFonts w:hint="eastAsia" w:ascii="宋体" w:hAnsi="宋体" w:cs="宋体"/>
          <w:color w:val="auto"/>
          <w:kern w:val="2"/>
          <w:szCs w:val="28"/>
          <w:highlight w:val="none"/>
        </w:rPr>
        <w:t>或者使用计量单位不符合磋商文件要求的（经磋商小组认定并允许其当场更正的笔误除外）；</w:t>
      </w:r>
    </w:p>
    <w:p w14:paraId="1DB2E9C9">
      <w:pPr>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eastAsia" w:ascii="宋体" w:hAnsi="宋体" w:cs="宋体"/>
          <w:bCs/>
          <w:color w:val="auto"/>
          <w:kern w:val="0"/>
          <w:sz w:val="24"/>
          <w:highlight w:val="none"/>
        </w:rPr>
      </w:pPr>
      <w:r>
        <w:rPr>
          <w:rFonts w:hint="eastAsia" w:ascii="宋体" w:hAnsi="宋体" w:cs="宋体"/>
          <w:bCs/>
          <w:color w:val="auto"/>
          <w:kern w:val="0"/>
          <w:sz w:val="24"/>
          <w:highlight w:val="none"/>
        </w:rPr>
        <w:t>（7）未实质性响应磋商文件要求或者响应文件有采购方不能接受的附加条件的；</w:t>
      </w:r>
    </w:p>
    <w:p w14:paraId="1A40E9BB">
      <w:pPr>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eastAsia" w:ascii="宋体" w:hAnsi="宋体" w:eastAsia="宋体" w:cs="宋体"/>
          <w:bCs/>
          <w:color w:val="auto"/>
          <w:kern w:val="0"/>
          <w:sz w:val="24"/>
          <w:highlight w:val="none"/>
        </w:rPr>
      </w:pPr>
      <w:r>
        <w:rPr>
          <w:rFonts w:hint="eastAsia" w:ascii="宋体" w:hAnsi="宋体" w:cs="宋体"/>
          <w:bCs/>
          <w:color w:val="auto"/>
          <w:kern w:val="0"/>
          <w:sz w:val="24"/>
          <w:highlight w:val="none"/>
        </w:rPr>
        <w:t>（8）不符合本磋商文件中的实质性要求条款。</w:t>
      </w:r>
    </w:p>
    <w:p w14:paraId="48B9CDDE">
      <w:pPr>
        <w:pStyle w:val="10"/>
        <w:keepNext w:val="0"/>
        <w:keepLines w:val="0"/>
        <w:pageBreakBefore w:val="0"/>
        <w:widowControl w:val="0"/>
        <w:kinsoku/>
        <w:wordWrap/>
        <w:overflowPunct/>
        <w:topLinePunct w:val="0"/>
        <w:autoSpaceDE/>
        <w:autoSpaceDN/>
        <w:bidi w:val="0"/>
        <w:adjustRightInd/>
        <w:snapToGrid w:val="0"/>
        <w:spacing w:line="400" w:lineRule="exact"/>
        <w:ind w:firstLine="472" w:firstLineChars="196"/>
        <w:textAlignment w:val="auto"/>
        <w:rPr>
          <w:rFonts w:hint="eastAsia" w:ascii="宋体" w:hAnsi="宋体" w:cs="宋体"/>
          <w:b/>
          <w:bCs/>
          <w:color w:val="auto"/>
          <w:highlight w:val="none"/>
        </w:rPr>
      </w:pPr>
      <w:r>
        <w:rPr>
          <w:rFonts w:hint="eastAsia" w:ascii="宋体" w:hAnsi="宋体" w:cs="宋体"/>
          <w:b/>
          <w:bCs/>
          <w:color w:val="auto"/>
          <w:highlight w:val="none"/>
        </w:rPr>
        <w:t>2.在技术评审时，如发现下列情形之一的，响应文件将被视为无效：</w:t>
      </w:r>
    </w:p>
    <w:p w14:paraId="6FD53E2F">
      <w:pPr>
        <w:pStyle w:val="10"/>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eastAsia" w:ascii="宋体" w:hAnsi="宋体" w:cs="宋体"/>
          <w:color w:val="auto"/>
          <w:highlight w:val="none"/>
        </w:rPr>
      </w:pPr>
      <w:r>
        <w:rPr>
          <w:rFonts w:hint="eastAsia" w:ascii="宋体" w:hAnsi="宋体" w:cs="宋体"/>
          <w:color w:val="auto"/>
          <w:highlight w:val="none"/>
        </w:rPr>
        <w:t>（1）未提供或未如实提供</w:t>
      </w:r>
      <w:r>
        <w:rPr>
          <w:rFonts w:hint="eastAsia"/>
          <w:color w:val="auto"/>
          <w:sz w:val="24"/>
          <w:highlight w:val="none"/>
          <w:lang w:val="en-US" w:eastAsia="zh-CN"/>
        </w:rPr>
        <w:t>施工组织设计或施工方案</w:t>
      </w:r>
      <w:r>
        <w:rPr>
          <w:rFonts w:hint="eastAsia" w:ascii="宋体" w:hAnsi="宋体" w:cs="宋体"/>
          <w:color w:val="auto"/>
          <w:highlight w:val="none"/>
        </w:rPr>
        <w:t>，或者投标文件标明的响应或偏离与事实不符或虚假投标的；</w:t>
      </w:r>
    </w:p>
    <w:p w14:paraId="23C57399">
      <w:pPr>
        <w:pStyle w:val="10"/>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eastAsia" w:ascii="宋体" w:hAnsi="宋体" w:cs="宋体"/>
          <w:color w:val="auto"/>
          <w:highlight w:val="none"/>
        </w:rPr>
      </w:pPr>
      <w:r>
        <w:rPr>
          <w:rFonts w:hint="eastAsia" w:ascii="宋体" w:hAnsi="宋体" w:cs="宋体"/>
          <w:color w:val="auto"/>
          <w:highlight w:val="none"/>
        </w:rPr>
        <w:t>（2）</w:t>
      </w:r>
      <w:r>
        <w:rPr>
          <w:rFonts w:hint="eastAsia" w:ascii="宋体" w:hAnsi="宋体" w:cs="宋体"/>
          <w:snapToGrid w:val="0"/>
          <w:color w:val="auto"/>
          <w:highlight w:val="none"/>
        </w:rPr>
        <w:t>明显不符合</w:t>
      </w:r>
      <w:r>
        <w:rPr>
          <w:rFonts w:hint="eastAsia" w:ascii="宋体" w:hAnsi="宋体" w:cs="宋体"/>
          <w:snapToGrid w:val="0"/>
          <w:color w:val="auto"/>
          <w:highlight w:val="none"/>
          <w:lang w:val="en-US" w:eastAsia="zh-CN"/>
        </w:rPr>
        <w:t>采购</w:t>
      </w:r>
      <w:r>
        <w:rPr>
          <w:rFonts w:hint="eastAsia" w:ascii="宋体" w:hAnsi="宋体" w:cs="宋体"/>
          <w:snapToGrid w:val="0"/>
          <w:color w:val="auto"/>
          <w:highlight w:val="none"/>
        </w:rPr>
        <w:t>文件要求的</w:t>
      </w:r>
      <w:r>
        <w:rPr>
          <w:rFonts w:hint="eastAsia" w:ascii="宋体"/>
          <w:color w:val="auto"/>
          <w:sz w:val="24"/>
          <w:szCs w:val="24"/>
          <w:highlight w:val="none"/>
        </w:rPr>
        <w:t>工程质量目标、主要技术方案、安全目标</w:t>
      </w:r>
      <w:r>
        <w:rPr>
          <w:rFonts w:hint="eastAsia" w:ascii="宋体" w:hAnsi="宋体" w:cs="宋体"/>
          <w:snapToGrid w:val="0"/>
          <w:color w:val="auto"/>
          <w:highlight w:val="none"/>
        </w:rPr>
        <w:t>，或者与</w:t>
      </w:r>
      <w:r>
        <w:rPr>
          <w:rFonts w:hint="eastAsia" w:ascii="宋体" w:hAnsi="宋体" w:cs="宋体"/>
          <w:color w:val="auto"/>
          <w:highlight w:val="none"/>
        </w:rPr>
        <w:t>招标文件中标“▲”的技术指标、主要功能项目发生实质性偏离的；</w:t>
      </w:r>
    </w:p>
    <w:p w14:paraId="161578F5">
      <w:pPr>
        <w:pStyle w:val="10"/>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eastAsia" w:ascii="宋体" w:hAnsi="宋体" w:cs="宋体"/>
          <w:color w:val="auto"/>
          <w:highlight w:val="none"/>
        </w:rPr>
      </w:pPr>
      <w:r>
        <w:rPr>
          <w:rFonts w:hint="eastAsia" w:ascii="宋体" w:hAnsi="宋体" w:cs="宋体"/>
          <w:color w:val="auto"/>
          <w:highlight w:val="none"/>
        </w:rPr>
        <w:t>（3）投标</w:t>
      </w:r>
      <w:r>
        <w:rPr>
          <w:rFonts w:hint="eastAsia" w:ascii="宋体" w:hAnsi="宋体" w:cs="宋体"/>
          <w:color w:val="auto"/>
          <w:highlight w:val="none"/>
          <w:lang w:val="en-US" w:eastAsia="zh-CN"/>
        </w:rPr>
        <w:t>施工</w:t>
      </w:r>
      <w:r>
        <w:rPr>
          <w:rFonts w:hint="eastAsia" w:ascii="宋体" w:hAnsi="宋体" w:cs="宋体"/>
          <w:color w:val="auto"/>
          <w:highlight w:val="none"/>
        </w:rPr>
        <w:t>方案不明确，存在一个或一个以上备选（替代）投标方案的；</w:t>
      </w:r>
    </w:p>
    <w:p w14:paraId="64FBE546">
      <w:pPr>
        <w:pStyle w:val="10"/>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eastAsia" w:ascii="宋体" w:hAnsi="宋体" w:cs="宋体"/>
          <w:color w:val="auto"/>
          <w:highlight w:val="none"/>
        </w:rPr>
      </w:pPr>
      <w:r>
        <w:rPr>
          <w:rFonts w:hint="eastAsia" w:ascii="宋体" w:hAnsi="宋体" w:cs="宋体"/>
          <w:color w:val="auto"/>
          <w:highlight w:val="none"/>
        </w:rPr>
        <w:t>（4）与其他参加本次磋商供应商的响应文件（技术文件）的文字表述内容相同连续20行以上或者差错相同2处以上的。</w:t>
      </w:r>
    </w:p>
    <w:p w14:paraId="0B7053F4">
      <w:pPr>
        <w:pStyle w:val="10"/>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eastAsia" w:ascii="宋体" w:hAnsi="宋体" w:cs="宋体"/>
          <w:color w:val="auto"/>
          <w:highlight w:val="none"/>
        </w:rPr>
      </w:pPr>
      <w:r>
        <w:rPr>
          <w:rFonts w:hint="eastAsia" w:ascii="宋体" w:hAnsi="宋体" w:cs="宋体"/>
          <w:color w:val="auto"/>
          <w:highlight w:val="none"/>
        </w:rPr>
        <w:t>（5）不符合本磋商文件中的实质性要求条款。</w:t>
      </w:r>
    </w:p>
    <w:p w14:paraId="1CC1804F">
      <w:pPr>
        <w:pStyle w:val="10"/>
        <w:keepNext w:val="0"/>
        <w:keepLines w:val="0"/>
        <w:pageBreakBefore w:val="0"/>
        <w:widowControl w:val="0"/>
        <w:kinsoku/>
        <w:wordWrap/>
        <w:overflowPunct/>
        <w:topLinePunct w:val="0"/>
        <w:autoSpaceDE/>
        <w:autoSpaceDN/>
        <w:bidi w:val="0"/>
        <w:adjustRightInd/>
        <w:snapToGrid w:val="0"/>
        <w:spacing w:line="400" w:lineRule="exact"/>
        <w:ind w:firstLine="472" w:firstLineChars="196"/>
        <w:textAlignment w:val="auto"/>
        <w:rPr>
          <w:rFonts w:hint="eastAsia" w:ascii="宋体" w:hAnsi="宋体" w:cs="宋体"/>
          <w:b/>
          <w:bCs/>
          <w:color w:val="auto"/>
          <w:highlight w:val="none"/>
        </w:rPr>
      </w:pPr>
      <w:r>
        <w:rPr>
          <w:rFonts w:hint="eastAsia" w:ascii="宋体" w:hAnsi="宋体" w:cs="宋体"/>
          <w:b/>
          <w:bCs/>
          <w:color w:val="auto"/>
          <w:highlight w:val="none"/>
        </w:rPr>
        <w:t>3.在报价评审时，如发现下列情形之一的，响应文件将被视为无效：</w:t>
      </w:r>
    </w:p>
    <w:p w14:paraId="15983E89">
      <w:pPr>
        <w:pStyle w:val="10"/>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eastAsia" w:ascii="宋体" w:hAnsi="宋体" w:cs="宋体"/>
          <w:color w:val="auto"/>
          <w:highlight w:val="none"/>
        </w:rPr>
      </w:pPr>
      <w:r>
        <w:rPr>
          <w:rFonts w:hint="eastAsia" w:ascii="宋体" w:hAnsi="宋体" w:cs="宋体"/>
          <w:color w:val="auto"/>
          <w:highlight w:val="none"/>
        </w:rPr>
        <w:t>（1）未按照磋商文件的要求报价的；</w:t>
      </w:r>
    </w:p>
    <w:p w14:paraId="6E09828A">
      <w:pPr>
        <w:pStyle w:val="10"/>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eastAsia" w:ascii="宋体" w:hAnsi="宋体" w:cs="宋体"/>
          <w:color w:val="auto"/>
          <w:highlight w:val="none"/>
        </w:rPr>
      </w:pPr>
      <w:r>
        <w:rPr>
          <w:rFonts w:hint="eastAsia" w:ascii="宋体" w:hAnsi="宋体" w:cs="宋体"/>
          <w:color w:val="auto"/>
          <w:highlight w:val="none"/>
        </w:rPr>
        <w:t>（2）报价具有选择性或者价格与响应文件承诺的优惠（折扣）价格不一致的；</w:t>
      </w:r>
    </w:p>
    <w:p w14:paraId="2B21FAD2">
      <w:pPr>
        <w:pStyle w:val="10"/>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eastAsia" w:ascii="宋体" w:hAnsi="宋体" w:cs="宋体"/>
          <w:color w:val="auto"/>
          <w:highlight w:val="none"/>
        </w:rPr>
      </w:pPr>
      <w:r>
        <w:rPr>
          <w:rFonts w:hint="eastAsia" w:ascii="宋体" w:hAnsi="宋体" w:cs="宋体"/>
          <w:color w:val="auto"/>
          <w:highlight w:val="none"/>
        </w:rPr>
        <w:t>（3）报价超过</w:t>
      </w:r>
      <w:r>
        <w:rPr>
          <w:rFonts w:hint="eastAsia" w:ascii="宋体" w:hAnsi="宋体" w:cs="宋体"/>
          <w:color w:val="auto"/>
          <w:highlight w:val="none"/>
          <w:lang w:val="en-US" w:eastAsia="zh-CN"/>
        </w:rPr>
        <w:t>最高限价</w:t>
      </w:r>
      <w:r>
        <w:rPr>
          <w:rFonts w:hint="eastAsia" w:ascii="宋体" w:hAnsi="宋体" w:cs="宋体"/>
          <w:color w:val="auto"/>
          <w:highlight w:val="none"/>
        </w:rPr>
        <w:t>；</w:t>
      </w:r>
    </w:p>
    <w:p w14:paraId="670E3BA4">
      <w:pPr>
        <w:pStyle w:val="10"/>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eastAsia" w:ascii="宋体" w:hAnsi="宋体" w:eastAsia="宋体" w:cs="宋体"/>
          <w:color w:val="auto"/>
          <w:highlight w:val="none"/>
          <w:lang w:eastAsia="zh-CN"/>
        </w:rPr>
      </w:pPr>
      <w:r>
        <w:rPr>
          <w:rFonts w:hint="eastAsia" w:ascii="宋体" w:hAnsi="宋体" w:cs="宋体"/>
          <w:color w:val="auto"/>
          <w:highlight w:val="none"/>
        </w:rPr>
        <w:t>（4）报价明显低于其他通过符合性审查供应商的报价，且供应商不能证明其报价合理性并提供证明材料的</w:t>
      </w:r>
      <w:r>
        <w:rPr>
          <w:rFonts w:hint="eastAsia" w:ascii="宋体" w:hAnsi="宋体" w:cs="宋体"/>
          <w:color w:val="auto"/>
          <w:highlight w:val="none"/>
          <w:lang w:eastAsia="zh-CN"/>
        </w:rPr>
        <w:t>；</w:t>
      </w:r>
    </w:p>
    <w:p w14:paraId="60629A85">
      <w:pPr>
        <w:pStyle w:val="10"/>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eastAsia" w:ascii="宋体" w:hAnsi="宋体" w:cs="宋体"/>
          <w:color w:val="auto"/>
          <w:highlight w:val="none"/>
        </w:rPr>
      </w:pPr>
      <w:r>
        <w:rPr>
          <w:rFonts w:hint="eastAsia" w:ascii="宋体" w:hAnsi="宋体" w:cs="宋体"/>
          <w:color w:val="auto"/>
          <w:highlight w:val="none"/>
        </w:rPr>
        <w:t>（5）响应文件有效期、</w:t>
      </w:r>
      <w:r>
        <w:rPr>
          <w:rFonts w:hint="eastAsia" w:ascii="宋体" w:hAnsi="宋体" w:cs="宋体"/>
          <w:color w:val="auto"/>
          <w:highlight w:val="none"/>
          <w:lang w:val="en-US" w:eastAsia="zh-CN"/>
        </w:rPr>
        <w:t>工期</w:t>
      </w:r>
      <w:r>
        <w:rPr>
          <w:rFonts w:hint="eastAsia" w:ascii="宋体" w:hAnsi="宋体" w:cs="宋体"/>
          <w:color w:val="auto"/>
          <w:highlight w:val="none"/>
        </w:rPr>
        <w:t>等条款不能满足磋商文件要求的；</w:t>
      </w:r>
    </w:p>
    <w:p w14:paraId="44B94894">
      <w:pPr>
        <w:pStyle w:val="10"/>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eastAsia" w:ascii="宋体" w:hAnsi="宋体" w:cs="宋体"/>
          <w:color w:val="auto"/>
          <w:highlight w:val="none"/>
        </w:rPr>
      </w:pPr>
      <w:r>
        <w:rPr>
          <w:rFonts w:hint="eastAsia" w:ascii="宋体" w:hAnsi="宋体" w:cs="宋体"/>
          <w:color w:val="auto"/>
          <w:highlight w:val="none"/>
        </w:rPr>
        <w:t>（6）</w:t>
      </w:r>
      <w:r>
        <w:rPr>
          <w:rFonts w:hint="eastAsia" w:ascii="宋体" w:hAnsi="宋体" w:cs="宋体"/>
          <w:color w:val="auto"/>
          <w:highlight w:val="none"/>
          <w:lang w:val="en-US" w:eastAsia="zh-CN"/>
        </w:rPr>
        <w:t>报价</w:t>
      </w:r>
      <w:r>
        <w:rPr>
          <w:rFonts w:hint="eastAsia" w:ascii="宋体"/>
          <w:color w:val="auto"/>
          <w:sz w:val="24"/>
          <w:szCs w:val="24"/>
          <w:highlight w:val="none"/>
        </w:rPr>
        <w:t>文件上未按照</w:t>
      </w:r>
      <w:r>
        <w:rPr>
          <w:rFonts w:hint="eastAsia" w:ascii="宋体"/>
          <w:color w:val="auto"/>
          <w:sz w:val="24"/>
          <w:szCs w:val="24"/>
          <w:highlight w:val="none"/>
          <w:lang w:val="en-US" w:eastAsia="zh-CN"/>
        </w:rPr>
        <w:t>竞争性磋商</w:t>
      </w:r>
      <w:r>
        <w:rPr>
          <w:rFonts w:hint="eastAsia" w:ascii="宋体"/>
          <w:color w:val="auto"/>
          <w:sz w:val="24"/>
          <w:szCs w:val="24"/>
          <w:highlight w:val="none"/>
        </w:rPr>
        <w:t>文件规定加盖法人公章、法定代表人或法定代表人授权的代理人的印章或签字</w:t>
      </w:r>
      <w:r>
        <w:rPr>
          <w:rFonts w:hint="eastAsia" w:ascii="宋体" w:hAnsi="宋体" w:cs="宋体"/>
          <w:color w:val="auto"/>
          <w:highlight w:val="none"/>
        </w:rPr>
        <w:t>；</w:t>
      </w:r>
    </w:p>
    <w:p w14:paraId="281E5654">
      <w:pPr>
        <w:pStyle w:val="10"/>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eastAsia" w:ascii="宋体" w:hAnsi="宋体" w:cs="宋体"/>
          <w:color w:val="auto"/>
          <w:highlight w:val="none"/>
        </w:rPr>
      </w:pPr>
      <w:r>
        <w:rPr>
          <w:rFonts w:hint="eastAsia" w:ascii="宋体" w:hAnsi="宋体" w:cs="宋体"/>
          <w:color w:val="auto"/>
          <w:highlight w:val="none"/>
        </w:rPr>
        <w:t>（7）报价文件格式不规范、项目不齐全或者内容虚假的；</w:t>
      </w:r>
    </w:p>
    <w:p w14:paraId="1BDB8DE5">
      <w:pPr>
        <w:pStyle w:val="10"/>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eastAsia" w:ascii="宋体" w:hAnsi="宋体" w:eastAsia="宋体" w:cs="宋体"/>
          <w:color w:val="auto"/>
          <w:highlight w:val="none"/>
          <w:lang w:eastAsia="zh-CN"/>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8</w:t>
      </w:r>
      <w:r>
        <w:rPr>
          <w:rFonts w:hint="eastAsia" w:ascii="宋体" w:hAnsi="宋体" w:cs="宋体"/>
          <w:color w:val="auto"/>
          <w:highlight w:val="none"/>
          <w:lang w:eastAsia="zh-CN"/>
        </w:rPr>
        <w:t>）</w:t>
      </w:r>
      <w:r>
        <w:rPr>
          <w:rFonts w:hint="eastAsia" w:ascii="宋体" w:hAnsi="宋体"/>
          <w:color w:val="auto"/>
          <w:sz w:val="24"/>
          <w:szCs w:val="24"/>
          <w:highlight w:val="none"/>
        </w:rPr>
        <w:t>同一工程量清单报价编制人员为二个及以上同一项目的投标人提供工程量清单报价服务的</w:t>
      </w:r>
      <w:r>
        <w:rPr>
          <w:rFonts w:hint="eastAsia" w:ascii="宋体" w:hAnsi="宋体"/>
          <w:color w:val="auto"/>
          <w:sz w:val="24"/>
          <w:szCs w:val="24"/>
          <w:highlight w:val="none"/>
          <w:lang w:eastAsia="zh-CN"/>
        </w:rPr>
        <w:t>；</w:t>
      </w:r>
    </w:p>
    <w:p w14:paraId="5FD99CDB">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eastAsia="宋体" w:cs="Times New Roman"/>
          <w:color w:val="auto"/>
          <w:kern w:val="0"/>
          <w:sz w:val="24"/>
          <w:szCs w:val="24"/>
          <w:highlight w:val="none"/>
          <w:lang w:val="en-US" w:eastAsia="zh-CN" w:bidi="ar-SA"/>
        </w:rPr>
      </w:pPr>
      <w:r>
        <w:rPr>
          <w:rFonts w:hint="eastAsia" w:ascii="宋体"/>
          <w:color w:val="auto"/>
          <w:sz w:val="24"/>
          <w:szCs w:val="24"/>
          <w:highlight w:val="none"/>
          <w:lang w:eastAsia="zh-CN"/>
        </w:rPr>
        <w:t>（</w:t>
      </w:r>
      <w:r>
        <w:rPr>
          <w:rFonts w:hint="eastAsia" w:ascii="宋体"/>
          <w:color w:val="auto"/>
          <w:sz w:val="24"/>
          <w:szCs w:val="24"/>
          <w:highlight w:val="none"/>
          <w:lang w:val="en-US" w:eastAsia="zh-CN"/>
        </w:rPr>
        <w:t>9</w:t>
      </w:r>
      <w:r>
        <w:rPr>
          <w:rFonts w:hint="eastAsia" w:ascii="宋体"/>
          <w:color w:val="auto"/>
          <w:sz w:val="24"/>
          <w:szCs w:val="24"/>
          <w:highlight w:val="none"/>
          <w:lang w:eastAsia="zh-CN"/>
        </w:rPr>
        <w:t>）</w:t>
      </w:r>
      <w:r>
        <w:rPr>
          <w:rFonts w:hint="eastAsia" w:ascii="宋体" w:hAnsi="宋体" w:eastAsia="宋体" w:cs="Times New Roman"/>
          <w:color w:val="auto"/>
          <w:kern w:val="0"/>
          <w:sz w:val="24"/>
          <w:szCs w:val="24"/>
          <w:highlight w:val="none"/>
          <w:lang w:val="en-US" w:eastAsia="zh-CN" w:bidi="ar-SA"/>
        </w:rPr>
        <w:t>投标报价表上未盖投标单位编制人员专业资格章的，委托造价咨询机构编制投标报价的未提供委托编制协议、或未加盖编制人员相应专业资格章；同一编制人员为二个及以上同一项目的投标人提供工程量清单报价编制服务的；受托的编制人员所在单位同时接受同一项目另一投标人委托的；</w:t>
      </w:r>
    </w:p>
    <w:p w14:paraId="7E33642A">
      <w:pPr>
        <w:pStyle w:val="10"/>
        <w:keepNext w:val="0"/>
        <w:keepLines w:val="0"/>
        <w:pageBreakBefore w:val="0"/>
        <w:widowControl w:val="0"/>
        <w:kinsoku/>
        <w:wordWrap/>
        <w:overflowPunct/>
        <w:topLinePunct w:val="0"/>
        <w:autoSpaceDE/>
        <w:autoSpaceDN/>
        <w:bidi w:val="0"/>
        <w:adjustRightInd/>
        <w:snapToGrid w:val="0"/>
        <w:spacing w:line="400" w:lineRule="exact"/>
        <w:ind w:firstLine="472" w:firstLineChars="196"/>
        <w:textAlignment w:val="auto"/>
        <w:rPr>
          <w:rFonts w:hint="eastAsia" w:ascii="宋体" w:hAnsi="宋体" w:eastAsia="宋体" w:cs="Times New Roman"/>
          <w:b/>
          <w:bCs/>
          <w:color w:val="auto"/>
          <w:kern w:val="0"/>
          <w:sz w:val="24"/>
          <w:szCs w:val="24"/>
          <w:highlight w:val="none"/>
          <w:lang w:val="en-US" w:eastAsia="zh-CN" w:bidi="ar-SA"/>
        </w:rPr>
      </w:pPr>
      <w:r>
        <w:rPr>
          <w:rFonts w:hint="eastAsia" w:ascii="宋体" w:hAnsi="宋体" w:eastAsia="宋体" w:cs="Times New Roman"/>
          <w:b/>
          <w:bCs/>
          <w:color w:val="auto"/>
          <w:kern w:val="0"/>
          <w:sz w:val="24"/>
          <w:szCs w:val="24"/>
          <w:highlight w:val="none"/>
          <w:lang w:val="en-US" w:eastAsia="zh-CN" w:bidi="ar-SA"/>
        </w:rPr>
        <w:t>注：1.编制人员应为造价工程师</w:t>
      </w:r>
      <w:r>
        <w:rPr>
          <w:rFonts w:hint="eastAsia" w:ascii="宋体" w:hAnsi="宋体" w:cs="Times New Roman"/>
          <w:b/>
          <w:bCs/>
          <w:color w:val="auto"/>
          <w:kern w:val="0"/>
          <w:sz w:val="24"/>
          <w:szCs w:val="24"/>
          <w:highlight w:val="none"/>
          <w:lang w:val="en-US" w:eastAsia="zh-CN" w:bidi="ar-SA"/>
        </w:rPr>
        <w:t>；</w:t>
      </w:r>
      <w:r>
        <w:rPr>
          <w:rFonts w:hint="eastAsia" w:ascii="宋体" w:hAnsi="宋体" w:eastAsia="宋体" w:cs="Times New Roman"/>
          <w:b/>
          <w:bCs/>
          <w:color w:val="auto"/>
          <w:kern w:val="0"/>
          <w:sz w:val="24"/>
          <w:szCs w:val="24"/>
          <w:highlight w:val="none"/>
          <w:lang w:val="en-US" w:eastAsia="zh-CN" w:bidi="ar-SA"/>
        </w:rPr>
        <w:t>2.如注册单位与投标人或委托编制单位不一致的，还须提供该造价工程师开标截止期前半年内任何连续三个月的社保部门盖章的参保证明，或者经由社保系统自助拉取的参保证明，且缴费证明材料所示单位应是投标人（或其分支机构）或委托编制单位（或其分支机构</w:t>
      </w:r>
      <w:r>
        <w:rPr>
          <w:rFonts w:hint="eastAsia" w:ascii="宋体" w:hAnsi="宋体" w:cs="Times New Roman"/>
          <w:b/>
          <w:bCs/>
          <w:color w:val="auto"/>
          <w:kern w:val="0"/>
          <w:sz w:val="24"/>
          <w:szCs w:val="24"/>
          <w:highlight w:val="none"/>
          <w:lang w:val="en-US" w:eastAsia="zh-CN" w:bidi="ar-SA"/>
        </w:rPr>
        <w:t>）</w:t>
      </w:r>
      <w:r>
        <w:rPr>
          <w:rFonts w:hint="eastAsia" w:ascii="宋体" w:hAnsi="宋体" w:eastAsia="宋体" w:cs="Times New Roman"/>
          <w:b/>
          <w:bCs/>
          <w:color w:val="auto"/>
          <w:kern w:val="0"/>
          <w:sz w:val="24"/>
          <w:szCs w:val="24"/>
          <w:highlight w:val="none"/>
          <w:lang w:val="en-US" w:eastAsia="zh-CN" w:bidi="ar-SA"/>
        </w:rPr>
        <w:t>。</w:t>
      </w:r>
    </w:p>
    <w:p w14:paraId="2EEF168E">
      <w:pPr>
        <w:pStyle w:val="10"/>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eastAsia" w:ascii="宋体" w:hAnsi="宋体"/>
          <w:color w:val="auto"/>
          <w:sz w:val="24"/>
          <w:szCs w:val="24"/>
          <w:highlight w:val="none"/>
        </w:rPr>
      </w:pP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10</w:t>
      </w:r>
      <w:r>
        <w:rPr>
          <w:rFonts w:hint="eastAsia" w:ascii="宋体" w:hAnsi="宋体"/>
          <w:color w:val="auto"/>
          <w:sz w:val="24"/>
          <w:szCs w:val="24"/>
          <w:highlight w:val="none"/>
          <w:lang w:eastAsia="zh-CN"/>
        </w:rPr>
        <w:t>）</w:t>
      </w:r>
      <w:r>
        <w:rPr>
          <w:rFonts w:hint="eastAsia" w:ascii="宋体" w:hAnsi="宋体"/>
          <w:color w:val="auto"/>
          <w:sz w:val="24"/>
          <w:szCs w:val="24"/>
          <w:highlight w:val="none"/>
        </w:rPr>
        <w:t>招标人在工程量清单中提供材料、设备的暂估价的，或设置暂列金额项目，投标文件中暂估价和暂列金额报价与</w:t>
      </w:r>
      <w:r>
        <w:rPr>
          <w:rFonts w:hint="eastAsia" w:ascii="宋体" w:hAnsi="宋体"/>
          <w:color w:val="auto"/>
          <w:sz w:val="24"/>
          <w:szCs w:val="24"/>
          <w:highlight w:val="none"/>
          <w:lang w:val="en-US" w:eastAsia="zh-CN"/>
        </w:rPr>
        <w:t>磋商采购</w:t>
      </w:r>
      <w:r>
        <w:rPr>
          <w:rFonts w:hint="eastAsia" w:ascii="宋体" w:hAnsi="宋体"/>
          <w:color w:val="auto"/>
          <w:sz w:val="24"/>
          <w:szCs w:val="24"/>
          <w:highlight w:val="none"/>
        </w:rPr>
        <w:t>文件及</w:t>
      </w:r>
      <w:r>
        <w:rPr>
          <w:rFonts w:hint="eastAsia" w:ascii="宋体" w:hAnsi="宋体"/>
          <w:color w:val="auto"/>
          <w:sz w:val="24"/>
          <w:szCs w:val="24"/>
          <w:highlight w:val="none"/>
          <w:lang w:val="en-US" w:eastAsia="zh-CN"/>
        </w:rPr>
        <w:t>磋商</w:t>
      </w:r>
      <w:r>
        <w:rPr>
          <w:rFonts w:hint="eastAsia" w:ascii="宋体" w:hAnsi="宋体"/>
          <w:color w:val="auto"/>
          <w:sz w:val="24"/>
          <w:szCs w:val="24"/>
          <w:highlight w:val="none"/>
        </w:rPr>
        <w:t>答疑等补充文件的规定不一致的；</w:t>
      </w:r>
    </w:p>
    <w:p w14:paraId="1828BC93">
      <w:pPr>
        <w:pStyle w:val="10"/>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eastAsia" w:ascii="宋体" w:hAnsi="宋体"/>
          <w:color w:val="auto"/>
          <w:sz w:val="24"/>
          <w:szCs w:val="24"/>
          <w:highlight w:val="none"/>
        </w:rPr>
      </w:pP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11</w:t>
      </w:r>
      <w:r>
        <w:rPr>
          <w:rFonts w:hint="eastAsia" w:ascii="宋体" w:hAnsi="宋体"/>
          <w:color w:val="auto"/>
          <w:sz w:val="24"/>
          <w:szCs w:val="24"/>
          <w:highlight w:val="none"/>
          <w:lang w:eastAsia="zh-CN"/>
        </w:rPr>
        <w:t>）</w:t>
      </w:r>
      <w:r>
        <w:rPr>
          <w:rFonts w:hint="eastAsia" w:ascii="宋体" w:hAnsi="宋体"/>
          <w:color w:val="auto"/>
          <w:sz w:val="24"/>
          <w:szCs w:val="24"/>
          <w:highlight w:val="none"/>
        </w:rPr>
        <w:t>未按照工程量清单报价表的要求填报单价和总价的；</w:t>
      </w:r>
    </w:p>
    <w:p w14:paraId="2A02027C">
      <w:pPr>
        <w:pStyle w:val="10"/>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eastAsia" w:ascii="宋体" w:hAnsi="宋体"/>
          <w:color w:val="auto"/>
          <w:sz w:val="24"/>
          <w:szCs w:val="24"/>
          <w:highlight w:val="none"/>
        </w:rPr>
      </w:pP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12</w:t>
      </w:r>
      <w:r>
        <w:rPr>
          <w:rFonts w:hint="eastAsia" w:ascii="宋体" w:hAnsi="宋体"/>
          <w:color w:val="auto"/>
          <w:sz w:val="24"/>
          <w:szCs w:val="24"/>
          <w:highlight w:val="none"/>
          <w:lang w:eastAsia="zh-CN"/>
        </w:rPr>
        <w:t>）</w:t>
      </w:r>
      <w:r>
        <w:rPr>
          <w:rFonts w:hint="eastAsia" w:ascii="宋体" w:hAnsi="宋体"/>
          <w:color w:val="auto"/>
          <w:sz w:val="24"/>
          <w:szCs w:val="24"/>
          <w:highlight w:val="none"/>
        </w:rPr>
        <w:t>工程项目总价表中合计金额与投标总价不一致，且未注明原因的；</w:t>
      </w:r>
    </w:p>
    <w:p w14:paraId="7F582D4A">
      <w:pPr>
        <w:pStyle w:val="10"/>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eastAsia" w:ascii="宋体" w:hAnsi="宋体"/>
          <w:color w:val="auto"/>
          <w:sz w:val="24"/>
          <w:szCs w:val="24"/>
          <w:highlight w:val="none"/>
        </w:rPr>
      </w:pP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13</w:t>
      </w:r>
      <w:r>
        <w:rPr>
          <w:rFonts w:hint="eastAsia" w:ascii="宋体" w:hAnsi="宋体"/>
          <w:color w:val="auto"/>
          <w:sz w:val="24"/>
          <w:szCs w:val="24"/>
          <w:highlight w:val="none"/>
          <w:lang w:eastAsia="zh-CN"/>
        </w:rPr>
        <w:t>）</w:t>
      </w:r>
      <w:r>
        <w:rPr>
          <w:rFonts w:hint="eastAsia" w:ascii="宋体" w:hAnsi="宋体"/>
          <w:color w:val="auto"/>
          <w:sz w:val="24"/>
          <w:szCs w:val="24"/>
          <w:highlight w:val="none"/>
        </w:rPr>
        <w:t>采用工程量清单招标项目，投标文件工程量清单与招标人提供的清单（包括招标答疑等补充文件）的项目编码、项目名称、项目特征、计量单位和工程量不一致的；</w:t>
      </w:r>
    </w:p>
    <w:p w14:paraId="2EBD061A">
      <w:pPr>
        <w:pStyle w:val="10"/>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eastAsia" w:ascii="宋体" w:hAnsi="宋体"/>
          <w:b/>
          <w:bCs/>
          <w:color w:val="auto"/>
          <w:sz w:val="24"/>
          <w:szCs w:val="24"/>
          <w:highlight w:val="none"/>
        </w:rPr>
      </w:pP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14</w:t>
      </w:r>
      <w:r>
        <w:rPr>
          <w:rFonts w:hint="eastAsia" w:ascii="宋体" w:hAnsi="宋体"/>
          <w:color w:val="auto"/>
          <w:sz w:val="24"/>
          <w:szCs w:val="24"/>
          <w:highlight w:val="none"/>
          <w:lang w:eastAsia="zh-CN"/>
        </w:rPr>
        <w:t>）</w:t>
      </w:r>
      <w:r>
        <w:rPr>
          <w:rFonts w:hint="eastAsia" w:ascii="宋体" w:hAnsi="宋体"/>
          <w:b/>
          <w:bCs/>
          <w:color w:val="auto"/>
          <w:sz w:val="24"/>
          <w:szCs w:val="24"/>
          <w:highlight w:val="none"/>
          <w:lang w:val="en-US" w:eastAsia="zh-CN"/>
        </w:rPr>
        <w:t>投标报价中安全文明施工费、税金、规费未明确具体数值或未按规定计取的</w:t>
      </w:r>
      <w:r>
        <w:rPr>
          <w:rFonts w:hint="eastAsia" w:ascii="宋体" w:hAnsi="宋体"/>
          <w:b/>
          <w:bCs/>
          <w:color w:val="auto"/>
          <w:sz w:val="24"/>
          <w:szCs w:val="24"/>
          <w:highlight w:val="none"/>
        </w:rPr>
        <w:t>；</w:t>
      </w:r>
    </w:p>
    <w:p w14:paraId="2791BCBB">
      <w:pPr>
        <w:pStyle w:val="10"/>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eastAsia" w:ascii="宋体" w:hAnsi="宋体"/>
          <w:color w:val="auto"/>
          <w:sz w:val="24"/>
          <w:szCs w:val="24"/>
          <w:highlight w:val="none"/>
        </w:rPr>
      </w:pP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15</w:t>
      </w:r>
      <w:r>
        <w:rPr>
          <w:rFonts w:hint="eastAsia" w:ascii="宋体" w:hAnsi="宋体"/>
          <w:color w:val="auto"/>
          <w:sz w:val="24"/>
          <w:szCs w:val="24"/>
          <w:highlight w:val="none"/>
          <w:lang w:eastAsia="zh-CN"/>
        </w:rPr>
        <w:t>）</w:t>
      </w:r>
      <w:r>
        <w:rPr>
          <w:rFonts w:hint="eastAsia" w:ascii="宋体" w:hAnsi="宋体"/>
          <w:color w:val="auto"/>
          <w:sz w:val="24"/>
          <w:szCs w:val="24"/>
          <w:highlight w:val="none"/>
        </w:rPr>
        <w:t>投标文件工程量清单存在算术计算错误等情况属重大偏差；</w:t>
      </w:r>
    </w:p>
    <w:p w14:paraId="2464A56F">
      <w:pPr>
        <w:pStyle w:val="10"/>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eastAsia" w:ascii="宋体" w:hAnsi="宋体" w:cs="宋体"/>
          <w:color w:val="auto"/>
          <w:highlight w:val="none"/>
        </w:rPr>
      </w:pPr>
      <w:r>
        <w:rPr>
          <w:rFonts w:hint="eastAsia" w:ascii="宋体" w:hAnsi="宋体" w:cs="宋体"/>
          <w:color w:val="auto"/>
          <w:highlight w:val="none"/>
        </w:rPr>
        <w:t>（</w:t>
      </w:r>
      <w:r>
        <w:rPr>
          <w:rFonts w:hint="eastAsia" w:ascii="宋体" w:hAnsi="宋体" w:cs="宋体"/>
          <w:color w:val="auto"/>
          <w:highlight w:val="none"/>
          <w:lang w:val="en-US" w:eastAsia="zh-CN"/>
        </w:rPr>
        <w:t>16</w:t>
      </w:r>
      <w:r>
        <w:rPr>
          <w:rFonts w:hint="eastAsia" w:ascii="宋体" w:hAnsi="宋体" w:cs="宋体"/>
          <w:color w:val="auto"/>
          <w:highlight w:val="none"/>
        </w:rPr>
        <w:t>）</w:t>
      </w:r>
      <w:r>
        <w:rPr>
          <w:rFonts w:hint="eastAsia" w:ascii="宋体" w:hAnsi="宋体" w:cs="宋体"/>
          <w:bCs/>
          <w:color w:val="auto"/>
          <w:highlight w:val="none"/>
        </w:rPr>
        <w:t>报价文件</w:t>
      </w:r>
      <w:r>
        <w:rPr>
          <w:rFonts w:hint="eastAsia" w:ascii="宋体" w:hAnsi="宋体" w:cs="宋体"/>
          <w:color w:val="auto"/>
          <w:kern w:val="2"/>
          <w:szCs w:val="28"/>
          <w:highlight w:val="none"/>
        </w:rPr>
        <w:t>的实质性内容未使用中文表述、意思表述不明确、前后矛盾或者使用计量单位不符合磋商文件要求的（经磋商小组认定并允许其当场更正的笔误除外）；</w:t>
      </w:r>
    </w:p>
    <w:p w14:paraId="12E3D1CC">
      <w:pPr>
        <w:pStyle w:val="10"/>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eastAsia" w:ascii="宋体" w:hAnsi="宋体" w:cs="宋体"/>
          <w:color w:val="auto"/>
          <w:highlight w:val="none"/>
        </w:rPr>
      </w:pPr>
      <w:r>
        <w:rPr>
          <w:rFonts w:hint="eastAsia" w:ascii="宋体" w:hAnsi="宋体" w:cs="宋体"/>
          <w:color w:val="auto"/>
          <w:highlight w:val="none"/>
        </w:rPr>
        <w:t>（</w:t>
      </w:r>
      <w:r>
        <w:rPr>
          <w:rFonts w:hint="eastAsia" w:ascii="宋体" w:hAnsi="宋体" w:cs="宋体"/>
          <w:color w:val="auto"/>
          <w:highlight w:val="none"/>
          <w:lang w:val="en-US" w:eastAsia="zh-CN"/>
        </w:rPr>
        <w:t>17</w:t>
      </w:r>
      <w:r>
        <w:rPr>
          <w:rFonts w:hint="eastAsia" w:ascii="宋体" w:hAnsi="宋体" w:cs="宋体"/>
          <w:color w:val="auto"/>
          <w:highlight w:val="none"/>
        </w:rPr>
        <w:t>）未实质性响应磋商文件要求或者响应文件有采购方不能接受的附加条件的</w:t>
      </w:r>
      <w:r>
        <w:rPr>
          <w:rFonts w:hint="eastAsia" w:ascii="宋体" w:hAnsi="宋体" w:cs="宋体"/>
          <w:b/>
          <w:bCs/>
          <w:color w:val="auto"/>
          <w:highlight w:val="none"/>
        </w:rPr>
        <w:t>(供应商的商务技术分低于商务技术分总分60%的，视为采购人不能接受的附加条件)</w:t>
      </w:r>
      <w:r>
        <w:rPr>
          <w:rFonts w:hint="eastAsia" w:ascii="宋体" w:hAnsi="宋体" w:cs="宋体"/>
          <w:color w:val="auto"/>
          <w:highlight w:val="none"/>
        </w:rPr>
        <w:t>；</w:t>
      </w:r>
    </w:p>
    <w:p w14:paraId="4673E24A">
      <w:pPr>
        <w:pStyle w:val="14"/>
        <w:keepNext w:val="0"/>
        <w:keepLines w:val="0"/>
        <w:pageBreakBefore w:val="0"/>
        <w:widowControl w:val="0"/>
        <w:kinsoku/>
        <w:wordWrap/>
        <w:overflowPunct/>
        <w:topLinePunct w:val="0"/>
        <w:autoSpaceDE/>
        <w:autoSpaceDN/>
        <w:bidi w:val="0"/>
        <w:adjustRightInd/>
        <w:spacing w:line="400" w:lineRule="exact"/>
        <w:ind w:firstLine="482" w:firstLineChars="200"/>
        <w:jc w:val="left"/>
        <w:textAlignment w:val="auto"/>
        <w:rPr>
          <w:rFonts w:hint="eastAsia"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highlight w:val="none"/>
          <w:lang w:val="en-US" w:eastAsia="zh-CN"/>
        </w:rPr>
        <w:t>8</w:t>
      </w:r>
      <w:r>
        <w:rPr>
          <w:rFonts w:hint="eastAsia" w:ascii="宋体" w:hAnsi="宋体" w:cs="宋体"/>
          <w:color w:val="auto"/>
          <w:highlight w:val="none"/>
        </w:rPr>
        <w:t>）不符合本磋商文件中的实质性要求条款。</w:t>
      </w:r>
    </w:p>
    <w:p w14:paraId="220F6D43">
      <w:pPr>
        <w:pStyle w:val="14"/>
        <w:keepNext w:val="0"/>
        <w:keepLines w:val="0"/>
        <w:pageBreakBefore w:val="0"/>
        <w:widowControl w:val="0"/>
        <w:kinsoku/>
        <w:wordWrap/>
        <w:overflowPunct/>
        <w:topLinePunct w:val="0"/>
        <w:autoSpaceDE/>
        <w:autoSpaceDN/>
        <w:bidi w:val="0"/>
        <w:adjustRightInd/>
        <w:spacing w:line="400" w:lineRule="exact"/>
        <w:ind w:firstLine="562"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三、评审内容及标准</w:t>
      </w:r>
    </w:p>
    <w:p w14:paraId="2E21D126">
      <w:pPr>
        <w:keepNext w:val="0"/>
        <w:keepLines w:val="0"/>
        <w:pageBreakBefore w:val="0"/>
        <w:widowControl w:val="0"/>
        <w:kinsoku/>
        <w:wordWrap/>
        <w:overflowPunct/>
        <w:topLinePunct w:val="0"/>
        <w:autoSpaceDE/>
        <w:autoSpaceDN/>
        <w:bidi w:val="0"/>
        <w:adjustRightInd/>
        <w:spacing w:line="400" w:lineRule="exact"/>
        <w:ind w:firstLine="569" w:firstLineChars="236"/>
        <w:textAlignment w:val="auto"/>
        <w:rPr>
          <w:rFonts w:hint="eastAsia" w:ascii="宋体" w:hAnsi="宋体" w:cs="宋体"/>
          <w:b/>
          <w:color w:val="auto"/>
          <w:sz w:val="24"/>
          <w:szCs w:val="24"/>
          <w:highlight w:val="none"/>
        </w:rPr>
      </w:pPr>
      <w:r>
        <w:rPr>
          <w:rFonts w:hint="eastAsia" w:ascii="宋体" w:hAnsi="宋体" w:cs="宋体"/>
          <w:b/>
          <w:color w:val="auto"/>
          <w:sz w:val="24"/>
          <w:szCs w:val="24"/>
          <w:highlight w:val="none"/>
        </w:rPr>
        <w:t>（一）价格分（</w:t>
      </w:r>
      <w:r>
        <w:rPr>
          <w:rFonts w:hint="eastAsia" w:ascii="宋体" w:hAnsi="宋体" w:cs="宋体"/>
          <w:b/>
          <w:color w:val="auto"/>
          <w:sz w:val="24"/>
          <w:szCs w:val="24"/>
          <w:highlight w:val="none"/>
          <w:lang w:val="en-US" w:eastAsia="zh-CN"/>
        </w:rPr>
        <w:t>30</w:t>
      </w:r>
      <w:r>
        <w:rPr>
          <w:rFonts w:hint="eastAsia" w:ascii="宋体" w:hAnsi="宋体" w:cs="宋体"/>
          <w:b/>
          <w:color w:val="auto"/>
          <w:sz w:val="24"/>
          <w:szCs w:val="24"/>
          <w:highlight w:val="none"/>
        </w:rPr>
        <w:t>分）</w:t>
      </w:r>
    </w:p>
    <w:p w14:paraId="3A321D07">
      <w:pPr>
        <w:keepNext w:val="0"/>
        <w:keepLines w:val="0"/>
        <w:pageBreakBefore w:val="0"/>
        <w:widowControl w:val="0"/>
        <w:kinsoku/>
        <w:wordWrap/>
        <w:overflowPunct/>
        <w:topLinePunct w:val="0"/>
        <w:autoSpaceDE/>
        <w:autoSpaceDN/>
        <w:bidi w:val="0"/>
        <w:adjustRightInd/>
        <w:spacing w:line="400" w:lineRule="exact"/>
        <w:ind w:firstLine="566" w:firstLineChars="236"/>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1.价格分采用低价优先法计算，即满足磋商文件要求且最后报价最低的供应商的价格为磋商基准价，其价格分为满分。其他供应商的价格分统一按照下列公式计算：</w:t>
      </w:r>
    </w:p>
    <w:p w14:paraId="540BE627">
      <w:pPr>
        <w:keepNext w:val="0"/>
        <w:keepLines w:val="0"/>
        <w:pageBreakBefore w:val="0"/>
        <w:widowControl w:val="0"/>
        <w:kinsoku/>
        <w:wordWrap/>
        <w:overflowPunct/>
        <w:topLinePunct w:val="0"/>
        <w:autoSpaceDE/>
        <w:autoSpaceDN/>
        <w:bidi w:val="0"/>
        <w:adjustRightInd/>
        <w:spacing w:line="400" w:lineRule="exact"/>
        <w:ind w:firstLine="566" w:firstLineChars="236"/>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磋商报价得分=（磋商基准价/最后磋商报价）×</w:t>
      </w:r>
      <w:r>
        <w:rPr>
          <w:rFonts w:hint="eastAsia" w:ascii="宋体" w:hAnsi="宋体" w:cs="宋体"/>
          <w:color w:val="auto"/>
          <w:sz w:val="24"/>
          <w:szCs w:val="24"/>
          <w:highlight w:val="none"/>
          <w:lang w:val="en-US" w:eastAsia="zh-CN"/>
        </w:rPr>
        <w:t>30</w:t>
      </w:r>
      <w:r>
        <w:rPr>
          <w:rFonts w:hint="eastAsia" w:ascii="宋体" w:hAnsi="宋体" w:cs="宋体"/>
          <w:color w:val="auto"/>
          <w:sz w:val="24"/>
          <w:szCs w:val="24"/>
          <w:highlight w:val="none"/>
        </w:rPr>
        <w:t>%×100</w:t>
      </w:r>
    </w:p>
    <w:p w14:paraId="4C0A3BD4">
      <w:pPr>
        <w:keepNext w:val="0"/>
        <w:keepLines w:val="0"/>
        <w:pageBreakBefore w:val="0"/>
        <w:widowControl w:val="0"/>
        <w:kinsoku/>
        <w:wordWrap/>
        <w:overflowPunct/>
        <w:topLinePunct w:val="0"/>
        <w:autoSpaceDE/>
        <w:autoSpaceDN/>
        <w:bidi w:val="0"/>
        <w:adjustRightInd/>
        <w:spacing w:line="400" w:lineRule="exact"/>
        <w:ind w:firstLine="566" w:firstLineChars="236"/>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.供应商的磋商报价超过</w:t>
      </w:r>
      <w:r>
        <w:rPr>
          <w:rFonts w:hint="eastAsia" w:ascii="宋体" w:hAnsi="宋体" w:cs="宋体"/>
          <w:color w:val="auto"/>
          <w:sz w:val="24"/>
          <w:szCs w:val="24"/>
          <w:highlight w:val="none"/>
          <w:lang w:val="en-US" w:eastAsia="zh-CN"/>
        </w:rPr>
        <w:t>最高限价</w:t>
      </w:r>
      <w:r>
        <w:rPr>
          <w:rFonts w:hint="eastAsia" w:ascii="宋体" w:hAnsi="宋体" w:cs="宋体"/>
          <w:color w:val="auto"/>
          <w:sz w:val="24"/>
          <w:szCs w:val="24"/>
          <w:highlight w:val="none"/>
        </w:rPr>
        <w:t>的，其响应无效。供应商报价低于项目预算50%的，应当在报价响应文件中详细阐述不影响</w:t>
      </w:r>
      <w:r>
        <w:rPr>
          <w:rFonts w:hint="eastAsia" w:ascii="宋体" w:hAnsi="宋体" w:cs="宋体"/>
          <w:color w:val="auto"/>
          <w:sz w:val="24"/>
          <w:szCs w:val="24"/>
          <w:highlight w:val="none"/>
          <w:lang w:val="en-US" w:eastAsia="zh-CN"/>
        </w:rPr>
        <w:t>工程</w:t>
      </w:r>
      <w:r>
        <w:rPr>
          <w:rFonts w:hint="eastAsia" w:ascii="宋体" w:hAnsi="宋体" w:cs="宋体"/>
          <w:color w:val="auto"/>
          <w:sz w:val="24"/>
          <w:szCs w:val="24"/>
          <w:highlight w:val="none"/>
        </w:rPr>
        <w:t>质量或者诚信履约的具体原因。磋商小组认为供应商的报价明显低于其他通过符合性审查供应商的报价，有可能影响</w:t>
      </w:r>
      <w:r>
        <w:rPr>
          <w:rFonts w:hint="eastAsia" w:ascii="宋体" w:hAnsi="宋体" w:cs="宋体"/>
          <w:color w:val="auto"/>
          <w:sz w:val="24"/>
          <w:szCs w:val="24"/>
          <w:highlight w:val="none"/>
          <w:lang w:val="en-US" w:eastAsia="zh-CN"/>
        </w:rPr>
        <w:t>施工</w:t>
      </w:r>
      <w:r>
        <w:rPr>
          <w:rFonts w:hint="eastAsia" w:ascii="宋体" w:hAnsi="宋体" w:cs="宋体"/>
          <w:color w:val="auto"/>
          <w:sz w:val="24"/>
          <w:szCs w:val="24"/>
          <w:highlight w:val="none"/>
        </w:rPr>
        <w:t>质量或者不能诚信履约的，应当要求其在磋商现场合理的时间内提供书面说明，必要时提交相关证明材料；供应商不能证明其报价合理性的，磋商小组应当将其作为无效响应处理。</w:t>
      </w:r>
    </w:p>
    <w:p w14:paraId="0B297207">
      <w:pPr>
        <w:keepNext w:val="0"/>
        <w:keepLines w:val="0"/>
        <w:pageBreakBefore w:val="0"/>
        <w:widowControl w:val="0"/>
        <w:kinsoku/>
        <w:wordWrap/>
        <w:overflowPunct/>
        <w:topLinePunct w:val="0"/>
        <w:autoSpaceDE/>
        <w:autoSpaceDN/>
        <w:bidi w:val="0"/>
        <w:adjustRightInd/>
        <w:spacing w:line="400" w:lineRule="exact"/>
        <w:ind w:firstLine="569" w:firstLineChars="236"/>
        <w:textAlignment w:val="auto"/>
        <w:rPr>
          <w:rFonts w:hint="eastAsia" w:ascii="宋体" w:hAnsi="宋体" w:cs="宋体"/>
          <w:b/>
          <w:color w:val="auto"/>
          <w:sz w:val="24"/>
          <w:szCs w:val="24"/>
          <w:highlight w:val="none"/>
        </w:rPr>
      </w:pPr>
      <w:r>
        <w:rPr>
          <w:rFonts w:hint="eastAsia" w:ascii="宋体" w:hAnsi="宋体" w:cs="宋体"/>
          <w:b/>
          <w:color w:val="auto"/>
          <w:sz w:val="24"/>
          <w:szCs w:val="24"/>
          <w:highlight w:val="none"/>
          <w:lang w:val="en-US" w:eastAsia="zh-CN"/>
        </w:rPr>
        <w:t>3</w:t>
      </w:r>
      <w:r>
        <w:rPr>
          <w:rFonts w:hint="eastAsia" w:ascii="宋体" w:hAnsi="宋体" w:cs="宋体"/>
          <w:b/>
          <w:color w:val="auto"/>
          <w:sz w:val="24"/>
          <w:szCs w:val="24"/>
          <w:highlight w:val="none"/>
        </w:rPr>
        <w:t>.</w:t>
      </w:r>
      <w:r>
        <w:rPr>
          <w:rFonts w:hint="eastAsia" w:ascii="宋体" w:hAnsi="宋体" w:cs="宋体"/>
          <w:b/>
          <w:color w:val="auto"/>
          <w:sz w:val="24"/>
          <w:szCs w:val="24"/>
          <w:highlight w:val="none"/>
          <w:lang w:val="en-US" w:eastAsia="zh-CN"/>
        </w:rPr>
        <w:t>最高</w:t>
      </w:r>
      <w:r>
        <w:rPr>
          <w:rFonts w:hint="eastAsia" w:ascii="宋体" w:hAnsi="宋体" w:cs="宋体"/>
          <w:b/>
          <w:color w:val="auto"/>
          <w:sz w:val="24"/>
          <w:szCs w:val="24"/>
          <w:highlight w:val="none"/>
        </w:rPr>
        <w:t>限价：本次采购设定</w:t>
      </w:r>
      <w:r>
        <w:rPr>
          <w:rFonts w:hint="eastAsia" w:ascii="宋体" w:hAnsi="宋体" w:cs="宋体"/>
          <w:b/>
          <w:color w:val="auto"/>
          <w:sz w:val="24"/>
          <w:szCs w:val="24"/>
          <w:highlight w:val="none"/>
          <w:lang w:val="en-US" w:eastAsia="zh-CN"/>
        </w:rPr>
        <w:t>最高限</w:t>
      </w:r>
      <w:r>
        <w:rPr>
          <w:rFonts w:hint="eastAsia" w:ascii="宋体" w:hAnsi="宋体" w:cs="宋体"/>
          <w:b/>
          <w:color w:val="auto"/>
          <w:sz w:val="24"/>
          <w:szCs w:val="24"/>
          <w:highlight w:val="none"/>
        </w:rPr>
        <w:t>价，</w:t>
      </w:r>
      <w:r>
        <w:rPr>
          <w:rFonts w:hint="eastAsia" w:ascii="宋体" w:hAnsi="宋体" w:cs="宋体"/>
          <w:b/>
          <w:color w:val="auto"/>
          <w:sz w:val="24"/>
          <w:highlight w:val="none"/>
        </w:rPr>
        <w:t>本项目报价</w:t>
      </w:r>
      <w:r>
        <w:rPr>
          <w:rFonts w:hint="eastAsia" w:ascii="宋体" w:hAnsi="宋体" w:cs="宋体"/>
          <w:b/>
          <w:color w:val="auto"/>
          <w:sz w:val="24"/>
          <w:highlight w:val="none"/>
          <w:lang w:val="en-US" w:eastAsia="zh-CN"/>
        </w:rPr>
        <w:t>最高限价为</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kern w:val="0"/>
          <w:sz w:val="24"/>
          <w:szCs w:val="24"/>
          <w:highlight w:val="none"/>
          <w:lang w:val="en-US" w:eastAsia="zh-CN" w:bidi="ar-SA"/>
        </w:rPr>
        <w:t>583739</w:t>
      </w:r>
      <w:r>
        <w:rPr>
          <w:rFonts w:hint="eastAsia" w:ascii="宋体" w:hAnsi="宋体" w:cs="宋体"/>
          <w:color w:val="auto"/>
          <w:sz w:val="24"/>
          <w:szCs w:val="24"/>
          <w:highlight w:val="none"/>
          <w:lang w:val="en-US" w:eastAsia="zh-CN"/>
        </w:rPr>
        <w:t>.00</w:t>
      </w:r>
      <w:r>
        <w:rPr>
          <w:rFonts w:hint="eastAsia" w:ascii="宋体" w:hAnsi="宋体" w:cs="宋体"/>
          <w:color w:val="auto"/>
          <w:sz w:val="24"/>
          <w:szCs w:val="24"/>
          <w:highlight w:val="none"/>
          <w:lang w:val="en-US" w:eastAsia="zh-CN"/>
        </w:rPr>
        <w:t>元</w:t>
      </w:r>
      <w:r>
        <w:rPr>
          <w:rFonts w:hint="eastAsia" w:ascii="宋体" w:hAnsi="宋体" w:cs="宋体"/>
          <w:b/>
          <w:color w:val="auto"/>
          <w:sz w:val="24"/>
          <w:highlight w:val="none"/>
          <w:lang w:val="en-US" w:eastAsia="zh-CN"/>
        </w:rPr>
        <w:t>。</w:t>
      </w:r>
      <w:r>
        <w:rPr>
          <w:rFonts w:hint="eastAsia" w:ascii="宋体" w:hAnsi="宋体" w:cs="宋体"/>
          <w:b/>
          <w:color w:val="auto"/>
          <w:sz w:val="24"/>
          <w:szCs w:val="24"/>
          <w:highlight w:val="none"/>
        </w:rPr>
        <w:t>磋</w:t>
      </w:r>
      <w:r>
        <w:rPr>
          <w:rFonts w:hint="eastAsia" w:ascii="宋体" w:hAnsi="宋体" w:cs="宋体"/>
          <w:b/>
          <w:color w:val="auto"/>
          <w:sz w:val="24"/>
          <w:szCs w:val="24"/>
          <w:highlight w:val="none"/>
        </w:rPr>
        <w:t>商报价高于</w:t>
      </w:r>
      <w:r>
        <w:rPr>
          <w:rFonts w:hint="eastAsia" w:ascii="宋体" w:hAnsi="宋体" w:cs="宋体"/>
          <w:b/>
          <w:color w:val="auto"/>
          <w:sz w:val="24"/>
          <w:szCs w:val="24"/>
          <w:highlight w:val="none"/>
          <w:lang w:val="en-US" w:eastAsia="zh-CN"/>
        </w:rPr>
        <w:t>最高</w:t>
      </w:r>
      <w:r>
        <w:rPr>
          <w:rFonts w:hint="eastAsia" w:ascii="宋体" w:hAnsi="宋体" w:cs="宋体"/>
          <w:b/>
          <w:color w:val="auto"/>
          <w:sz w:val="24"/>
          <w:szCs w:val="24"/>
          <w:highlight w:val="none"/>
        </w:rPr>
        <w:t>限价的响应文件无效。</w:t>
      </w:r>
    </w:p>
    <w:p w14:paraId="1C1498D1">
      <w:pPr>
        <w:keepNext w:val="0"/>
        <w:keepLines w:val="0"/>
        <w:pageBreakBefore w:val="0"/>
        <w:widowControl w:val="0"/>
        <w:kinsoku/>
        <w:wordWrap/>
        <w:overflowPunct/>
        <w:topLinePunct w:val="0"/>
        <w:autoSpaceDE/>
        <w:autoSpaceDN/>
        <w:bidi w:val="0"/>
        <w:adjustRightInd/>
        <w:spacing w:line="40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w:t>
      </w:r>
      <w:r>
        <w:rPr>
          <w:rFonts w:hint="eastAsia" w:ascii="宋体" w:hAnsi="宋体" w:cs="宋体"/>
          <w:b/>
          <w:color w:val="auto"/>
          <w:sz w:val="24"/>
          <w:szCs w:val="24"/>
          <w:highlight w:val="none"/>
        </w:rPr>
        <w:t>商务技术</w:t>
      </w:r>
      <w:r>
        <w:rPr>
          <w:rFonts w:hint="eastAsia" w:ascii="宋体" w:hAnsi="宋体" w:eastAsia="宋体" w:cs="宋体"/>
          <w:b/>
          <w:color w:val="auto"/>
          <w:sz w:val="24"/>
          <w:szCs w:val="24"/>
          <w:highlight w:val="none"/>
        </w:rPr>
        <w:t>分（</w:t>
      </w:r>
      <w:r>
        <w:rPr>
          <w:rFonts w:hint="eastAsia" w:ascii="宋体" w:hAnsi="宋体" w:cs="宋体"/>
          <w:b/>
          <w:color w:val="auto"/>
          <w:sz w:val="24"/>
          <w:szCs w:val="24"/>
          <w:highlight w:val="none"/>
          <w:lang w:val="en-US" w:eastAsia="zh-CN"/>
        </w:rPr>
        <w:t>70</w:t>
      </w:r>
      <w:r>
        <w:rPr>
          <w:rFonts w:hint="eastAsia" w:ascii="宋体" w:hAnsi="宋体" w:eastAsia="宋体" w:cs="宋体"/>
          <w:b/>
          <w:color w:val="auto"/>
          <w:sz w:val="24"/>
          <w:szCs w:val="24"/>
          <w:highlight w:val="none"/>
        </w:rPr>
        <w:t>分）</w:t>
      </w:r>
    </w:p>
    <w:tbl>
      <w:tblPr>
        <w:tblStyle w:val="24"/>
        <w:tblW w:w="9471"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2554"/>
        <w:gridCol w:w="6140"/>
      </w:tblGrid>
      <w:tr w14:paraId="4A687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right"/>
        </w:trPr>
        <w:tc>
          <w:tcPr>
            <w:tcW w:w="9471" w:type="dxa"/>
            <w:gridSpan w:val="3"/>
            <w:tcBorders>
              <w:top w:val="single" w:color="auto" w:sz="4" w:space="0"/>
              <w:left w:val="single" w:color="auto" w:sz="4" w:space="0"/>
              <w:bottom w:val="single" w:color="auto" w:sz="4" w:space="0"/>
              <w:right w:val="single" w:color="auto" w:sz="4" w:space="0"/>
            </w:tcBorders>
            <w:noWrap w:val="0"/>
            <w:vAlign w:val="center"/>
          </w:tcPr>
          <w:p w14:paraId="59693F83">
            <w:pPr>
              <w:spacing w:line="380" w:lineRule="exact"/>
              <w:ind w:firstLine="0" w:firstLineChars="0"/>
              <w:jc w:val="center"/>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评分标准及分值</w:t>
            </w:r>
          </w:p>
        </w:tc>
      </w:tr>
      <w:tr w14:paraId="3440A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right"/>
        </w:trPr>
        <w:tc>
          <w:tcPr>
            <w:tcW w:w="777" w:type="dxa"/>
            <w:vMerge w:val="restart"/>
            <w:tcBorders>
              <w:top w:val="single" w:color="auto" w:sz="4" w:space="0"/>
              <w:left w:val="single" w:color="auto" w:sz="4" w:space="0"/>
              <w:right w:val="single" w:color="auto" w:sz="4" w:space="0"/>
            </w:tcBorders>
            <w:noWrap w:val="0"/>
            <w:vAlign w:val="center"/>
          </w:tcPr>
          <w:p w14:paraId="37FD772F">
            <w:pPr>
              <w:spacing w:line="300" w:lineRule="auto"/>
              <w:ind w:firstLine="0" w:firstLineChars="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技术分</w:t>
            </w:r>
          </w:p>
          <w:p w14:paraId="6D69EB30">
            <w:pPr>
              <w:spacing w:line="300" w:lineRule="auto"/>
              <w:ind w:firstLine="0" w:firstLineChars="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70</w:t>
            </w:r>
            <w:r>
              <w:rPr>
                <w:rFonts w:hint="eastAsia" w:ascii="宋体" w:hAnsi="宋体" w:cs="宋体"/>
                <w:color w:val="auto"/>
                <w:sz w:val="21"/>
                <w:szCs w:val="21"/>
                <w:highlight w:val="none"/>
              </w:rPr>
              <w:t>分）</w:t>
            </w:r>
          </w:p>
        </w:tc>
        <w:tc>
          <w:tcPr>
            <w:tcW w:w="2554" w:type="dxa"/>
            <w:tcBorders>
              <w:top w:val="single" w:color="auto" w:sz="4" w:space="0"/>
              <w:left w:val="single" w:color="auto" w:sz="4" w:space="0"/>
              <w:right w:val="single" w:color="auto" w:sz="4" w:space="0"/>
            </w:tcBorders>
            <w:noWrap w:val="0"/>
            <w:vAlign w:val="center"/>
          </w:tcPr>
          <w:p w14:paraId="14A75B5C">
            <w:pPr>
              <w:spacing w:line="360" w:lineRule="auto"/>
              <w:ind w:left="0" w:leftChars="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施工部署及现场施工组织管理机构（</w:t>
            </w:r>
            <w:r>
              <w:rPr>
                <w:rFonts w:hint="eastAsia" w:ascii="宋体" w:hAnsi="宋体" w:cs="宋体"/>
                <w:color w:val="auto"/>
                <w:kern w:val="2"/>
                <w:sz w:val="21"/>
                <w:szCs w:val="21"/>
                <w:highlight w:val="none"/>
                <w:lang w:val="en-US" w:eastAsia="zh-CN" w:bidi="ar-SA"/>
              </w:rPr>
              <w:t>6</w:t>
            </w:r>
            <w:r>
              <w:rPr>
                <w:rFonts w:hint="eastAsia" w:ascii="宋体" w:hAnsi="宋体" w:eastAsia="宋体" w:cs="宋体"/>
                <w:color w:val="auto"/>
                <w:kern w:val="2"/>
                <w:sz w:val="21"/>
                <w:szCs w:val="21"/>
                <w:highlight w:val="none"/>
                <w:lang w:val="en-US" w:eastAsia="zh-CN" w:bidi="ar-SA"/>
              </w:rPr>
              <w:t>-9分）</w:t>
            </w:r>
          </w:p>
        </w:tc>
        <w:tc>
          <w:tcPr>
            <w:tcW w:w="6140" w:type="dxa"/>
            <w:tcBorders>
              <w:top w:val="single" w:color="auto" w:sz="4" w:space="0"/>
              <w:left w:val="single" w:color="auto" w:sz="4" w:space="0"/>
              <w:bottom w:val="single" w:color="auto" w:sz="4" w:space="0"/>
              <w:right w:val="single" w:color="auto" w:sz="4" w:space="0"/>
            </w:tcBorders>
            <w:noWrap w:val="0"/>
            <w:vAlign w:val="center"/>
          </w:tcPr>
          <w:p w14:paraId="70275505">
            <w:pPr>
              <w:pStyle w:val="22"/>
              <w:snapToGrid w:val="0"/>
              <w:spacing w:line="30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根据投标人提供的</w:t>
            </w:r>
            <w:r>
              <w:rPr>
                <w:rFonts w:hint="eastAsia" w:ascii="宋体" w:hAnsi="宋体" w:eastAsia="宋体" w:cs="宋体"/>
                <w:color w:val="auto"/>
                <w:kern w:val="2"/>
                <w:sz w:val="21"/>
                <w:szCs w:val="21"/>
                <w:highlight w:val="none"/>
                <w:lang w:val="en-US" w:eastAsia="zh-CN" w:bidi="ar-SA"/>
              </w:rPr>
              <w:t>施工部署及现场施工组织管理机构</w:t>
            </w:r>
            <w:r>
              <w:rPr>
                <w:rFonts w:hint="eastAsia" w:ascii="宋体" w:hAnsi="宋体" w:eastAsia="宋体" w:cs="宋体"/>
                <w:bCs/>
                <w:color w:val="auto"/>
                <w:sz w:val="21"/>
                <w:szCs w:val="21"/>
                <w:highlight w:val="none"/>
              </w:rPr>
              <w:t>内容，</w:t>
            </w:r>
            <w:r>
              <w:rPr>
                <w:rFonts w:hint="eastAsia" w:ascii="宋体" w:hAnsi="宋体" w:eastAsia="宋体" w:cs="宋体"/>
                <w:color w:val="auto"/>
                <w:sz w:val="21"/>
                <w:szCs w:val="21"/>
                <w:highlight w:val="none"/>
              </w:rPr>
              <w:t>由评委综合评分，</w:t>
            </w:r>
            <w:r>
              <w:rPr>
                <w:rFonts w:hint="eastAsia" w:ascii="宋体" w:hAnsi="宋体" w:cs="宋体"/>
                <w:bCs/>
                <w:color w:val="auto"/>
                <w:sz w:val="21"/>
                <w:szCs w:val="21"/>
                <w:highlight w:val="none"/>
                <w:lang w:val="en-US" w:eastAsia="zh-CN"/>
              </w:rPr>
              <w:t>6</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分；</w:t>
            </w:r>
            <w:r>
              <w:rPr>
                <w:rFonts w:hint="eastAsia" w:ascii="宋体" w:hAnsi="宋体" w:eastAsia="宋体" w:cs="宋体"/>
                <w:bCs/>
                <w:color w:val="auto"/>
                <w:sz w:val="21"/>
                <w:szCs w:val="21"/>
                <w:highlight w:val="none"/>
                <w:lang w:val="en-US" w:eastAsia="zh-CN"/>
              </w:rPr>
              <w:t>内容不</w:t>
            </w:r>
            <w:r>
              <w:rPr>
                <w:rFonts w:hint="eastAsia" w:ascii="宋体" w:hAnsi="宋体" w:eastAsia="宋体" w:cs="宋体"/>
                <w:bCs/>
                <w:color w:val="auto"/>
                <w:sz w:val="21"/>
                <w:szCs w:val="21"/>
                <w:highlight w:val="none"/>
              </w:rPr>
              <w:t>能满足招标要求或未表述的不得分。</w:t>
            </w:r>
          </w:p>
        </w:tc>
      </w:tr>
      <w:tr w14:paraId="15968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right"/>
        </w:trPr>
        <w:tc>
          <w:tcPr>
            <w:tcW w:w="777" w:type="dxa"/>
            <w:vMerge w:val="continue"/>
            <w:tcBorders>
              <w:left w:val="single" w:color="auto" w:sz="4" w:space="0"/>
              <w:right w:val="single" w:color="auto" w:sz="4" w:space="0"/>
            </w:tcBorders>
            <w:noWrap w:val="0"/>
            <w:vAlign w:val="center"/>
          </w:tcPr>
          <w:p w14:paraId="2F8C439F">
            <w:pPr>
              <w:spacing w:line="300" w:lineRule="auto"/>
              <w:ind w:firstLine="0" w:firstLineChars="0"/>
              <w:rPr>
                <w:rFonts w:hint="eastAsia" w:ascii="宋体" w:hAnsi="宋体" w:cs="宋体"/>
                <w:color w:val="auto"/>
                <w:sz w:val="21"/>
                <w:szCs w:val="21"/>
                <w:highlight w:val="none"/>
              </w:rPr>
            </w:pPr>
          </w:p>
        </w:tc>
        <w:tc>
          <w:tcPr>
            <w:tcW w:w="2554" w:type="dxa"/>
            <w:tcBorders>
              <w:top w:val="single" w:color="auto" w:sz="4" w:space="0"/>
              <w:left w:val="single" w:color="auto" w:sz="4" w:space="0"/>
              <w:right w:val="single" w:color="auto" w:sz="4" w:space="0"/>
            </w:tcBorders>
            <w:noWrap w:val="0"/>
            <w:vAlign w:val="center"/>
          </w:tcPr>
          <w:p w14:paraId="38E8EE22">
            <w:pPr>
              <w:spacing w:line="360" w:lineRule="auto"/>
              <w:ind w:left="0" w:leftChars="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施工总进度计划及保证措施（</w:t>
            </w:r>
            <w:r>
              <w:rPr>
                <w:rFonts w:hint="eastAsia" w:ascii="宋体" w:hAnsi="宋体" w:cs="宋体"/>
                <w:color w:val="auto"/>
                <w:kern w:val="2"/>
                <w:sz w:val="21"/>
                <w:szCs w:val="21"/>
                <w:highlight w:val="none"/>
                <w:lang w:val="en-US" w:eastAsia="zh-CN" w:bidi="ar-SA"/>
              </w:rPr>
              <w:t>6</w:t>
            </w:r>
            <w:r>
              <w:rPr>
                <w:rFonts w:hint="eastAsia" w:ascii="宋体" w:hAnsi="宋体" w:eastAsia="宋体" w:cs="宋体"/>
                <w:color w:val="auto"/>
                <w:kern w:val="2"/>
                <w:sz w:val="21"/>
                <w:szCs w:val="21"/>
                <w:highlight w:val="none"/>
                <w:lang w:val="en-US" w:eastAsia="zh-CN" w:bidi="ar-SA"/>
              </w:rPr>
              <w:t>-10分）</w:t>
            </w:r>
          </w:p>
        </w:tc>
        <w:tc>
          <w:tcPr>
            <w:tcW w:w="6140" w:type="dxa"/>
            <w:tcBorders>
              <w:top w:val="single" w:color="auto" w:sz="4" w:space="0"/>
              <w:left w:val="single" w:color="auto" w:sz="4" w:space="0"/>
              <w:bottom w:val="single" w:color="auto" w:sz="4" w:space="0"/>
              <w:right w:val="single" w:color="auto" w:sz="4" w:space="0"/>
            </w:tcBorders>
            <w:noWrap w:val="0"/>
            <w:vAlign w:val="center"/>
          </w:tcPr>
          <w:p w14:paraId="291AB25A">
            <w:pPr>
              <w:adjustRightInd w:val="0"/>
              <w:snapToGrid w:val="0"/>
              <w:spacing w:line="300" w:lineRule="auto"/>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根据投标人提供的</w:t>
            </w:r>
            <w:r>
              <w:rPr>
                <w:rFonts w:hint="eastAsia" w:ascii="宋体" w:hAnsi="宋体" w:eastAsia="宋体" w:cs="宋体"/>
                <w:color w:val="auto"/>
                <w:kern w:val="2"/>
                <w:sz w:val="21"/>
                <w:szCs w:val="21"/>
                <w:highlight w:val="none"/>
                <w:lang w:val="en-US" w:eastAsia="zh-CN" w:bidi="ar-SA"/>
              </w:rPr>
              <w:t>施工总进度计划及保证措施</w:t>
            </w:r>
            <w:r>
              <w:rPr>
                <w:rFonts w:hint="eastAsia" w:ascii="宋体" w:hAnsi="宋体" w:eastAsia="宋体" w:cs="宋体"/>
                <w:bCs/>
                <w:color w:val="auto"/>
                <w:sz w:val="21"/>
                <w:szCs w:val="21"/>
                <w:highlight w:val="none"/>
              </w:rPr>
              <w:t>内容，</w:t>
            </w:r>
            <w:r>
              <w:rPr>
                <w:rFonts w:hint="eastAsia" w:ascii="宋体" w:hAnsi="宋体" w:eastAsia="宋体" w:cs="宋体"/>
                <w:color w:val="auto"/>
                <w:sz w:val="21"/>
                <w:szCs w:val="21"/>
                <w:highlight w:val="none"/>
              </w:rPr>
              <w:t>由评委综合评分，</w:t>
            </w:r>
            <w:r>
              <w:rPr>
                <w:rFonts w:hint="eastAsia" w:ascii="宋体" w:hAnsi="宋体" w:cs="宋体"/>
                <w:bCs/>
                <w:color w:val="auto"/>
                <w:sz w:val="21"/>
                <w:szCs w:val="21"/>
                <w:highlight w:val="none"/>
                <w:lang w:val="en-US" w:eastAsia="zh-CN"/>
              </w:rPr>
              <w:t>6</w:t>
            </w:r>
            <w:r>
              <w:rPr>
                <w:rFonts w:hint="eastAsia" w:ascii="宋体" w:hAnsi="宋体" w:eastAsia="宋体" w:cs="宋体"/>
                <w:bCs/>
                <w:color w:val="auto"/>
                <w:sz w:val="21"/>
                <w:szCs w:val="21"/>
                <w:highlight w:val="none"/>
                <w:lang w:val="en-US" w:eastAsia="zh-CN"/>
              </w:rPr>
              <w:t>-10</w:t>
            </w:r>
            <w:r>
              <w:rPr>
                <w:rFonts w:hint="eastAsia" w:ascii="宋体" w:hAnsi="宋体" w:eastAsia="宋体" w:cs="宋体"/>
                <w:color w:val="auto"/>
                <w:sz w:val="21"/>
                <w:szCs w:val="21"/>
                <w:highlight w:val="none"/>
              </w:rPr>
              <w:t>分；</w:t>
            </w:r>
            <w:r>
              <w:rPr>
                <w:rFonts w:hint="eastAsia" w:ascii="宋体" w:hAnsi="宋体" w:eastAsia="宋体" w:cs="宋体"/>
                <w:bCs/>
                <w:color w:val="auto"/>
                <w:sz w:val="21"/>
                <w:szCs w:val="21"/>
                <w:highlight w:val="none"/>
                <w:lang w:val="en-US" w:eastAsia="zh-CN"/>
              </w:rPr>
              <w:t>内容不</w:t>
            </w:r>
            <w:r>
              <w:rPr>
                <w:rFonts w:hint="eastAsia" w:ascii="宋体" w:hAnsi="宋体" w:eastAsia="宋体" w:cs="宋体"/>
                <w:bCs/>
                <w:color w:val="auto"/>
                <w:sz w:val="21"/>
                <w:szCs w:val="21"/>
                <w:highlight w:val="none"/>
              </w:rPr>
              <w:t>能满足招标要求或未表述的不得分。</w:t>
            </w:r>
          </w:p>
        </w:tc>
      </w:tr>
      <w:tr w14:paraId="3E2BF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right"/>
        </w:trPr>
        <w:tc>
          <w:tcPr>
            <w:tcW w:w="777" w:type="dxa"/>
            <w:vMerge w:val="continue"/>
            <w:tcBorders>
              <w:left w:val="single" w:color="auto" w:sz="4" w:space="0"/>
              <w:right w:val="single" w:color="auto" w:sz="4" w:space="0"/>
            </w:tcBorders>
            <w:noWrap w:val="0"/>
            <w:vAlign w:val="center"/>
          </w:tcPr>
          <w:p w14:paraId="4C9A15B1">
            <w:pPr>
              <w:spacing w:line="300" w:lineRule="auto"/>
              <w:ind w:firstLine="0" w:firstLineChars="0"/>
              <w:rPr>
                <w:rFonts w:hint="eastAsia" w:ascii="宋体" w:hAnsi="宋体" w:cs="宋体"/>
                <w:color w:val="auto"/>
                <w:sz w:val="21"/>
                <w:szCs w:val="21"/>
                <w:highlight w:val="none"/>
              </w:rPr>
            </w:pPr>
          </w:p>
        </w:tc>
        <w:tc>
          <w:tcPr>
            <w:tcW w:w="2554" w:type="dxa"/>
            <w:tcBorders>
              <w:top w:val="single" w:color="auto" w:sz="4" w:space="0"/>
              <w:left w:val="single" w:color="auto" w:sz="4" w:space="0"/>
              <w:right w:val="single" w:color="auto" w:sz="4" w:space="0"/>
            </w:tcBorders>
            <w:noWrap w:val="0"/>
            <w:vAlign w:val="center"/>
          </w:tcPr>
          <w:p w14:paraId="64B39FB5">
            <w:pPr>
              <w:spacing w:line="360" w:lineRule="auto"/>
              <w:ind w:left="0" w:leftChars="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劳动力配备计划</w:t>
            </w:r>
          </w:p>
          <w:p w14:paraId="61D7CA92">
            <w:pPr>
              <w:spacing w:line="360" w:lineRule="auto"/>
              <w:ind w:left="0" w:leftChars="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w:t>
            </w:r>
            <w:r>
              <w:rPr>
                <w:rFonts w:hint="eastAsia" w:ascii="宋体" w:hAnsi="宋体" w:cs="宋体"/>
                <w:color w:val="auto"/>
                <w:kern w:val="2"/>
                <w:sz w:val="21"/>
                <w:szCs w:val="21"/>
                <w:highlight w:val="none"/>
                <w:lang w:val="en-US" w:eastAsia="zh-CN" w:bidi="ar-SA"/>
              </w:rPr>
              <w:t>4</w:t>
            </w:r>
            <w:r>
              <w:rPr>
                <w:rFonts w:hint="eastAsia" w:ascii="宋体" w:hAnsi="宋体" w:eastAsia="宋体" w:cs="宋体"/>
                <w:color w:val="auto"/>
                <w:kern w:val="2"/>
                <w:sz w:val="21"/>
                <w:szCs w:val="21"/>
                <w:highlight w:val="none"/>
                <w:lang w:val="en-US" w:eastAsia="zh-CN" w:bidi="ar-SA"/>
              </w:rPr>
              <w:t>-8分）</w:t>
            </w:r>
          </w:p>
        </w:tc>
        <w:tc>
          <w:tcPr>
            <w:tcW w:w="6140" w:type="dxa"/>
            <w:tcBorders>
              <w:top w:val="single" w:color="auto" w:sz="4" w:space="0"/>
              <w:left w:val="single" w:color="auto" w:sz="4" w:space="0"/>
              <w:bottom w:val="single" w:color="auto" w:sz="4" w:space="0"/>
              <w:right w:val="single" w:color="auto" w:sz="4" w:space="0"/>
            </w:tcBorders>
            <w:noWrap w:val="0"/>
            <w:vAlign w:val="center"/>
          </w:tcPr>
          <w:p w14:paraId="096C1680">
            <w:pPr>
              <w:spacing w:line="300" w:lineRule="auto"/>
              <w:ind w:firstLine="0" w:firstLineChars="0"/>
              <w:contextualSpacing/>
              <w:jc w:val="left"/>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根据投标人提供的</w:t>
            </w:r>
            <w:r>
              <w:rPr>
                <w:rFonts w:hint="eastAsia" w:ascii="宋体" w:hAnsi="宋体" w:eastAsia="宋体" w:cs="宋体"/>
                <w:color w:val="auto"/>
                <w:kern w:val="2"/>
                <w:sz w:val="21"/>
                <w:szCs w:val="21"/>
                <w:highlight w:val="none"/>
                <w:lang w:val="en-US" w:eastAsia="zh-CN" w:bidi="ar-SA"/>
              </w:rPr>
              <w:t>劳动力配备计划</w:t>
            </w:r>
            <w:r>
              <w:rPr>
                <w:rFonts w:hint="eastAsia" w:ascii="宋体" w:hAnsi="宋体" w:eastAsia="宋体" w:cs="宋体"/>
                <w:bCs/>
                <w:color w:val="auto"/>
                <w:sz w:val="21"/>
                <w:szCs w:val="21"/>
                <w:highlight w:val="none"/>
              </w:rPr>
              <w:t>内容，</w:t>
            </w:r>
            <w:r>
              <w:rPr>
                <w:rFonts w:hint="eastAsia" w:ascii="宋体" w:hAnsi="宋体" w:eastAsia="宋体" w:cs="宋体"/>
                <w:color w:val="auto"/>
                <w:sz w:val="21"/>
                <w:szCs w:val="21"/>
                <w:highlight w:val="none"/>
              </w:rPr>
              <w:t>由评委综合评分，</w:t>
            </w:r>
            <w:r>
              <w:rPr>
                <w:rFonts w:hint="eastAsia" w:ascii="宋体" w:hAnsi="宋体" w:cs="宋体"/>
                <w:color w:val="auto"/>
                <w:sz w:val="21"/>
                <w:szCs w:val="21"/>
                <w:highlight w:val="none"/>
                <w:lang w:val="en-US" w:eastAsia="zh-CN"/>
              </w:rPr>
              <w:t>4</w:t>
            </w:r>
            <w:r>
              <w:rPr>
                <w:rFonts w:hint="eastAsia" w:ascii="宋体" w:hAnsi="宋体" w:eastAsia="宋体" w:cs="宋体"/>
                <w:bCs/>
                <w:color w:val="auto"/>
                <w:sz w:val="21"/>
                <w:szCs w:val="21"/>
                <w:highlight w:val="none"/>
                <w:lang w:val="en-US" w:eastAsia="zh-CN"/>
              </w:rPr>
              <w:t>-8</w:t>
            </w:r>
            <w:r>
              <w:rPr>
                <w:rFonts w:hint="eastAsia" w:ascii="宋体" w:hAnsi="宋体" w:eastAsia="宋体" w:cs="宋体"/>
                <w:color w:val="auto"/>
                <w:sz w:val="21"/>
                <w:szCs w:val="21"/>
                <w:highlight w:val="none"/>
              </w:rPr>
              <w:t>分；</w:t>
            </w:r>
            <w:r>
              <w:rPr>
                <w:rFonts w:hint="eastAsia" w:ascii="宋体" w:hAnsi="宋体" w:eastAsia="宋体" w:cs="宋体"/>
                <w:bCs/>
                <w:color w:val="auto"/>
                <w:sz w:val="21"/>
                <w:szCs w:val="21"/>
                <w:highlight w:val="none"/>
                <w:lang w:val="en-US" w:eastAsia="zh-CN"/>
              </w:rPr>
              <w:t>内容不</w:t>
            </w:r>
            <w:r>
              <w:rPr>
                <w:rFonts w:hint="eastAsia" w:ascii="宋体" w:hAnsi="宋体" w:eastAsia="宋体" w:cs="宋体"/>
                <w:bCs/>
                <w:color w:val="auto"/>
                <w:sz w:val="21"/>
                <w:szCs w:val="21"/>
                <w:highlight w:val="none"/>
              </w:rPr>
              <w:t>能满足招标要求或未表述的不得分。</w:t>
            </w:r>
          </w:p>
        </w:tc>
      </w:tr>
      <w:tr w14:paraId="7F9BF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right"/>
        </w:trPr>
        <w:tc>
          <w:tcPr>
            <w:tcW w:w="777" w:type="dxa"/>
            <w:vMerge w:val="continue"/>
            <w:tcBorders>
              <w:left w:val="single" w:color="auto" w:sz="4" w:space="0"/>
              <w:right w:val="single" w:color="auto" w:sz="4" w:space="0"/>
            </w:tcBorders>
            <w:noWrap w:val="0"/>
            <w:vAlign w:val="center"/>
          </w:tcPr>
          <w:p w14:paraId="7C71945A">
            <w:pPr>
              <w:spacing w:line="300" w:lineRule="auto"/>
              <w:ind w:firstLine="0" w:firstLineChars="0"/>
              <w:rPr>
                <w:rFonts w:hint="eastAsia" w:ascii="宋体" w:hAnsi="宋体" w:cs="宋体"/>
                <w:color w:val="auto"/>
                <w:sz w:val="21"/>
                <w:szCs w:val="21"/>
                <w:highlight w:val="none"/>
              </w:rPr>
            </w:pPr>
          </w:p>
        </w:tc>
        <w:tc>
          <w:tcPr>
            <w:tcW w:w="2554" w:type="dxa"/>
            <w:tcBorders>
              <w:top w:val="single" w:color="auto" w:sz="4" w:space="0"/>
              <w:left w:val="single" w:color="auto" w:sz="4" w:space="0"/>
              <w:right w:val="single" w:color="auto" w:sz="4" w:space="0"/>
            </w:tcBorders>
            <w:noWrap w:val="0"/>
            <w:vAlign w:val="center"/>
          </w:tcPr>
          <w:p w14:paraId="6067A03D">
            <w:pPr>
              <w:spacing w:line="360" w:lineRule="auto"/>
              <w:ind w:left="0" w:leftChars="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现场投入主要机械设备及检测仪器（</w:t>
            </w:r>
            <w:r>
              <w:rPr>
                <w:rFonts w:hint="eastAsia" w:ascii="宋体" w:hAnsi="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US" w:eastAsia="zh-CN" w:bidi="ar-SA"/>
              </w:rPr>
              <w:t>-5分）</w:t>
            </w:r>
          </w:p>
        </w:tc>
        <w:tc>
          <w:tcPr>
            <w:tcW w:w="6140" w:type="dxa"/>
            <w:tcBorders>
              <w:top w:val="single" w:color="auto" w:sz="4" w:space="0"/>
              <w:left w:val="single" w:color="auto" w:sz="4" w:space="0"/>
              <w:bottom w:val="single" w:color="auto" w:sz="4" w:space="0"/>
              <w:right w:val="single" w:color="auto" w:sz="4" w:space="0"/>
            </w:tcBorders>
            <w:noWrap w:val="0"/>
            <w:vAlign w:val="center"/>
          </w:tcPr>
          <w:p w14:paraId="6DD1C4E1">
            <w:pPr>
              <w:pStyle w:val="22"/>
              <w:snapToGrid w:val="0"/>
              <w:spacing w:line="30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根据投标人提供的</w:t>
            </w:r>
            <w:r>
              <w:rPr>
                <w:rFonts w:hint="eastAsia" w:ascii="宋体" w:hAnsi="宋体" w:eastAsia="宋体" w:cs="宋体"/>
                <w:color w:val="auto"/>
                <w:kern w:val="2"/>
                <w:sz w:val="21"/>
                <w:szCs w:val="21"/>
                <w:highlight w:val="none"/>
                <w:lang w:val="en-US" w:eastAsia="zh-CN" w:bidi="ar-SA"/>
              </w:rPr>
              <w:t>现场投入主要机械设备及检测仪器</w:t>
            </w:r>
            <w:r>
              <w:rPr>
                <w:rFonts w:hint="eastAsia" w:ascii="宋体" w:hAnsi="宋体" w:eastAsia="宋体" w:cs="宋体"/>
                <w:bCs/>
                <w:color w:val="auto"/>
                <w:sz w:val="21"/>
                <w:szCs w:val="21"/>
                <w:highlight w:val="none"/>
              </w:rPr>
              <w:t>内容，</w:t>
            </w:r>
            <w:r>
              <w:rPr>
                <w:rFonts w:hint="eastAsia" w:ascii="宋体" w:hAnsi="宋体" w:eastAsia="宋体" w:cs="宋体"/>
                <w:color w:val="auto"/>
                <w:sz w:val="21"/>
                <w:szCs w:val="21"/>
                <w:highlight w:val="none"/>
              </w:rPr>
              <w:t>由评委综合评分，</w:t>
            </w:r>
            <w:r>
              <w:rPr>
                <w:rFonts w:hint="eastAsia" w:ascii="宋体" w:hAnsi="宋体" w:cs="宋体"/>
                <w:bCs/>
                <w:color w:val="auto"/>
                <w:sz w:val="21"/>
                <w:szCs w:val="21"/>
                <w:highlight w:val="none"/>
                <w:lang w:val="en-US" w:eastAsia="zh-CN"/>
              </w:rPr>
              <w:t>2</w:t>
            </w:r>
            <w:r>
              <w:rPr>
                <w:rFonts w:hint="eastAsia" w:ascii="宋体" w:hAnsi="宋体" w:eastAsia="宋体" w:cs="宋体"/>
                <w:bCs/>
                <w:color w:val="auto"/>
                <w:sz w:val="21"/>
                <w:szCs w:val="21"/>
                <w:highlight w:val="none"/>
                <w:lang w:val="en-US" w:eastAsia="zh-CN"/>
              </w:rPr>
              <w:t>-</w:t>
            </w:r>
            <w:r>
              <w:rPr>
                <w:rFonts w:hint="eastAsia" w:ascii="宋体" w:hAnsi="宋体" w:cs="宋体"/>
                <w:bCs/>
                <w:color w:val="auto"/>
                <w:sz w:val="21"/>
                <w:szCs w:val="21"/>
                <w:highlight w:val="none"/>
                <w:lang w:val="en-US" w:eastAsia="zh-CN"/>
              </w:rPr>
              <w:t>5</w:t>
            </w:r>
            <w:r>
              <w:rPr>
                <w:rFonts w:hint="eastAsia" w:ascii="宋体" w:hAnsi="宋体" w:eastAsia="宋体" w:cs="宋体"/>
                <w:color w:val="auto"/>
                <w:sz w:val="21"/>
                <w:szCs w:val="21"/>
                <w:highlight w:val="none"/>
              </w:rPr>
              <w:t>分；</w:t>
            </w:r>
            <w:r>
              <w:rPr>
                <w:rFonts w:hint="eastAsia" w:ascii="宋体" w:hAnsi="宋体" w:eastAsia="宋体" w:cs="宋体"/>
                <w:bCs/>
                <w:color w:val="auto"/>
                <w:sz w:val="21"/>
                <w:szCs w:val="21"/>
                <w:highlight w:val="none"/>
                <w:lang w:val="en-US" w:eastAsia="zh-CN"/>
              </w:rPr>
              <w:t>内容不</w:t>
            </w:r>
            <w:r>
              <w:rPr>
                <w:rFonts w:hint="eastAsia" w:ascii="宋体" w:hAnsi="宋体" w:eastAsia="宋体" w:cs="宋体"/>
                <w:bCs/>
                <w:color w:val="auto"/>
                <w:sz w:val="21"/>
                <w:szCs w:val="21"/>
                <w:highlight w:val="none"/>
              </w:rPr>
              <w:t>能满足招标要求或未表述的不得分。</w:t>
            </w:r>
          </w:p>
        </w:tc>
      </w:tr>
      <w:tr w14:paraId="3E969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right"/>
        </w:trPr>
        <w:tc>
          <w:tcPr>
            <w:tcW w:w="777" w:type="dxa"/>
            <w:vMerge w:val="continue"/>
            <w:tcBorders>
              <w:left w:val="single" w:color="auto" w:sz="4" w:space="0"/>
              <w:right w:val="single" w:color="auto" w:sz="4" w:space="0"/>
            </w:tcBorders>
            <w:noWrap w:val="0"/>
            <w:vAlign w:val="center"/>
          </w:tcPr>
          <w:p w14:paraId="32591F06">
            <w:pPr>
              <w:spacing w:line="300" w:lineRule="auto"/>
              <w:ind w:firstLine="0" w:firstLineChars="0"/>
              <w:rPr>
                <w:rFonts w:hint="eastAsia" w:ascii="宋体" w:hAnsi="宋体" w:cs="宋体"/>
                <w:color w:val="auto"/>
                <w:sz w:val="21"/>
                <w:szCs w:val="21"/>
                <w:highlight w:val="none"/>
              </w:rPr>
            </w:pPr>
          </w:p>
        </w:tc>
        <w:tc>
          <w:tcPr>
            <w:tcW w:w="2554" w:type="dxa"/>
            <w:tcBorders>
              <w:top w:val="single" w:color="auto" w:sz="4" w:space="0"/>
              <w:left w:val="single" w:color="auto" w:sz="4" w:space="0"/>
              <w:right w:val="single" w:color="auto" w:sz="4" w:space="0"/>
            </w:tcBorders>
            <w:noWrap w:val="0"/>
            <w:vAlign w:val="center"/>
          </w:tcPr>
          <w:p w14:paraId="2E81F1E7">
            <w:pPr>
              <w:spacing w:line="360" w:lineRule="auto"/>
              <w:ind w:left="0" w:leftChars="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主要材料、构配件供应进度计划（</w:t>
            </w:r>
            <w:r>
              <w:rPr>
                <w:rFonts w:hint="eastAsia" w:ascii="宋体" w:hAnsi="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US" w:eastAsia="zh-CN" w:bidi="ar-SA"/>
              </w:rPr>
              <w:t>-5分）</w:t>
            </w:r>
          </w:p>
        </w:tc>
        <w:tc>
          <w:tcPr>
            <w:tcW w:w="6140" w:type="dxa"/>
            <w:tcBorders>
              <w:top w:val="single" w:color="auto" w:sz="4" w:space="0"/>
              <w:left w:val="single" w:color="auto" w:sz="4" w:space="0"/>
              <w:bottom w:val="single" w:color="auto" w:sz="4" w:space="0"/>
              <w:right w:val="single" w:color="auto" w:sz="4" w:space="0"/>
            </w:tcBorders>
            <w:noWrap w:val="0"/>
            <w:vAlign w:val="center"/>
          </w:tcPr>
          <w:p w14:paraId="09BE13F0">
            <w:pPr>
              <w:pStyle w:val="22"/>
              <w:snapToGrid w:val="0"/>
              <w:spacing w:line="30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根据投标人提供的</w:t>
            </w:r>
            <w:r>
              <w:rPr>
                <w:rFonts w:hint="eastAsia" w:ascii="宋体" w:hAnsi="宋体" w:eastAsia="宋体" w:cs="宋体"/>
                <w:color w:val="auto"/>
                <w:kern w:val="2"/>
                <w:sz w:val="21"/>
                <w:szCs w:val="21"/>
                <w:highlight w:val="none"/>
                <w:lang w:val="en-US" w:eastAsia="zh-CN" w:bidi="ar-SA"/>
              </w:rPr>
              <w:t>主要材料、构配件供应进度计划</w:t>
            </w:r>
            <w:r>
              <w:rPr>
                <w:rFonts w:hint="eastAsia" w:ascii="宋体" w:hAnsi="宋体" w:eastAsia="宋体" w:cs="宋体"/>
                <w:bCs/>
                <w:color w:val="auto"/>
                <w:sz w:val="21"/>
                <w:szCs w:val="21"/>
                <w:highlight w:val="none"/>
              </w:rPr>
              <w:t>内容，</w:t>
            </w:r>
            <w:r>
              <w:rPr>
                <w:rFonts w:hint="eastAsia" w:ascii="宋体" w:hAnsi="宋体" w:eastAsia="宋体" w:cs="宋体"/>
                <w:color w:val="auto"/>
                <w:sz w:val="21"/>
                <w:szCs w:val="21"/>
                <w:highlight w:val="none"/>
              </w:rPr>
              <w:t>由评委综合评分，</w:t>
            </w:r>
            <w:r>
              <w:rPr>
                <w:rFonts w:hint="eastAsia" w:ascii="宋体" w:hAnsi="宋体" w:cs="宋体"/>
                <w:bCs/>
                <w:color w:val="auto"/>
                <w:sz w:val="21"/>
                <w:szCs w:val="21"/>
                <w:highlight w:val="none"/>
                <w:lang w:val="en-US" w:eastAsia="zh-CN"/>
              </w:rPr>
              <w:t>2</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w:t>
            </w:r>
            <w:r>
              <w:rPr>
                <w:rFonts w:hint="eastAsia" w:ascii="宋体" w:hAnsi="宋体" w:eastAsia="宋体" w:cs="宋体"/>
                <w:bCs/>
                <w:color w:val="auto"/>
                <w:sz w:val="21"/>
                <w:szCs w:val="21"/>
                <w:highlight w:val="none"/>
                <w:lang w:val="en-US" w:eastAsia="zh-CN"/>
              </w:rPr>
              <w:t>内容不</w:t>
            </w:r>
            <w:r>
              <w:rPr>
                <w:rFonts w:hint="eastAsia" w:ascii="宋体" w:hAnsi="宋体" w:eastAsia="宋体" w:cs="宋体"/>
                <w:bCs/>
                <w:color w:val="auto"/>
                <w:sz w:val="21"/>
                <w:szCs w:val="21"/>
                <w:highlight w:val="none"/>
              </w:rPr>
              <w:t>能满足招标要求或未表述的不得分。</w:t>
            </w:r>
          </w:p>
        </w:tc>
      </w:tr>
      <w:tr w14:paraId="1DA98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right"/>
        </w:trPr>
        <w:tc>
          <w:tcPr>
            <w:tcW w:w="777" w:type="dxa"/>
            <w:vMerge w:val="continue"/>
            <w:tcBorders>
              <w:left w:val="single" w:color="auto" w:sz="4" w:space="0"/>
              <w:right w:val="single" w:color="auto" w:sz="4" w:space="0"/>
            </w:tcBorders>
            <w:noWrap w:val="0"/>
            <w:vAlign w:val="center"/>
          </w:tcPr>
          <w:p w14:paraId="2F6AF61B">
            <w:pPr>
              <w:spacing w:line="300" w:lineRule="auto"/>
              <w:ind w:firstLine="0" w:firstLineChars="0"/>
              <w:rPr>
                <w:rFonts w:hint="eastAsia" w:ascii="宋体" w:hAnsi="宋体" w:cs="宋体"/>
                <w:color w:val="auto"/>
                <w:sz w:val="21"/>
                <w:szCs w:val="21"/>
                <w:highlight w:val="none"/>
              </w:rPr>
            </w:pPr>
          </w:p>
        </w:tc>
        <w:tc>
          <w:tcPr>
            <w:tcW w:w="2554" w:type="dxa"/>
            <w:tcBorders>
              <w:top w:val="single" w:color="auto" w:sz="4" w:space="0"/>
              <w:left w:val="single" w:color="auto" w:sz="4" w:space="0"/>
              <w:right w:val="single" w:color="auto" w:sz="4" w:space="0"/>
            </w:tcBorders>
            <w:noWrap w:val="0"/>
            <w:vAlign w:val="center"/>
          </w:tcPr>
          <w:p w14:paraId="409FA0D0">
            <w:pPr>
              <w:spacing w:line="360" w:lineRule="auto"/>
              <w:ind w:left="0" w:leftChars="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主要分部分项施工方法及技术措施（</w:t>
            </w:r>
            <w:r>
              <w:rPr>
                <w:rFonts w:hint="eastAsia" w:ascii="宋体" w:hAnsi="宋体" w:cs="宋体"/>
                <w:color w:val="auto"/>
                <w:kern w:val="2"/>
                <w:sz w:val="21"/>
                <w:szCs w:val="21"/>
                <w:highlight w:val="none"/>
                <w:lang w:val="en-US" w:eastAsia="zh-CN" w:bidi="ar-SA"/>
              </w:rPr>
              <w:t>3</w:t>
            </w:r>
            <w:r>
              <w:rPr>
                <w:rFonts w:hint="eastAsia" w:ascii="宋体" w:hAnsi="宋体" w:eastAsia="宋体" w:cs="宋体"/>
                <w:color w:val="auto"/>
                <w:kern w:val="2"/>
                <w:sz w:val="21"/>
                <w:szCs w:val="21"/>
                <w:highlight w:val="none"/>
                <w:lang w:val="en-US" w:eastAsia="zh-CN" w:bidi="ar-SA"/>
              </w:rPr>
              <w:t>-6分）</w:t>
            </w:r>
          </w:p>
        </w:tc>
        <w:tc>
          <w:tcPr>
            <w:tcW w:w="6140" w:type="dxa"/>
            <w:tcBorders>
              <w:top w:val="single" w:color="auto" w:sz="4" w:space="0"/>
              <w:left w:val="single" w:color="auto" w:sz="4" w:space="0"/>
              <w:bottom w:val="single" w:color="auto" w:sz="4" w:space="0"/>
              <w:right w:val="single" w:color="auto" w:sz="4" w:space="0"/>
            </w:tcBorders>
            <w:noWrap w:val="0"/>
            <w:vAlign w:val="center"/>
          </w:tcPr>
          <w:p w14:paraId="79E07BE2">
            <w:pPr>
              <w:spacing w:line="300" w:lineRule="auto"/>
              <w:ind w:firstLine="0" w:firstLineChars="0"/>
              <w:contextualSpacing/>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根据投标人提供的</w:t>
            </w:r>
            <w:r>
              <w:rPr>
                <w:rFonts w:hint="eastAsia" w:ascii="宋体" w:hAnsi="宋体" w:eastAsia="宋体" w:cs="宋体"/>
                <w:color w:val="auto"/>
                <w:kern w:val="2"/>
                <w:sz w:val="21"/>
                <w:szCs w:val="21"/>
                <w:highlight w:val="none"/>
                <w:lang w:val="en-US" w:eastAsia="zh-CN" w:bidi="ar-SA"/>
              </w:rPr>
              <w:t>主要分部分项施工方法及技术</w:t>
            </w:r>
            <w:r>
              <w:rPr>
                <w:rFonts w:hint="eastAsia" w:ascii="宋体" w:hAnsi="宋体" w:eastAsia="宋体" w:cs="宋体"/>
                <w:bCs/>
                <w:color w:val="auto"/>
                <w:sz w:val="21"/>
                <w:szCs w:val="21"/>
                <w:highlight w:val="none"/>
              </w:rPr>
              <w:t>等内容，</w:t>
            </w:r>
            <w:r>
              <w:rPr>
                <w:rFonts w:hint="eastAsia" w:ascii="宋体" w:hAnsi="宋体" w:eastAsia="宋体" w:cs="宋体"/>
                <w:color w:val="auto"/>
                <w:sz w:val="21"/>
                <w:szCs w:val="21"/>
                <w:highlight w:val="none"/>
              </w:rPr>
              <w:t>由评委综合评分，</w:t>
            </w:r>
            <w:r>
              <w:rPr>
                <w:rFonts w:hint="eastAsia" w:ascii="宋体" w:hAnsi="宋体" w:cs="宋体"/>
                <w:bCs/>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分；</w:t>
            </w:r>
            <w:r>
              <w:rPr>
                <w:rFonts w:hint="eastAsia" w:ascii="宋体" w:hAnsi="宋体" w:eastAsia="宋体" w:cs="宋体"/>
                <w:bCs/>
                <w:color w:val="auto"/>
                <w:sz w:val="21"/>
                <w:szCs w:val="21"/>
                <w:highlight w:val="none"/>
                <w:lang w:val="en-US" w:eastAsia="zh-CN"/>
              </w:rPr>
              <w:t>内容不</w:t>
            </w:r>
            <w:r>
              <w:rPr>
                <w:rFonts w:hint="eastAsia" w:ascii="宋体" w:hAnsi="宋体" w:eastAsia="宋体" w:cs="宋体"/>
                <w:bCs/>
                <w:color w:val="auto"/>
                <w:sz w:val="21"/>
                <w:szCs w:val="21"/>
                <w:highlight w:val="none"/>
              </w:rPr>
              <w:t>能满足招标要求或未表述的不得分。</w:t>
            </w:r>
          </w:p>
        </w:tc>
      </w:tr>
      <w:tr w14:paraId="6618A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right"/>
        </w:trPr>
        <w:tc>
          <w:tcPr>
            <w:tcW w:w="777" w:type="dxa"/>
            <w:vMerge w:val="continue"/>
            <w:tcBorders>
              <w:left w:val="single" w:color="auto" w:sz="4" w:space="0"/>
              <w:right w:val="single" w:color="auto" w:sz="4" w:space="0"/>
            </w:tcBorders>
            <w:noWrap w:val="0"/>
            <w:vAlign w:val="center"/>
          </w:tcPr>
          <w:p w14:paraId="4C068577">
            <w:pPr>
              <w:spacing w:line="300" w:lineRule="auto"/>
              <w:ind w:firstLine="0" w:firstLineChars="0"/>
              <w:rPr>
                <w:rFonts w:hint="eastAsia" w:ascii="宋体" w:hAnsi="宋体" w:cs="宋体"/>
                <w:color w:val="auto"/>
                <w:sz w:val="21"/>
                <w:szCs w:val="21"/>
                <w:highlight w:val="none"/>
              </w:rPr>
            </w:pPr>
          </w:p>
        </w:tc>
        <w:tc>
          <w:tcPr>
            <w:tcW w:w="2554" w:type="dxa"/>
            <w:tcBorders>
              <w:top w:val="single" w:color="auto" w:sz="4" w:space="0"/>
              <w:left w:val="single" w:color="auto" w:sz="4" w:space="0"/>
              <w:right w:val="single" w:color="auto" w:sz="4" w:space="0"/>
            </w:tcBorders>
            <w:noWrap w:val="0"/>
            <w:vAlign w:val="center"/>
          </w:tcPr>
          <w:p w14:paraId="0515538A">
            <w:pPr>
              <w:spacing w:line="360" w:lineRule="auto"/>
              <w:ind w:left="0" w:leftChars="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质量保证体系及控制要点（</w:t>
            </w:r>
            <w:r>
              <w:rPr>
                <w:rFonts w:hint="eastAsia" w:ascii="宋体" w:hAnsi="宋体" w:cs="宋体"/>
                <w:color w:val="auto"/>
                <w:kern w:val="2"/>
                <w:sz w:val="21"/>
                <w:szCs w:val="21"/>
                <w:highlight w:val="none"/>
                <w:lang w:val="en-US" w:eastAsia="zh-CN" w:bidi="ar-SA"/>
              </w:rPr>
              <w:t>6</w:t>
            </w:r>
            <w:r>
              <w:rPr>
                <w:rFonts w:hint="eastAsia" w:ascii="宋体" w:hAnsi="宋体" w:eastAsia="宋体" w:cs="宋体"/>
                <w:color w:val="auto"/>
                <w:kern w:val="2"/>
                <w:sz w:val="21"/>
                <w:szCs w:val="21"/>
                <w:highlight w:val="none"/>
                <w:lang w:val="en-US" w:eastAsia="zh-CN" w:bidi="ar-SA"/>
              </w:rPr>
              <w:t>-9分）</w:t>
            </w:r>
          </w:p>
        </w:tc>
        <w:tc>
          <w:tcPr>
            <w:tcW w:w="6140" w:type="dxa"/>
            <w:tcBorders>
              <w:top w:val="single" w:color="auto" w:sz="4" w:space="0"/>
              <w:left w:val="single" w:color="auto" w:sz="4" w:space="0"/>
              <w:bottom w:val="single" w:color="auto" w:sz="4" w:space="0"/>
              <w:right w:val="single" w:color="auto" w:sz="4" w:space="0"/>
            </w:tcBorders>
            <w:noWrap w:val="0"/>
            <w:vAlign w:val="center"/>
          </w:tcPr>
          <w:p w14:paraId="2AB96AF5">
            <w:pPr>
              <w:widowControl/>
              <w:adjustRightInd w:val="0"/>
              <w:snapToGrid w:val="0"/>
              <w:spacing w:line="300" w:lineRule="auto"/>
              <w:ind w:firstLine="0" w:firstLineChars="0"/>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根据项目</w:t>
            </w:r>
            <w:r>
              <w:rPr>
                <w:rFonts w:hint="eastAsia" w:ascii="宋体" w:hAnsi="宋体" w:eastAsia="宋体" w:cs="宋体"/>
                <w:color w:val="auto"/>
                <w:kern w:val="2"/>
                <w:sz w:val="21"/>
                <w:szCs w:val="21"/>
                <w:highlight w:val="none"/>
                <w:lang w:val="en-US" w:eastAsia="zh-CN" w:bidi="ar-SA"/>
              </w:rPr>
              <w:t>质量保证体系及控制要点</w:t>
            </w:r>
            <w:r>
              <w:rPr>
                <w:rFonts w:hint="eastAsia" w:ascii="宋体" w:hAnsi="宋体" w:eastAsia="宋体" w:cs="宋体"/>
                <w:color w:val="auto"/>
                <w:sz w:val="21"/>
                <w:szCs w:val="21"/>
                <w:highlight w:val="none"/>
              </w:rPr>
              <w:t>等情况进行评分，</w:t>
            </w:r>
            <w:r>
              <w:rPr>
                <w:rFonts w:hint="eastAsia" w:ascii="宋体" w:hAnsi="宋体" w:cs="宋体"/>
                <w:color w:val="auto"/>
                <w:sz w:val="21"/>
                <w:szCs w:val="21"/>
                <w:highlight w:val="none"/>
                <w:lang w:val="en-US" w:eastAsia="zh-CN"/>
              </w:rPr>
              <w:t>6</w:t>
            </w:r>
            <w:r>
              <w:rPr>
                <w:rFonts w:hint="eastAsia" w:ascii="宋体" w:hAnsi="宋体" w:eastAsia="宋体" w:cs="宋体"/>
                <w:bCs/>
                <w:color w:val="auto"/>
                <w:sz w:val="21"/>
                <w:szCs w:val="21"/>
                <w:highlight w:val="none"/>
                <w:lang w:val="en-US" w:eastAsia="zh-CN"/>
              </w:rPr>
              <w:t>-9</w:t>
            </w:r>
            <w:r>
              <w:rPr>
                <w:rFonts w:hint="eastAsia" w:ascii="宋体" w:hAnsi="宋体" w:eastAsia="宋体" w:cs="宋体"/>
                <w:bCs/>
                <w:color w:val="auto"/>
                <w:sz w:val="21"/>
                <w:szCs w:val="21"/>
                <w:highlight w:val="none"/>
              </w:rPr>
              <w:t>分；</w:t>
            </w:r>
            <w:r>
              <w:rPr>
                <w:rFonts w:hint="eastAsia" w:ascii="宋体" w:hAnsi="宋体" w:eastAsia="宋体" w:cs="宋体"/>
                <w:bCs/>
                <w:color w:val="auto"/>
                <w:sz w:val="21"/>
                <w:szCs w:val="21"/>
                <w:highlight w:val="none"/>
                <w:lang w:val="en-US" w:eastAsia="zh-CN"/>
              </w:rPr>
              <w:t>内容不</w:t>
            </w:r>
            <w:r>
              <w:rPr>
                <w:rFonts w:hint="eastAsia" w:ascii="宋体" w:hAnsi="宋体" w:eastAsia="宋体" w:cs="宋体"/>
                <w:bCs/>
                <w:color w:val="auto"/>
                <w:sz w:val="21"/>
                <w:szCs w:val="21"/>
                <w:highlight w:val="none"/>
              </w:rPr>
              <w:t>能满足招标要求或未表述的不得分。</w:t>
            </w:r>
          </w:p>
        </w:tc>
      </w:tr>
      <w:tr w14:paraId="22080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right"/>
        </w:trPr>
        <w:tc>
          <w:tcPr>
            <w:tcW w:w="777" w:type="dxa"/>
            <w:vMerge w:val="continue"/>
            <w:tcBorders>
              <w:left w:val="single" w:color="auto" w:sz="4" w:space="0"/>
              <w:right w:val="single" w:color="auto" w:sz="4" w:space="0"/>
            </w:tcBorders>
            <w:noWrap w:val="0"/>
            <w:vAlign w:val="center"/>
          </w:tcPr>
          <w:p w14:paraId="5BCF4D40">
            <w:pPr>
              <w:spacing w:line="300" w:lineRule="auto"/>
              <w:ind w:firstLine="0" w:firstLineChars="0"/>
              <w:rPr>
                <w:rFonts w:hint="eastAsia" w:ascii="宋体" w:hAnsi="宋体" w:cs="宋体"/>
                <w:color w:val="auto"/>
                <w:sz w:val="21"/>
                <w:szCs w:val="21"/>
                <w:highlight w:val="none"/>
              </w:rPr>
            </w:pPr>
          </w:p>
        </w:tc>
        <w:tc>
          <w:tcPr>
            <w:tcW w:w="2554" w:type="dxa"/>
            <w:tcBorders>
              <w:top w:val="single" w:color="auto" w:sz="4" w:space="0"/>
              <w:left w:val="single" w:color="auto" w:sz="4" w:space="0"/>
              <w:right w:val="single" w:color="auto" w:sz="4" w:space="0"/>
            </w:tcBorders>
            <w:noWrap w:val="0"/>
            <w:vAlign w:val="center"/>
          </w:tcPr>
          <w:p w14:paraId="39C9AB62">
            <w:pPr>
              <w:spacing w:line="360" w:lineRule="auto"/>
              <w:ind w:left="0" w:leftChars="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安全保证体系及安全文明施工措施要点（</w:t>
            </w:r>
            <w:r>
              <w:rPr>
                <w:rFonts w:hint="eastAsia" w:ascii="宋体" w:hAnsi="宋体" w:cs="宋体"/>
                <w:color w:val="auto"/>
                <w:kern w:val="2"/>
                <w:sz w:val="21"/>
                <w:szCs w:val="21"/>
                <w:highlight w:val="none"/>
                <w:lang w:val="en-US" w:eastAsia="zh-CN" w:bidi="ar-SA"/>
              </w:rPr>
              <w:t>6</w:t>
            </w:r>
            <w:r>
              <w:rPr>
                <w:rFonts w:hint="eastAsia" w:ascii="宋体" w:hAnsi="宋体" w:eastAsia="宋体" w:cs="宋体"/>
                <w:color w:val="auto"/>
                <w:kern w:val="2"/>
                <w:sz w:val="21"/>
                <w:szCs w:val="21"/>
                <w:highlight w:val="none"/>
                <w:lang w:val="en-US" w:eastAsia="zh-CN" w:bidi="ar-SA"/>
              </w:rPr>
              <w:t>-9分）</w:t>
            </w:r>
          </w:p>
        </w:tc>
        <w:tc>
          <w:tcPr>
            <w:tcW w:w="6140" w:type="dxa"/>
            <w:tcBorders>
              <w:top w:val="single" w:color="auto" w:sz="4" w:space="0"/>
              <w:left w:val="single" w:color="auto" w:sz="4" w:space="0"/>
              <w:bottom w:val="single" w:color="auto" w:sz="4" w:space="0"/>
              <w:right w:val="single" w:color="auto" w:sz="4" w:space="0"/>
            </w:tcBorders>
            <w:noWrap w:val="0"/>
            <w:vAlign w:val="center"/>
          </w:tcPr>
          <w:p w14:paraId="3A0A763C">
            <w:pPr>
              <w:spacing w:line="300" w:lineRule="auto"/>
              <w:ind w:firstLine="0" w:firstLineChars="0"/>
              <w:contextualSpacing/>
              <w:rPr>
                <w:rFonts w:hint="eastAsia" w:ascii="宋体" w:hAnsi="宋体" w:eastAsia="宋体" w:cs="宋体"/>
                <w:bCs/>
                <w:color w:val="auto"/>
                <w:kern w:val="0"/>
                <w:sz w:val="21"/>
                <w:szCs w:val="21"/>
                <w:highlight w:val="none"/>
              </w:rPr>
            </w:pPr>
            <w:r>
              <w:rPr>
                <w:rFonts w:hint="eastAsia" w:ascii="宋体" w:hAnsi="宋体" w:eastAsia="宋体" w:cs="宋体"/>
                <w:bCs/>
                <w:color w:val="auto"/>
                <w:sz w:val="21"/>
                <w:szCs w:val="21"/>
                <w:highlight w:val="none"/>
              </w:rPr>
              <w:t>根据投标人提供的</w:t>
            </w:r>
            <w:r>
              <w:rPr>
                <w:rFonts w:hint="eastAsia" w:ascii="宋体" w:hAnsi="宋体" w:eastAsia="宋体" w:cs="宋体"/>
                <w:color w:val="auto"/>
                <w:kern w:val="2"/>
                <w:sz w:val="21"/>
                <w:szCs w:val="21"/>
                <w:highlight w:val="none"/>
                <w:lang w:val="en-US" w:eastAsia="zh-CN" w:bidi="ar-SA"/>
              </w:rPr>
              <w:t>安全保证体系及安全文明施工措施要点</w:t>
            </w:r>
            <w:r>
              <w:rPr>
                <w:rFonts w:hint="eastAsia" w:ascii="宋体" w:hAnsi="宋体" w:eastAsia="宋体" w:cs="宋体"/>
                <w:bCs/>
                <w:color w:val="auto"/>
                <w:sz w:val="21"/>
                <w:szCs w:val="21"/>
                <w:highlight w:val="none"/>
              </w:rPr>
              <w:t>等内容，</w:t>
            </w:r>
            <w:r>
              <w:rPr>
                <w:rFonts w:hint="eastAsia" w:ascii="宋体" w:hAnsi="宋体" w:eastAsia="宋体" w:cs="宋体"/>
                <w:color w:val="auto"/>
                <w:sz w:val="21"/>
                <w:szCs w:val="21"/>
                <w:highlight w:val="none"/>
              </w:rPr>
              <w:t>由评委综合评分，</w:t>
            </w:r>
            <w:r>
              <w:rPr>
                <w:rFonts w:hint="eastAsia" w:ascii="宋体" w:hAnsi="宋体" w:cs="宋体"/>
                <w:bCs/>
                <w:color w:val="auto"/>
                <w:sz w:val="21"/>
                <w:szCs w:val="21"/>
                <w:highlight w:val="none"/>
                <w:lang w:val="en-US" w:eastAsia="zh-CN"/>
              </w:rPr>
              <w:t>6</w:t>
            </w:r>
            <w:r>
              <w:rPr>
                <w:rFonts w:hint="eastAsia" w:ascii="宋体" w:hAnsi="宋体" w:eastAsia="宋体" w:cs="宋体"/>
                <w:bCs/>
                <w:color w:val="auto"/>
                <w:sz w:val="21"/>
                <w:szCs w:val="21"/>
                <w:highlight w:val="none"/>
                <w:lang w:val="en-US" w:eastAsia="zh-CN"/>
              </w:rPr>
              <w:t>-9</w:t>
            </w:r>
            <w:r>
              <w:rPr>
                <w:rFonts w:hint="eastAsia" w:ascii="宋体" w:hAnsi="宋体" w:eastAsia="宋体" w:cs="宋体"/>
                <w:color w:val="auto"/>
                <w:sz w:val="21"/>
                <w:szCs w:val="21"/>
                <w:highlight w:val="none"/>
              </w:rPr>
              <w:t>分；</w:t>
            </w:r>
            <w:r>
              <w:rPr>
                <w:rFonts w:hint="eastAsia" w:ascii="宋体" w:hAnsi="宋体" w:eastAsia="宋体" w:cs="宋体"/>
                <w:bCs/>
                <w:color w:val="auto"/>
                <w:sz w:val="21"/>
                <w:szCs w:val="21"/>
                <w:highlight w:val="none"/>
                <w:lang w:val="en-US" w:eastAsia="zh-CN"/>
              </w:rPr>
              <w:t>内容不</w:t>
            </w:r>
            <w:r>
              <w:rPr>
                <w:rFonts w:hint="eastAsia" w:ascii="宋体" w:hAnsi="宋体" w:eastAsia="宋体" w:cs="宋体"/>
                <w:bCs/>
                <w:color w:val="auto"/>
                <w:sz w:val="21"/>
                <w:szCs w:val="21"/>
                <w:highlight w:val="none"/>
              </w:rPr>
              <w:t>能满足招标要求或未表述的不得分。</w:t>
            </w:r>
          </w:p>
        </w:tc>
      </w:tr>
      <w:tr w14:paraId="3083F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right"/>
        </w:trPr>
        <w:tc>
          <w:tcPr>
            <w:tcW w:w="777" w:type="dxa"/>
            <w:vMerge w:val="continue"/>
            <w:tcBorders>
              <w:left w:val="single" w:color="auto" w:sz="4" w:space="0"/>
              <w:right w:val="single" w:color="auto" w:sz="4" w:space="0"/>
            </w:tcBorders>
            <w:noWrap w:val="0"/>
            <w:vAlign w:val="center"/>
          </w:tcPr>
          <w:p w14:paraId="021244DE">
            <w:pPr>
              <w:spacing w:line="300" w:lineRule="auto"/>
              <w:ind w:firstLine="0" w:firstLineChars="0"/>
              <w:rPr>
                <w:rFonts w:hint="eastAsia" w:ascii="宋体" w:hAnsi="宋体" w:cs="宋体"/>
                <w:color w:val="auto"/>
                <w:sz w:val="21"/>
                <w:szCs w:val="21"/>
                <w:highlight w:val="none"/>
              </w:rPr>
            </w:pPr>
          </w:p>
        </w:tc>
        <w:tc>
          <w:tcPr>
            <w:tcW w:w="2554" w:type="dxa"/>
            <w:tcBorders>
              <w:top w:val="single" w:color="auto" w:sz="4" w:space="0"/>
              <w:left w:val="single" w:color="auto" w:sz="4" w:space="0"/>
              <w:right w:val="single" w:color="auto" w:sz="4" w:space="0"/>
            </w:tcBorders>
            <w:noWrap w:val="0"/>
            <w:vAlign w:val="center"/>
          </w:tcPr>
          <w:p w14:paraId="3FCE29A1">
            <w:pPr>
              <w:spacing w:line="360" w:lineRule="auto"/>
              <w:ind w:left="0" w:leftChars="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民工工资发放安排及控制体系（</w:t>
            </w:r>
            <w:r>
              <w:rPr>
                <w:rFonts w:hint="eastAsia" w:ascii="宋体" w:hAnsi="宋体" w:cs="宋体"/>
                <w:color w:val="auto"/>
                <w:kern w:val="2"/>
                <w:sz w:val="21"/>
                <w:szCs w:val="21"/>
                <w:highlight w:val="none"/>
                <w:lang w:val="en-US" w:eastAsia="zh-CN" w:bidi="ar-SA"/>
              </w:rPr>
              <w:t>6</w:t>
            </w:r>
            <w:r>
              <w:rPr>
                <w:rFonts w:hint="eastAsia" w:ascii="宋体" w:hAnsi="宋体" w:eastAsia="宋体" w:cs="宋体"/>
                <w:color w:val="auto"/>
                <w:kern w:val="2"/>
                <w:sz w:val="21"/>
                <w:szCs w:val="21"/>
                <w:highlight w:val="none"/>
                <w:lang w:val="en-US" w:eastAsia="zh-CN" w:bidi="ar-SA"/>
              </w:rPr>
              <w:t>-9分）</w:t>
            </w:r>
          </w:p>
        </w:tc>
        <w:tc>
          <w:tcPr>
            <w:tcW w:w="6140" w:type="dxa"/>
            <w:tcBorders>
              <w:top w:val="single" w:color="auto" w:sz="4" w:space="0"/>
              <w:left w:val="single" w:color="auto" w:sz="4" w:space="0"/>
              <w:bottom w:val="single" w:color="auto" w:sz="4" w:space="0"/>
              <w:right w:val="single" w:color="auto" w:sz="4" w:space="0"/>
            </w:tcBorders>
            <w:noWrap w:val="0"/>
            <w:vAlign w:val="center"/>
          </w:tcPr>
          <w:p w14:paraId="634AEE8F">
            <w:pPr>
              <w:adjustRightInd w:val="0"/>
              <w:snapToGrid w:val="0"/>
              <w:spacing w:line="300" w:lineRule="auto"/>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根据投标人提供的</w:t>
            </w:r>
            <w:r>
              <w:rPr>
                <w:rFonts w:hint="eastAsia" w:ascii="宋体" w:hAnsi="宋体" w:eastAsia="宋体" w:cs="宋体"/>
                <w:color w:val="auto"/>
                <w:kern w:val="2"/>
                <w:sz w:val="21"/>
                <w:szCs w:val="21"/>
                <w:highlight w:val="none"/>
                <w:lang w:val="en-US" w:eastAsia="zh-CN" w:bidi="ar-SA"/>
              </w:rPr>
              <w:t>民工工资发放安排及控制体系</w:t>
            </w:r>
            <w:r>
              <w:rPr>
                <w:rFonts w:hint="eastAsia" w:ascii="宋体" w:hAnsi="宋体" w:eastAsia="宋体" w:cs="宋体"/>
                <w:bCs/>
                <w:color w:val="auto"/>
                <w:sz w:val="21"/>
                <w:szCs w:val="21"/>
                <w:highlight w:val="none"/>
              </w:rPr>
              <w:t>等内容，</w:t>
            </w:r>
            <w:r>
              <w:rPr>
                <w:rFonts w:hint="eastAsia" w:ascii="宋体" w:hAnsi="宋体" w:eastAsia="宋体" w:cs="宋体"/>
                <w:color w:val="auto"/>
                <w:sz w:val="21"/>
                <w:szCs w:val="21"/>
                <w:highlight w:val="none"/>
              </w:rPr>
              <w:t>由评委综合评分，</w:t>
            </w:r>
            <w:r>
              <w:rPr>
                <w:rFonts w:hint="eastAsia" w:ascii="宋体" w:hAnsi="宋体" w:cs="宋体"/>
                <w:color w:val="auto"/>
                <w:kern w:val="2"/>
                <w:sz w:val="21"/>
                <w:szCs w:val="21"/>
                <w:highlight w:val="none"/>
                <w:lang w:val="en-US" w:eastAsia="zh-CN" w:bidi="ar-SA"/>
              </w:rPr>
              <w:t>6</w:t>
            </w:r>
            <w:r>
              <w:rPr>
                <w:rFonts w:hint="eastAsia" w:ascii="宋体" w:hAnsi="宋体" w:eastAsia="宋体" w:cs="宋体"/>
                <w:color w:val="auto"/>
                <w:kern w:val="2"/>
                <w:sz w:val="21"/>
                <w:szCs w:val="21"/>
                <w:highlight w:val="none"/>
                <w:lang w:val="en-US" w:eastAsia="zh-CN" w:bidi="ar-SA"/>
              </w:rPr>
              <w:t>-9</w:t>
            </w:r>
            <w:r>
              <w:rPr>
                <w:rFonts w:hint="eastAsia" w:ascii="宋体" w:hAnsi="宋体" w:eastAsia="宋体" w:cs="宋体"/>
                <w:color w:val="auto"/>
                <w:sz w:val="21"/>
                <w:szCs w:val="21"/>
                <w:highlight w:val="none"/>
              </w:rPr>
              <w:t>分；</w:t>
            </w:r>
            <w:r>
              <w:rPr>
                <w:rFonts w:hint="eastAsia" w:ascii="宋体" w:hAnsi="宋体" w:eastAsia="宋体" w:cs="宋体"/>
                <w:bCs/>
                <w:color w:val="auto"/>
                <w:sz w:val="21"/>
                <w:szCs w:val="21"/>
                <w:highlight w:val="none"/>
                <w:lang w:val="en-US" w:eastAsia="zh-CN"/>
              </w:rPr>
              <w:t>内容不</w:t>
            </w:r>
            <w:r>
              <w:rPr>
                <w:rFonts w:hint="eastAsia" w:ascii="宋体" w:hAnsi="宋体" w:eastAsia="宋体" w:cs="宋体"/>
                <w:bCs/>
                <w:color w:val="auto"/>
                <w:sz w:val="21"/>
                <w:szCs w:val="21"/>
                <w:highlight w:val="none"/>
              </w:rPr>
              <w:t>能满足招标要求或未表述的不得分。</w:t>
            </w:r>
          </w:p>
        </w:tc>
      </w:tr>
    </w:tbl>
    <w:p w14:paraId="2DEF149A">
      <w:pPr>
        <w:pStyle w:val="32"/>
        <w:snapToGrid w:val="0"/>
        <w:spacing w:line="300" w:lineRule="auto"/>
        <w:ind w:firstLine="422" w:firstLineChars="200"/>
        <w:jc w:val="left"/>
        <w:rPr>
          <w:rFonts w:hint="eastAsia" w:ascii="宋体" w:hAnsi="宋体" w:eastAsia="宋体" w:cs="宋体"/>
          <w:b/>
          <w:color w:val="auto"/>
          <w:highlight w:val="none"/>
        </w:rPr>
      </w:pPr>
      <w:r>
        <w:rPr>
          <w:rFonts w:hint="eastAsia" w:ascii="宋体" w:hAnsi="宋体" w:eastAsia="宋体" w:cs="宋体"/>
          <w:b/>
          <w:color w:val="auto"/>
          <w:highlight w:val="none"/>
        </w:rPr>
        <w:t>注：</w:t>
      </w:r>
    </w:p>
    <w:p w14:paraId="421E52CE">
      <w:pPr>
        <w:pStyle w:val="32"/>
        <w:snapToGrid w:val="0"/>
        <w:spacing w:line="300" w:lineRule="auto"/>
        <w:ind w:firstLine="422" w:firstLineChars="200"/>
        <w:jc w:val="left"/>
        <w:rPr>
          <w:rFonts w:hint="eastAsia" w:ascii="宋体" w:hAnsi="宋体" w:eastAsia="宋体" w:cs="宋体"/>
          <w:b/>
          <w:color w:val="auto"/>
          <w:highlight w:val="none"/>
        </w:rPr>
      </w:pPr>
      <w:r>
        <w:rPr>
          <w:rFonts w:hint="eastAsia" w:ascii="宋体" w:hAnsi="宋体" w:eastAsia="宋体" w:cs="宋体"/>
          <w:b/>
          <w:color w:val="auto"/>
          <w:highlight w:val="none"/>
        </w:rPr>
        <w:t>1.如在响应文件中未涉及上述商务技术评分内容的，按0分计。</w:t>
      </w:r>
    </w:p>
    <w:p w14:paraId="18562F1A">
      <w:pPr>
        <w:pStyle w:val="32"/>
        <w:snapToGrid w:val="0"/>
        <w:spacing w:line="300" w:lineRule="auto"/>
        <w:ind w:firstLine="413" w:firstLineChars="196"/>
        <w:rPr>
          <w:rFonts w:hint="eastAsia" w:ascii="宋体" w:hAnsi="宋体" w:eastAsia="宋体" w:cs="宋体"/>
          <w:b/>
          <w:color w:val="auto"/>
          <w:highlight w:val="none"/>
        </w:rPr>
      </w:pPr>
      <w:r>
        <w:rPr>
          <w:rFonts w:hint="eastAsia" w:ascii="宋体" w:hAnsi="宋体" w:eastAsia="宋体" w:cs="宋体"/>
          <w:b/>
          <w:color w:val="auto"/>
          <w:highlight w:val="none"/>
        </w:rPr>
        <w:t>2.响应文件中应提供有关证明材料扫描件加盖CA章。</w:t>
      </w:r>
    </w:p>
    <w:p w14:paraId="45CA3020">
      <w:pPr>
        <w:pStyle w:val="32"/>
        <w:snapToGrid w:val="0"/>
        <w:spacing w:line="300" w:lineRule="auto"/>
        <w:ind w:firstLine="413" w:firstLineChars="196"/>
        <w:rPr>
          <w:rFonts w:hint="eastAsia" w:ascii="宋体" w:hAnsi="宋体" w:eastAsia="宋体" w:cs="宋体"/>
          <w:b/>
          <w:color w:val="auto"/>
          <w:highlight w:val="none"/>
        </w:rPr>
      </w:pPr>
      <w:r>
        <w:rPr>
          <w:rFonts w:hint="eastAsia" w:ascii="宋体" w:hAnsi="宋体" w:eastAsia="宋体" w:cs="宋体"/>
          <w:b/>
          <w:color w:val="auto"/>
          <w:highlight w:val="none"/>
        </w:rPr>
        <w:t>3.响应文件中提供的证明材料均应清晰可辨，否则不得分。</w:t>
      </w:r>
    </w:p>
    <w:p w14:paraId="26CD22DF">
      <w:pPr>
        <w:pStyle w:val="32"/>
        <w:snapToGrid w:val="0"/>
        <w:spacing w:line="300" w:lineRule="auto"/>
        <w:ind w:firstLine="413" w:firstLineChars="196"/>
        <w:rPr>
          <w:rFonts w:hint="default" w:ascii="宋体" w:hAnsi="宋体" w:eastAsia="宋体" w:cs="宋体"/>
          <w:b/>
          <w:color w:val="auto"/>
          <w:highlight w:val="none"/>
          <w:lang w:val="en-US" w:eastAsia="zh-CN"/>
        </w:rPr>
      </w:pPr>
      <w:r>
        <w:rPr>
          <w:rFonts w:hint="eastAsia" w:ascii="宋体" w:hAnsi="宋体" w:cs="宋体"/>
          <w:b/>
          <w:color w:val="auto"/>
          <w:highlight w:val="none"/>
          <w:lang w:val="en-US" w:eastAsia="zh-CN"/>
        </w:rPr>
        <w:t>4.</w:t>
      </w:r>
      <w:r>
        <w:rPr>
          <w:rFonts w:hint="eastAsia" w:ascii="宋体" w:hAnsi="宋体" w:cs="宋体"/>
          <w:b/>
          <w:color w:val="auto"/>
          <w:highlight w:val="none"/>
        </w:rPr>
        <w:t>供应商的商务技术分低于商务技术分总分60%的，视为采购人不能接受的附加条件，该投标文件将在报价评审时被视为无效。</w:t>
      </w:r>
    </w:p>
    <w:p w14:paraId="52E5DC4A">
      <w:pPr>
        <w:pStyle w:val="32"/>
        <w:keepNext w:val="0"/>
        <w:keepLines w:val="0"/>
        <w:pageBreakBefore w:val="0"/>
        <w:kinsoku/>
        <w:wordWrap/>
        <w:overflowPunct/>
        <w:topLinePunct w:val="0"/>
        <w:autoSpaceDE/>
        <w:autoSpaceDN/>
        <w:bidi w:val="0"/>
        <w:adjustRightInd/>
        <w:snapToGrid w:val="0"/>
        <w:spacing w:line="264" w:lineRule="auto"/>
        <w:ind w:firstLine="482" w:firstLineChars="200"/>
        <w:textAlignment w:val="auto"/>
        <w:rPr>
          <w:rFonts w:hint="eastAsia" w:ascii="宋体" w:hAnsi="宋体" w:cs="宋体"/>
          <w:b/>
          <w:bCs/>
          <w:color w:val="auto"/>
          <w:sz w:val="24"/>
          <w:szCs w:val="24"/>
          <w:highlight w:val="none"/>
        </w:rPr>
      </w:pPr>
      <w:r>
        <w:rPr>
          <w:rFonts w:hint="eastAsia" w:ascii="宋体" w:hAnsi="宋体" w:eastAsia="宋体" w:cs="宋体"/>
          <w:b/>
          <w:color w:val="auto"/>
          <w:kern w:val="2"/>
          <w:sz w:val="24"/>
          <w:szCs w:val="24"/>
          <w:highlight w:val="none"/>
          <w:lang w:val="en-US" w:eastAsia="zh-CN" w:bidi="ar-SA"/>
        </w:rPr>
        <w:t>（三）商务技术</w:t>
      </w:r>
      <w:r>
        <w:rPr>
          <w:rFonts w:hint="eastAsia" w:ascii="宋体" w:hAnsi="宋体" w:cs="宋体"/>
          <w:b/>
          <w:bCs/>
          <w:color w:val="auto"/>
          <w:sz w:val="24"/>
          <w:szCs w:val="24"/>
          <w:highlight w:val="none"/>
        </w:rPr>
        <w:t>分的计算</w:t>
      </w:r>
    </w:p>
    <w:p w14:paraId="7AAC87B3">
      <w:pPr>
        <w:keepNext w:val="0"/>
        <w:keepLines w:val="0"/>
        <w:pageBreakBefore w:val="0"/>
        <w:kinsoku/>
        <w:wordWrap/>
        <w:overflowPunct/>
        <w:topLinePunct w:val="0"/>
        <w:autoSpaceDE/>
        <w:autoSpaceDN/>
        <w:bidi w:val="0"/>
        <w:adjustRightInd/>
        <w:spacing w:line="264"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商务技术分得分按照磋商成员的独立评分结果合计数的算术平均分计算，计算公式为：</w:t>
      </w:r>
    </w:p>
    <w:p w14:paraId="3F1E58E8">
      <w:pPr>
        <w:spacing w:line="30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rPr>
        <w:t>商务技术分得分=磋商小组所有成员评分合计数/磋商小组组成人员数</w:t>
      </w:r>
    </w:p>
    <w:p w14:paraId="5F1976BF">
      <w:pPr>
        <w:spacing w:line="300" w:lineRule="auto"/>
        <w:ind w:firstLine="472" w:firstLineChars="196"/>
        <w:rPr>
          <w:rFonts w:hint="eastAsia" w:ascii="宋体" w:hAnsi="宋体" w:eastAsia="宋体" w:cs="宋体"/>
          <w:b/>
          <w:color w:val="auto"/>
          <w:highlight w:val="none"/>
        </w:rPr>
      </w:pPr>
      <w:r>
        <w:rPr>
          <w:rFonts w:hint="eastAsia" w:ascii="宋体" w:hAnsi="宋体" w:eastAsia="宋体" w:cs="宋体"/>
          <w:b/>
          <w:bCs/>
          <w:color w:val="auto"/>
          <w:highlight w:val="none"/>
        </w:rPr>
        <w:t>四、</w:t>
      </w:r>
      <w:r>
        <w:rPr>
          <w:rFonts w:hint="eastAsia" w:ascii="宋体" w:hAnsi="宋体" w:eastAsia="宋体" w:cs="宋体"/>
          <w:b/>
          <w:color w:val="auto"/>
          <w:highlight w:val="none"/>
        </w:rPr>
        <w:t>成交候选人确定</w:t>
      </w:r>
    </w:p>
    <w:p w14:paraId="3798AF4B">
      <w:pPr>
        <w:pStyle w:val="18"/>
        <w:spacing w:line="300" w:lineRule="auto"/>
        <w:ind w:left="0" w:leftChars="0" w:firstLine="480" w:firstLineChars="200"/>
        <w:rPr>
          <w:rFonts w:hint="eastAsia" w:ascii="宋体" w:hAnsi="宋体" w:eastAsia="宋体" w:cs="宋体"/>
          <w:bCs/>
          <w:color w:val="auto"/>
          <w:highlight w:val="none"/>
        </w:rPr>
      </w:pPr>
      <w:r>
        <w:rPr>
          <w:rFonts w:hint="eastAsia" w:ascii="宋体" w:hAnsi="宋体" w:eastAsia="宋体" w:cs="宋体"/>
          <w:bCs/>
          <w:color w:val="auto"/>
          <w:sz w:val="24"/>
          <w:highlight w:val="none"/>
        </w:rPr>
        <w:t>磋商小组应当推荐有效供应商中按分值从高到低排名为第一名、第二名、第三名为成交候选人。</w:t>
      </w:r>
    </w:p>
    <w:p w14:paraId="26F0B77B">
      <w:pPr>
        <w:spacing w:line="300" w:lineRule="auto"/>
        <w:ind w:firstLine="482" w:firstLineChars="200"/>
        <w:jc w:val="left"/>
        <w:rPr>
          <w:rFonts w:hint="eastAsia" w:ascii="宋体" w:hAnsi="宋体" w:eastAsia="宋体" w:cs="宋体"/>
          <w:color w:val="auto"/>
          <w:highlight w:val="none"/>
        </w:rPr>
      </w:pPr>
      <w:r>
        <w:rPr>
          <w:rFonts w:hint="eastAsia" w:ascii="宋体" w:hAnsi="宋体" w:eastAsia="宋体" w:cs="宋体"/>
          <w:b/>
          <w:bCs/>
          <w:color w:val="auto"/>
          <w:highlight w:val="none"/>
        </w:rPr>
        <w:t>五、评审报告</w:t>
      </w:r>
    </w:p>
    <w:p w14:paraId="3FBCC780">
      <w:pPr>
        <w:spacing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评审报告应由磋商起草，按少数服从多数的原则通过。磋商小组全体成员须在评审报告上签字认可，专家如有保留意见可以在评审报告中阐明。</w:t>
      </w:r>
    </w:p>
    <w:p w14:paraId="5100D177">
      <w:pPr>
        <w:spacing w:line="300" w:lineRule="auto"/>
        <w:ind w:firstLine="48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六、成交公告</w:t>
      </w:r>
    </w:p>
    <w:p w14:paraId="7E6EDEDE">
      <w:pPr>
        <w:spacing w:line="30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采购代理机构自评审结束之日起2个工作日内将评审报告送交采购人。采购人在收到评审报告之日起5个工作日内在评审报告推荐的成交候选人中按顺序确定排名第一的成交候选人为成交供应商。</w:t>
      </w:r>
    </w:p>
    <w:p w14:paraId="324FDEB4">
      <w:pPr>
        <w:bidi w:val="0"/>
        <w:ind w:firstLine="48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采购代理机构自成交供应商确定之日起2个工作日内，发出成交通知书，并在发布磋商公告的网站上公告成交结果。</w:t>
      </w:r>
    </w:p>
    <w:p w14:paraId="60A62C34">
      <w:pP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br w:type="page"/>
      </w:r>
    </w:p>
    <w:p w14:paraId="5CBA23AD">
      <w:pPr>
        <w:pStyle w:val="23"/>
        <w:rPr>
          <w:rFonts w:hint="eastAsia" w:ascii="宋体" w:hAnsi="宋体" w:eastAsia="宋体" w:cs="宋体"/>
          <w:color w:val="auto"/>
          <w:sz w:val="36"/>
          <w:szCs w:val="36"/>
          <w:highlight w:val="none"/>
        </w:rPr>
      </w:pPr>
      <w:bookmarkStart w:id="77" w:name="_Toc24252"/>
      <w:bookmarkStart w:id="78" w:name="_Toc30263"/>
      <w:r>
        <w:rPr>
          <w:rFonts w:hint="eastAsia" w:ascii="宋体" w:hAnsi="宋体" w:eastAsia="宋体" w:cs="宋体"/>
          <w:color w:val="auto"/>
          <w:sz w:val="36"/>
          <w:szCs w:val="36"/>
          <w:highlight w:val="none"/>
        </w:rPr>
        <w:t>第</w:t>
      </w:r>
      <w:r>
        <w:rPr>
          <w:rFonts w:hint="eastAsia" w:ascii="宋体" w:hAnsi="宋体" w:eastAsia="宋体" w:cs="宋体"/>
          <w:color w:val="auto"/>
          <w:sz w:val="36"/>
          <w:szCs w:val="36"/>
          <w:highlight w:val="none"/>
          <w:lang w:val="en-US" w:eastAsia="zh-CN"/>
        </w:rPr>
        <w:t>五</w:t>
      </w:r>
      <w:r>
        <w:rPr>
          <w:rFonts w:hint="eastAsia" w:ascii="宋体" w:hAnsi="宋体" w:eastAsia="宋体" w:cs="宋体"/>
          <w:color w:val="auto"/>
          <w:sz w:val="36"/>
          <w:szCs w:val="36"/>
          <w:highlight w:val="none"/>
        </w:rPr>
        <w:t xml:space="preserve">章  </w:t>
      </w:r>
      <w:r>
        <w:rPr>
          <w:rFonts w:hint="eastAsia" w:ascii="宋体" w:hAnsi="宋体" w:eastAsia="宋体" w:cs="宋体"/>
          <w:color w:val="auto"/>
          <w:sz w:val="36"/>
          <w:szCs w:val="36"/>
          <w:highlight w:val="none"/>
        </w:rPr>
        <w:t>嘉善县政府采购合同</w:t>
      </w:r>
      <w:bookmarkEnd w:id="77"/>
      <w:bookmarkEnd w:id="78"/>
    </w:p>
    <w:p w14:paraId="425AA90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jc w:val="center"/>
        <w:rPr>
          <w:rFonts w:hint="eastAsia" w:ascii="宋体" w:hAnsi="宋体" w:eastAsia="宋体" w:cs="宋体"/>
          <w:b/>
          <w:bCs/>
          <w:color w:val="auto"/>
          <w:kern w:val="0"/>
          <w:sz w:val="32"/>
          <w:szCs w:val="32"/>
          <w:highlight w:val="none"/>
        </w:rPr>
      </w:pPr>
      <w:r>
        <w:rPr>
          <w:rFonts w:hint="eastAsia" w:ascii="宋体" w:hAnsi="宋体" w:eastAsia="宋体" w:cs="宋体"/>
          <w:b/>
          <w:bCs/>
          <w:color w:val="auto"/>
          <w:kern w:val="0"/>
          <w:sz w:val="32"/>
          <w:szCs w:val="32"/>
          <w:highlight w:val="none"/>
        </w:rPr>
        <w:t>一、通用必备条款部分</w:t>
      </w:r>
    </w:p>
    <w:p w14:paraId="41742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合同编号：</w:t>
      </w:r>
    </w:p>
    <w:p w14:paraId="32A1CB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政府采购计划（预算）确认</w:t>
      </w:r>
      <w:r>
        <w:rPr>
          <w:rFonts w:hint="eastAsia" w:ascii="宋体" w:hAnsi="宋体" w:eastAsia="宋体" w:cs="宋体"/>
          <w:color w:val="auto"/>
          <w:kern w:val="0"/>
          <w:sz w:val="24"/>
          <w:highlight w:val="none"/>
        </w:rPr>
        <w:t>书</w:t>
      </w:r>
      <w:r>
        <w:rPr>
          <w:rFonts w:hint="eastAsia" w:ascii="宋体" w:hAnsi="宋体" w:eastAsia="宋体" w:cs="宋体"/>
          <w:color w:val="auto"/>
          <w:kern w:val="0"/>
          <w:sz w:val="24"/>
          <w:highlight w:val="none"/>
        </w:rPr>
        <w:t>编号：</w:t>
      </w:r>
      <w:r>
        <w:rPr>
          <w:rFonts w:hint="eastAsia" w:ascii="宋体" w:hAnsi="宋体" w:eastAsia="宋体" w:cs="宋体"/>
          <w:color w:val="auto"/>
          <w:highlight w:val="none"/>
          <w:lang w:eastAsia="zh-CN"/>
        </w:rPr>
        <w:t>善财采确</w:t>
      </w:r>
      <w:r>
        <w:rPr>
          <w:rFonts w:hint="eastAsia" w:ascii="宋体" w:hAnsi="宋体" w:eastAsia="宋体" w:cs="宋体"/>
          <w:color w:val="auto"/>
          <w:highlight w:val="none"/>
          <w:lang w:val="en-US" w:eastAsia="zh-CN"/>
        </w:rPr>
        <w:t>临</w:t>
      </w:r>
      <w:r>
        <w:rPr>
          <w:rFonts w:hint="eastAsia" w:ascii="宋体" w:hAnsi="宋体" w:eastAsia="宋体" w:cs="宋体"/>
          <w:color w:val="auto"/>
          <w:highlight w:val="none"/>
          <w:lang w:eastAsia="zh-CN"/>
        </w:rPr>
        <w:t>[20</w:t>
      </w:r>
      <w:r>
        <w:rPr>
          <w:rFonts w:hint="eastAsia" w:ascii="宋体" w:hAnsi="宋体" w:cs="宋体"/>
          <w:color w:val="auto"/>
          <w:highlight w:val="none"/>
          <w:lang w:val="en-US" w:eastAsia="zh-CN"/>
        </w:rPr>
        <w:t>25</w:t>
      </w:r>
      <w:r>
        <w:rPr>
          <w:rFonts w:hint="eastAsia" w:ascii="宋体" w:hAnsi="宋体" w:eastAsia="宋体" w:cs="宋体"/>
          <w:color w:val="auto"/>
          <w:highlight w:val="none"/>
          <w:lang w:eastAsia="zh-CN"/>
        </w:rPr>
        <w:t>]</w:t>
      </w:r>
      <w:r>
        <w:rPr>
          <w:rFonts w:hint="eastAsia" w:ascii="宋体" w:hAnsi="宋体" w:cs="宋体"/>
          <w:color w:val="auto"/>
          <w:highlight w:val="none"/>
          <w:lang w:val="en-US" w:eastAsia="zh-CN"/>
        </w:rPr>
        <w:t>1419</w:t>
      </w:r>
      <w:r>
        <w:rPr>
          <w:rFonts w:hint="eastAsia" w:ascii="宋体" w:hAnsi="宋体" w:eastAsia="宋体" w:cs="宋体"/>
          <w:color w:val="auto"/>
          <w:highlight w:val="none"/>
          <w:lang w:val="en-US" w:eastAsia="zh-CN"/>
        </w:rPr>
        <w:t>号</w:t>
      </w:r>
    </w:p>
    <w:p w14:paraId="61878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预算</w:t>
      </w:r>
      <w:r>
        <w:rPr>
          <w:rFonts w:hint="eastAsia" w:ascii="宋体" w:hAnsi="宋体" w:eastAsia="宋体" w:cs="宋体"/>
          <w:color w:val="auto"/>
          <w:kern w:val="0"/>
          <w:sz w:val="24"/>
          <w:highlight w:val="none"/>
        </w:rPr>
        <w:t>金额：</w:t>
      </w:r>
      <w:r>
        <w:rPr>
          <w:rFonts w:hint="eastAsia" w:ascii="宋体" w:hAnsi="宋体" w:cs="宋体"/>
          <w:color w:val="auto"/>
          <w:sz w:val="24"/>
          <w:szCs w:val="24"/>
          <w:highlight w:val="none"/>
          <w:lang w:val="en-US" w:eastAsia="zh-CN"/>
        </w:rPr>
        <w:t>584000.00</w:t>
      </w:r>
      <w:r>
        <w:rPr>
          <w:rFonts w:hint="eastAsia" w:ascii="宋体" w:hAnsi="宋体" w:eastAsia="宋体" w:cs="宋体"/>
          <w:color w:val="auto"/>
          <w:sz w:val="24"/>
          <w:szCs w:val="24"/>
          <w:highlight w:val="none"/>
        </w:rPr>
        <w:t>元</w:t>
      </w:r>
    </w:p>
    <w:p w14:paraId="68EC3680">
      <w:pPr>
        <w:pStyle w:val="12"/>
        <w:snapToGrid w:val="0"/>
        <w:spacing w:beforeLines="0" w:afterLines="0" w:line="30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采购人（以下称甲方）：</w:t>
      </w:r>
      <w:r>
        <w:rPr>
          <w:rFonts w:hint="eastAsia" w:hAnsi="宋体" w:cs="宋体"/>
          <w:color w:val="auto"/>
          <w:sz w:val="24"/>
          <w:szCs w:val="24"/>
          <w:highlight w:val="none"/>
          <w:u w:val="none"/>
          <w:lang w:val="en-US" w:eastAsia="zh-CN"/>
        </w:rPr>
        <w:t>嘉善县天凝中学</w:t>
      </w:r>
    </w:p>
    <w:p w14:paraId="5F13C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供应商（以下称乙方）：</w:t>
      </w:r>
    </w:p>
    <w:p w14:paraId="50488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采购代理机构：</w:t>
      </w:r>
      <w:r>
        <w:rPr>
          <w:rFonts w:hint="eastAsia" w:ascii="宋体" w:hAnsi="宋体" w:cs="宋体"/>
          <w:color w:val="auto"/>
          <w:kern w:val="0"/>
          <w:sz w:val="24"/>
          <w:highlight w:val="none"/>
          <w:lang w:eastAsia="zh-CN"/>
        </w:rPr>
        <w:t>浙江中合工程管理有限公司</w:t>
      </w:r>
    </w:p>
    <w:p w14:paraId="454907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采购方式：竞争性磋商</w:t>
      </w:r>
    </w:p>
    <w:p w14:paraId="746907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eastAsia="宋体" w:cs="宋体"/>
          <w:color w:val="auto"/>
          <w:kern w:val="0"/>
          <w:sz w:val="24"/>
          <w:highlight w:val="none"/>
          <w:u w:val="single"/>
          <w:lang w:val="en-US" w:eastAsia="zh-CN"/>
        </w:rPr>
      </w:pPr>
      <w:r>
        <w:rPr>
          <w:rFonts w:hint="eastAsia" w:ascii="宋体" w:hAnsi="宋体" w:eastAsia="宋体" w:cs="宋体"/>
          <w:color w:val="auto"/>
          <w:kern w:val="0"/>
          <w:sz w:val="24"/>
          <w:highlight w:val="none"/>
        </w:rPr>
        <w:t>采购文件编号：</w:t>
      </w:r>
      <w:r>
        <w:rPr>
          <w:rFonts w:hint="eastAsia" w:ascii="宋体" w:hAnsi="宋体" w:eastAsia="宋体" w:cs="宋体"/>
          <w:color w:val="auto"/>
          <w:kern w:val="0"/>
          <w:sz w:val="24"/>
          <w:highlight w:val="none"/>
          <w:u w:val="single"/>
        </w:rPr>
        <w:t xml:space="preserve"> </w:t>
      </w:r>
      <w:r>
        <w:rPr>
          <w:rFonts w:hint="eastAsia" w:ascii="宋体" w:hAnsi="宋体" w:cs="宋体"/>
          <w:color w:val="auto"/>
          <w:kern w:val="0"/>
          <w:sz w:val="24"/>
          <w:highlight w:val="none"/>
          <w:u w:val="single"/>
          <w:lang w:eastAsia="zh-CN"/>
        </w:rPr>
        <w:t>ZHJS（CS)-2025-007</w:t>
      </w:r>
    </w:p>
    <w:p w14:paraId="4EBCB0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eastAsia="宋体" w:cs="宋体"/>
          <w:color w:val="auto"/>
          <w:kern w:val="0"/>
          <w:sz w:val="24"/>
          <w:highlight w:val="none"/>
          <w:u w:val="single"/>
        </w:rPr>
      </w:pPr>
    </w:p>
    <w:p w14:paraId="44919E9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highlight w:val="none"/>
        </w:rPr>
        <w:t>根据《中华人民共和国政府采购法》、</w:t>
      </w:r>
      <w:r>
        <w:rPr>
          <w:rFonts w:hint="eastAsia" w:ascii="宋体" w:hAnsi="宋体" w:eastAsia="宋体" w:cs="宋体"/>
          <w:color w:val="auto"/>
          <w:kern w:val="0"/>
          <w:sz w:val="24"/>
          <w:highlight w:val="none"/>
        </w:rPr>
        <w:t>《中华人民共和国民法典》</w:t>
      </w:r>
      <w:r>
        <w:rPr>
          <w:rFonts w:hint="eastAsia" w:ascii="宋体" w:hAnsi="宋体" w:eastAsia="宋体" w:cs="宋体"/>
          <w:color w:val="auto"/>
          <w:kern w:val="0"/>
          <w:sz w:val="24"/>
          <w:highlight w:val="none"/>
        </w:rPr>
        <w:t>等法律法规的规定，甲乙双方按照</w:t>
      </w:r>
      <w:r>
        <w:rPr>
          <w:rFonts w:hint="eastAsia" w:ascii="宋体" w:hAnsi="宋体" w:cs="宋体"/>
          <w:color w:val="auto"/>
          <w:sz w:val="24"/>
          <w:szCs w:val="24"/>
          <w:highlight w:val="none"/>
          <w:u w:val="single"/>
          <w:lang w:val="en-US" w:eastAsia="zh-CN"/>
        </w:rPr>
        <w:t>嘉善县天凝中学2025年度校舍常规维修</w:t>
      </w:r>
      <w:r>
        <w:rPr>
          <w:rFonts w:hint="eastAsia" w:ascii="宋体" w:hAnsi="宋体" w:eastAsia="宋体" w:cs="宋体"/>
          <w:color w:val="auto"/>
          <w:kern w:val="0"/>
          <w:sz w:val="24"/>
          <w:highlight w:val="none"/>
        </w:rPr>
        <w:t>采购结果签订本合同。</w:t>
      </w:r>
    </w:p>
    <w:p w14:paraId="3362B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2" w:firstLineChars="200"/>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第一条 合同组成</w:t>
      </w:r>
    </w:p>
    <w:p w14:paraId="6198D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本次政府采购活动的相关文件为本合同的组成部分，这些文件包括但不限于：</w:t>
      </w:r>
    </w:p>
    <w:p w14:paraId="0E9EE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（1）本合同文本；</w:t>
      </w:r>
    </w:p>
    <w:p w14:paraId="26F6C0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（2）磋商文件与磋商响应文件；</w:t>
      </w:r>
    </w:p>
    <w:p w14:paraId="169A6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（3）成交通知书；</w:t>
      </w:r>
    </w:p>
    <w:p w14:paraId="77FC5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组成本合同的所有文件必须为书面形式</w:t>
      </w:r>
      <w:r>
        <w:rPr>
          <w:rFonts w:hint="eastAsia" w:ascii="宋体" w:hAnsi="宋体" w:eastAsia="宋体" w:cs="宋体"/>
          <w:color w:val="auto"/>
          <w:kern w:val="0"/>
          <w:sz w:val="24"/>
          <w:highlight w:val="none"/>
        </w:rPr>
        <w:t>（其中磋商响应文件以</w:t>
      </w:r>
      <w:r>
        <w:rPr>
          <w:rFonts w:hint="eastAsia" w:ascii="宋体" w:hAnsi="宋体" w:eastAsia="宋体" w:cs="宋体"/>
          <w:color w:val="auto"/>
          <w:kern w:val="0"/>
          <w:sz w:val="24"/>
          <w:szCs w:val="24"/>
          <w:highlight w:val="none"/>
        </w:rPr>
        <w:t>在政采云平台上最后生成的具备电子签章的电子响应文件为准</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rPr>
        <w:t>。政府采购合同备案时，须提供以上（1）、（3）两项，如由社会中介机构代理，须提供代理协议，合同如有变更的，须提供变更协议。</w:t>
      </w:r>
    </w:p>
    <w:p w14:paraId="0823A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2" w:firstLineChars="200"/>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第二条 合同标的与相关属性</w:t>
      </w:r>
    </w:p>
    <w:p w14:paraId="3F05E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1.本次采购的是</w:t>
      </w:r>
      <w:r>
        <w:rPr>
          <w:rFonts w:hint="eastAsia" w:ascii="宋体" w:hAnsi="宋体" w:cs="宋体"/>
          <w:color w:val="auto"/>
          <w:sz w:val="24"/>
          <w:szCs w:val="24"/>
          <w:highlight w:val="none"/>
          <w:u w:val="single"/>
          <w:lang w:val="en-US" w:eastAsia="zh-CN"/>
        </w:rPr>
        <w:t>嘉善县天凝中学2025年度校舍常规维修</w:t>
      </w:r>
      <w:r>
        <w:rPr>
          <w:rFonts w:hint="eastAsia" w:ascii="宋体" w:hAnsi="宋体" w:eastAsia="宋体" w:cs="宋体"/>
          <w:color w:val="auto"/>
          <w:sz w:val="24"/>
          <w:szCs w:val="24"/>
          <w:highlight w:val="none"/>
          <w:u w:val="single"/>
        </w:rPr>
        <w:t>。</w:t>
      </w:r>
    </w:p>
    <w:p w14:paraId="5B215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2.乙方是否属于中小微企业：□是□否</w:t>
      </w:r>
    </w:p>
    <w:p w14:paraId="39E693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3.本合同项下产品属于（可多选）：□环保产品；□节能产品；□进口产品</w:t>
      </w:r>
    </w:p>
    <w:p w14:paraId="779EC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2" w:firstLineChars="200"/>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第三条</w:t>
      </w:r>
      <w:r>
        <w:rPr>
          <w:rFonts w:hint="eastAsia" w:ascii="宋体" w:hAnsi="宋体" w:eastAsia="宋体" w:cs="宋体"/>
          <w:b/>
          <w:color w:val="auto"/>
          <w:kern w:val="0"/>
          <w:sz w:val="24"/>
          <w:highlight w:val="none"/>
        </w:rPr>
        <w:t xml:space="preserve"> 合同价款</w:t>
      </w:r>
    </w:p>
    <w:p w14:paraId="519372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eastAsia="宋体" w:cs="宋体"/>
          <w:b/>
          <w:color w:val="auto"/>
          <w:kern w:val="2"/>
          <w:sz w:val="24"/>
          <w:szCs w:val="24"/>
          <w:highlight w:val="none"/>
          <w:u w:val="single"/>
          <w:lang w:val="en-US" w:eastAsia="zh-CN"/>
        </w:rPr>
      </w:pPr>
      <w:r>
        <w:rPr>
          <w:rFonts w:hint="eastAsia" w:ascii="宋体" w:hAnsi="宋体" w:eastAsia="宋体" w:cs="宋体"/>
          <w:color w:val="auto"/>
          <w:kern w:val="0"/>
          <w:sz w:val="24"/>
          <w:highlight w:val="none"/>
        </w:rPr>
        <w:t>1.本合同项下总价款为人民币（大写）</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，分项价款见“价格清单”。</w:t>
      </w:r>
      <w:r>
        <w:rPr>
          <w:rFonts w:hint="eastAsia" w:ascii="宋体" w:hAnsi="宋体" w:eastAsia="宋体" w:cs="宋体"/>
          <w:color w:val="auto"/>
          <w:kern w:val="2"/>
          <w:sz w:val="24"/>
          <w:szCs w:val="24"/>
          <w:highlight w:val="none"/>
          <w:lang w:val="en-US" w:eastAsia="zh-CN"/>
        </w:rPr>
        <w:t>成交下浮率为</w:t>
      </w:r>
      <w:r>
        <w:rPr>
          <w:rFonts w:hint="eastAsia" w:ascii="宋体" w:hAnsi="宋体" w:eastAsia="宋体" w:cs="宋体"/>
          <w:b/>
          <w:color w:val="auto"/>
          <w:kern w:val="2"/>
          <w:sz w:val="24"/>
          <w:szCs w:val="24"/>
          <w:highlight w:val="none"/>
          <w:u w:val="single"/>
          <w:lang w:val="en-US" w:eastAsia="zh-CN"/>
        </w:rPr>
        <w:t xml:space="preserve">     </w:t>
      </w:r>
      <w:r>
        <w:rPr>
          <w:rFonts w:hint="eastAsia" w:ascii="宋体" w:hAnsi="宋体" w:eastAsia="宋体" w:cs="宋体"/>
          <w:b/>
          <w:color w:val="auto"/>
          <w:kern w:val="2"/>
          <w:sz w:val="24"/>
          <w:szCs w:val="24"/>
          <w:highlight w:val="none"/>
          <w:u w:val="none"/>
          <w:lang w:val="en-US" w:eastAsia="zh-CN"/>
        </w:rPr>
        <w:t>。</w:t>
      </w:r>
      <w:r>
        <w:rPr>
          <w:rFonts w:hint="eastAsia" w:ascii="宋体" w:hAnsi="宋体" w:eastAsia="宋体" w:cs="宋体"/>
          <w:b/>
          <w:color w:val="auto"/>
          <w:kern w:val="2"/>
          <w:sz w:val="24"/>
          <w:szCs w:val="24"/>
          <w:highlight w:val="none"/>
          <w:u w:val="single"/>
        </w:rPr>
        <w:t>最终以结算审计为准</w:t>
      </w:r>
      <w:r>
        <w:rPr>
          <w:rFonts w:hint="eastAsia" w:ascii="宋体" w:hAnsi="宋体" w:eastAsia="宋体" w:cs="宋体"/>
          <w:b/>
          <w:color w:val="auto"/>
          <w:kern w:val="2"/>
          <w:sz w:val="24"/>
          <w:szCs w:val="24"/>
          <w:highlight w:val="none"/>
          <w:u w:val="single"/>
          <w:lang w:eastAsia="zh-CN"/>
        </w:rPr>
        <w:t>。</w:t>
      </w:r>
      <w:r>
        <w:rPr>
          <w:rFonts w:hint="eastAsia" w:ascii="宋体" w:hAnsi="宋体" w:eastAsia="宋体" w:cs="宋体"/>
          <w:b/>
          <w:color w:val="auto"/>
          <w:kern w:val="2"/>
          <w:sz w:val="24"/>
          <w:szCs w:val="24"/>
          <w:highlight w:val="none"/>
          <w:u w:val="single"/>
          <w:lang w:val="en-US" w:eastAsia="zh-CN"/>
        </w:rPr>
        <w:t>本工程结算方式：按</w:t>
      </w:r>
      <w:r>
        <w:rPr>
          <w:rFonts w:hint="eastAsia" w:ascii="宋体" w:hAnsi="宋体" w:cs="宋体"/>
          <w:b/>
          <w:color w:val="auto"/>
          <w:kern w:val="2"/>
          <w:sz w:val="24"/>
          <w:szCs w:val="24"/>
          <w:highlight w:val="none"/>
          <w:u w:val="single"/>
          <w:lang w:val="en-US" w:eastAsia="zh-CN"/>
        </w:rPr>
        <w:t>嘉善县天凝中学2025年度校舍常规维修</w:t>
      </w:r>
      <w:r>
        <w:rPr>
          <w:rFonts w:hint="eastAsia" w:ascii="宋体" w:hAnsi="宋体" w:eastAsia="宋体" w:cs="宋体"/>
          <w:b/>
          <w:color w:val="auto"/>
          <w:kern w:val="2"/>
          <w:sz w:val="24"/>
          <w:szCs w:val="24"/>
          <w:highlight w:val="none"/>
          <w:u w:val="single"/>
          <w:lang w:val="en-US" w:eastAsia="zh-CN"/>
        </w:rPr>
        <w:t>中标报价文件中第壹轮报价的计算口径，按实际工程量计算所得工程造价</w:t>
      </w:r>
      <w:r>
        <w:rPr>
          <w:rFonts w:hint="eastAsia" w:ascii="宋体" w:hAnsi="宋体" w:eastAsia="宋体" w:cs="宋体"/>
          <w:b/>
          <w:color w:val="auto"/>
          <w:kern w:val="2"/>
          <w:sz w:val="24"/>
          <w:szCs w:val="24"/>
          <w:highlight w:val="none"/>
          <w:u w:val="single"/>
        </w:rPr>
        <w:t>×</w:t>
      </w:r>
      <w:r>
        <w:rPr>
          <w:rFonts w:hint="eastAsia" w:ascii="宋体" w:hAnsi="宋体" w:eastAsia="宋体" w:cs="宋体"/>
          <w:b/>
          <w:color w:val="auto"/>
          <w:kern w:val="2"/>
          <w:sz w:val="24"/>
          <w:szCs w:val="24"/>
          <w:highlight w:val="none"/>
          <w:u w:val="single"/>
          <w:lang w:eastAsia="zh-CN"/>
        </w:rPr>
        <w:t>（</w:t>
      </w:r>
      <w:r>
        <w:rPr>
          <w:rFonts w:hint="eastAsia" w:ascii="宋体" w:hAnsi="宋体" w:eastAsia="宋体" w:cs="宋体"/>
          <w:b/>
          <w:color w:val="auto"/>
          <w:kern w:val="2"/>
          <w:sz w:val="24"/>
          <w:szCs w:val="24"/>
          <w:highlight w:val="none"/>
          <w:u w:val="single"/>
          <w:lang w:val="en-US" w:eastAsia="zh-CN"/>
        </w:rPr>
        <w:t>1-成交下浮率</w:t>
      </w:r>
      <w:r>
        <w:rPr>
          <w:rFonts w:hint="eastAsia" w:ascii="宋体" w:hAnsi="宋体" w:eastAsia="宋体" w:cs="宋体"/>
          <w:b/>
          <w:color w:val="auto"/>
          <w:kern w:val="2"/>
          <w:sz w:val="24"/>
          <w:szCs w:val="24"/>
          <w:highlight w:val="none"/>
          <w:u w:val="single"/>
          <w:lang w:eastAsia="zh-CN"/>
        </w:rPr>
        <w:t>）</w:t>
      </w:r>
      <w:r>
        <w:rPr>
          <w:rFonts w:hint="eastAsia" w:ascii="宋体" w:hAnsi="宋体" w:eastAsia="宋体" w:cs="宋体"/>
          <w:b/>
          <w:color w:val="auto"/>
          <w:kern w:val="2"/>
          <w:sz w:val="24"/>
          <w:szCs w:val="24"/>
          <w:highlight w:val="none"/>
          <w:u w:val="single"/>
          <w:lang w:val="en-US" w:eastAsia="zh-CN"/>
        </w:rPr>
        <w:t xml:space="preserve">。  </w:t>
      </w:r>
    </w:p>
    <w:p w14:paraId="766C40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r>
        <w:rPr>
          <w:rFonts w:hint="eastAsia" w:ascii="宋体" w:hAnsi="宋体" w:eastAsia="宋体" w:cs="宋体"/>
          <w:color w:val="auto"/>
          <w:kern w:val="0"/>
          <w:sz w:val="24"/>
          <w:szCs w:val="24"/>
          <w:highlight w:val="none"/>
        </w:rPr>
        <w:t>本合同总价款含所有</w:t>
      </w:r>
      <w:r>
        <w:rPr>
          <w:rFonts w:hint="eastAsia" w:ascii="宋体" w:hAnsi="宋体" w:eastAsia="宋体" w:cs="宋体"/>
          <w:color w:val="auto"/>
          <w:kern w:val="0"/>
          <w:sz w:val="24"/>
          <w:szCs w:val="24"/>
          <w:highlight w:val="none"/>
          <w:lang w:val="en-US" w:eastAsia="zh-CN"/>
        </w:rPr>
        <w:t>采购</w:t>
      </w:r>
      <w:r>
        <w:rPr>
          <w:rFonts w:hint="eastAsia" w:ascii="宋体" w:hAnsi="宋体" w:eastAsia="宋体" w:cs="宋体"/>
          <w:color w:val="auto"/>
          <w:kern w:val="0"/>
          <w:sz w:val="24"/>
          <w:szCs w:val="24"/>
          <w:highlight w:val="none"/>
        </w:rPr>
        <w:t>文件所确定的招标范围内全部工作内容的价格</w:t>
      </w:r>
      <w:r>
        <w:rPr>
          <w:rFonts w:hint="eastAsia" w:ascii="宋体" w:hAnsi="宋体" w:eastAsia="宋体" w:cs="宋体"/>
          <w:color w:val="auto"/>
          <w:sz w:val="24"/>
          <w:highlight w:val="none"/>
        </w:rPr>
        <w:t>。</w:t>
      </w:r>
    </w:p>
    <w:p w14:paraId="6F73E8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3.本项目资金来源性质为以下第</w:t>
      </w:r>
      <w:r>
        <w:rPr>
          <w:rFonts w:hint="eastAsia" w:ascii="宋体" w:hAnsi="宋体" w:eastAsia="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1</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项：</w:t>
      </w:r>
    </w:p>
    <w:p w14:paraId="3DE34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color w:val="auto"/>
          <w:kern w:val="0"/>
          <w:sz w:val="24"/>
          <w:highlight w:val="none"/>
          <w:lang w:val="en-US" w:eastAsia="zh-CN"/>
        </w:rPr>
        <w:t>政府预算</w:t>
      </w:r>
      <w:r>
        <w:rPr>
          <w:rFonts w:hint="eastAsia" w:ascii="宋体" w:hAnsi="宋体" w:cs="宋体"/>
          <w:color w:val="auto"/>
          <w:kern w:val="0"/>
          <w:sz w:val="24"/>
          <w:highlight w:val="none"/>
        </w:rPr>
        <w:t>资金；（2）</w:t>
      </w:r>
      <w:r>
        <w:rPr>
          <w:rFonts w:hint="eastAsia" w:ascii="宋体" w:hAnsi="宋体" w:cs="宋体"/>
          <w:color w:val="auto"/>
          <w:kern w:val="0"/>
          <w:sz w:val="24"/>
          <w:highlight w:val="none"/>
          <w:lang w:val="en-US" w:eastAsia="zh-CN"/>
        </w:rPr>
        <w:t>财政专户管理</w:t>
      </w:r>
      <w:r>
        <w:rPr>
          <w:rFonts w:hint="eastAsia" w:ascii="宋体" w:hAnsi="宋体" w:cs="宋体"/>
          <w:color w:val="auto"/>
          <w:kern w:val="0"/>
          <w:sz w:val="24"/>
          <w:highlight w:val="none"/>
        </w:rPr>
        <w:t>资金；（3）</w:t>
      </w:r>
      <w:r>
        <w:rPr>
          <w:rFonts w:hint="eastAsia" w:ascii="宋体" w:hAnsi="宋体" w:cs="宋体"/>
          <w:color w:val="auto"/>
          <w:kern w:val="0"/>
          <w:sz w:val="24"/>
          <w:highlight w:val="none"/>
          <w:lang w:val="en-US" w:eastAsia="zh-CN"/>
        </w:rPr>
        <w:t>单位</w:t>
      </w:r>
      <w:r>
        <w:rPr>
          <w:rFonts w:hint="eastAsia" w:ascii="宋体" w:hAnsi="宋体" w:cs="宋体"/>
          <w:color w:val="auto"/>
          <w:kern w:val="0"/>
          <w:sz w:val="24"/>
          <w:highlight w:val="none"/>
        </w:rPr>
        <w:t>资金；（4）</w:t>
      </w:r>
      <w:r>
        <w:rPr>
          <w:rFonts w:hint="eastAsia" w:ascii="宋体" w:hAnsi="宋体" w:cs="宋体"/>
          <w:color w:val="auto"/>
          <w:kern w:val="0"/>
          <w:sz w:val="24"/>
          <w:highlight w:val="none"/>
          <w:lang w:val="en-US" w:eastAsia="zh-CN"/>
        </w:rPr>
        <w:t>事业单位经营性收入资金</w:t>
      </w:r>
      <w:r>
        <w:rPr>
          <w:rFonts w:hint="eastAsia" w:ascii="宋体" w:hAnsi="宋体" w:cs="宋体"/>
          <w:color w:val="auto"/>
          <w:kern w:val="0"/>
          <w:sz w:val="24"/>
          <w:highlight w:val="none"/>
        </w:rPr>
        <w:t>；（5）政府预算资金暂存；（6）其他收入资金；（7）事业收入资金。</w:t>
      </w:r>
    </w:p>
    <w:p w14:paraId="4F31F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4.本合同付款方式为以下第</w:t>
      </w:r>
      <w:r>
        <w:rPr>
          <w:rFonts w:hint="eastAsia" w:ascii="宋体" w:hAnsi="宋体" w:eastAsia="宋体" w:cs="宋体"/>
          <w:color w:val="auto"/>
          <w:kern w:val="0"/>
          <w:sz w:val="24"/>
          <w:highlight w:val="none"/>
          <w:u w:val="single"/>
        </w:rPr>
        <w:t xml:space="preserve">   （3）   </w:t>
      </w:r>
      <w:r>
        <w:rPr>
          <w:rFonts w:hint="eastAsia" w:ascii="宋体" w:hAnsi="宋体" w:eastAsia="宋体" w:cs="宋体"/>
          <w:color w:val="auto"/>
          <w:kern w:val="0"/>
          <w:sz w:val="24"/>
          <w:highlight w:val="none"/>
        </w:rPr>
        <w:t>项：</w:t>
      </w:r>
    </w:p>
    <w:p w14:paraId="037D93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（1）本合同项下的采购资金系甲方自行支付，付款程序为</w:t>
      </w:r>
      <w:r>
        <w:rPr>
          <w:rFonts w:hint="eastAsia" w:ascii="宋体" w:hAnsi="宋体" w:eastAsia="宋体" w:cs="宋体"/>
          <w:color w:val="auto"/>
          <w:kern w:val="0"/>
          <w:sz w:val="24"/>
          <w:highlight w:val="none"/>
          <w:u w:val="single"/>
        </w:rPr>
        <w:t xml:space="preserve"> / </w:t>
      </w:r>
      <w:r>
        <w:rPr>
          <w:rFonts w:hint="eastAsia" w:ascii="宋体" w:hAnsi="宋体" w:eastAsia="宋体" w:cs="宋体"/>
          <w:color w:val="auto"/>
          <w:kern w:val="0"/>
          <w:sz w:val="24"/>
          <w:highlight w:val="none"/>
        </w:rPr>
        <w:t>；</w:t>
      </w:r>
    </w:p>
    <w:p w14:paraId="764FE7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（2）本合同项下的采购资金须财政直接支付，付款程序为</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4C463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（3）其他方式：</w:t>
      </w:r>
      <w:r>
        <w:rPr>
          <w:rFonts w:hint="eastAsia" w:ascii="宋体" w:hAnsi="宋体" w:eastAsia="宋体" w:cs="宋体"/>
          <w:color w:val="auto"/>
          <w:kern w:val="0"/>
          <w:sz w:val="24"/>
          <w:highlight w:val="none"/>
          <w:u w:val="single"/>
        </w:rPr>
        <w:t>授权支付。</w:t>
      </w:r>
    </w:p>
    <w:p w14:paraId="6A1DF96E">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val="0"/>
        <w:autoSpaceDN w:val="0"/>
        <w:bidi w:val="0"/>
        <w:adjustRightInd w:val="0"/>
        <w:snapToGrid/>
        <w:spacing w:line="360" w:lineRule="auto"/>
        <w:ind w:firstLine="480" w:firstLineChars="200"/>
        <w:contextualSpacing/>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r>
        <w:rPr>
          <w:rFonts w:hint="eastAsia" w:ascii="宋体" w:hAnsi="宋体" w:cs="宋体"/>
          <w:color w:val="auto"/>
          <w:kern w:val="0"/>
          <w:sz w:val="24"/>
          <w:highlight w:val="none"/>
        </w:rPr>
        <w:t>本合同项下的采购资金付款进度按磋商文件与响应文件规定，未规定时按以下第</w:t>
      </w:r>
      <w:r>
        <w:rPr>
          <w:rFonts w:hint="eastAsia" w:ascii="宋体" w:hAnsi="宋体" w:cs="宋体"/>
          <w:color w:val="auto"/>
          <w:kern w:val="0"/>
          <w:sz w:val="24"/>
          <w:highlight w:val="none"/>
          <w:u w:val="single"/>
        </w:rPr>
        <w:t>（2）</w:t>
      </w:r>
      <w:r>
        <w:rPr>
          <w:rFonts w:hint="eastAsia" w:ascii="宋体" w:hAnsi="宋体" w:cs="宋体"/>
          <w:color w:val="auto"/>
          <w:kern w:val="0"/>
          <w:sz w:val="24"/>
          <w:highlight w:val="none"/>
        </w:rPr>
        <w:t>项支付</w:t>
      </w:r>
      <w:r>
        <w:rPr>
          <w:rFonts w:hint="eastAsia" w:ascii="宋体" w:hAnsi="宋体" w:cs="Arial"/>
          <w:color w:val="auto"/>
          <w:kern w:val="0"/>
          <w:sz w:val="24"/>
          <w:szCs w:val="24"/>
          <w:highlight w:val="none"/>
        </w:rPr>
        <w:t>：</w:t>
      </w:r>
    </w:p>
    <w:p w14:paraId="1138DC91">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val="0"/>
        <w:autoSpaceDN w:val="0"/>
        <w:bidi w:val="0"/>
        <w:adjustRightInd w:val="0"/>
        <w:snapToGrid/>
        <w:spacing w:line="360" w:lineRule="auto"/>
        <w:ind w:firstLine="480" w:firstLineChars="200"/>
        <w:contextualSpacing/>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（1）一次性付款：乙方合同履行达到</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rPr>
        <w:t>（条件）时，一次性付款；</w:t>
      </w:r>
    </w:p>
    <w:p w14:paraId="0CAA4C8A">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val="0"/>
        <w:autoSpaceDN w:val="0"/>
        <w:bidi w:val="0"/>
        <w:adjustRightInd w:val="0"/>
        <w:snapToGrid/>
        <w:spacing w:line="360" w:lineRule="auto"/>
        <w:ind w:firstLine="480" w:firstLineChars="200"/>
        <w:contextualSpacing/>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（2）分期付款：</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szCs w:val="24"/>
          <w:highlight w:val="none"/>
          <w:u w:val="single"/>
          <w:lang w:val="en-US" w:eastAsia="zh-CN"/>
        </w:rPr>
        <w:t>详见专用合同条款第12</w:t>
      </w:r>
      <w:r>
        <w:rPr>
          <w:rFonts w:hint="eastAsia" w:ascii="宋体" w:hAnsi="宋体" w:cs="宋体"/>
          <w:color w:val="auto"/>
          <w:kern w:val="0"/>
          <w:sz w:val="24"/>
          <w:szCs w:val="24"/>
          <w:highlight w:val="none"/>
          <w:u w:val="single"/>
          <w:lang w:val="en-US" w:eastAsia="zh-CN"/>
        </w:rPr>
        <w:t>条</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szCs w:val="24"/>
          <w:highlight w:val="none"/>
        </w:rPr>
        <w:t>；</w:t>
      </w:r>
    </w:p>
    <w:p w14:paraId="21E9E831">
      <w:pPr>
        <w:spacing w:line="360" w:lineRule="auto"/>
        <w:ind w:firstLine="482" w:firstLineChars="200"/>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第四条 履约保证金</w:t>
      </w:r>
    </w:p>
    <w:p w14:paraId="56AE3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eastAsia="宋体" w:cs="宋体"/>
          <w:b/>
          <w:color w:val="auto"/>
          <w:kern w:val="0"/>
          <w:sz w:val="24"/>
          <w:highlight w:val="none"/>
        </w:rPr>
      </w:pPr>
      <w:r>
        <w:rPr>
          <w:rFonts w:hint="eastAsia" w:ascii="宋体" w:hAnsi="宋体" w:eastAsia="宋体" w:cs="宋体"/>
          <w:color w:val="auto"/>
          <w:kern w:val="0"/>
          <w:sz w:val="24"/>
          <w:highlight w:val="none"/>
        </w:rPr>
        <w:t>按以下第</w:t>
      </w:r>
      <w:r>
        <w:rPr>
          <w:rFonts w:hint="eastAsia" w:ascii="宋体" w:hAnsi="宋体" w:eastAsia="宋体" w:cs="宋体"/>
          <w:color w:val="auto"/>
          <w:kern w:val="0"/>
          <w:sz w:val="24"/>
          <w:highlight w:val="none"/>
          <w:u w:val="single"/>
        </w:rPr>
        <w:t xml:space="preserve">   1   </w:t>
      </w:r>
      <w:r>
        <w:rPr>
          <w:rFonts w:hint="eastAsia" w:ascii="宋体" w:hAnsi="宋体" w:eastAsia="宋体" w:cs="宋体"/>
          <w:color w:val="auto"/>
          <w:kern w:val="0"/>
          <w:sz w:val="24"/>
          <w:highlight w:val="none"/>
        </w:rPr>
        <w:t>项处理：</w:t>
      </w:r>
    </w:p>
    <w:p w14:paraId="5834F542">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12" w:lineRule="auto"/>
        <w:ind w:firstLine="480" w:firstLineChars="200"/>
        <w:jc w:val="both"/>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本项目设置履约保证金，乙方应于项目实施前以汇款/转账</w:t>
      </w:r>
      <w:r>
        <w:rPr>
          <w:rFonts w:hint="eastAsia" w:ascii="宋体" w:hAnsi="宋体" w:eastAsia="宋体" w:cs="宋体"/>
          <w:color w:val="auto"/>
          <w:kern w:val="0"/>
          <w:sz w:val="24"/>
          <w:highlight w:val="none"/>
          <w:lang w:val="en-US" w:eastAsia="zh-CN"/>
        </w:rPr>
        <w:t>/</w:t>
      </w:r>
      <w:r>
        <w:rPr>
          <w:rFonts w:hint="eastAsia" w:ascii="宋体" w:hAnsi="宋体" w:eastAsia="宋体" w:cs="宋体"/>
          <w:color w:val="auto"/>
          <w:kern w:val="0"/>
          <w:sz w:val="24"/>
          <w:highlight w:val="none"/>
        </w:rPr>
        <w:t>银行保函</w:t>
      </w:r>
      <w:r>
        <w:rPr>
          <w:rFonts w:hint="eastAsia" w:ascii="宋体" w:hAnsi="宋体" w:eastAsia="宋体" w:cs="宋体"/>
          <w:color w:val="auto"/>
          <w:kern w:val="0"/>
          <w:sz w:val="24"/>
          <w:highlight w:val="none"/>
          <w:lang w:val="en-US" w:eastAsia="zh-CN"/>
        </w:rPr>
        <w:t>/</w:t>
      </w:r>
      <w:r>
        <w:rPr>
          <w:rFonts w:hint="eastAsia" w:ascii="宋体" w:hAnsi="宋体" w:eastAsia="宋体" w:cs="宋体"/>
          <w:color w:val="auto"/>
          <w:kern w:val="0"/>
          <w:sz w:val="24"/>
          <w:highlight w:val="none"/>
        </w:rPr>
        <w:t>保险机构保证保险保单</w:t>
      </w:r>
      <w:r>
        <w:rPr>
          <w:rFonts w:hint="eastAsia" w:ascii="宋体" w:hAnsi="宋体" w:eastAsia="宋体" w:cs="宋体"/>
          <w:color w:val="auto"/>
          <w:kern w:val="0"/>
          <w:sz w:val="24"/>
          <w:highlight w:val="none"/>
          <w:lang w:val="en-US" w:eastAsia="zh-CN"/>
        </w:rPr>
        <w:t>/</w:t>
      </w:r>
      <w:r>
        <w:rPr>
          <w:rFonts w:hint="eastAsia" w:ascii="宋体" w:hAnsi="宋体" w:eastAsia="宋体" w:cs="宋体"/>
          <w:color w:val="auto"/>
          <w:kern w:val="0"/>
          <w:sz w:val="24"/>
          <w:highlight w:val="none"/>
        </w:rPr>
        <w:t>融资担保公司保函等非现金形式向甲方提交履约保证金</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 xml:space="preserve"> 元（本合同金额的</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rPr>
        <w:t>%）。履约保证金在</w:t>
      </w:r>
      <w:r>
        <w:rPr>
          <w:rFonts w:hint="eastAsia" w:ascii="宋体" w:hAnsi="宋体" w:eastAsia="宋体" w:cs="宋体"/>
          <w:color w:val="auto"/>
          <w:kern w:val="0"/>
          <w:sz w:val="24"/>
          <w:highlight w:val="none"/>
          <w:lang w:val="en-US" w:eastAsia="zh-CN"/>
        </w:rPr>
        <w:t>工程竣工验收合格</w:t>
      </w:r>
      <w:r>
        <w:rPr>
          <w:rFonts w:hint="eastAsia" w:ascii="宋体" w:hAnsi="宋体" w:eastAsia="宋体" w:cs="宋体"/>
          <w:color w:val="auto"/>
          <w:kern w:val="0"/>
          <w:sz w:val="24"/>
          <w:highlight w:val="none"/>
        </w:rPr>
        <w:t>后</w:t>
      </w:r>
      <w:r>
        <w:rPr>
          <w:rFonts w:hint="eastAsia" w:ascii="宋体" w:hAnsi="宋体" w:eastAsia="宋体" w:cs="宋体"/>
          <w:color w:val="auto"/>
          <w:kern w:val="0"/>
          <w:sz w:val="24"/>
          <w:highlight w:val="none"/>
          <w:lang w:val="en-US" w:eastAsia="zh-CN"/>
        </w:rPr>
        <w:t>10日</w:t>
      </w:r>
      <w:r>
        <w:rPr>
          <w:rFonts w:hint="eastAsia" w:ascii="宋体" w:hAnsi="宋体" w:eastAsia="宋体" w:cs="宋体"/>
          <w:color w:val="auto"/>
          <w:kern w:val="0"/>
          <w:sz w:val="24"/>
          <w:highlight w:val="none"/>
        </w:rPr>
        <w:t>内无息退还。</w:t>
      </w:r>
    </w:p>
    <w:p w14:paraId="71E88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2.本项目不设置履约保证金。</w:t>
      </w:r>
    </w:p>
    <w:p w14:paraId="2893523A">
      <w:pPr>
        <w:spacing w:line="300" w:lineRule="auto"/>
        <w:ind w:firstLine="482" w:firstLineChars="200"/>
        <w:rPr>
          <w:rFonts w:hint="eastAsia" w:ascii="宋体" w:hAnsi="宋体" w:eastAsia="宋体" w:cs="宋体"/>
          <w:b/>
          <w:bCs/>
          <w:color w:val="auto"/>
          <w:sz w:val="24"/>
          <w:highlight w:val="none"/>
          <w:lang w:val="en-US"/>
        </w:rPr>
      </w:pPr>
      <w:r>
        <w:rPr>
          <w:rFonts w:hint="eastAsia" w:ascii="宋体" w:hAnsi="宋体" w:eastAsia="宋体" w:cs="宋体"/>
          <w:b/>
          <w:bCs/>
          <w:color w:val="auto"/>
          <w:kern w:val="0"/>
          <w:sz w:val="24"/>
          <w:highlight w:val="none"/>
        </w:rPr>
        <w:t>第五</w:t>
      </w:r>
      <w:r>
        <w:rPr>
          <w:rFonts w:hint="eastAsia" w:ascii="宋体" w:hAnsi="宋体" w:eastAsia="宋体" w:cs="宋体"/>
          <w:b/>
          <w:color w:val="auto"/>
          <w:kern w:val="0"/>
          <w:sz w:val="24"/>
          <w:highlight w:val="none"/>
        </w:rPr>
        <w:t xml:space="preserve">条 </w:t>
      </w:r>
      <w:r>
        <w:rPr>
          <w:rFonts w:hint="eastAsia" w:ascii="宋体" w:hAnsi="宋体" w:eastAsia="宋体" w:cs="宋体"/>
          <w:b/>
          <w:bCs/>
          <w:color w:val="auto"/>
          <w:sz w:val="24"/>
          <w:highlight w:val="none"/>
          <w:lang w:val="en-US" w:eastAsia="zh-CN"/>
        </w:rPr>
        <w:t>合同履行期限</w:t>
      </w:r>
    </w:p>
    <w:p w14:paraId="550AE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u w:val="single"/>
          <w:lang w:val="en-US" w:eastAsia="zh-CN"/>
        </w:rPr>
        <w:t xml:space="preserve">   </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lang w:val="en-US" w:eastAsia="zh-CN"/>
        </w:rPr>
        <w:t>。</w:t>
      </w:r>
    </w:p>
    <w:p w14:paraId="6D094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2" w:firstLineChars="200"/>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第</w:t>
      </w:r>
      <w:r>
        <w:rPr>
          <w:rFonts w:hint="eastAsia" w:ascii="宋体" w:hAnsi="宋体" w:eastAsia="宋体" w:cs="宋体"/>
          <w:b/>
          <w:color w:val="auto"/>
          <w:kern w:val="0"/>
          <w:sz w:val="24"/>
          <w:highlight w:val="none"/>
          <w:lang w:val="en-US" w:eastAsia="zh-CN"/>
        </w:rPr>
        <w:t>六</w:t>
      </w:r>
      <w:r>
        <w:rPr>
          <w:rFonts w:hint="eastAsia" w:ascii="宋体" w:hAnsi="宋体" w:eastAsia="宋体" w:cs="宋体"/>
          <w:b/>
          <w:color w:val="auto"/>
          <w:kern w:val="0"/>
          <w:sz w:val="24"/>
          <w:highlight w:val="none"/>
        </w:rPr>
        <w:t>条 合同的变更和终止</w:t>
      </w:r>
    </w:p>
    <w:p w14:paraId="17CA5C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除《政府采购法》第49条、第50条第二款规定的情形外，本合同一经签订，甲乙双方不得擅自终止合同或对合同实质性条款进行变更。确有特殊情况的，须经同级财政部门备案同意。</w:t>
      </w:r>
    </w:p>
    <w:p w14:paraId="39230B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2" w:firstLineChars="200"/>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第</w:t>
      </w:r>
      <w:r>
        <w:rPr>
          <w:rFonts w:hint="eastAsia" w:ascii="宋体" w:hAnsi="宋体" w:eastAsia="宋体" w:cs="宋体"/>
          <w:b/>
          <w:color w:val="auto"/>
          <w:kern w:val="0"/>
          <w:sz w:val="24"/>
          <w:highlight w:val="none"/>
          <w:lang w:val="en-US" w:eastAsia="zh-CN"/>
        </w:rPr>
        <w:t>七</w:t>
      </w:r>
      <w:r>
        <w:rPr>
          <w:rFonts w:hint="eastAsia" w:ascii="宋体" w:hAnsi="宋体" w:eastAsia="宋体" w:cs="宋体"/>
          <w:b/>
          <w:color w:val="auto"/>
          <w:kern w:val="0"/>
          <w:sz w:val="24"/>
          <w:highlight w:val="none"/>
        </w:rPr>
        <w:t>条 合同的转让与分包</w:t>
      </w:r>
    </w:p>
    <w:p w14:paraId="6CAEE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szCs w:val="24"/>
          <w:highlight w:val="none"/>
        </w:rPr>
        <w:t>本项目不允许转让；</w:t>
      </w:r>
      <w:r>
        <w:rPr>
          <w:rFonts w:hint="eastAsia" w:ascii="宋体" w:hAnsi="宋体" w:cs="宋体"/>
          <w:color w:val="auto"/>
          <w:sz w:val="24"/>
          <w:szCs w:val="24"/>
          <w:highlight w:val="none"/>
        </w:rPr>
        <w:t>本项目不可以</w:t>
      </w:r>
      <w:r>
        <w:rPr>
          <w:rFonts w:hint="eastAsia" w:ascii="宋体" w:hAnsi="宋体" w:cs="宋体"/>
          <w:color w:val="auto"/>
          <w:sz w:val="24"/>
          <w:szCs w:val="24"/>
          <w:highlight w:val="none"/>
          <w:lang w:eastAsia="zh-CN"/>
        </w:rPr>
        <w:t>违规</w:t>
      </w:r>
      <w:r>
        <w:rPr>
          <w:rFonts w:hint="eastAsia" w:ascii="宋体" w:hAnsi="宋体" w:cs="宋体"/>
          <w:color w:val="auto"/>
          <w:sz w:val="24"/>
          <w:szCs w:val="24"/>
          <w:highlight w:val="none"/>
        </w:rPr>
        <w:t>分</w:t>
      </w:r>
      <w:r>
        <w:rPr>
          <w:rFonts w:hint="eastAsia" w:ascii="宋体" w:hAnsi="宋体" w:eastAsia="宋体" w:cs="宋体"/>
          <w:color w:val="auto"/>
          <w:sz w:val="24"/>
          <w:szCs w:val="24"/>
          <w:highlight w:val="none"/>
        </w:rPr>
        <w:t>包</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在不涉及国家禁止的且由业主书面同意方可分包</w:t>
      </w:r>
      <w:r>
        <w:rPr>
          <w:rFonts w:hint="eastAsia" w:ascii="宋体" w:hAnsi="宋体" w:cs="宋体"/>
          <w:color w:val="auto"/>
          <w:kern w:val="0"/>
          <w:sz w:val="24"/>
          <w:szCs w:val="24"/>
          <w:highlight w:val="none"/>
        </w:rPr>
        <w:t>。</w:t>
      </w:r>
    </w:p>
    <w:p w14:paraId="01D57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2" w:firstLineChars="200"/>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第</w:t>
      </w:r>
      <w:r>
        <w:rPr>
          <w:rFonts w:hint="eastAsia" w:ascii="宋体" w:hAnsi="宋体" w:eastAsia="宋体" w:cs="宋体"/>
          <w:b/>
          <w:color w:val="auto"/>
          <w:kern w:val="0"/>
          <w:sz w:val="24"/>
          <w:highlight w:val="none"/>
          <w:lang w:val="en-US" w:eastAsia="zh-CN"/>
        </w:rPr>
        <w:t>八</w:t>
      </w:r>
      <w:r>
        <w:rPr>
          <w:rFonts w:hint="eastAsia" w:ascii="宋体" w:hAnsi="宋体" w:eastAsia="宋体" w:cs="宋体"/>
          <w:b/>
          <w:color w:val="auto"/>
          <w:kern w:val="0"/>
          <w:sz w:val="24"/>
          <w:highlight w:val="none"/>
        </w:rPr>
        <w:t>条 争议的解决</w:t>
      </w:r>
    </w:p>
    <w:p w14:paraId="61028F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因履行本合同引起的或与本合同有关的争议，甲、乙双方应首先通过友好协商解决，如果协商不能解决争议，则采取以下第</w:t>
      </w:r>
      <w:r>
        <w:rPr>
          <w:rFonts w:hint="eastAsia" w:ascii="宋体" w:hAnsi="宋体" w:eastAsia="宋体" w:cs="宋体"/>
          <w:color w:val="auto"/>
          <w:kern w:val="0"/>
          <w:sz w:val="24"/>
          <w:highlight w:val="none"/>
          <w:u w:val="single"/>
        </w:rPr>
        <w:t>（1）</w:t>
      </w:r>
      <w:r>
        <w:rPr>
          <w:rFonts w:hint="eastAsia" w:ascii="宋体" w:hAnsi="宋体" w:eastAsia="宋体" w:cs="宋体"/>
          <w:color w:val="auto"/>
          <w:kern w:val="0"/>
          <w:sz w:val="24"/>
          <w:highlight w:val="none"/>
        </w:rPr>
        <w:t>种方式解决争议：</w:t>
      </w:r>
    </w:p>
    <w:p w14:paraId="6E2ED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（1）向甲方所在地有管辖权的人民法院提起诉讼；</w:t>
      </w:r>
    </w:p>
    <w:p w14:paraId="6933D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（2）向</w:t>
      </w:r>
      <w:r>
        <w:rPr>
          <w:rFonts w:hint="eastAsia" w:ascii="宋体" w:hAnsi="宋体" w:eastAsia="宋体" w:cs="宋体"/>
          <w:color w:val="auto"/>
          <w:kern w:val="0"/>
          <w:sz w:val="24"/>
          <w:highlight w:val="none"/>
          <w:u w:val="single"/>
        </w:rPr>
        <w:t xml:space="preserve"> / </w:t>
      </w:r>
      <w:r>
        <w:rPr>
          <w:rFonts w:hint="eastAsia" w:ascii="宋体" w:hAnsi="宋体" w:eastAsia="宋体" w:cs="宋体"/>
          <w:color w:val="auto"/>
          <w:kern w:val="0"/>
          <w:sz w:val="24"/>
          <w:highlight w:val="none"/>
        </w:rPr>
        <w:t>仲裁委员申请仲裁。</w:t>
      </w:r>
    </w:p>
    <w:p w14:paraId="6DF3E4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2" w:firstLineChars="200"/>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第</w:t>
      </w:r>
      <w:r>
        <w:rPr>
          <w:rFonts w:hint="eastAsia" w:ascii="宋体" w:hAnsi="宋体" w:eastAsia="宋体" w:cs="宋体"/>
          <w:b/>
          <w:color w:val="auto"/>
          <w:kern w:val="0"/>
          <w:sz w:val="24"/>
          <w:highlight w:val="none"/>
          <w:lang w:val="en-US" w:eastAsia="zh-CN"/>
        </w:rPr>
        <w:t>九</w:t>
      </w:r>
      <w:r>
        <w:rPr>
          <w:rFonts w:hint="eastAsia" w:ascii="宋体" w:hAnsi="宋体" w:eastAsia="宋体" w:cs="宋体"/>
          <w:b/>
          <w:color w:val="auto"/>
          <w:kern w:val="0"/>
          <w:sz w:val="24"/>
          <w:highlight w:val="none"/>
        </w:rPr>
        <w:t>条 合同及其他</w:t>
      </w:r>
    </w:p>
    <w:p w14:paraId="0DEF20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600" w:firstLineChars="2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1.合同经双方法定代表人或授权代表签字并加盖单位公章后生效。</w:t>
      </w:r>
    </w:p>
    <w:p w14:paraId="3C90CE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600" w:firstLineChars="2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2.合同执行中涉及采购资金和采购内容修改或补充的，须经甲方审批，并签书面补充协议备案，方可作为主合同不可分割的一部分。</w:t>
      </w:r>
    </w:p>
    <w:p w14:paraId="2AA5B6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600" w:firstLineChars="2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3.本项目的磋商文件、响应文件及磋商过程中形成的文字资料、询标记录均作为本合同的组成部分，具有同等效力。本合同未尽事宜，遵照《</w:t>
      </w:r>
      <w:r>
        <w:rPr>
          <w:rFonts w:hint="eastAsia" w:ascii="宋体" w:hAnsi="宋体" w:eastAsia="宋体" w:cs="宋体"/>
          <w:color w:val="auto"/>
          <w:kern w:val="0"/>
          <w:sz w:val="24"/>
          <w:highlight w:val="none"/>
        </w:rPr>
        <w:t>中华人民共和国民法典</w:t>
      </w:r>
      <w:r>
        <w:rPr>
          <w:rFonts w:hint="eastAsia" w:ascii="宋体" w:hAnsi="宋体" w:eastAsia="宋体" w:cs="宋体"/>
          <w:color w:val="auto"/>
          <w:sz w:val="24"/>
          <w:szCs w:val="24"/>
          <w:highlight w:val="none"/>
        </w:rPr>
        <w:t>》有关条文执行。</w:t>
      </w:r>
    </w:p>
    <w:p w14:paraId="7E58101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4.</w:t>
      </w:r>
      <w:r>
        <w:rPr>
          <w:rFonts w:hint="eastAsia" w:ascii="宋体" w:hAnsi="宋体" w:eastAsia="宋体" w:cs="宋体"/>
          <w:color w:val="auto"/>
          <w:kern w:val="0"/>
          <w:sz w:val="24"/>
          <w:highlight w:val="none"/>
        </w:rPr>
        <w:t>本合同一式九份，甲乙双方各持三份、县财政局、财政支付（核算）中心、招标代理机构各持一份</w:t>
      </w:r>
      <w:r>
        <w:rPr>
          <w:rFonts w:hint="eastAsia" w:ascii="宋体" w:hAnsi="宋体" w:eastAsia="宋体" w:cs="宋体"/>
          <w:color w:val="auto"/>
          <w:kern w:val="0"/>
          <w:sz w:val="24"/>
          <w:szCs w:val="24"/>
          <w:highlight w:val="none"/>
        </w:rPr>
        <w:t>。</w:t>
      </w:r>
    </w:p>
    <w:p w14:paraId="3B67F07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left="1166" w:leftChars="486" w:firstLine="1446" w:firstLineChars="450"/>
        <w:rPr>
          <w:rFonts w:hint="eastAsia" w:ascii="宋体" w:hAnsi="宋体" w:eastAsia="宋体" w:cs="宋体"/>
          <w:b/>
          <w:bCs/>
          <w:color w:val="auto"/>
          <w:kern w:val="0"/>
          <w:sz w:val="32"/>
          <w:szCs w:val="32"/>
          <w:highlight w:val="none"/>
        </w:rPr>
      </w:pPr>
      <w:r>
        <w:rPr>
          <w:rFonts w:hint="eastAsia" w:ascii="宋体" w:hAnsi="宋体" w:eastAsia="宋体" w:cs="宋体"/>
          <w:b/>
          <w:bCs/>
          <w:color w:val="auto"/>
          <w:kern w:val="0"/>
          <w:sz w:val="32"/>
          <w:szCs w:val="32"/>
          <w:highlight w:val="none"/>
        </w:rPr>
        <w:t>二、特殊专用条款部分</w:t>
      </w:r>
    </w:p>
    <w:p w14:paraId="1D87588D">
      <w:pPr>
        <w:keepNext/>
        <w:keepLines/>
        <w:autoSpaceDE/>
        <w:autoSpaceDN/>
        <w:snapToGrid w:val="0"/>
        <w:spacing w:before="260" w:after="260" w:line="360" w:lineRule="auto"/>
        <w:jc w:val="center"/>
        <w:outlineLvl w:val="1"/>
        <w:rPr>
          <w:rFonts w:hint="eastAsia" w:ascii="宋体" w:hAnsi="宋体" w:eastAsia="宋体" w:cs="宋体"/>
          <w:b/>
          <w:bCs/>
          <w:color w:val="auto"/>
          <w:kern w:val="2"/>
          <w:sz w:val="30"/>
          <w:szCs w:val="32"/>
          <w:highlight w:val="none"/>
        </w:rPr>
      </w:pPr>
      <w:bookmarkStart w:id="79" w:name="_Toc78877550"/>
      <w:bookmarkStart w:id="80" w:name="_Toc31920"/>
      <w:bookmarkStart w:id="81" w:name="_Toc11224"/>
      <w:bookmarkStart w:id="82" w:name="_Toc366510845"/>
      <w:bookmarkStart w:id="83" w:name="_Toc366227287"/>
      <w:bookmarkStart w:id="84" w:name="_Toc88063521"/>
      <w:bookmarkStart w:id="85" w:name="_Toc25907"/>
      <w:r>
        <w:rPr>
          <w:rFonts w:hint="eastAsia" w:ascii="宋体" w:hAnsi="宋体" w:eastAsia="宋体" w:cs="宋体"/>
          <w:b/>
          <w:bCs/>
          <w:color w:val="auto"/>
          <w:kern w:val="2"/>
          <w:sz w:val="30"/>
          <w:szCs w:val="32"/>
          <w:highlight w:val="none"/>
        </w:rPr>
        <w:t>第一部分合同协议书</w:t>
      </w:r>
      <w:bookmarkEnd w:id="79"/>
      <w:bookmarkEnd w:id="80"/>
      <w:bookmarkEnd w:id="81"/>
      <w:bookmarkEnd w:id="82"/>
      <w:bookmarkEnd w:id="83"/>
      <w:bookmarkEnd w:id="84"/>
      <w:bookmarkEnd w:id="85"/>
    </w:p>
    <w:p w14:paraId="39559DAC">
      <w:pPr>
        <w:pageBreakBefore w:val="0"/>
        <w:widowControl w:val="0"/>
        <w:kinsoku/>
        <w:wordWrap/>
        <w:overflowPunct/>
        <w:topLinePunct w:val="0"/>
        <w:autoSpaceDE/>
        <w:autoSpaceDN/>
        <w:bidi w:val="0"/>
        <w:adjustRightInd/>
        <w:snapToGrid/>
        <w:spacing w:line="460" w:lineRule="exact"/>
        <w:ind w:left="0" w:leftChars="0" w:right="0" w:firstLine="482" w:firstLineChars="200"/>
        <w:jc w:val="both"/>
        <w:textAlignment w:val="auto"/>
        <w:rPr>
          <w:rFonts w:hint="eastAsia" w:ascii="宋体" w:hAnsi="宋体" w:eastAsia="宋体" w:cs="宋体"/>
          <w:b/>
          <w:color w:val="auto"/>
          <w:kern w:val="2"/>
          <w:sz w:val="24"/>
          <w:szCs w:val="24"/>
          <w:highlight w:val="none"/>
          <w:u w:val="single"/>
          <w:lang w:val="en-US" w:eastAsia="zh-CN"/>
        </w:rPr>
      </w:pPr>
      <w:r>
        <w:rPr>
          <w:rFonts w:hint="eastAsia" w:ascii="宋体" w:hAnsi="宋体" w:eastAsia="宋体" w:cs="宋体"/>
          <w:b/>
          <w:color w:val="auto"/>
          <w:kern w:val="2"/>
          <w:sz w:val="24"/>
          <w:szCs w:val="24"/>
          <w:highlight w:val="none"/>
        </w:rPr>
        <w:t>发包人（全称）：</w:t>
      </w:r>
      <w:r>
        <w:rPr>
          <w:rFonts w:hint="eastAsia" w:ascii="宋体" w:hAnsi="宋体" w:cs="宋体"/>
          <w:color w:val="auto"/>
          <w:sz w:val="24"/>
          <w:szCs w:val="24"/>
          <w:highlight w:val="none"/>
          <w:u w:val="single"/>
          <w:lang w:val="en-US" w:eastAsia="zh-CN"/>
        </w:rPr>
        <w:t>嘉善县天凝中学</w:t>
      </w:r>
      <w:r>
        <w:rPr>
          <w:rFonts w:hint="eastAsia" w:ascii="宋体" w:hAnsi="宋体" w:eastAsia="宋体" w:cs="宋体"/>
          <w:b/>
          <w:color w:val="auto"/>
          <w:kern w:val="2"/>
          <w:sz w:val="24"/>
          <w:szCs w:val="24"/>
          <w:highlight w:val="none"/>
          <w:u w:val="single"/>
        </w:rPr>
        <w:t xml:space="preserve">   </w:t>
      </w:r>
      <w:r>
        <w:rPr>
          <w:rFonts w:hint="eastAsia" w:ascii="宋体" w:hAnsi="宋体" w:eastAsia="宋体" w:cs="宋体"/>
          <w:b/>
          <w:color w:val="auto"/>
          <w:kern w:val="2"/>
          <w:sz w:val="24"/>
          <w:szCs w:val="24"/>
          <w:highlight w:val="none"/>
          <w:u w:val="single"/>
          <w:lang w:val="en-US" w:eastAsia="zh-CN"/>
        </w:rPr>
        <w:t xml:space="preserve">        </w:t>
      </w:r>
    </w:p>
    <w:p w14:paraId="3BB5CFF5">
      <w:pPr>
        <w:pageBreakBefore w:val="0"/>
        <w:widowControl w:val="0"/>
        <w:kinsoku/>
        <w:wordWrap/>
        <w:overflowPunct/>
        <w:topLinePunct w:val="0"/>
        <w:autoSpaceDE/>
        <w:autoSpaceDN/>
        <w:bidi w:val="0"/>
        <w:adjustRightInd/>
        <w:snapToGrid/>
        <w:spacing w:line="460" w:lineRule="exact"/>
        <w:ind w:left="0" w:leftChars="0" w:right="0" w:firstLine="482" w:firstLineChars="200"/>
        <w:jc w:val="both"/>
        <w:textAlignment w:val="auto"/>
        <w:rPr>
          <w:rFonts w:hint="eastAsia" w:ascii="宋体" w:hAnsi="宋体" w:eastAsia="宋体" w:cs="宋体"/>
          <w:b/>
          <w:color w:val="auto"/>
          <w:kern w:val="2"/>
          <w:sz w:val="24"/>
          <w:szCs w:val="24"/>
          <w:highlight w:val="none"/>
          <w:u w:val="single"/>
        </w:rPr>
      </w:pPr>
      <w:r>
        <w:rPr>
          <w:rFonts w:hint="eastAsia" w:ascii="宋体" w:hAnsi="宋体" w:eastAsia="宋体" w:cs="宋体"/>
          <w:b/>
          <w:color w:val="auto"/>
          <w:kern w:val="2"/>
          <w:sz w:val="24"/>
          <w:szCs w:val="24"/>
          <w:highlight w:val="none"/>
        </w:rPr>
        <w:t>承包人（全称）：</w:t>
      </w:r>
      <w:r>
        <w:rPr>
          <w:rFonts w:hint="eastAsia" w:ascii="宋体" w:hAnsi="宋体" w:eastAsia="宋体" w:cs="宋体"/>
          <w:b/>
          <w:color w:val="auto"/>
          <w:kern w:val="2"/>
          <w:sz w:val="24"/>
          <w:szCs w:val="24"/>
          <w:highlight w:val="none"/>
          <w:u w:val="single"/>
        </w:rPr>
        <w:t xml:space="preserve">                           </w:t>
      </w:r>
    </w:p>
    <w:p w14:paraId="596E433D">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根据《中华人民共和国民法典》、《中华人民共和国建筑法》及有关法律规定，遵循平等、自愿、公平和诚实信用的原则，双方就</w:t>
      </w:r>
      <w:r>
        <w:rPr>
          <w:rFonts w:hint="eastAsia" w:ascii="宋体" w:hAnsi="宋体" w:cs="宋体"/>
          <w:color w:val="auto"/>
          <w:sz w:val="24"/>
          <w:szCs w:val="24"/>
          <w:highlight w:val="none"/>
          <w:u w:val="single"/>
          <w:lang w:val="en-US" w:eastAsia="zh-CN"/>
        </w:rPr>
        <w:t>嘉善县天凝中学2025年度校舍常规维修</w:t>
      </w:r>
      <w:r>
        <w:rPr>
          <w:rFonts w:hint="eastAsia" w:ascii="宋体" w:hAnsi="宋体" w:eastAsia="宋体" w:cs="宋体"/>
          <w:color w:val="auto"/>
          <w:kern w:val="2"/>
          <w:sz w:val="24"/>
          <w:szCs w:val="24"/>
          <w:highlight w:val="none"/>
        </w:rPr>
        <w:t>及有关事项协商一致，共同达成如下协议：</w:t>
      </w:r>
    </w:p>
    <w:p w14:paraId="04496FEF">
      <w:pPr>
        <w:keepNext/>
        <w:keepLines/>
        <w:pageBreakBefore w:val="0"/>
        <w:widowControl w:val="0"/>
        <w:kinsoku/>
        <w:wordWrap/>
        <w:overflowPunct/>
        <w:topLinePunct w:val="0"/>
        <w:autoSpaceDE/>
        <w:autoSpaceDN/>
        <w:bidi w:val="0"/>
        <w:adjustRightInd/>
        <w:snapToGrid/>
        <w:spacing w:line="460" w:lineRule="exact"/>
        <w:ind w:left="0" w:leftChars="0" w:right="0" w:firstLine="482" w:firstLineChars="200"/>
        <w:jc w:val="both"/>
        <w:textAlignment w:val="auto"/>
        <w:outlineLvl w:val="3"/>
        <w:rPr>
          <w:rFonts w:hint="eastAsia" w:ascii="宋体" w:hAnsi="宋体" w:eastAsia="宋体" w:cs="宋体"/>
          <w:b/>
          <w:color w:val="auto"/>
          <w:kern w:val="2"/>
          <w:sz w:val="24"/>
          <w:szCs w:val="24"/>
          <w:highlight w:val="none"/>
        </w:rPr>
      </w:pPr>
      <w:bookmarkStart w:id="86" w:name="_Toc351203481"/>
      <w:r>
        <w:rPr>
          <w:rFonts w:hint="eastAsia" w:ascii="宋体" w:hAnsi="宋体" w:eastAsia="宋体" w:cs="宋体"/>
          <w:b/>
          <w:bCs/>
          <w:color w:val="auto"/>
          <w:kern w:val="2"/>
          <w:sz w:val="24"/>
          <w:szCs w:val="24"/>
          <w:highlight w:val="none"/>
        </w:rPr>
        <w:t>一、工程概况</w:t>
      </w:r>
      <w:bookmarkEnd w:id="86"/>
    </w:p>
    <w:p w14:paraId="0A1C72E1">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kern w:val="2"/>
          <w:sz w:val="24"/>
          <w:szCs w:val="24"/>
          <w:highlight w:val="none"/>
          <w:u w:val="single"/>
        </w:rPr>
      </w:pPr>
      <w:r>
        <w:rPr>
          <w:rFonts w:hint="eastAsia" w:ascii="宋体" w:hAnsi="宋体" w:eastAsia="宋体" w:cs="宋体"/>
          <w:bCs/>
          <w:color w:val="auto"/>
          <w:kern w:val="2"/>
          <w:sz w:val="24"/>
          <w:szCs w:val="24"/>
          <w:highlight w:val="none"/>
        </w:rPr>
        <w:t>1.工程名称</w:t>
      </w:r>
      <w:r>
        <w:rPr>
          <w:rFonts w:hint="eastAsia" w:ascii="宋体" w:hAnsi="宋体" w:eastAsia="宋体" w:cs="宋体"/>
          <w:b/>
          <w:color w:val="auto"/>
          <w:kern w:val="2"/>
          <w:sz w:val="24"/>
          <w:szCs w:val="24"/>
          <w:highlight w:val="none"/>
        </w:rPr>
        <w:t>：</w:t>
      </w:r>
      <w:r>
        <w:rPr>
          <w:rFonts w:hint="eastAsia" w:ascii="宋体" w:hAnsi="宋体" w:cs="宋体"/>
          <w:color w:val="auto"/>
          <w:sz w:val="24"/>
          <w:szCs w:val="24"/>
          <w:highlight w:val="none"/>
          <w:u w:val="single"/>
          <w:lang w:val="en-US" w:eastAsia="zh-CN"/>
        </w:rPr>
        <w:t>嘉善县天凝中学2025年度校舍常规维修</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w:t>
      </w:r>
    </w:p>
    <w:p w14:paraId="1DFDB2DA">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2.工程地点：</w:t>
      </w:r>
      <w:r>
        <w:rPr>
          <w:rFonts w:hint="eastAsia" w:ascii="宋体" w:hAnsi="宋体" w:eastAsia="宋体" w:cs="宋体"/>
          <w:color w:val="auto"/>
          <w:kern w:val="2"/>
          <w:sz w:val="24"/>
          <w:szCs w:val="24"/>
          <w:highlight w:val="none"/>
          <w:u w:val="single"/>
        </w:rPr>
        <w:t xml:space="preserve">  </w:t>
      </w:r>
      <w:r>
        <w:rPr>
          <w:rFonts w:hint="eastAsia" w:ascii="宋体" w:hAnsi="宋体" w:cs="宋体"/>
          <w:color w:val="auto"/>
          <w:sz w:val="24"/>
          <w:szCs w:val="24"/>
          <w:highlight w:val="none"/>
          <w:u w:val="single"/>
          <w:lang w:val="en-US" w:eastAsia="zh-CN"/>
        </w:rPr>
        <w:t>嘉善县天凝中学</w:t>
      </w:r>
      <w:r>
        <w:rPr>
          <w:rFonts w:hint="eastAsia" w:ascii="宋体" w:hAnsi="宋体" w:eastAsia="宋体" w:cs="宋体"/>
          <w:color w:val="auto"/>
          <w:kern w:val="2"/>
          <w:sz w:val="24"/>
          <w:szCs w:val="24"/>
          <w:highlight w:val="none"/>
          <w:u w:val="single"/>
          <w:lang w:eastAsia="zh-CN"/>
        </w:rPr>
        <w:t>内</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w:t>
      </w:r>
    </w:p>
    <w:p w14:paraId="35EDCF40">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3.工程立项批准文号：</w:t>
      </w:r>
      <w:r>
        <w:rPr>
          <w:rFonts w:hint="eastAsia" w:ascii="宋体" w:hAnsi="宋体" w:eastAsia="宋体" w:cs="宋体"/>
          <w:color w:val="auto"/>
          <w:kern w:val="2"/>
          <w:sz w:val="24"/>
          <w:szCs w:val="24"/>
          <w:highlight w:val="none"/>
          <w:u w:val="single"/>
          <w:lang w:val="en-US" w:eastAsia="zh-CN"/>
        </w:rPr>
        <w:t xml:space="preserve">       </w:t>
      </w:r>
      <w:r>
        <w:rPr>
          <w:rFonts w:hint="eastAsia" w:ascii="宋体" w:hAnsi="宋体" w:eastAsia="宋体" w:cs="宋体"/>
          <w:bCs/>
          <w:color w:val="auto"/>
          <w:kern w:val="2"/>
          <w:sz w:val="24"/>
          <w:szCs w:val="24"/>
          <w:highlight w:val="none"/>
        </w:rPr>
        <w:t>。</w:t>
      </w:r>
    </w:p>
    <w:p w14:paraId="2FBDF0DF">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4.资金来源</w:t>
      </w:r>
      <w:r>
        <w:rPr>
          <w:rFonts w:hint="eastAsia" w:ascii="宋体" w:hAnsi="宋体" w:eastAsia="宋体" w:cs="宋体"/>
          <w:bCs/>
          <w:color w:val="auto"/>
          <w:kern w:val="2"/>
          <w:sz w:val="24"/>
          <w:szCs w:val="24"/>
          <w:highlight w:val="none"/>
        </w:rPr>
        <w:t>：</w:t>
      </w:r>
      <w:r>
        <w:rPr>
          <w:rFonts w:hint="eastAsia" w:ascii="宋体" w:hAnsi="宋体" w:eastAsia="宋体" w:cs="宋体"/>
          <w:color w:val="auto"/>
          <w:kern w:val="2"/>
          <w:sz w:val="24"/>
          <w:szCs w:val="24"/>
          <w:highlight w:val="none"/>
          <w:u w:val="single"/>
          <w:lang w:eastAsia="zh-CN"/>
        </w:rPr>
        <w:t>财政资金</w:t>
      </w:r>
      <w:r>
        <w:rPr>
          <w:rFonts w:hint="eastAsia" w:ascii="宋体" w:hAnsi="宋体" w:eastAsia="宋体" w:cs="宋体"/>
          <w:bCs/>
          <w:color w:val="auto"/>
          <w:kern w:val="2"/>
          <w:sz w:val="24"/>
          <w:szCs w:val="24"/>
          <w:highlight w:val="none"/>
        </w:rPr>
        <w:t>。</w:t>
      </w:r>
    </w:p>
    <w:p w14:paraId="3DD91611">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5.工程内容</w:t>
      </w:r>
      <w:r>
        <w:rPr>
          <w:rFonts w:hint="eastAsia" w:ascii="宋体" w:hAnsi="宋体" w:eastAsia="宋体" w:cs="宋体"/>
          <w:color w:val="auto"/>
          <w:kern w:val="2"/>
          <w:sz w:val="24"/>
          <w:szCs w:val="24"/>
          <w:highlight w:val="none"/>
          <w:u w:val="single"/>
        </w:rPr>
        <w:t>：</w:t>
      </w:r>
      <w:r>
        <w:rPr>
          <w:rFonts w:hint="eastAsia" w:ascii="宋体" w:hAnsi="宋体" w:cs="宋体"/>
          <w:color w:val="auto"/>
          <w:sz w:val="24"/>
          <w:szCs w:val="24"/>
          <w:highlight w:val="none"/>
          <w:u w:val="single"/>
          <w:lang w:val="en-US" w:eastAsia="zh-CN"/>
        </w:rPr>
        <w:t>嘉善县天凝中学2025年度校舍常规维修</w:t>
      </w:r>
      <w:r>
        <w:rPr>
          <w:rFonts w:hint="eastAsia" w:ascii="宋体" w:hAnsi="宋体" w:eastAsia="宋体" w:cs="宋体"/>
          <w:color w:val="auto"/>
          <w:kern w:val="2"/>
          <w:sz w:val="24"/>
          <w:szCs w:val="24"/>
          <w:highlight w:val="none"/>
          <w:u w:val="single"/>
        </w:rPr>
        <w:t>，具体详见工程量清单</w:t>
      </w:r>
      <w:r>
        <w:rPr>
          <w:rFonts w:hint="eastAsia" w:ascii="宋体" w:hAnsi="宋体" w:eastAsia="宋体" w:cs="宋体"/>
          <w:bCs/>
          <w:color w:val="auto"/>
          <w:kern w:val="2"/>
          <w:sz w:val="24"/>
          <w:szCs w:val="24"/>
          <w:highlight w:val="none"/>
        </w:rPr>
        <w:t>。</w:t>
      </w:r>
    </w:p>
    <w:p w14:paraId="02D55F0D">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bCs/>
          <w:color w:val="auto"/>
          <w:kern w:val="2"/>
          <w:sz w:val="24"/>
          <w:szCs w:val="24"/>
          <w:highlight w:val="none"/>
        </w:rPr>
        <w:t>6.工程承包范围：</w:t>
      </w:r>
      <w:r>
        <w:rPr>
          <w:rFonts w:hint="eastAsia" w:ascii="宋体" w:hAnsi="宋体" w:cs="宋体"/>
          <w:color w:val="auto"/>
          <w:sz w:val="24"/>
          <w:szCs w:val="24"/>
          <w:highlight w:val="none"/>
          <w:u w:val="single"/>
          <w:lang w:val="en-US" w:eastAsia="zh-CN"/>
        </w:rPr>
        <w:t>嘉善县天凝中学2025年度校舍常规维修</w:t>
      </w:r>
      <w:r>
        <w:rPr>
          <w:rFonts w:hint="eastAsia" w:ascii="宋体" w:hAnsi="宋体" w:eastAsia="宋体" w:cs="宋体"/>
          <w:color w:val="auto"/>
          <w:kern w:val="2"/>
          <w:sz w:val="24"/>
          <w:szCs w:val="24"/>
          <w:highlight w:val="none"/>
          <w:u w:val="single"/>
        </w:rPr>
        <w:t>，具体详见工程量清单</w:t>
      </w:r>
      <w:r>
        <w:rPr>
          <w:rFonts w:hint="eastAsia" w:ascii="宋体" w:hAnsi="宋体" w:eastAsia="宋体" w:cs="宋体"/>
          <w:color w:val="auto"/>
          <w:kern w:val="2"/>
          <w:sz w:val="24"/>
          <w:szCs w:val="24"/>
          <w:highlight w:val="none"/>
        </w:rPr>
        <w:t>。</w:t>
      </w:r>
    </w:p>
    <w:p w14:paraId="7CB1A318">
      <w:pPr>
        <w:keepNext/>
        <w:keepLines/>
        <w:pageBreakBefore w:val="0"/>
        <w:widowControl w:val="0"/>
        <w:kinsoku/>
        <w:wordWrap/>
        <w:overflowPunct/>
        <w:topLinePunct w:val="0"/>
        <w:autoSpaceDE/>
        <w:autoSpaceDN/>
        <w:bidi w:val="0"/>
        <w:adjustRightInd/>
        <w:snapToGrid/>
        <w:spacing w:line="460" w:lineRule="exact"/>
        <w:ind w:left="0" w:leftChars="0" w:right="0" w:firstLine="482" w:firstLineChars="200"/>
        <w:jc w:val="both"/>
        <w:textAlignment w:val="auto"/>
        <w:outlineLvl w:val="3"/>
        <w:rPr>
          <w:rFonts w:hint="eastAsia" w:ascii="宋体" w:hAnsi="宋体" w:eastAsia="宋体" w:cs="宋体"/>
          <w:b/>
          <w:bCs/>
          <w:color w:val="auto"/>
          <w:kern w:val="2"/>
          <w:sz w:val="24"/>
          <w:szCs w:val="24"/>
          <w:highlight w:val="none"/>
        </w:rPr>
      </w:pPr>
      <w:bookmarkStart w:id="87" w:name="_Toc351203482"/>
      <w:r>
        <w:rPr>
          <w:rFonts w:hint="eastAsia" w:ascii="宋体" w:hAnsi="宋体" w:eastAsia="宋体" w:cs="宋体"/>
          <w:b/>
          <w:bCs/>
          <w:color w:val="auto"/>
          <w:kern w:val="2"/>
          <w:sz w:val="24"/>
          <w:szCs w:val="24"/>
          <w:highlight w:val="none"/>
        </w:rPr>
        <w:t>二、合同工期</w:t>
      </w:r>
      <w:bookmarkEnd w:id="87"/>
    </w:p>
    <w:p w14:paraId="4393E9A0">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计划开工日期：</w:t>
      </w:r>
      <w:r>
        <w:rPr>
          <w:rFonts w:hint="eastAsia" w:ascii="宋体" w:hAnsi="宋体" w:eastAsia="宋体" w:cs="宋体"/>
          <w:b/>
          <w:color w:val="auto"/>
          <w:kern w:val="2"/>
          <w:sz w:val="24"/>
          <w:szCs w:val="24"/>
          <w:highlight w:val="none"/>
          <w:u w:val="single"/>
        </w:rPr>
        <w:t>暂定</w:t>
      </w:r>
      <w:r>
        <w:rPr>
          <w:rFonts w:hint="eastAsia" w:ascii="宋体" w:hAnsi="宋体" w:cs="宋体"/>
          <w:b/>
          <w:color w:val="auto"/>
          <w:kern w:val="2"/>
          <w:sz w:val="24"/>
          <w:szCs w:val="24"/>
          <w:highlight w:val="none"/>
          <w:u w:val="single"/>
          <w:lang w:eastAsia="zh-CN"/>
        </w:rPr>
        <w:t>2025年</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月</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日。</w:t>
      </w:r>
    </w:p>
    <w:p w14:paraId="48287FB6">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计划竣工日期</w:t>
      </w:r>
      <w:r>
        <w:rPr>
          <w:rFonts w:hint="eastAsia" w:ascii="宋体" w:hAnsi="宋体" w:eastAsia="宋体" w:cs="宋体"/>
          <w:color w:val="auto"/>
          <w:kern w:val="2"/>
          <w:sz w:val="24"/>
          <w:szCs w:val="24"/>
          <w:highlight w:val="none"/>
        </w:rPr>
        <w:t>：</w:t>
      </w:r>
      <w:r>
        <w:rPr>
          <w:rFonts w:hint="eastAsia" w:ascii="宋体" w:hAnsi="宋体" w:eastAsia="宋体" w:cs="宋体"/>
          <w:b/>
          <w:color w:val="auto"/>
          <w:kern w:val="2"/>
          <w:sz w:val="24"/>
          <w:szCs w:val="24"/>
          <w:highlight w:val="none"/>
          <w:u w:val="single"/>
          <w:lang w:val="en-US" w:eastAsia="zh-CN"/>
        </w:rPr>
        <w:t xml:space="preserve">         </w:t>
      </w:r>
      <w:r>
        <w:rPr>
          <w:rFonts w:hint="eastAsia" w:ascii="宋体" w:hAnsi="宋体" w:eastAsia="宋体" w:cs="宋体"/>
          <w:color w:val="auto"/>
          <w:kern w:val="2"/>
          <w:sz w:val="24"/>
          <w:szCs w:val="24"/>
          <w:highlight w:val="none"/>
        </w:rPr>
        <w:t>年</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月</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日。</w:t>
      </w:r>
    </w:p>
    <w:p w14:paraId="363F7109">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工期总日历天数：</w:t>
      </w:r>
      <w:r>
        <w:rPr>
          <w:rFonts w:hint="eastAsia" w:ascii="宋体" w:hAnsi="宋体" w:eastAsia="宋体" w:cs="宋体"/>
          <w:color w:val="auto"/>
          <w:kern w:val="2"/>
          <w:sz w:val="24"/>
          <w:szCs w:val="24"/>
          <w:highlight w:val="none"/>
          <w:u w:val="single"/>
          <w:lang w:val="en-US" w:eastAsia="zh-CN"/>
        </w:rPr>
        <w:t xml:space="preserve">       </w:t>
      </w:r>
      <w:r>
        <w:rPr>
          <w:rFonts w:hint="eastAsia" w:ascii="宋体" w:hAnsi="宋体" w:cs="宋体"/>
          <w:color w:val="auto"/>
          <w:kern w:val="2"/>
          <w:sz w:val="24"/>
          <w:szCs w:val="24"/>
          <w:highlight w:val="none"/>
          <w:u w:val="single"/>
          <w:lang w:val="en-US" w:eastAsia="zh-CN"/>
        </w:rPr>
        <w:t xml:space="preserve">           </w:t>
      </w:r>
      <w:r>
        <w:rPr>
          <w:rFonts w:hint="eastAsia" w:ascii="宋体" w:hAnsi="宋体" w:eastAsia="宋体" w:cs="宋体"/>
          <w:color w:val="auto"/>
          <w:kern w:val="2"/>
          <w:sz w:val="24"/>
          <w:szCs w:val="24"/>
          <w:highlight w:val="none"/>
        </w:rPr>
        <w:t>。工期总日历天数与根据前述计划开竣工日期计算的工期天数不一致的，以工期总日历天数为准。</w:t>
      </w:r>
    </w:p>
    <w:p w14:paraId="32357129">
      <w:pPr>
        <w:keepNext/>
        <w:keepLines/>
        <w:pageBreakBefore w:val="0"/>
        <w:widowControl w:val="0"/>
        <w:kinsoku/>
        <w:wordWrap/>
        <w:overflowPunct/>
        <w:topLinePunct w:val="0"/>
        <w:autoSpaceDE/>
        <w:autoSpaceDN/>
        <w:bidi w:val="0"/>
        <w:adjustRightInd/>
        <w:snapToGrid/>
        <w:spacing w:line="460" w:lineRule="exact"/>
        <w:ind w:left="0" w:leftChars="0" w:right="0" w:firstLine="482" w:firstLineChars="200"/>
        <w:jc w:val="both"/>
        <w:textAlignment w:val="auto"/>
        <w:outlineLvl w:val="3"/>
        <w:rPr>
          <w:rFonts w:hint="eastAsia" w:ascii="宋体" w:hAnsi="宋体" w:eastAsia="宋体" w:cs="宋体"/>
          <w:b/>
          <w:color w:val="auto"/>
          <w:kern w:val="2"/>
          <w:sz w:val="24"/>
          <w:szCs w:val="24"/>
          <w:highlight w:val="none"/>
        </w:rPr>
      </w:pPr>
      <w:bookmarkStart w:id="88" w:name="_Toc351203483"/>
      <w:r>
        <w:rPr>
          <w:rFonts w:hint="eastAsia" w:ascii="宋体" w:hAnsi="宋体" w:eastAsia="宋体" w:cs="宋体"/>
          <w:b/>
          <w:bCs/>
          <w:color w:val="auto"/>
          <w:kern w:val="2"/>
          <w:sz w:val="24"/>
          <w:szCs w:val="24"/>
          <w:highlight w:val="none"/>
        </w:rPr>
        <w:t>三、质量标准</w:t>
      </w:r>
      <w:bookmarkEnd w:id="88"/>
    </w:p>
    <w:p w14:paraId="6A723D8E">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b/>
          <w:color w:val="auto"/>
          <w:sz w:val="24"/>
          <w:szCs w:val="24"/>
          <w:highlight w:val="none"/>
        </w:rPr>
      </w:pPr>
      <w:r>
        <w:rPr>
          <w:rFonts w:hint="eastAsia" w:ascii="宋体" w:hAnsi="宋体" w:eastAsia="宋体" w:cs="宋体"/>
          <w:color w:val="auto"/>
          <w:kern w:val="2"/>
          <w:sz w:val="24"/>
          <w:szCs w:val="24"/>
          <w:highlight w:val="none"/>
        </w:rPr>
        <w:t>工程质量</w:t>
      </w:r>
      <w:r>
        <w:rPr>
          <w:rFonts w:hint="eastAsia" w:ascii="宋体" w:hAnsi="宋体" w:eastAsia="宋体" w:cs="宋体"/>
          <w:b/>
          <w:color w:val="auto"/>
          <w:kern w:val="2"/>
          <w:sz w:val="24"/>
          <w:szCs w:val="24"/>
          <w:highlight w:val="none"/>
          <w:u w:val="single"/>
          <w:lang w:eastAsia="zh-CN"/>
        </w:rPr>
        <w:t>达到现行国家验收标准的合格等级</w:t>
      </w:r>
      <w:r>
        <w:rPr>
          <w:rFonts w:hint="eastAsia" w:ascii="宋体" w:hAnsi="宋体" w:eastAsia="宋体" w:cs="宋体"/>
          <w:color w:val="auto"/>
          <w:sz w:val="24"/>
          <w:szCs w:val="24"/>
          <w:highlight w:val="none"/>
        </w:rPr>
        <w:t>。</w:t>
      </w:r>
    </w:p>
    <w:p w14:paraId="14498CC5">
      <w:pPr>
        <w:pStyle w:val="17"/>
        <w:pageBreakBefore w:val="0"/>
        <w:widowControl w:val="0"/>
        <w:tabs>
          <w:tab w:val="right" w:leader="dot" w:pos="8296"/>
        </w:tabs>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双方约定，工程质量由业主、监理、设计、施工共同评定。</w:t>
      </w:r>
    </w:p>
    <w:p w14:paraId="27632C9A">
      <w:pPr>
        <w:keepNext/>
        <w:keepLines/>
        <w:pageBreakBefore w:val="0"/>
        <w:widowControl w:val="0"/>
        <w:kinsoku/>
        <w:wordWrap/>
        <w:overflowPunct/>
        <w:topLinePunct w:val="0"/>
        <w:autoSpaceDE/>
        <w:autoSpaceDN/>
        <w:bidi w:val="0"/>
        <w:adjustRightInd/>
        <w:snapToGrid/>
        <w:spacing w:line="460" w:lineRule="exact"/>
        <w:ind w:left="0" w:leftChars="0" w:right="0" w:firstLine="482" w:firstLineChars="200"/>
        <w:jc w:val="both"/>
        <w:textAlignment w:val="auto"/>
        <w:outlineLvl w:val="3"/>
        <w:rPr>
          <w:rFonts w:hint="eastAsia" w:ascii="宋体" w:hAnsi="宋体" w:eastAsia="宋体" w:cs="宋体"/>
          <w:b/>
          <w:color w:val="auto"/>
          <w:kern w:val="2"/>
          <w:sz w:val="24"/>
          <w:szCs w:val="24"/>
          <w:highlight w:val="none"/>
        </w:rPr>
      </w:pPr>
      <w:bookmarkStart w:id="89" w:name="_Toc351203484"/>
      <w:r>
        <w:rPr>
          <w:rFonts w:hint="eastAsia" w:ascii="宋体" w:hAnsi="宋体" w:eastAsia="宋体" w:cs="宋体"/>
          <w:b/>
          <w:color w:val="auto"/>
          <w:kern w:val="2"/>
          <w:sz w:val="24"/>
          <w:szCs w:val="24"/>
          <w:highlight w:val="none"/>
        </w:rPr>
        <w:t>四、签约合同价与合同价格形式</w:t>
      </w:r>
      <w:bookmarkEnd w:id="89"/>
      <w:r>
        <w:rPr>
          <w:rFonts w:hint="eastAsia" w:ascii="宋体" w:hAnsi="宋体" w:eastAsia="宋体" w:cs="宋体"/>
          <w:b/>
          <w:color w:val="auto"/>
          <w:kern w:val="2"/>
          <w:sz w:val="24"/>
          <w:szCs w:val="24"/>
          <w:highlight w:val="none"/>
        </w:rPr>
        <w:tab/>
      </w:r>
    </w:p>
    <w:p w14:paraId="1900214C">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1.签约合同价为：</w:t>
      </w:r>
    </w:p>
    <w:p w14:paraId="5320DF1B">
      <w:pPr>
        <w:pageBreakBefore w:val="0"/>
        <w:widowControl w:val="0"/>
        <w:kinsoku/>
        <w:wordWrap/>
        <w:overflowPunct/>
        <w:topLinePunct w:val="0"/>
        <w:autoSpaceDE/>
        <w:autoSpaceDN/>
        <w:bidi w:val="0"/>
        <w:spacing w:line="460" w:lineRule="exact"/>
        <w:ind w:left="0" w:leftChars="0" w:right="0" w:firstLine="480" w:firstLineChars="200"/>
        <w:jc w:val="both"/>
        <w:textAlignment w:val="auto"/>
        <w:rPr>
          <w:rFonts w:hint="eastAsia" w:ascii="宋体" w:hAnsi="宋体" w:eastAsia="宋体" w:cs="宋体"/>
          <w:b/>
          <w:color w:val="auto"/>
          <w:kern w:val="2"/>
          <w:sz w:val="24"/>
          <w:szCs w:val="24"/>
          <w:highlight w:val="none"/>
          <w:u w:val="single"/>
          <w:lang w:val="en-US" w:eastAsia="zh-CN"/>
        </w:rPr>
      </w:pPr>
      <w:r>
        <w:rPr>
          <w:rFonts w:hint="eastAsia" w:ascii="宋体" w:hAnsi="宋体" w:eastAsia="宋体" w:cs="宋体"/>
          <w:color w:val="auto"/>
          <w:kern w:val="2"/>
          <w:sz w:val="24"/>
          <w:szCs w:val="24"/>
          <w:highlight w:val="none"/>
        </w:rPr>
        <w:t>人民币（大写）</w:t>
      </w:r>
      <w:r>
        <w:rPr>
          <w:rFonts w:hint="eastAsia" w:ascii="宋体" w:hAnsi="宋体" w:eastAsia="宋体" w:cs="宋体"/>
          <w:b/>
          <w:color w:val="auto"/>
          <w:kern w:val="2"/>
          <w:sz w:val="24"/>
          <w:szCs w:val="24"/>
          <w:highlight w:val="none"/>
          <w:u w:val="single"/>
        </w:rPr>
        <w:t>按</w:t>
      </w:r>
      <w:r>
        <w:rPr>
          <w:rFonts w:hint="eastAsia" w:ascii="宋体" w:hAnsi="宋体" w:eastAsia="宋体" w:cs="宋体"/>
          <w:b/>
          <w:color w:val="auto"/>
          <w:kern w:val="2"/>
          <w:sz w:val="24"/>
          <w:szCs w:val="24"/>
          <w:highlight w:val="none"/>
          <w:u w:val="single"/>
          <w:lang w:eastAsia="zh-CN"/>
        </w:rPr>
        <w:t>成交</w:t>
      </w:r>
      <w:r>
        <w:rPr>
          <w:rFonts w:hint="eastAsia" w:ascii="宋体" w:hAnsi="宋体" w:eastAsia="宋体" w:cs="宋体"/>
          <w:b/>
          <w:color w:val="auto"/>
          <w:kern w:val="2"/>
          <w:sz w:val="24"/>
          <w:szCs w:val="24"/>
          <w:highlight w:val="none"/>
          <w:u w:val="single"/>
        </w:rPr>
        <w:t>价</w:t>
      </w:r>
      <w:r>
        <w:rPr>
          <w:rFonts w:hint="eastAsia" w:ascii="宋体" w:hAnsi="宋体" w:eastAsia="宋体" w:cs="宋体"/>
          <w:color w:val="auto"/>
          <w:kern w:val="2"/>
          <w:sz w:val="24"/>
          <w:szCs w:val="24"/>
          <w:highlight w:val="none"/>
        </w:rPr>
        <w:t>(¥</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b/>
          <w:color w:val="auto"/>
          <w:kern w:val="2"/>
          <w:sz w:val="24"/>
          <w:szCs w:val="24"/>
          <w:highlight w:val="none"/>
          <w:u w:val="single"/>
        </w:rPr>
        <w:t>按</w:t>
      </w:r>
      <w:r>
        <w:rPr>
          <w:rFonts w:hint="eastAsia" w:ascii="宋体" w:hAnsi="宋体" w:eastAsia="宋体" w:cs="宋体"/>
          <w:b/>
          <w:color w:val="auto"/>
          <w:kern w:val="2"/>
          <w:sz w:val="24"/>
          <w:szCs w:val="24"/>
          <w:highlight w:val="none"/>
          <w:u w:val="single"/>
          <w:lang w:eastAsia="zh-CN"/>
        </w:rPr>
        <w:t>成交</w:t>
      </w:r>
      <w:r>
        <w:rPr>
          <w:rFonts w:hint="eastAsia" w:ascii="宋体" w:hAnsi="宋体" w:eastAsia="宋体" w:cs="宋体"/>
          <w:b/>
          <w:color w:val="auto"/>
          <w:kern w:val="2"/>
          <w:sz w:val="24"/>
          <w:szCs w:val="24"/>
          <w:highlight w:val="none"/>
          <w:u w:val="single"/>
        </w:rPr>
        <w:t xml:space="preserve">价  </w:t>
      </w:r>
      <w:r>
        <w:rPr>
          <w:rFonts w:hint="eastAsia" w:ascii="宋体" w:hAnsi="宋体" w:eastAsia="宋体" w:cs="宋体"/>
          <w:color w:val="auto"/>
          <w:kern w:val="2"/>
          <w:sz w:val="24"/>
          <w:szCs w:val="24"/>
          <w:highlight w:val="none"/>
        </w:rPr>
        <w:t>元)</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lang w:val="en-US" w:eastAsia="zh-CN"/>
        </w:rPr>
        <w:t>成交下浮率为</w:t>
      </w:r>
      <w:r>
        <w:rPr>
          <w:rFonts w:hint="eastAsia" w:ascii="宋体" w:hAnsi="宋体" w:eastAsia="宋体" w:cs="宋体"/>
          <w:b/>
          <w:color w:val="auto"/>
          <w:kern w:val="2"/>
          <w:sz w:val="24"/>
          <w:szCs w:val="24"/>
          <w:highlight w:val="none"/>
          <w:u w:val="single"/>
          <w:lang w:val="en-US" w:eastAsia="zh-CN"/>
        </w:rPr>
        <w:t xml:space="preserve">     </w:t>
      </w:r>
      <w:r>
        <w:rPr>
          <w:rFonts w:hint="eastAsia" w:ascii="宋体" w:hAnsi="宋体" w:eastAsia="宋体" w:cs="宋体"/>
          <w:b/>
          <w:color w:val="auto"/>
          <w:kern w:val="2"/>
          <w:sz w:val="24"/>
          <w:szCs w:val="24"/>
          <w:highlight w:val="none"/>
          <w:u w:val="none"/>
          <w:lang w:val="en-US" w:eastAsia="zh-CN"/>
        </w:rPr>
        <w:t>。</w:t>
      </w:r>
      <w:r>
        <w:rPr>
          <w:rFonts w:hint="eastAsia" w:ascii="宋体" w:hAnsi="宋体" w:eastAsia="宋体" w:cs="宋体"/>
          <w:b/>
          <w:color w:val="auto"/>
          <w:kern w:val="2"/>
          <w:sz w:val="24"/>
          <w:szCs w:val="24"/>
          <w:highlight w:val="none"/>
          <w:u w:val="single"/>
        </w:rPr>
        <w:t>最终以结算审计为准</w:t>
      </w:r>
      <w:r>
        <w:rPr>
          <w:rFonts w:hint="eastAsia" w:ascii="宋体" w:hAnsi="宋体" w:eastAsia="宋体" w:cs="宋体"/>
          <w:b/>
          <w:color w:val="auto"/>
          <w:kern w:val="2"/>
          <w:sz w:val="24"/>
          <w:szCs w:val="24"/>
          <w:highlight w:val="none"/>
          <w:u w:val="single"/>
          <w:lang w:eastAsia="zh-CN"/>
        </w:rPr>
        <w:t>。</w:t>
      </w:r>
      <w:r>
        <w:rPr>
          <w:rFonts w:hint="eastAsia" w:ascii="宋体" w:hAnsi="宋体" w:eastAsia="宋体" w:cs="宋体"/>
          <w:b/>
          <w:color w:val="auto"/>
          <w:kern w:val="2"/>
          <w:sz w:val="24"/>
          <w:szCs w:val="24"/>
          <w:highlight w:val="none"/>
          <w:u w:val="single"/>
          <w:lang w:val="en-US" w:eastAsia="zh-CN"/>
        </w:rPr>
        <w:t>本工程结算方式：按</w:t>
      </w:r>
      <w:r>
        <w:rPr>
          <w:rFonts w:hint="eastAsia" w:ascii="宋体" w:hAnsi="宋体" w:cs="宋体"/>
          <w:b/>
          <w:bCs/>
          <w:color w:val="auto"/>
          <w:sz w:val="24"/>
          <w:szCs w:val="24"/>
          <w:highlight w:val="none"/>
          <w:u w:val="single"/>
          <w:lang w:val="en-US" w:eastAsia="zh-CN"/>
        </w:rPr>
        <w:t>嘉善县天凝中学2025年度校舍常规维修</w:t>
      </w:r>
      <w:r>
        <w:rPr>
          <w:rFonts w:hint="eastAsia" w:ascii="宋体" w:hAnsi="宋体" w:eastAsia="宋体" w:cs="宋体"/>
          <w:b/>
          <w:color w:val="auto"/>
          <w:kern w:val="2"/>
          <w:sz w:val="24"/>
          <w:szCs w:val="24"/>
          <w:highlight w:val="none"/>
          <w:u w:val="single"/>
          <w:lang w:val="en-US" w:eastAsia="zh-CN"/>
        </w:rPr>
        <w:t>中标报价文件中第壹轮报价的计算口径，按实际工程量计算所得工程造价</w:t>
      </w:r>
      <w:r>
        <w:rPr>
          <w:rFonts w:hint="eastAsia" w:ascii="宋体" w:hAnsi="宋体" w:eastAsia="宋体" w:cs="宋体"/>
          <w:b/>
          <w:color w:val="auto"/>
          <w:kern w:val="2"/>
          <w:sz w:val="24"/>
          <w:szCs w:val="24"/>
          <w:highlight w:val="none"/>
          <w:u w:val="single"/>
        </w:rPr>
        <w:t>×</w:t>
      </w:r>
      <w:r>
        <w:rPr>
          <w:rFonts w:hint="eastAsia" w:ascii="宋体" w:hAnsi="宋体" w:eastAsia="宋体" w:cs="宋体"/>
          <w:b/>
          <w:color w:val="auto"/>
          <w:kern w:val="2"/>
          <w:sz w:val="24"/>
          <w:szCs w:val="24"/>
          <w:highlight w:val="none"/>
          <w:u w:val="single"/>
          <w:lang w:eastAsia="zh-CN"/>
        </w:rPr>
        <w:t>（</w:t>
      </w:r>
      <w:r>
        <w:rPr>
          <w:rFonts w:hint="eastAsia" w:ascii="宋体" w:hAnsi="宋体" w:eastAsia="宋体" w:cs="宋体"/>
          <w:b/>
          <w:color w:val="auto"/>
          <w:kern w:val="2"/>
          <w:sz w:val="24"/>
          <w:szCs w:val="24"/>
          <w:highlight w:val="none"/>
          <w:u w:val="single"/>
          <w:lang w:val="en-US" w:eastAsia="zh-CN"/>
        </w:rPr>
        <w:t>1-成交下浮率</w:t>
      </w:r>
      <w:r>
        <w:rPr>
          <w:rFonts w:hint="eastAsia" w:ascii="宋体" w:hAnsi="宋体" w:eastAsia="宋体" w:cs="宋体"/>
          <w:b/>
          <w:color w:val="auto"/>
          <w:kern w:val="2"/>
          <w:sz w:val="24"/>
          <w:szCs w:val="24"/>
          <w:highlight w:val="none"/>
          <w:u w:val="single"/>
          <w:lang w:eastAsia="zh-CN"/>
        </w:rPr>
        <w:t>）</w:t>
      </w:r>
      <w:r>
        <w:rPr>
          <w:rFonts w:hint="eastAsia" w:ascii="宋体" w:hAnsi="宋体" w:eastAsia="宋体" w:cs="宋体"/>
          <w:b/>
          <w:color w:val="auto"/>
          <w:kern w:val="2"/>
          <w:sz w:val="24"/>
          <w:szCs w:val="24"/>
          <w:highlight w:val="none"/>
          <w:u w:val="single"/>
          <w:lang w:val="en-US" w:eastAsia="zh-CN"/>
        </w:rPr>
        <w:t>。</w:t>
      </w:r>
    </w:p>
    <w:p w14:paraId="6671BEF1">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其中：</w:t>
      </w:r>
    </w:p>
    <w:p w14:paraId="23F39FB0">
      <w:pPr>
        <w:pageBreakBefore w:val="0"/>
        <w:widowControl w:val="0"/>
        <w:kinsoku/>
        <w:wordWrap/>
        <w:overflowPunct/>
        <w:topLinePunct w:val="0"/>
        <w:autoSpaceDE/>
        <w:autoSpaceDN/>
        <w:bidi w:val="0"/>
        <w:adjustRightInd/>
        <w:snapToGrid/>
        <w:spacing w:line="460" w:lineRule="exact"/>
        <w:ind w:left="0" w:leftChars="0" w:right="0" w:firstLine="480" w:firstLineChars="200"/>
        <w:contextualSpacing/>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（1）安全文明施工费：</w:t>
      </w:r>
    </w:p>
    <w:p w14:paraId="6288901A">
      <w:pPr>
        <w:pageBreakBefore w:val="0"/>
        <w:widowControl w:val="0"/>
        <w:kinsoku/>
        <w:wordWrap/>
        <w:overflowPunct/>
        <w:topLinePunct w:val="0"/>
        <w:autoSpaceDE/>
        <w:autoSpaceDN/>
        <w:bidi w:val="0"/>
        <w:adjustRightInd/>
        <w:snapToGrid/>
        <w:spacing w:line="460" w:lineRule="exact"/>
        <w:ind w:left="0" w:leftChars="0" w:right="0" w:firstLine="480" w:firstLineChars="200"/>
        <w:contextualSpacing/>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人民币（大写）</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 xml:space="preserve"> (¥</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元)；</w:t>
      </w:r>
    </w:p>
    <w:p w14:paraId="49752953">
      <w:pPr>
        <w:pageBreakBefore w:val="0"/>
        <w:widowControl w:val="0"/>
        <w:kinsoku/>
        <w:wordWrap/>
        <w:overflowPunct/>
        <w:topLinePunct w:val="0"/>
        <w:autoSpaceDE/>
        <w:autoSpaceDN/>
        <w:bidi w:val="0"/>
        <w:adjustRightInd/>
        <w:snapToGrid/>
        <w:spacing w:line="460" w:lineRule="exact"/>
        <w:ind w:left="0" w:leftChars="0" w:right="0" w:firstLine="480" w:firstLineChars="200"/>
        <w:contextualSpacing/>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（2）材料和工程设备暂估价金额：</w:t>
      </w:r>
    </w:p>
    <w:p w14:paraId="51519047">
      <w:pPr>
        <w:pageBreakBefore w:val="0"/>
        <w:widowControl w:val="0"/>
        <w:kinsoku/>
        <w:wordWrap/>
        <w:overflowPunct/>
        <w:topLinePunct w:val="0"/>
        <w:autoSpaceDE/>
        <w:autoSpaceDN/>
        <w:bidi w:val="0"/>
        <w:adjustRightInd/>
        <w:snapToGrid/>
        <w:spacing w:line="460" w:lineRule="exact"/>
        <w:ind w:left="0" w:leftChars="0" w:right="0" w:firstLine="480" w:firstLineChars="200"/>
        <w:contextualSpacing/>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人民币（大写）</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 xml:space="preserve"> (¥</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元)；</w:t>
      </w:r>
    </w:p>
    <w:p w14:paraId="4ED41916">
      <w:pPr>
        <w:pageBreakBefore w:val="0"/>
        <w:widowControl w:val="0"/>
        <w:kinsoku/>
        <w:wordWrap/>
        <w:overflowPunct/>
        <w:topLinePunct w:val="0"/>
        <w:autoSpaceDE/>
        <w:autoSpaceDN/>
        <w:bidi w:val="0"/>
        <w:adjustRightInd/>
        <w:snapToGrid/>
        <w:spacing w:line="460" w:lineRule="exact"/>
        <w:ind w:left="0" w:leftChars="0" w:right="0" w:firstLine="480" w:firstLineChars="200"/>
        <w:contextualSpacing/>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（3）专业工程暂估价金额：</w:t>
      </w:r>
    </w:p>
    <w:p w14:paraId="20751041">
      <w:pPr>
        <w:pageBreakBefore w:val="0"/>
        <w:widowControl w:val="0"/>
        <w:kinsoku/>
        <w:wordWrap/>
        <w:overflowPunct/>
        <w:topLinePunct w:val="0"/>
        <w:autoSpaceDE/>
        <w:autoSpaceDN/>
        <w:bidi w:val="0"/>
        <w:adjustRightInd/>
        <w:snapToGrid/>
        <w:spacing w:line="460" w:lineRule="exact"/>
        <w:ind w:left="0" w:leftChars="0" w:right="0" w:firstLine="480" w:firstLineChars="200"/>
        <w:contextualSpacing/>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人民币（大写）</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 xml:space="preserve"> (¥</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元)；</w:t>
      </w:r>
    </w:p>
    <w:p w14:paraId="540BAA4D">
      <w:pPr>
        <w:pageBreakBefore w:val="0"/>
        <w:widowControl w:val="0"/>
        <w:kinsoku/>
        <w:wordWrap/>
        <w:overflowPunct/>
        <w:topLinePunct w:val="0"/>
        <w:autoSpaceDE/>
        <w:autoSpaceDN/>
        <w:bidi w:val="0"/>
        <w:adjustRightInd/>
        <w:snapToGrid/>
        <w:spacing w:line="460" w:lineRule="exact"/>
        <w:ind w:left="0" w:leftChars="0" w:right="0" w:firstLine="480" w:firstLineChars="200"/>
        <w:contextualSpacing/>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（4）暂列金额：</w:t>
      </w:r>
    </w:p>
    <w:p w14:paraId="4024C22D">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人民币（大写）</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 xml:space="preserve"> (¥</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元)。</w:t>
      </w:r>
    </w:p>
    <w:p w14:paraId="101AF8FF">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kern w:val="2"/>
          <w:sz w:val="24"/>
          <w:szCs w:val="24"/>
          <w:highlight w:val="none"/>
          <w:u w:val="single"/>
        </w:rPr>
      </w:pPr>
      <w:r>
        <w:rPr>
          <w:rFonts w:hint="eastAsia" w:ascii="宋体" w:hAnsi="宋体" w:eastAsia="宋体" w:cs="宋体"/>
          <w:color w:val="auto"/>
          <w:kern w:val="2"/>
          <w:sz w:val="24"/>
          <w:szCs w:val="24"/>
          <w:highlight w:val="none"/>
        </w:rPr>
        <w:t>2.合同价格形式：</w:t>
      </w:r>
      <w:r>
        <w:rPr>
          <w:rFonts w:hint="eastAsia" w:ascii="宋体" w:hAnsi="宋体" w:eastAsia="宋体" w:cs="宋体"/>
          <w:color w:val="auto"/>
          <w:kern w:val="2"/>
          <w:sz w:val="24"/>
          <w:szCs w:val="24"/>
          <w:highlight w:val="none"/>
          <w:u w:val="single"/>
        </w:rPr>
        <w:t>采用单价合同。</w:t>
      </w:r>
    </w:p>
    <w:p w14:paraId="1B4D4AE8">
      <w:pPr>
        <w:keepNext/>
        <w:keepLines/>
        <w:pageBreakBefore w:val="0"/>
        <w:widowControl w:val="0"/>
        <w:kinsoku/>
        <w:wordWrap/>
        <w:overflowPunct/>
        <w:topLinePunct w:val="0"/>
        <w:autoSpaceDE/>
        <w:autoSpaceDN/>
        <w:bidi w:val="0"/>
        <w:adjustRightInd/>
        <w:snapToGrid/>
        <w:spacing w:line="460" w:lineRule="exact"/>
        <w:ind w:left="0" w:leftChars="0" w:right="0" w:firstLine="482" w:firstLineChars="200"/>
        <w:jc w:val="both"/>
        <w:textAlignment w:val="auto"/>
        <w:outlineLvl w:val="3"/>
        <w:rPr>
          <w:rFonts w:hint="eastAsia" w:ascii="宋体" w:hAnsi="宋体" w:eastAsia="宋体" w:cs="宋体"/>
          <w:b/>
          <w:bCs/>
          <w:color w:val="auto"/>
          <w:kern w:val="2"/>
          <w:sz w:val="24"/>
          <w:szCs w:val="24"/>
          <w:highlight w:val="none"/>
        </w:rPr>
      </w:pPr>
      <w:bookmarkStart w:id="90" w:name="_Toc351203485"/>
      <w:r>
        <w:rPr>
          <w:rFonts w:hint="eastAsia" w:ascii="宋体" w:hAnsi="宋体" w:eastAsia="宋体" w:cs="宋体"/>
          <w:b/>
          <w:bCs/>
          <w:color w:val="auto"/>
          <w:kern w:val="2"/>
          <w:sz w:val="24"/>
          <w:szCs w:val="24"/>
          <w:highlight w:val="none"/>
        </w:rPr>
        <w:t>五、</w:t>
      </w:r>
      <w:bookmarkEnd w:id="90"/>
      <w:r>
        <w:rPr>
          <w:rFonts w:hint="eastAsia" w:ascii="宋体" w:hAnsi="宋体" w:eastAsia="宋体" w:cs="宋体"/>
          <w:b/>
          <w:bCs/>
          <w:color w:val="auto"/>
          <w:kern w:val="2"/>
          <w:sz w:val="24"/>
          <w:szCs w:val="24"/>
          <w:highlight w:val="none"/>
        </w:rPr>
        <w:t>项目经理</w:t>
      </w:r>
    </w:p>
    <w:p w14:paraId="0EC8B6B3">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承包人项目经理：</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 xml:space="preserve"> 。</w:t>
      </w:r>
    </w:p>
    <w:p w14:paraId="776A68A3">
      <w:pPr>
        <w:keepNext/>
        <w:keepLines/>
        <w:pageBreakBefore w:val="0"/>
        <w:widowControl w:val="0"/>
        <w:kinsoku/>
        <w:wordWrap/>
        <w:overflowPunct/>
        <w:topLinePunct w:val="0"/>
        <w:autoSpaceDE/>
        <w:autoSpaceDN/>
        <w:bidi w:val="0"/>
        <w:adjustRightInd/>
        <w:snapToGrid/>
        <w:spacing w:line="460" w:lineRule="exact"/>
        <w:ind w:left="0" w:leftChars="0" w:right="0" w:firstLine="482" w:firstLineChars="200"/>
        <w:jc w:val="both"/>
        <w:textAlignment w:val="auto"/>
        <w:outlineLvl w:val="3"/>
        <w:rPr>
          <w:rFonts w:hint="eastAsia" w:ascii="宋体" w:hAnsi="宋体" w:eastAsia="宋体" w:cs="宋体"/>
          <w:b/>
          <w:color w:val="auto"/>
          <w:kern w:val="2"/>
          <w:sz w:val="24"/>
          <w:szCs w:val="24"/>
          <w:highlight w:val="none"/>
        </w:rPr>
      </w:pPr>
      <w:bookmarkStart w:id="91" w:name="_Toc351203486"/>
      <w:r>
        <w:rPr>
          <w:rFonts w:hint="eastAsia" w:ascii="宋体" w:hAnsi="宋体" w:eastAsia="宋体" w:cs="宋体"/>
          <w:b/>
          <w:bCs/>
          <w:color w:val="auto"/>
          <w:kern w:val="2"/>
          <w:sz w:val="24"/>
          <w:szCs w:val="24"/>
          <w:highlight w:val="none"/>
        </w:rPr>
        <w:t>六、合同文件构成</w:t>
      </w:r>
      <w:bookmarkEnd w:id="91"/>
    </w:p>
    <w:p w14:paraId="4BDF7469">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本协议书与下列文件一起构成合同文件：</w:t>
      </w:r>
    </w:p>
    <w:p w14:paraId="1859AEEF">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w:t>
      </w:r>
      <w:r>
        <w:rPr>
          <w:rFonts w:hint="eastAsia" w:ascii="宋体" w:hAnsi="宋体" w:eastAsia="宋体" w:cs="宋体"/>
          <w:color w:val="auto"/>
          <w:kern w:val="2"/>
          <w:sz w:val="24"/>
          <w:szCs w:val="24"/>
          <w:highlight w:val="none"/>
          <w:lang w:eastAsia="zh-CN"/>
        </w:rPr>
        <w:t>成交</w:t>
      </w:r>
      <w:r>
        <w:rPr>
          <w:rFonts w:hint="eastAsia" w:ascii="宋体" w:hAnsi="宋体" w:eastAsia="宋体" w:cs="宋体"/>
          <w:color w:val="auto"/>
          <w:kern w:val="2"/>
          <w:sz w:val="24"/>
          <w:szCs w:val="24"/>
          <w:highlight w:val="none"/>
        </w:rPr>
        <w:t>通知书（如果有）；</w:t>
      </w:r>
    </w:p>
    <w:p w14:paraId="1739B7BE">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（2）投标函及其附录（如果有）； </w:t>
      </w:r>
    </w:p>
    <w:p w14:paraId="1B7D82C4">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（3）专用合同条款及其附件；</w:t>
      </w:r>
    </w:p>
    <w:p w14:paraId="439A16D3">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（4）通用合同条款；</w:t>
      </w:r>
    </w:p>
    <w:p w14:paraId="585FCE95">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（5）技术标准和要求；</w:t>
      </w:r>
    </w:p>
    <w:p w14:paraId="7F8272E4">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（6）图纸；</w:t>
      </w:r>
    </w:p>
    <w:p w14:paraId="26F1FD17">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（7）已标价工程量清单或预算书；</w:t>
      </w:r>
    </w:p>
    <w:p w14:paraId="4B606474">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（8）其他合同文件。</w:t>
      </w:r>
    </w:p>
    <w:p w14:paraId="106AD46C">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在合同订立及履行过程中形成的与合同有关的文件均构成合同文件组成部分。</w:t>
      </w:r>
    </w:p>
    <w:p w14:paraId="3D89F17D">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上述各项合同文件包括合同当事人就该项合同文件所作出的补充和修改，属于同一类内容的文件，应以最新签署的为准。专用合同条款及其附件须经合同当事人签字或盖章。</w:t>
      </w:r>
    </w:p>
    <w:p w14:paraId="45812083">
      <w:pPr>
        <w:pageBreakBefore w:val="0"/>
        <w:widowControl w:val="0"/>
        <w:kinsoku/>
        <w:wordWrap/>
        <w:overflowPunct/>
        <w:topLinePunct w:val="0"/>
        <w:autoSpaceDE/>
        <w:autoSpaceDN/>
        <w:bidi w:val="0"/>
        <w:adjustRightInd/>
        <w:snapToGrid/>
        <w:spacing w:line="460" w:lineRule="exact"/>
        <w:ind w:left="0" w:leftChars="0" w:right="0" w:firstLine="482" w:firstLineChars="200"/>
        <w:jc w:val="both"/>
        <w:textAlignment w:val="auto"/>
        <w:rPr>
          <w:rFonts w:hint="eastAsia" w:ascii="宋体" w:hAnsi="宋体" w:eastAsia="宋体" w:cs="宋体"/>
          <w:b/>
          <w:color w:val="auto"/>
          <w:kern w:val="2"/>
          <w:sz w:val="24"/>
          <w:szCs w:val="24"/>
          <w:highlight w:val="none"/>
        </w:rPr>
      </w:pPr>
      <w:bookmarkStart w:id="92" w:name="_Toc351203487"/>
      <w:r>
        <w:rPr>
          <w:rFonts w:hint="eastAsia" w:ascii="宋体" w:hAnsi="宋体" w:eastAsia="宋体" w:cs="宋体"/>
          <w:b/>
          <w:color w:val="auto"/>
          <w:kern w:val="2"/>
          <w:sz w:val="24"/>
          <w:szCs w:val="24"/>
          <w:highlight w:val="none"/>
        </w:rPr>
        <w:t>七、承诺</w:t>
      </w:r>
      <w:bookmarkEnd w:id="92"/>
    </w:p>
    <w:p w14:paraId="6BE2F5B4">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1.发包人承诺按照法律规定履行项目审批手续、筹集工程建设资金并按照合同约定的期限和方式支付合同价款。</w:t>
      </w:r>
    </w:p>
    <w:p w14:paraId="103BB2A8">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2.承包人承诺按照法律规定及合同约定组织完成工程施工，确保工程质量和安全，不进行转包及违法分包，并在缺陷责任期及保修期内承担相应的工程维修责任。</w:t>
      </w:r>
    </w:p>
    <w:p w14:paraId="3EB2F254">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3.发包人和承包人通过招投标形式签订合同的，双方理解并承诺不再就同一工程另行签订与合同实质性内容相背离的协议。</w:t>
      </w:r>
    </w:p>
    <w:p w14:paraId="6E396BED">
      <w:pPr>
        <w:pageBreakBefore w:val="0"/>
        <w:widowControl w:val="0"/>
        <w:kinsoku/>
        <w:wordWrap/>
        <w:overflowPunct/>
        <w:topLinePunct w:val="0"/>
        <w:autoSpaceDE/>
        <w:autoSpaceDN/>
        <w:bidi w:val="0"/>
        <w:adjustRightInd/>
        <w:snapToGrid/>
        <w:spacing w:line="460" w:lineRule="exact"/>
        <w:ind w:left="0" w:leftChars="0" w:right="0" w:firstLine="482" w:firstLineChars="200"/>
        <w:jc w:val="both"/>
        <w:textAlignment w:val="auto"/>
        <w:rPr>
          <w:rFonts w:hint="eastAsia" w:ascii="宋体" w:hAnsi="宋体" w:eastAsia="宋体" w:cs="宋体"/>
          <w:b/>
          <w:color w:val="auto"/>
          <w:kern w:val="2"/>
          <w:sz w:val="24"/>
          <w:szCs w:val="24"/>
          <w:highlight w:val="none"/>
        </w:rPr>
      </w:pPr>
      <w:bookmarkStart w:id="93" w:name="_Toc351203488"/>
      <w:r>
        <w:rPr>
          <w:rFonts w:hint="eastAsia" w:ascii="宋体" w:hAnsi="宋体" w:eastAsia="宋体" w:cs="宋体"/>
          <w:b/>
          <w:color w:val="auto"/>
          <w:kern w:val="2"/>
          <w:sz w:val="24"/>
          <w:szCs w:val="24"/>
          <w:highlight w:val="none"/>
        </w:rPr>
        <w:t>八、词语含义</w:t>
      </w:r>
      <w:bookmarkEnd w:id="93"/>
    </w:p>
    <w:p w14:paraId="021A8ABC">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本协议书中词语含义与第二部分通用合同条款中赋予的含义相同。</w:t>
      </w:r>
    </w:p>
    <w:p w14:paraId="219803E0">
      <w:pPr>
        <w:pageBreakBefore w:val="0"/>
        <w:widowControl w:val="0"/>
        <w:kinsoku/>
        <w:wordWrap/>
        <w:overflowPunct/>
        <w:topLinePunct w:val="0"/>
        <w:autoSpaceDE/>
        <w:autoSpaceDN/>
        <w:bidi w:val="0"/>
        <w:adjustRightInd/>
        <w:snapToGrid/>
        <w:spacing w:line="460" w:lineRule="exact"/>
        <w:ind w:left="0" w:leftChars="0" w:right="0" w:firstLine="482" w:firstLineChars="200"/>
        <w:jc w:val="both"/>
        <w:textAlignment w:val="auto"/>
        <w:rPr>
          <w:rFonts w:hint="eastAsia" w:ascii="宋体" w:hAnsi="宋体" w:eastAsia="宋体" w:cs="宋体"/>
          <w:b/>
          <w:color w:val="auto"/>
          <w:kern w:val="2"/>
          <w:sz w:val="24"/>
          <w:szCs w:val="24"/>
          <w:highlight w:val="none"/>
        </w:rPr>
      </w:pPr>
      <w:bookmarkStart w:id="94" w:name="_Toc351203489"/>
      <w:r>
        <w:rPr>
          <w:rFonts w:hint="eastAsia" w:ascii="宋体" w:hAnsi="宋体" w:eastAsia="宋体" w:cs="宋体"/>
          <w:b/>
          <w:color w:val="auto"/>
          <w:kern w:val="2"/>
          <w:sz w:val="24"/>
          <w:szCs w:val="24"/>
          <w:highlight w:val="none"/>
        </w:rPr>
        <w:t>九、签订时间</w:t>
      </w:r>
      <w:bookmarkEnd w:id="94"/>
    </w:p>
    <w:p w14:paraId="24BA39AF">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本合同于</w:t>
      </w:r>
      <w:r>
        <w:rPr>
          <w:rFonts w:hint="eastAsia" w:ascii="宋体" w:hAnsi="宋体" w:cs="宋体"/>
          <w:color w:val="auto"/>
          <w:kern w:val="2"/>
          <w:sz w:val="24"/>
          <w:szCs w:val="24"/>
          <w:highlight w:val="none"/>
          <w:u w:val="single"/>
          <w:lang w:val="en-US" w:eastAsia="zh-CN"/>
        </w:rPr>
        <w:t xml:space="preserve">    </w:t>
      </w:r>
      <w:r>
        <w:rPr>
          <w:rFonts w:hint="eastAsia" w:ascii="宋体" w:hAnsi="宋体" w:cs="宋体"/>
          <w:color w:val="auto"/>
          <w:kern w:val="2"/>
          <w:sz w:val="24"/>
          <w:szCs w:val="24"/>
          <w:highlight w:val="none"/>
          <w:u w:val="single"/>
          <w:lang w:eastAsia="zh-CN"/>
        </w:rPr>
        <w:t>年</w:t>
      </w:r>
      <w:r>
        <w:rPr>
          <w:rFonts w:hint="eastAsia" w:ascii="宋体" w:hAnsi="宋体" w:eastAsia="宋体" w:cs="宋体"/>
          <w:color w:val="auto"/>
          <w:kern w:val="2"/>
          <w:sz w:val="24"/>
          <w:szCs w:val="24"/>
          <w:highlight w:val="none"/>
          <w:u w:val="single"/>
        </w:rPr>
        <w:t xml:space="preserve">   月    日</w:t>
      </w:r>
      <w:r>
        <w:rPr>
          <w:rFonts w:hint="eastAsia" w:ascii="宋体" w:hAnsi="宋体" w:eastAsia="宋体" w:cs="宋体"/>
          <w:color w:val="auto"/>
          <w:kern w:val="2"/>
          <w:sz w:val="24"/>
          <w:szCs w:val="24"/>
          <w:highlight w:val="none"/>
        </w:rPr>
        <w:t>签订。</w:t>
      </w:r>
    </w:p>
    <w:p w14:paraId="3E426F78">
      <w:pPr>
        <w:pageBreakBefore w:val="0"/>
        <w:widowControl w:val="0"/>
        <w:kinsoku/>
        <w:wordWrap/>
        <w:overflowPunct/>
        <w:topLinePunct w:val="0"/>
        <w:autoSpaceDE/>
        <w:autoSpaceDN/>
        <w:bidi w:val="0"/>
        <w:adjustRightInd/>
        <w:snapToGrid/>
        <w:spacing w:line="460" w:lineRule="exact"/>
        <w:ind w:left="0" w:leftChars="0" w:right="0" w:firstLine="482" w:firstLineChars="200"/>
        <w:jc w:val="both"/>
        <w:textAlignment w:val="auto"/>
        <w:rPr>
          <w:rFonts w:hint="eastAsia" w:ascii="宋体" w:hAnsi="宋体" w:eastAsia="宋体" w:cs="宋体"/>
          <w:b/>
          <w:color w:val="auto"/>
          <w:kern w:val="2"/>
          <w:sz w:val="24"/>
          <w:szCs w:val="24"/>
          <w:highlight w:val="none"/>
        </w:rPr>
      </w:pPr>
      <w:bookmarkStart w:id="95" w:name="_Toc351203490"/>
      <w:r>
        <w:rPr>
          <w:rFonts w:hint="eastAsia" w:ascii="宋体" w:hAnsi="宋体" w:eastAsia="宋体" w:cs="宋体"/>
          <w:b/>
          <w:color w:val="auto"/>
          <w:kern w:val="2"/>
          <w:sz w:val="24"/>
          <w:szCs w:val="24"/>
          <w:highlight w:val="none"/>
        </w:rPr>
        <w:t>十、签订地点</w:t>
      </w:r>
      <w:bookmarkEnd w:id="95"/>
    </w:p>
    <w:p w14:paraId="5322E307">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本合同在</w:t>
      </w:r>
      <w:r>
        <w:rPr>
          <w:rFonts w:hint="eastAsia" w:ascii="宋体" w:hAnsi="宋体" w:eastAsia="宋体" w:cs="宋体"/>
          <w:color w:val="auto"/>
          <w:sz w:val="24"/>
          <w:szCs w:val="24"/>
          <w:highlight w:val="none"/>
          <w:u w:val="single"/>
        </w:rPr>
        <w:t>工程所在地或发包人所在地</w:t>
      </w:r>
      <w:r>
        <w:rPr>
          <w:rFonts w:hint="eastAsia" w:ascii="宋体" w:hAnsi="宋体" w:eastAsia="宋体" w:cs="宋体"/>
          <w:color w:val="auto"/>
          <w:kern w:val="2"/>
          <w:sz w:val="24"/>
          <w:szCs w:val="24"/>
          <w:highlight w:val="none"/>
        </w:rPr>
        <w:t>签订。</w:t>
      </w:r>
    </w:p>
    <w:p w14:paraId="4FFED42A">
      <w:pPr>
        <w:pageBreakBefore w:val="0"/>
        <w:widowControl w:val="0"/>
        <w:kinsoku/>
        <w:wordWrap/>
        <w:overflowPunct/>
        <w:topLinePunct w:val="0"/>
        <w:autoSpaceDE/>
        <w:autoSpaceDN/>
        <w:bidi w:val="0"/>
        <w:adjustRightInd/>
        <w:snapToGrid/>
        <w:spacing w:line="460" w:lineRule="exact"/>
        <w:ind w:left="0" w:leftChars="0" w:right="0" w:firstLine="482" w:firstLineChars="200"/>
        <w:jc w:val="both"/>
        <w:textAlignment w:val="auto"/>
        <w:rPr>
          <w:rFonts w:hint="eastAsia" w:ascii="宋体" w:hAnsi="宋体" w:eastAsia="宋体" w:cs="宋体"/>
          <w:b/>
          <w:color w:val="auto"/>
          <w:kern w:val="2"/>
          <w:sz w:val="24"/>
          <w:szCs w:val="24"/>
          <w:highlight w:val="none"/>
        </w:rPr>
      </w:pPr>
      <w:bookmarkStart w:id="96" w:name="_Toc351203491"/>
      <w:r>
        <w:rPr>
          <w:rFonts w:hint="eastAsia" w:ascii="宋体" w:hAnsi="宋体" w:eastAsia="宋体" w:cs="宋体"/>
          <w:b/>
          <w:color w:val="auto"/>
          <w:kern w:val="2"/>
          <w:sz w:val="24"/>
          <w:szCs w:val="24"/>
          <w:highlight w:val="none"/>
        </w:rPr>
        <w:t>十一、补充协议</w:t>
      </w:r>
      <w:bookmarkEnd w:id="96"/>
    </w:p>
    <w:p w14:paraId="147DA7DB">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合同未尽事宜，合同当事人另行签订补充协议，补充协议是合同的组成部分。</w:t>
      </w:r>
    </w:p>
    <w:p w14:paraId="0D6D8B6B">
      <w:pPr>
        <w:pageBreakBefore w:val="0"/>
        <w:widowControl w:val="0"/>
        <w:kinsoku/>
        <w:wordWrap/>
        <w:overflowPunct/>
        <w:topLinePunct w:val="0"/>
        <w:autoSpaceDE/>
        <w:autoSpaceDN/>
        <w:bidi w:val="0"/>
        <w:adjustRightInd/>
        <w:snapToGrid/>
        <w:spacing w:line="460" w:lineRule="exact"/>
        <w:ind w:left="0" w:leftChars="0" w:right="0" w:firstLine="482" w:firstLineChars="200"/>
        <w:jc w:val="both"/>
        <w:textAlignment w:val="auto"/>
        <w:rPr>
          <w:rFonts w:hint="eastAsia" w:ascii="宋体" w:hAnsi="宋体" w:eastAsia="宋体" w:cs="宋体"/>
          <w:b/>
          <w:color w:val="auto"/>
          <w:kern w:val="2"/>
          <w:sz w:val="24"/>
          <w:szCs w:val="24"/>
          <w:highlight w:val="none"/>
        </w:rPr>
      </w:pPr>
      <w:bookmarkStart w:id="97" w:name="_Toc351203492"/>
      <w:r>
        <w:rPr>
          <w:rFonts w:hint="eastAsia" w:ascii="宋体" w:hAnsi="宋体" w:eastAsia="宋体" w:cs="宋体"/>
          <w:b/>
          <w:color w:val="auto"/>
          <w:kern w:val="2"/>
          <w:sz w:val="24"/>
          <w:szCs w:val="24"/>
          <w:highlight w:val="none"/>
        </w:rPr>
        <w:t>十二、合同生效</w:t>
      </w:r>
      <w:bookmarkEnd w:id="97"/>
    </w:p>
    <w:p w14:paraId="6F075387">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本合同自</w:t>
      </w:r>
      <w:r>
        <w:rPr>
          <w:rFonts w:hint="eastAsia" w:ascii="宋体" w:hAnsi="宋体" w:eastAsia="宋体" w:cs="宋体"/>
          <w:color w:val="auto"/>
          <w:kern w:val="2"/>
          <w:sz w:val="24"/>
          <w:szCs w:val="24"/>
          <w:highlight w:val="none"/>
          <w:u w:val="single"/>
        </w:rPr>
        <w:t>法定代表人或委托代理人签字加盖公章</w:t>
      </w:r>
      <w:r>
        <w:rPr>
          <w:rFonts w:hint="eastAsia" w:ascii="宋体" w:hAnsi="宋体" w:eastAsia="宋体" w:cs="宋体"/>
          <w:color w:val="auto"/>
          <w:kern w:val="2"/>
          <w:sz w:val="24"/>
          <w:szCs w:val="24"/>
          <w:highlight w:val="none"/>
        </w:rPr>
        <w:t>生效。</w:t>
      </w:r>
    </w:p>
    <w:p w14:paraId="40CFE616">
      <w:pPr>
        <w:pageBreakBefore w:val="0"/>
        <w:widowControl w:val="0"/>
        <w:kinsoku/>
        <w:wordWrap/>
        <w:overflowPunct/>
        <w:topLinePunct w:val="0"/>
        <w:autoSpaceDE/>
        <w:autoSpaceDN/>
        <w:bidi w:val="0"/>
        <w:adjustRightInd/>
        <w:snapToGrid/>
        <w:spacing w:line="460" w:lineRule="exact"/>
        <w:ind w:left="0" w:leftChars="0" w:right="0" w:firstLine="482" w:firstLineChars="200"/>
        <w:jc w:val="both"/>
        <w:textAlignment w:val="auto"/>
        <w:rPr>
          <w:rFonts w:hint="eastAsia" w:ascii="宋体" w:hAnsi="宋体" w:eastAsia="宋体" w:cs="宋体"/>
          <w:b/>
          <w:color w:val="auto"/>
          <w:kern w:val="2"/>
          <w:sz w:val="24"/>
          <w:szCs w:val="24"/>
          <w:highlight w:val="none"/>
        </w:rPr>
      </w:pPr>
      <w:bookmarkStart w:id="98" w:name="_Toc351203493"/>
      <w:r>
        <w:rPr>
          <w:rFonts w:hint="eastAsia" w:ascii="宋体" w:hAnsi="宋体" w:eastAsia="宋体" w:cs="宋体"/>
          <w:b/>
          <w:color w:val="auto"/>
          <w:kern w:val="2"/>
          <w:sz w:val="24"/>
          <w:szCs w:val="24"/>
          <w:highlight w:val="none"/>
        </w:rPr>
        <w:t>十三、合同份数</w:t>
      </w:r>
      <w:bookmarkEnd w:id="98"/>
    </w:p>
    <w:p w14:paraId="596163CA">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本合同一式</w:t>
      </w:r>
      <w:r>
        <w:rPr>
          <w:rFonts w:hint="eastAsia" w:ascii="宋体" w:hAnsi="宋体" w:eastAsia="宋体" w:cs="宋体"/>
          <w:color w:val="auto"/>
          <w:kern w:val="2"/>
          <w:sz w:val="24"/>
          <w:szCs w:val="24"/>
          <w:highlight w:val="none"/>
          <w:u w:val="single"/>
        </w:rPr>
        <w:t>陆</w:t>
      </w:r>
      <w:r>
        <w:rPr>
          <w:rFonts w:hint="eastAsia" w:ascii="宋体" w:hAnsi="宋体" w:eastAsia="宋体" w:cs="宋体"/>
          <w:color w:val="auto"/>
          <w:kern w:val="2"/>
          <w:sz w:val="24"/>
          <w:szCs w:val="24"/>
          <w:highlight w:val="none"/>
        </w:rPr>
        <w:t>份，均具有同等法律效力，发包人执</w:t>
      </w:r>
      <w:r>
        <w:rPr>
          <w:rFonts w:hint="eastAsia" w:ascii="宋体" w:hAnsi="宋体" w:eastAsia="宋体" w:cs="宋体"/>
          <w:color w:val="auto"/>
          <w:kern w:val="2"/>
          <w:sz w:val="24"/>
          <w:szCs w:val="24"/>
          <w:highlight w:val="none"/>
          <w:u w:val="single"/>
        </w:rPr>
        <w:t>叁</w:t>
      </w:r>
      <w:r>
        <w:rPr>
          <w:rFonts w:hint="eastAsia" w:ascii="宋体" w:hAnsi="宋体" w:eastAsia="宋体" w:cs="宋体"/>
          <w:color w:val="auto"/>
          <w:kern w:val="2"/>
          <w:sz w:val="24"/>
          <w:szCs w:val="24"/>
          <w:highlight w:val="none"/>
        </w:rPr>
        <w:t>份，承包人执</w:t>
      </w:r>
      <w:r>
        <w:rPr>
          <w:rFonts w:hint="eastAsia" w:ascii="宋体" w:hAnsi="宋体" w:eastAsia="宋体" w:cs="宋体"/>
          <w:color w:val="auto"/>
          <w:kern w:val="2"/>
          <w:sz w:val="24"/>
          <w:szCs w:val="24"/>
          <w:highlight w:val="none"/>
          <w:u w:val="single"/>
        </w:rPr>
        <w:t>叁</w:t>
      </w:r>
      <w:r>
        <w:rPr>
          <w:rFonts w:hint="eastAsia" w:ascii="宋体" w:hAnsi="宋体" w:eastAsia="宋体" w:cs="宋体"/>
          <w:color w:val="auto"/>
          <w:kern w:val="2"/>
          <w:sz w:val="24"/>
          <w:szCs w:val="24"/>
          <w:highlight w:val="none"/>
        </w:rPr>
        <w:t>份。</w:t>
      </w:r>
    </w:p>
    <w:p w14:paraId="06626BA6">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kern w:val="2"/>
          <w:sz w:val="24"/>
          <w:szCs w:val="24"/>
          <w:highlight w:val="none"/>
        </w:rPr>
      </w:pPr>
    </w:p>
    <w:p w14:paraId="223139AF">
      <w:pPr>
        <w:pageBreakBefore w:val="0"/>
        <w:widowControl w:val="0"/>
        <w:kinsoku/>
        <w:wordWrap/>
        <w:overflowPunct/>
        <w:topLinePunct w:val="0"/>
        <w:autoSpaceDE/>
        <w:autoSpaceDN/>
        <w:bidi w:val="0"/>
        <w:adjustRightInd/>
        <w:snapToGrid/>
        <w:spacing w:line="460" w:lineRule="exact"/>
        <w:ind w:left="0" w:leftChars="0" w:right="0" w:firstLine="480" w:firstLineChars="200"/>
        <w:contextualSpacing/>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发包人：  (公章)             承包人：  (公章)                            </w:t>
      </w:r>
    </w:p>
    <w:p w14:paraId="6FDC91BE">
      <w:pPr>
        <w:pageBreakBefore w:val="0"/>
        <w:widowControl w:val="0"/>
        <w:kinsoku/>
        <w:wordWrap/>
        <w:overflowPunct/>
        <w:topLinePunct w:val="0"/>
        <w:autoSpaceDE/>
        <w:autoSpaceDN/>
        <w:bidi w:val="0"/>
        <w:adjustRightInd/>
        <w:snapToGrid/>
        <w:spacing w:line="460" w:lineRule="exact"/>
        <w:ind w:left="0" w:leftChars="0" w:right="0" w:firstLine="480" w:firstLineChars="200"/>
        <w:contextualSpacing/>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法定代表人或其委托代理人：  法定代表人或其委托代理人：</w:t>
      </w:r>
    </w:p>
    <w:p w14:paraId="531F359E">
      <w:pPr>
        <w:pageBreakBefore w:val="0"/>
        <w:widowControl w:val="0"/>
        <w:kinsoku/>
        <w:wordWrap/>
        <w:overflowPunct/>
        <w:topLinePunct w:val="0"/>
        <w:autoSpaceDE/>
        <w:autoSpaceDN/>
        <w:bidi w:val="0"/>
        <w:adjustRightInd/>
        <w:snapToGrid/>
        <w:spacing w:line="460" w:lineRule="exact"/>
        <w:ind w:left="0" w:leftChars="0" w:right="0" w:firstLine="480" w:firstLineChars="200"/>
        <w:contextualSpacing/>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（签字）                    （签字）</w:t>
      </w:r>
    </w:p>
    <w:p w14:paraId="622EF2CA">
      <w:pPr>
        <w:pageBreakBefore w:val="0"/>
        <w:widowControl w:val="0"/>
        <w:kinsoku/>
        <w:wordWrap/>
        <w:overflowPunct/>
        <w:topLinePunct w:val="0"/>
        <w:autoSpaceDE/>
        <w:autoSpaceDN/>
        <w:bidi w:val="0"/>
        <w:adjustRightInd/>
        <w:snapToGrid/>
        <w:spacing w:line="460" w:lineRule="exact"/>
        <w:ind w:left="0" w:leftChars="0" w:right="0" w:firstLine="480" w:firstLineChars="200"/>
        <w:contextualSpacing/>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组织机构代码：               组织机构代码：             </w:t>
      </w:r>
    </w:p>
    <w:p w14:paraId="75801CCA">
      <w:pPr>
        <w:pageBreakBefore w:val="0"/>
        <w:widowControl w:val="0"/>
        <w:kinsoku/>
        <w:wordWrap/>
        <w:overflowPunct/>
        <w:topLinePunct w:val="0"/>
        <w:autoSpaceDE/>
        <w:autoSpaceDN/>
        <w:bidi w:val="0"/>
        <w:adjustRightInd/>
        <w:snapToGrid/>
        <w:spacing w:line="460" w:lineRule="exact"/>
        <w:ind w:left="0" w:leftChars="0" w:right="0" w:firstLine="480" w:firstLineChars="200"/>
        <w:contextualSpacing/>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地  址：                     地  址：               </w:t>
      </w:r>
    </w:p>
    <w:p w14:paraId="1DB9C8B9">
      <w:pPr>
        <w:pageBreakBefore w:val="0"/>
        <w:widowControl w:val="0"/>
        <w:kinsoku/>
        <w:wordWrap/>
        <w:overflowPunct/>
        <w:topLinePunct w:val="0"/>
        <w:autoSpaceDE/>
        <w:autoSpaceDN/>
        <w:bidi w:val="0"/>
        <w:adjustRightInd/>
        <w:snapToGrid/>
        <w:spacing w:line="460" w:lineRule="exact"/>
        <w:ind w:left="0" w:leftChars="0" w:right="0" w:firstLine="480" w:firstLineChars="200"/>
        <w:contextualSpacing/>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邮政编码：                   邮政编码：           </w:t>
      </w:r>
    </w:p>
    <w:p w14:paraId="25C1FA56">
      <w:pPr>
        <w:pageBreakBefore w:val="0"/>
        <w:widowControl w:val="0"/>
        <w:kinsoku/>
        <w:wordWrap/>
        <w:overflowPunct/>
        <w:topLinePunct w:val="0"/>
        <w:autoSpaceDE/>
        <w:autoSpaceDN/>
        <w:bidi w:val="0"/>
        <w:adjustRightInd/>
        <w:snapToGrid/>
        <w:spacing w:line="460" w:lineRule="exact"/>
        <w:ind w:left="0" w:leftChars="0" w:right="0" w:firstLine="480" w:firstLineChars="200"/>
        <w:contextualSpacing/>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法定代表人：                 法定代表人：               </w:t>
      </w:r>
    </w:p>
    <w:p w14:paraId="1E506FEA">
      <w:pPr>
        <w:pageBreakBefore w:val="0"/>
        <w:widowControl w:val="0"/>
        <w:kinsoku/>
        <w:wordWrap/>
        <w:overflowPunct/>
        <w:topLinePunct w:val="0"/>
        <w:autoSpaceDE/>
        <w:autoSpaceDN/>
        <w:bidi w:val="0"/>
        <w:adjustRightInd/>
        <w:snapToGrid/>
        <w:spacing w:line="460" w:lineRule="exact"/>
        <w:ind w:left="0" w:leftChars="0" w:right="0" w:firstLine="480" w:firstLineChars="200"/>
        <w:contextualSpacing/>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委托代理人：                 委托代理人：               </w:t>
      </w:r>
    </w:p>
    <w:p w14:paraId="5AD6A8D9">
      <w:pPr>
        <w:pageBreakBefore w:val="0"/>
        <w:widowControl w:val="0"/>
        <w:kinsoku/>
        <w:wordWrap/>
        <w:overflowPunct/>
        <w:topLinePunct w:val="0"/>
        <w:autoSpaceDE/>
        <w:autoSpaceDN/>
        <w:bidi w:val="0"/>
        <w:adjustRightInd/>
        <w:snapToGrid/>
        <w:spacing w:line="460" w:lineRule="exact"/>
        <w:ind w:left="0" w:leftChars="0" w:right="0" w:firstLine="480" w:firstLineChars="200"/>
        <w:contextualSpacing/>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电  话：                     电  话：             </w:t>
      </w:r>
    </w:p>
    <w:p w14:paraId="5EBEAAC6">
      <w:pPr>
        <w:pageBreakBefore w:val="0"/>
        <w:widowControl w:val="0"/>
        <w:kinsoku/>
        <w:wordWrap/>
        <w:overflowPunct/>
        <w:topLinePunct w:val="0"/>
        <w:autoSpaceDE/>
        <w:autoSpaceDN/>
        <w:bidi w:val="0"/>
        <w:adjustRightInd/>
        <w:snapToGrid/>
        <w:spacing w:line="460" w:lineRule="exact"/>
        <w:ind w:left="0" w:leftChars="0" w:right="0" w:firstLine="480" w:firstLineChars="200"/>
        <w:contextualSpacing/>
        <w:jc w:val="both"/>
        <w:textAlignment w:val="auto"/>
        <w:rPr>
          <w:rFonts w:hint="eastAsia" w:ascii="宋体" w:hAnsi="宋体" w:eastAsia="宋体" w:cs="宋体"/>
          <w:color w:val="auto"/>
          <w:kern w:val="2"/>
          <w:highlight w:val="none"/>
        </w:rPr>
      </w:pPr>
      <w:r>
        <w:rPr>
          <w:rFonts w:hint="eastAsia" w:ascii="宋体" w:hAnsi="宋体" w:eastAsia="宋体" w:cs="宋体"/>
          <w:color w:val="auto"/>
          <w:kern w:val="2"/>
          <w:sz w:val="24"/>
          <w:szCs w:val="24"/>
          <w:highlight w:val="none"/>
        </w:rPr>
        <w:t xml:space="preserve">传  真：                     传  真：        </w:t>
      </w:r>
      <w:r>
        <w:rPr>
          <w:rFonts w:hint="eastAsia" w:ascii="宋体" w:hAnsi="宋体" w:eastAsia="宋体" w:cs="宋体"/>
          <w:color w:val="auto"/>
          <w:kern w:val="2"/>
          <w:highlight w:val="none"/>
        </w:rPr>
        <w:t xml:space="preserve">     </w:t>
      </w:r>
    </w:p>
    <w:p w14:paraId="0078C408">
      <w:pPr>
        <w:pageBreakBefore w:val="0"/>
        <w:widowControl w:val="0"/>
        <w:kinsoku/>
        <w:wordWrap/>
        <w:overflowPunct/>
        <w:topLinePunct w:val="0"/>
        <w:autoSpaceDE/>
        <w:autoSpaceDN/>
        <w:bidi w:val="0"/>
        <w:spacing w:line="460" w:lineRule="exact"/>
        <w:ind w:left="0" w:leftChars="0" w:right="0" w:firstLine="480" w:firstLineChars="200"/>
        <w:contextualSpacing/>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电子信箱：                   电子信箱：           </w:t>
      </w:r>
    </w:p>
    <w:p w14:paraId="0BBDB86B">
      <w:pPr>
        <w:pageBreakBefore w:val="0"/>
        <w:widowControl w:val="0"/>
        <w:kinsoku/>
        <w:wordWrap/>
        <w:overflowPunct/>
        <w:topLinePunct w:val="0"/>
        <w:autoSpaceDE/>
        <w:autoSpaceDN/>
        <w:bidi w:val="0"/>
        <w:spacing w:line="460" w:lineRule="exact"/>
        <w:ind w:left="0" w:leftChars="0" w:right="0" w:firstLine="480" w:firstLineChars="200"/>
        <w:contextualSpacing/>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开户银行：                   开户银行：           </w:t>
      </w:r>
    </w:p>
    <w:p w14:paraId="30C7B481">
      <w:pPr>
        <w:bidi w:val="0"/>
        <w:ind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账  号：                     账  号：</w:t>
      </w:r>
    </w:p>
    <w:p w14:paraId="38BFB9A3">
      <w:p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br w:type="page"/>
      </w:r>
    </w:p>
    <w:p w14:paraId="27B981B9">
      <w:pPr>
        <w:keepNext w:val="0"/>
        <w:keepLines w:val="0"/>
        <w:pageBreakBefore w:val="0"/>
        <w:kinsoku/>
        <w:wordWrap/>
        <w:overflowPunct/>
        <w:topLinePunct w:val="0"/>
        <w:bidi w:val="0"/>
        <w:spacing w:line="312" w:lineRule="auto"/>
        <w:ind w:firstLine="602" w:firstLineChars="200"/>
        <w:jc w:val="center"/>
        <w:textAlignment w:val="auto"/>
        <w:rPr>
          <w:rFonts w:hint="eastAsia" w:ascii="宋体" w:hAnsi="宋体" w:eastAsia="宋体" w:cs="宋体"/>
          <w:b/>
          <w:color w:val="auto"/>
          <w:sz w:val="30"/>
          <w:highlight w:val="none"/>
        </w:rPr>
      </w:pPr>
      <w:r>
        <w:rPr>
          <w:rFonts w:hint="eastAsia" w:ascii="宋体" w:hAnsi="宋体" w:eastAsia="宋体" w:cs="宋体"/>
          <w:b/>
          <w:color w:val="auto"/>
          <w:sz w:val="30"/>
          <w:highlight w:val="none"/>
        </w:rPr>
        <w:t>第二部分  通用合同条款</w:t>
      </w:r>
    </w:p>
    <w:p w14:paraId="4A1415DC">
      <w:pPr>
        <w:keepNext w:val="0"/>
        <w:keepLines w:val="0"/>
        <w:pageBreakBefore w:val="0"/>
        <w:kinsoku/>
        <w:wordWrap/>
        <w:overflowPunct/>
        <w:topLinePunct w:val="0"/>
        <w:bidi w:val="0"/>
        <w:spacing w:line="312" w:lineRule="auto"/>
        <w:ind w:firstLine="435"/>
        <w:jc w:val="center"/>
        <w:textAlignment w:val="auto"/>
        <w:rPr>
          <w:rFonts w:hint="eastAsia" w:ascii="宋体" w:hAnsi="宋体" w:eastAsia="宋体" w:cs="宋体"/>
          <w:color w:val="auto"/>
          <w:sz w:val="30"/>
          <w:highlight w:val="none"/>
        </w:rPr>
      </w:pPr>
    </w:p>
    <w:p w14:paraId="32A6CE6B">
      <w:pPr>
        <w:keepNext w:val="0"/>
        <w:keepLines w:val="0"/>
        <w:pageBreakBefore w:val="0"/>
        <w:kinsoku/>
        <w:wordWrap/>
        <w:overflowPunct/>
        <w:topLinePunct w:val="0"/>
        <w:bidi w:val="0"/>
        <w:spacing w:line="312" w:lineRule="auto"/>
        <w:ind w:firstLine="520" w:firstLineChars="217"/>
        <w:textAlignment w:val="auto"/>
        <w:rPr>
          <w:color w:val="auto"/>
          <w:sz w:val="24"/>
          <w:highlight w:val="none"/>
        </w:rPr>
      </w:pPr>
      <w:r>
        <w:rPr>
          <w:rFonts w:hint="eastAsia"/>
          <w:color w:val="auto"/>
          <w:sz w:val="24"/>
          <w:highlight w:val="none"/>
        </w:rPr>
        <w:t>合同通用条款采用住房城乡建设部、国家工商行政管理总局201</w:t>
      </w:r>
      <w:r>
        <w:rPr>
          <w:rFonts w:hint="eastAsia"/>
          <w:color w:val="auto"/>
          <w:sz w:val="24"/>
          <w:highlight w:val="none"/>
          <w:lang w:val="en-US" w:eastAsia="zh-CN"/>
        </w:rPr>
        <w:t>7</w:t>
      </w:r>
      <w:r>
        <w:rPr>
          <w:rFonts w:hint="eastAsia"/>
          <w:color w:val="auto"/>
          <w:sz w:val="24"/>
          <w:highlight w:val="none"/>
        </w:rPr>
        <w:t>年</w:t>
      </w:r>
      <w:r>
        <w:rPr>
          <w:rFonts w:hint="eastAsia"/>
          <w:color w:val="auto"/>
          <w:sz w:val="24"/>
          <w:highlight w:val="none"/>
          <w:lang w:val="en-US" w:eastAsia="zh-CN"/>
        </w:rPr>
        <w:t>9</w:t>
      </w:r>
      <w:r>
        <w:rPr>
          <w:rFonts w:hint="eastAsia"/>
          <w:color w:val="auto"/>
          <w:sz w:val="24"/>
          <w:highlight w:val="none"/>
        </w:rPr>
        <w:t>月</w:t>
      </w:r>
      <w:r>
        <w:rPr>
          <w:rFonts w:hint="eastAsia"/>
          <w:color w:val="auto"/>
          <w:sz w:val="24"/>
          <w:highlight w:val="none"/>
          <w:lang w:val="en-US" w:eastAsia="zh-CN"/>
        </w:rPr>
        <w:t>22</w:t>
      </w:r>
      <w:r>
        <w:rPr>
          <w:rFonts w:hint="eastAsia"/>
          <w:color w:val="auto"/>
          <w:sz w:val="24"/>
          <w:highlight w:val="none"/>
        </w:rPr>
        <w:t>日印发的《建设工程施工合同（示范文本</w:t>
      </w:r>
      <w:r>
        <w:rPr>
          <w:bCs/>
          <w:color w:val="auto"/>
          <w:sz w:val="24"/>
          <w:highlight w:val="none"/>
        </w:rPr>
        <w:t>GF—201</w:t>
      </w:r>
      <w:r>
        <w:rPr>
          <w:rFonts w:hint="eastAsia"/>
          <w:bCs/>
          <w:color w:val="auto"/>
          <w:sz w:val="24"/>
          <w:highlight w:val="none"/>
          <w:lang w:val="en-US" w:eastAsia="zh-CN"/>
        </w:rPr>
        <w:t>7</w:t>
      </w:r>
      <w:r>
        <w:rPr>
          <w:bCs/>
          <w:color w:val="auto"/>
          <w:sz w:val="24"/>
          <w:highlight w:val="none"/>
        </w:rPr>
        <w:t>—</w:t>
      </w:r>
      <w:r>
        <w:rPr>
          <w:rFonts w:hint="eastAsia"/>
          <w:bCs/>
          <w:color w:val="auto"/>
          <w:sz w:val="24"/>
          <w:highlight w:val="none"/>
        </w:rPr>
        <w:t>0201</w:t>
      </w:r>
      <w:r>
        <w:rPr>
          <w:rFonts w:hint="eastAsia"/>
          <w:color w:val="auto"/>
          <w:sz w:val="24"/>
          <w:highlight w:val="none"/>
        </w:rPr>
        <w:t>）的通用条款。</w:t>
      </w:r>
    </w:p>
    <w:p w14:paraId="644EA5AF">
      <w:pPr>
        <w:keepNext w:val="0"/>
        <w:keepLines w:val="0"/>
        <w:pageBreakBefore w:val="0"/>
        <w:kinsoku/>
        <w:wordWrap/>
        <w:overflowPunct/>
        <w:topLinePunct w:val="0"/>
        <w:bidi w:val="0"/>
        <w:spacing w:line="312" w:lineRule="auto"/>
        <w:ind w:firstLine="420"/>
        <w:jc w:val="center"/>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32"/>
          <w:szCs w:val="32"/>
          <w:highlight w:val="none"/>
        </w:rPr>
        <w:t>第三部分　　专用合同条款</w:t>
      </w:r>
    </w:p>
    <w:p w14:paraId="7C9A50DF">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一般约定</w:t>
      </w:r>
    </w:p>
    <w:p w14:paraId="016915B2">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 词语定义</w:t>
      </w:r>
    </w:p>
    <w:p w14:paraId="11866A2F">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1.1.1合同</w:t>
      </w:r>
    </w:p>
    <w:p w14:paraId="41823933">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1.1.1.10其他合同文件包括：</w:t>
      </w:r>
      <w:r>
        <w:rPr>
          <w:rFonts w:hint="eastAsia" w:ascii="宋体" w:hAnsi="宋体" w:eastAsia="宋体" w:cs="宋体"/>
          <w:color w:val="auto"/>
          <w:kern w:val="0"/>
          <w:sz w:val="24"/>
          <w:szCs w:val="24"/>
          <w:highlight w:val="none"/>
          <w:u w:val="single"/>
        </w:rPr>
        <w:t>履行合同过程中双方总经理以上管理者（或双方工地代表人）书面确认的对合同内容有实质性影响的会议纪要、签证、设计变更等资料</w:t>
      </w:r>
      <w:r>
        <w:rPr>
          <w:rFonts w:hint="eastAsia" w:ascii="宋体" w:hAnsi="宋体" w:eastAsia="宋体" w:cs="宋体"/>
          <w:color w:val="auto"/>
          <w:sz w:val="24"/>
          <w:szCs w:val="24"/>
          <w:highlight w:val="none"/>
          <w:u w:val="single"/>
        </w:rPr>
        <w:t>。</w:t>
      </w:r>
    </w:p>
    <w:p w14:paraId="3775F992">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 合同当事人及其他相关方</w:t>
      </w:r>
    </w:p>
    <w:p w14:paraId="1B1E6533">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1.1.2.4监理人：</w:t>
      </w:r>
    </w:p>
    <w:p w14:paraId="27118CE6">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    称：</w:t>
      </w:r>
      <w:r>
        <w:rPr>
          <w:rFonts w:hint="eastAsia" w:ascii="宋体" w:hAnsi="宋体" w:eastAsia="宋体" w:cs="宋体"/>
          <w:color w:val="auto"/>
          <w:sz w:val="24"/>
          <w:szCs w:val="24"/>
          <w:highlight w:val="none"/>
          <w:u w:val="single"/>
        </w:rPr>
        <w:t xml:space="preserve">                </w:t>
      </w:r>
      <w:r>
        <w:rPr>
          <w:rFonts w:hint="eastAsia" w:ascii="宋体" w:hAnsi="宋体" w:eastAsia="宋体" w:cs="宋体"/>
          <w:color w:val="auto"/>
          <w:sz w:val="24"/>
          <w:szCs w:val="24"/>
          <w:highlight w:val="none"/>
        </w:rPr>
        <w:t>；</w:t>
      </w:r>
    </w:p>
    <w:p w14:paraId="15D15290">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资质类别和等级：</w:t>
      </w:r>
      <w:r>
        <w:rPr>
          <w:rFonts w:hint="eastAsia" w:ascii="宋体" w:hAnsi="宋体" w:eastAsia="宋体" w:cs="宋体"/>
          <w:color w:val="auto"/>
          <w:sz w:val="24"/>
          <w:szCs w:val="24"/>
          <w:highlight w:val="none"/>
          <w:u w:val="single"/>
        </w:rPr>
        <w:t xml:space="preserve">                </w:t>
      </w:r>
      <w:r>
        <w:rPr>
          <w:rFonts w:hint="eastAsia" w:ascii="宋体" w:hAnsi="宋体" w:eastAsia="宋体" w:cs="宋体"/>
          <w:color w:val="auto"/>
          <w:sz w:val="24"/>
          <w:szCs w:val="24"/>
          <w:highlight w:val="none"/>
        </w:rPr>
        <w:t>；</w:t>
      </w:r>
    </w:p>
    <w:p w14:paraId="31C7C0E6">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rPr>
        <w:t>                </w:t>
      </w:r>
      <w:r>
        <w:rPr>
          <w:rFonts w:hint="eastAsia" w:ascii="宋体" w:hAnsi="宋体" w:eastAsia="宋体" w:cs="宋体"/>
          <w:color w:val="auto"/>
          <w:sz w:val="24"/>
          <w:szCs w:val="24"/>
          <w:highlight w:val="none"/>
        </w:rPr>
        <w:t>；</w:t>
      </w:r>
    </w:p>
    <w:p w14:paraId="5FD8CC14">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电子信箱：</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w:t>
      </w:r>
    </w:p>
    <w:p w14:paraId="33CDBA2B">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通信地址：</w:t>
      </w:r>
      <w:r>
        <w:rPr>
          <w:rFonts w:hint="eastAsia" w:ascii="宋体" w:hAnsi="宋体" w:eastAsia="宋体" w:cs="宋体"/>
          <w:color w:val="auto"/>
          <w:sz w:val="24"/>
          <w:szCs w:val="24"/>
          <w:highlight w:val="none"/>
          <w:u w:val="single"/>
        </w:rPr>
        <w:t>                </w:t>
      </w:r>
      <w:r>
        <w:rPr>
          <w:rFonts w:hint="eastAsia" w:ascii="宋体" w:hAnsi="宋体" w:eastAsia="宋体" w:cs="宋体"/>
          <w:color w:val="auto"/>
          <w:sz w:val="24"/>
          <w:szCs w:val="24"/>
          <w:highlight w:val="none"/>
        </w:rPr>
        <w:t>。</w:t>
      </w:r>
    </w:p>
    <w:p w14:paraId="4E569DA6">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1.1.2.5 设计人：</w:t>
      </w:r>
    </w:p>
    <w:p w14:paraId="7A9EACE3">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    称：</w:t>
      </w:r>
      <w:r>
        <w:rPr>
          <w:rFonts w:hint="eastAsia" w:ascii="宋体" w:hAnsi="宋体" w:eastAsia="宋体" w:cs="宋体"/>
          <w:color w:val="auto"/>
          <w:sz w:val="24"/>
          <w:szCs w:val="24"/>
          <w:highlight w:val="none"/>
          <w:u w:val="single"/>
        </w:rPr>
        <w:t></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7F7FD919">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资质类别和等级：</w:t>
      </w:r>
      <w:r>
        <w:rPr>
          <w:rFonts w:hint="eastAsia" w:ascii="宋体" w:hAnsi="宋体" w:eastAsia="宋体" w:cs="宋体"/>
          <w:color w:val="auto"/>
          <w:sz w:val="24"/>
          <w:szCs w:val="24"/>
          <w:highlight w:val="none"/>
          <w:u w:val="single"/>
        </w:rPr>
        <w:t>               </w:t>
      </w:r>
      <w:r>
        <w:rPr>
          <w:rFonts w:hint="eastAsia" w:ascii="宋体" w:hAnsi="宋体" w:eastAsia="宋体" w:cs="宋体"/>
          <w:color w:val="auto"/>
          <w:sz w:val="24"/>
          <w:szCs w:val="24"/>
          <w:highlight w:val="none"/>
        </w:rPr>
        <w:t>；</w:t>
      </w:r>
    </w:p>
    <w:p w14:paraId="2B2118DA">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rPr>
        <w:t>                 </w:t>
      </w:r>
      <w:r>
        <w:rPr>
          <w:rFonts w:hint="eastAsia" w:ascii="宋体" w:hAnsi="宋体" w:eastAsia="宋体" w:cs="宋体"/>
          <w:color w:val="auto"/>
          <w:sz w:val="24"/>
          <w:szCs w:val="24"/>
          <w:highlight w:val="none"/>
        </w:rPr>
        <w:t>；</w:t>
      </w:r>
    </w:p>
    <w:p w14:paraId="7058AC72">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电子信箱：</w:t>
      </w:r>
      <w:r>
        <w:rPr>
          <w:rFonts w:hint="eastAsia" w:ascii="宋体" w:hAnsi="宋体" w:eastAsia="宋体" w:cs="宋体"/>
          <w:color w:val="auto"/>
          <w:sz w:val="24"/>
          <w:szCs w:val="24"/>
          <w:highlight w:val="none"/>
          <w:u w:val="single"/>
        </w:rPr>
        <w:t xml:space="preserve">                    </w:t>
      </w:r>
      <w:r>
        <w:rPr>
          <w:rFonts w:hint="eastAsia" w:ascii="宋体" w:hAnsi="宋体" w:eastAsia="宋体" w:cs="宋体"/>
          <w:color w:val="auto"/>
          <w:sz w:val="24"/>
          <w:szCs w:val="24"/>
          <w:highlight w:val="none"/>
        </w:rPr>
        <w:t>；</w:t>
      </w:r>
    </w:p>
    <w:p w14:paraId="228859CD">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通信地址：</w:t>
      </w:r>
      <w:r>
        <w:rPr>
          <w:rFonts w:hint="eastAsia" w:ascii="宋体" w:hAnsi="宋体" w:eastAsia="宋体" w:cs="宋体"/>
          <w:color w:val="auto"/>
          <w:sz w:val="24"/>
          <w:szCs w:val="24"/>
          <w:highlight w:val="none"/>
          <w:u w:val="single"/>
        </w:rPr>
        <w:t>                </w:t>
      </w:r>
      <w:r>
        <w:rPr>
          <w:rFonts w:hint="eastAsia" w:ascii="宋体" w:hAnsi="宋体" w:eastAsia="宋体" w:cs="宋体"/>
          <w:color w:val="auto"/>
          <w:sz w:val="24"/>
          <w:szCs w:val="24"/>
          <w:highlight w:val="none"/>
        </w:rPr>
        <w:t>。</w:t>
      </w:r>
    </w:p>
    <w:p w14:paraId="4E293362">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 工程和设备</w:t>
      </w:r>
    </w:p>
    <w:p w14:paraId="5563994E">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1.1.3.7 作为施工现场组成部分的其他场所包括：</w:t>
      </w:r>
      <w:r>
        <w:rPr>
          <w:rFonts w:hint="eastAsia" w:ascii="宋体" w:hAnsi="宋体" w:eastAsia="宋体" w:cs="宋体"/>
          <w:color w:val="auto"/>
          <w:sz w:val="24"/>
          <w:szCs w:val="24"/>
          <w:highlight w:val="none"/>
          <w:u w:val="single"/>
        </w:rPr>
        <w:t>     </w:t>
      </w:r>
      <w:r>
        <w:rPr>
          <w:rFonts w:hint="eastAsia" w:ascii="宋体" w:hAnsi="宋体" w:eastAsia="宋体" w:cs="宋体"/>
          <w:color w:val="auto"/>
          <w:sz w:val="24"/>
          <w:szCs w:val="24"/>
          <w:highlight w:val="none"/>
        </w:rPr>
        <w:t>。</w:t>
      </w:r>
    </w:p>
    <w:p w14:paraId="5C35FABF">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1.1.3.9 永久占地包括：</w:t>
      </w:r>
      <w:r>
        <w:rPr>
          <w:rFonts w:hint="eastAsia" w:ascii="宋体" w:hAnsi="宋体" w:eastAsia="宋体" w:cs="宋体"/>
          <w:color w:val="auto"/>
          <w:sz w:val="24"/>
          <w:szCs w:val="24"/>
          <w:highlight w:val="none"/>
          <w:u w:val="single"/>
        </w:rPr>
        <w:t xml:space="preserve">                        </w:t>
      </w:r>
      <w:r>
        <w:rPr>
          <w:rFonts w:hint="eastAsia" w:ascii="宋体" w:hAnsi="宋体" w:eastAsia="宋体" w:cs="宋体"/>
          <w:color w:val="auto"/>
          <w:sz w:val="24"/>
          <w:szCs w:val="24"/>
          <w:highlight w:val="none"/>
        </w:rPr>
        <w:t>。</w:t>
      </w:r>
    </w:p>
    <w:p w14:paraId="23758731">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1.1.3.10 临时占地包括：</w:t>
      </w:r>
      <w:r>
        <w:rPr>
          <w:rFonts w:hint="eastAsia" w:ascii="宋体" w:hAnsi="宋体" w:eastAsia="宋体" w:cs="宋体"/>
          <w:color w:val="auto"/>
          <w:sz w:val="24"/>
          <w:szCs w:val="24"/>
          <w:highlight w:val="none"/>
          <w:u w:val="single"/>
        </w:rPr>
        <w:t xml:space="preserve">                       </w:t>
      </w:r>
      <w:r>
        <w:rPr>
          <w:rFonts w:hint="eastAsia" w:ascii="宋体" w:hAnsi="宋体" w:eastAsia="宋体" w:cs="宋体"/>
          <w:color w:val="auto"/>
          <w:sz w:val="24"/>
          <w:szCs w:val="24"/>
          <w:highlight w:val="none"/>
        </w:rPr>
        <w:t>。</w:t>
      </w:r>
    </w:p>
    <w:p w14:paraId="514E56BE">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1.3法律 </w:t>
      </w:r>
    </w:p>
    <w:p w14:paraId="217E1808">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适用于合同的其他规范性文件：</w:t>
      </w:r>
      <w:r>
        <w:rPr>
          <w:rFonts w:hint="eastAsia" w:ascii="宋体" w:hAnsi="宋体" w:eastAsia="宋体" w:cs="宋体"/>
          <w:color w:val="auto"/>
          <w:sz w:val="24"/>
          <w:szCs w:val="24"/>
          <w:highlight w:val="none"/>
          <w:u w:val="single"/>
        </w:rPr>
        <w:t>国家、省、市、县发布的有关合同和招投标管理以及建筑安全、质量相关规范性文件等。</w:t>
      </w:r>
      <w:r>
        <w:rPr>
          <w:rFonts w:hint="eastAsia" w:ascii="宋体" w:hAnsi="宋体" w:eastAsia="宋体" w:cs="宋体"/>
          <w:color w:val="auto"/>
          <w:sz w:val="24"/>
          <w:szCs w:val="24"/>
          <w:highlight w:val="none"/>
        </w:rPr>
        <w:t xml:space="preserve">     </w:t>
      </w:r>
    </w:p>
    <w:p w14:paraId="64D01973">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 标准和规范</w:t>
      </w:r>
    </w:p>
    <w:p w14:paraId="6B2C9782">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1.4.1适用于工程的标准规范包括：</w:t>
      </w:r>
      <w:r>
        <w:rPr>
          <w:rFonts w:hint="eastAsia" w:ascii="宋体" w:hAnsi="宋体" w:eastAsia="宋体" w:cs="宋体"/>
          <w:color w:val="auto"/>
          <w:sz w:val="24"/>
          <w:szCs w:val="24"/>
          <w:highlight w:val="none"/>
          <w:u w:val="single"/>
        </w:rPr>
        <w:t>以施工图明确的标准、规范为准。包括国家现行的设计规范、国家现行的施工规范、国家现行的验收规范、国家现行的质量验评标准及国家及地方现行施工验收及施工安全技术规范等。</w:t>
      </w:r>
    </w:p>
    <w:p w14:paraId="32CABAD8">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 发包人提供国外标准、规范的名称：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2E42B6CF">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发包人提供国外标准、规范的份数：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45337142">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发包人提供国外标准、规范的名称：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406E0C82">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1.4.3发包人对工程的技术标准和功能要求的特殊要求：</w:t>
      </w:r>
      <w:r>
        <w:rPr>
          <w:rFonts w:hint="eastAsia" w:ascii="宋体" w:hAnsi="宋体" w:eastAsia="宋体" w:cs="宋体"/>
          <w:color w:val="auto"/>
          <w:kern w:val="0"/>
          <w:sz w:val="24"/>
          <w:szCs w:val="24"/>
          <w:highlight w:val="none"/>
          <w:u w:val="single"/>
        </w:rPr>
        <w:t>无</w:t>
      </w:r>
      <w:r>
        <w:rPr>
          <w:rFonts w:hint="eastAsia" w:ascii="宋体" w:hAnsi="宋体" w:eastAsia="宋体" w:cs="宋体"/>
          <w:color w:val="auto"/>
          <w:sz w:val="24"/>
          <w:szCs w:val="24"/>
          <w:highlight w:val="none"/>
        </w:rPr>
        <w:t xml:space="preserve"> 。</w:t>
      </w:r>
    </w:p>
    <w:p w14:paraId="1654D6AC">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 合同文件的优先顺序</w:t>
      </w:r>
    </w:p>
    <w:p w14:paraId="687841BC">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合同文件组成及优先顺序为：</w:t>
      </w:r>
      <w:r>
        <w:rPr>
          <w:rFonts w:hint="eastAsia" w:ascii="宋体" w:hAnsi="宋体" w:eastAsia="宋体" w:cs="宋体"/>
          <w:color w:val="auto"/>
          <w:sz w:val="24"/>
          <w:szCs w:val="24"/>
          <w:highlight w:val="none"/>
          <w:u w:val="single"/>
        </w:rPr>
        <w:t>（1）合同协议书；（2）中标通知书；（3）投标函；（4）专用合同条款及其附件；（5）通用合同条款；（6）技术标准和要求；（7）图纸；（8）招标文件；（9）已标价工程量清单或预算书；（10）其他合同文件。</w:t>
      </w:r>
    </w:p>
    <w:p w14:paraId="187E459B">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 图纸和承包人文件</w:t>
      </w:r>
      <w:r>
        <w:rPr>
          <w:rFonts w:hint="eastAsia" w:ascii="宋体" w:hAnsi="宋体" w:eastAsia="宋体" w:cs="宋体"/>
          <w:color w:val="auto"/>
          <w:sz w:val="24"/>
          <w:szCs w:val="24"/>
          <w:highlight w:val="none"/>
        </w:rPr>
        <w:tab/>
      </w:r>
    </w:p>
    <w:p w14:paraId="198F128D">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 图纸的提供</w:t>
      </w:r>
    </w:p>
    <w:p w14:paraId="25383C8C">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发包人向承包人提供图纸的期限：</w:t>
      </w:r>
      <w:r>
        <w:rPr>
          <w:rFonts w:hint="eastAsia" w:ascii="宋体" w:hAnsi="宋体" w:cs="宋体"/>
          <w:color w:val="auto"/>
          <w:sz w:val="24"/>
          <w:szCs w:val="24"/>
          <w:highlight w:val="none"/>
          <w:u w:val="single"/>
          <w:lang w:val="en-US" w:eastAsia="zh-CN"/>
        </w:rPr>
        <w:t>/</w:t>
      </w:r>
      <w:r>
        <w:rPr>
          <w:rFonts w:hint="eastAsia" w:ascii="宋体" w:hAnsi="宋体" w:eastAsia="宋体" w:cs="宋体"/>
          <w:color w:val="auto"/>
          <w:sz w:val="24"/>
          <w:szCs w:val="24"/>
          <w:highlight w:val="none"/>
        </w:rPr>
        <w:t>；</w:t>
      </w:r>
    </w:p>
    <w:p w14:paraId="59F59009">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发包人向承包人提供图纸的数量：</w:t>
      </w:r>
      <w:r>
        <w:rPr>
          <w:rFonts w:hint="eastAsia" w:ascii="宋体" w:hAnsi="宋体" w:cs="宋体"/>
          <w:color w:val="auto"/>
          <w:sz w:val="24"/>
          <w:szCs w:val="24"/>
          <w:highlight w:val="none"/>
          <w:u w:val="single"/>
          <w:lang w:val="en-US" w:eastAsia="zh-CN"/>
        </w:rPr>
        <w:t>/</w:t>
      </w:r>
      <w:r>
        <w:rPr>
          <w:rFonts w:hint="eastAsia" w:ascii="宋体" w:hAnsi="宋体" w:eastAsia="宋体" w:cs="宋体"/>
          <w:color w:val="auto"/>
          <w:sz w:val="24"/>
          <w:szCs w:val="24"/>
          <w:highlight w:val="none"/>
        </w:rPr>
        <w:t>；</w:t>
      </w:r>
    </w:p>
    <w:p w14:paraId="45E7AE41">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发包人向承包人提供图纸的内容：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4ED851B7">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1.6.4 承包人文件</w:t>
      </w:r>
    </w:p>
    <w:p w14:paraId="7DC17AF5">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需要由承包人提供的文件，包括：</w:t>
      </w:r>
      <w:r>
        <w:rPr>
          <w:rFonts w:hint="eastAsia" w:ascii="宋体" w:hAnsi="宋体" w:eastAsia="宋体" w:cs="宋体"/>
          <w:color w:val="auto"/>
          <w:sz w:val="24"/>
          <w:szCs w:val="24"/>
          <w:highlight w:val="none"/>
          <w:u w:val="single"/>
        </w:rPr>
        <w:t>施工组织设计及详细的工期、质量、安全文明保证措施方案等 ；</w:t>
      </w:r>
    </w:p>
    <w:p w14:paraId="5462AF3E">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承包人提供的文件的期限为：</w:t>
      </w:r>
      <w:r>
        <w:rPr>
          <w:rFonts w:hint="eastAsia" w:ascii="宋体" w:hAnsi="宋体"/>
          <w:color w:val="auto"/>
          <w:sz w:val="24"/>
          <w:szCs w:val="24"/>
          <w:highlight w:val="none"/>
          <w:u w:val="single"/>
          <w:lang w:val="en-US" w:eastAsia="zh-CN"/>
        </w:rPr>
        <w:t>技术交底</w:t>
      </w:r>
      <w:r>
        <w:rPr>
          <w:rFonts w:hint="eastAsia" w:ascii="宋体" w:hAnsi="宋体" w:eastAsia="宋体" w:cs="宋体"/>
          <w:color w:val="auto"/>
          <w:sz w:val="24"/>
          <w:szCs w:val="24"/>
          <w:highlight w:val="none"/>
          <w:u w:val="single"/>
        </w:rPr>
        <w:t>后7天内</w:t>
      </w:r>
      <w:r>
        <w:rPr>
          <w:rFonts w:hint="eastAsia" w:ascii="宋体" w:hAnsi="宋体" w:eastAsia="宋体" w:cs="宋体"/>
          <w:color w:val="auto"/>
          <w:sz w:val="24"/>
          <w:szCs w:val="24"/>
          <w:highlight w:val="none"/>
        </w:rPr>
        <w:t>；</w:t>
      </w:r>
    </w:p>
    <w:p w14:paraId="452230BE">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承包人提供的文件的数量为：</w:t>
      </w:r>
      <w:r>
        <w:rPr>
          <w:rFonts w:hint="eastAsia" w:ascii="宋体" w:hAnsi="宋体" w:eastAsia="宋体" w:cs="宋体"/>
          <w:color w:val="auto"/>
          <w:sz w:val="24"/>
          <w:szCs w:val="24"/>
          <w:highlight w:val="none"/>
          <w:u w:val="single"/>
        </w:rPr>
        <w:t>贰份</w:t>
      </w:r>
      <w:r>
        <w:rPr>
          <w:rFonts w:hint="eastAsia" w:ascii="宋体" w:hAnsi="宋体" w:eastAsia="宋体" w:cs="宋体"/>
          <w:color w:val="auto"/>
          <w:sz w:val="24"/>
          <w:szCs w:val="24"/>
          <w:highlight w:val="none"/>
        </w:rPr>
        <w:t>；</w:t>
      </w:r>
    </w:p>
    <w:p w14:paraId="187221E8">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承包人提供的文件的形式为：</w:t>
      </w:r>
      <w:r>
        <w:rPr>
          <w:rFonts w:hint="eastAsia" w:ascii="宋体" w:hAnsi="宋体" w:eastAsia="宋体" w:cs="宋体"/>
          <w:b/>
          <w:bCs/>
          <w:color w:val="auto"/>
          <w:sz w:val="24"/>
          <w:szCs w:val="24"/>
          <w:highlight w:val="none"/>
          <w:u w:val="single"/>
        </w:rPr>
        <w:t>提交发包人住现场代表，实行签收记录</w:t>
      </w:r>
      <w:r>
        <w:rPr>
          <w:rFonts w:hint="eastAsia" w:ascii="宋体" w:hAnsi="宋体" w:eastAsia="宋体" w:cs="宋体"/>
          <w:color w:val="auto"/>
          <w:sz w:val="24"/>
          <w:szCs w:val="24"/>
          <w:highlight w:val="none"/>
        </w:rPr>
        <w:t>；</w:t>
      </w:r>
    </w:p>
    <w:p w14:paraId="7B778472">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发包人审批承包人文件的期限：</w:t>
      </w:r>
      <w:r>
        <w:rPr>
          <w:rFonts w:hint="eastAsia" w:ascii="宋体" w:hAnsi="宋体" w:eastAsia="宋体" w:cs="宋体"/>
          <w:b/>
          <w:color w:val="auto"/>
          <w:sz w:val="24"/>
          <w:szCs w:val="24"/>
          <w:highlight w:val="none"/>
          <w:u w:val="single"/>
        </w:rPr>
        <w:t>从收到之日起7个有效工作日内给予确认</w:t>
      </w:r>
      <w:r>
        <w:rPr>
          <w:rFonts w:hint="eastAsia" w:ascii="宋体" w:hAnsi="宋体" w:eastAsia="宋体" w:cs="宋体"/>
          <w:color w:val="auto"/>
          <w:sz w:val="24"/>
          <w:szCs w:val="24"/>
          <w:highlight w:val="none"/>
        </w:rPr>
        <w:t>。</w:t>
      </w:r>
    </w:p>
    <w:p w14:paraId="50C311B7">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1.6.5 现场图纸准备</w:t>
      </w:r>
    </w:p>
    <w:p w14:paraId="5AD38CF3">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关于现场图纸准备的约定：</w:t>
      </w:r>
      <w:r>
        <w:rPr>
          <w:rFonts w:hint="eastAsia" w:ascii="宋体" w:hAnsi="宋体" w:eastAsia="宋体" w:cs="宋体"/>
          <w:color w:val="auto"/>
          <w:sz w:val="24"/>
          <w:szCs w:val="24"/>
          <w:highlight w:val="none"/>
          <w:u w:val="single"/>
        </w:rPr>
        <w:t>执行通用条款1.6.5条。</w:t>
      </w:r>
    </w:p>
    <w:p w14:paraId="262E37E0">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 联络</w:t>
      </w:r>
    </w:p>
    <w:p w14:paraId="666BAEA7">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1.7.1发包人和承包人应当在</w:t>
      </w:r>
      <w:r>
        <w:rPr>
          <w:rFonts w:hint="eastAsia" w:ascii="宋体" w:hAnsi="宋体" w:eastAsia="宋体" w:cs="宋体"/>
          <w:color w:val="auto"/>
          <w:sz w:val="24"/>
          <w:szCs w:val="24"/>
          <w:highlight w:val="none"/>
          <w:u w:val="single"/>
        </w:rPr>
        <w:t xml:space="preserve"> 7 </w:t>
      </w:r>
      <w:r>
        <w:rPr>
          <w:rFonts w:hint="eastAsia" w:ascii="宋体" w:hAnsi="宋体" w:eastAsia="宋体" w:cs="宋体"/>
          <w:color w:val="auto"/>
          <w:sz w:val="24"/>
          <w:szCs w:val="24"/>
          <w:highlight w:val="none"/>
        </w:rPr>
        <w:t>天内将与合同有关的通知、批准、证明、证书、指示、指令、要求、请求、同意、意见、确定和决定等书面函件送达对方当事人。</w:t>
      </w:r>
    </w:p>
    <w:p w14:paraId="1E3EBB7A">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 发包人接收文件的地点：</w:t>
      </w:r>
      <w:r>
        <w:rPr>
          <w:rFonts w:hint="eastAsia" w:ascii="宋体" w:hAnsi="宋体" w:eastAsia="宋体" w:cs="宋体"/>
          <w:color w:val="auto"/>
          <w:sz w:val="24"/>
          <w:szCs w:val="24"/>
          <w:highlight w:val="none"/>
          <w:u w:val="single"/>
        </w:rPr>
        <w:t>发包人办公室</w:t>
      </w:r>
      <w:r>
        <w:rPr>
          <w:rFonts w:hint="eastAsia" w:ascii="宋体" w:hAnsi="宋体" w:eastAsia="宋体" w:cs="宋体"/>
          <w:color w:val="auto"/>
          <w:sz w:val="24"/>
          <w:szCs w:val="24"/>
          <w:highlight w:val="none"/>
        </w:rPr>
        <w:t>；</w:t>
      </w:r>
    </w:p>
    <w:p w14:paraId="151811DB">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发包人指定的接收人为：</w:t>
      </w:r>
      <w:r>
        <w:rPr>
          <w:rFonts w:hint="eastAsia" w:ascii="宋体" w:hAnsi="宋体" w:eastAsia="宋体" w:cs="宋体"/>
          <w:color w:val="auto"/>
          <w:sz w:val="24"/>
          <w:szCs w:val="24"/>
          <w:highlight w:val="none"/>
          <w:u w:val="single"/>
        </w:rPr>
        <w:t>业主派驻现场代表</w:t>
      </w:r>
      <w:r>
        <w:rPr>
          <w:rFonts w:hint="eastAsia" w:ascii="宋体" w:hAnsi="宋体" w:eastAsia="宋体" w:cs="宋体"/>
          <w:color w:val="auto"/>
          <w:sz w:val="24"/>
          <w:szCs w:val="24"/>
          <w:highlight w:val="none"/>
        </w:rPr>
        <w:t>。</w:t>
      </w:r>
    </w:p>
    <w:p w14:paraId="477DE279">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承包人接收文件的地点：</w:t>
      </w:r>
      <w:r>
        <w:rPr>
          <w:rFonts w:hint="eastAsia" w:ascii="宋体" w:hAnsi="宋体" w:eastAsia="宋体" w:cs="宋体"/>
          <w:color w:val="auto"/>
          <w:sz w:val="24"/>
          <w:szCs w:val="24"/>
          <w:highlight w:val="none"/>
          <w:u w:val="single"/>
        </w:rPr>
        <w:t>项目所在地承包人项目部</w:t>
      </w:r>
      <w:r>
        <w:rPr>
          <w:rFonts w:hint="eastAsia" w:ascii="宋体" w:hAnsi="宋体" w:eastAsia="宋体" w:cs="宋体"/>
          <w:color w:val="auto"/>
          <w:sz w:val="24"/>
          <w:szCs w:val="24"/>
          <w:highlight w:val="none"/>
        </w:rPr>
        <w:t>；</w:t>
      </w:r>
    </w:p>
    <w:p w14:paraId="5DE87AAC">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承包人指定的接收人为：</w:t>
      </w:r>
      <w:r>
        <w:rPr>
          <w:rFonts w:hint="eastAsia" w:ascii="宋体" w:hAnsi="宋体" w:eastAsia="宋体" w:cs="宋体"/>
          <w:color w:val="auto"/>
          <w:sz w:val="24"/>
          <w:szCs w:val="24"/>
          <w:highlight w:val="none"/>
          <w:u w:val="single"/>
        </w:rPr>
        <w:t>项目经理、项目负责人及相关管理人员</w:t>
      </w:r>
      <w:r>
        <w:rPr>
          <w:rFonts w:hint="eastAsia" w:ascii="宋体" w:hAnsi="宋体" w:eastAsia="宋体" w:cs="宋体"/>
          <w:color w:val="auto"/>
          <w:sz w:val="24"/>
          <w:szCs w:val="24"/>
          <w:highlight w:val="none"/>
        </w:rPr>
        <w:t>。</w:t>
      </w:r>
    </w:p>
    <w:p w14:paraId="76A64087">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监理人接收文件的地点：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721C6AA5">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监理人指定的接收人为：</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 xml:space="preserve"> 。</w:t>
      </w:r>
    </w:p>
    <w:p w14:paraId="1030A446">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1.10 交通运输</w:t>
      </w:r>
    </w:p>
    <w:p w14:paraId="45525152">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1.10.1 出入现场的权利</w:t>
      </w:r>
    </w:p>
    <w:p w14:paraId="1A2B5C41">
      <w:pPr>
        <w:keepNext w:val="0"/>
        <w:keepLines w:val="0"/>
        <w:pageBreakBefore w:val="0"/>
        <w:kinsoku/>
        <w:wordWrap/>
        <w:overflowPunct/>
        <w:topLinePunct w:val="0"/>
        <w:bidi w:val="0"/>
        <w:spacing w:line="312" w:lineRule="auto"/>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关于出入现场的权利的约定：</w:t>
      </w:r>
      <w:r>
        <w:rPr>
          <w:rFonts w:hint="eastAsia" w:ascii="宋体" w:hAnsi="宋体" w:eastAsia="宋体" w:cs="宋体"/>
          <w:b/>
          <w:bCs/>
          <w:color w:val="auto"/>
          <w:sz w:val="24"/>
          <w:szCs w:val="24"/>
          <w:highlight w:val="none"/>
          <w:u w:val="single"/>
        </w:rPr>
        <w:t>执行通用条款1.10.1条</w:t>
      </w:r>
    </w:p>
    <w:p w14:paraId="4D9CDC3A">
      <w:pPr>
        <w:keepNext w:val="0"/>
        <w:keepLines w:val="0"/>
        <w:pageBreakBefore w:val="0"/>
        <w:kinsoku/>
        <w:wordWrap/>
        <w:overflowPunct/>
        <w:topLinePunct w:val="0"/>
        <w:bidi w:val="0"/>
        <w:spacing w:line="312" w:lineRule="auto"/>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u w:val="single"/>
        </w:rPr>
        <w:t>发包人负责协调办理临时用地和占道许可，开工前确保通往施工现场的公共道路畅通。</w:t>
      </w:r>
    </w:p>
    <w:p w14:paraId="3112B356">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1.10.3 场内交通</w:t>
      </w:r>
    </w:p>
    <w:p w14:paraId="582D17F6">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关于场外交通和场内交通的边界的约定：</w:t>
      </w:r>
      <w:r>
        <w:rPr>
          <w:rFonts w:hint="eastAsia" w:ascii="宋体" w:hAnsi="宋体" w:eastAsia="宋体" w:cs="宋体"/>
          <w:b/>
          <w:bCs/>
          <w:color w:val="auto"/>
          <w:sz w:val="24"/>
          <w:szCs w:val="24"/>
          <w:highlight w:val="none"/>
          <w:u w:val="single"/>
        </w:rPr>
        <w:t xml:space="preserve">   /   。</w:t>
      </w:r>
    </w:p>
    <w:p w14:paraId="5111D251">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关于发包人向承包人免费提供满足工程施工需要的场内道路和交通设施的约定：</w:t>
      </w:r>
      <w:r>
        <w:rPr>
          <w:rFonts w:hint="eastAsia" w:ascii="宋体" w:hAnsi="宋体" w:eastAsia="宋体" w:cs="宋体"/>
          <w:color w:val="auto"/>
          <w:sz w:val="24"/>
          <w:szCs w:val="24"/>
          <w:highlight w:val="none"/>
          <w:u w:val="single"/>
        </w:rPr>
        <w:t>发包人提供承包人为目前场地现状。</w:t>
      </w:r>
    </w:p>
    <w:p w14:paraId="14191FBB">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1.10.4超大件和超重件的运输</w:t>
      </w:r>
    </w:p>
    <w:p w14:paraId="2079CB28">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运输超大件或超重件所需的道路和桥梁临时加固改造费用和其他有关费用由</w:t>
      </w:r>
      <w:r>
        <w:rPr>
          <w:rFonts w:hint="eastAsia" w:ascii="宋体" w:hAnsi="宋体" w:eastAsia="宋体" w:cs="宋体"/>
          <w:b/>
          <w:color w:val="auto"/>
          <w:sz w:val="24"/>
          <w:szCs w:val="24"/>
          <w:highlight w:val="none"/>
          <w:u w:val="single"/>
        </w:rPr>
        <w:t>承包人</w:t>
      </w:r>
      <w:r>
        <w:rPr>
          <w:rFonts w:hint="eastAsia" w:ascii="宋体" w:hAnsi="宋体" w:eastAsia="宋体" w:cs="宋体"/>
          <w:color w:val="auto"/>
          <w:sz w:val="24"/>
          <w:szCs w:val="24"/>
          <w:highlight w:val="none"/>
        </w:rPr>
        <w:t>承担。</w:t>
      </w:r>
    </w:p>
    <w:p w14:paraId="06E5E5F1">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 知识产权</w:t>
      </w:r>
    </w:p>
    <w:p w14:paraId="3B8B469D">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color w:val="auto"/>
          <w:sz w:val="24"/>
          <w:szCs w:val="24"/>
          <w:highlight w:val="none"/>
          <w:u w:val="single"/>
        </w:rPr>
        <w:t>发包人。</w:t>
      </w:r>
    </w:p>
    <w:p w14:paraId="21CE3021">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关于发包人提供的上述文件的使用限制的要求：</w:t>
      </w:r>
      <w:r>
        <w:rPr>
          <w:rFonts w:hint="eastAsia" w:ascii="宋体" w:hAnsi="宋体" w:eastAsia="宋体" w:cs="宋体"/>
          <w:b/>
          <w:bCs/>
          <w:color w:val="auto"/>
          <w:sz w:val="24"/>
          <w:szCs w:val="24"/>
          <w:highlight w:val="none"/>
          <w:u w:val="single"/>
        </w:rPr>
        <w:t>执行通用条款</w:t>
      </w:r>
      <w:r>
        <w:rPr>
          <w:rFonts w:hint="eastAsia" w:ascii="宋体" w:hAnsi="宋体" w:eastAsia="宋体" w:cs="宋体"/>
          <w:color w:val="auto"/>
          <w:sz w:val="24"/>
          <w:szCs w:val="24"/>
          <w:highlight w:val="none"/>
        </w:rPr>
        <w:t>。</w:t>
      </w:r>
    </w:p>
    <w:p w14:paraId="5F132D00">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1.11.2 关于承包人为实施工程所编制文件的著作权的归属：</w:t>
      </w:r>
      <w:r>
        <w:rPr>
          <w:rFonts w:hint="eastAsia" w:ascii="宋体" w:hAnsi="宋体" w:eastAsia="宋体" w:cs="宋体"/>
          <w:color w:val="auto"/>
          <w:sz w:val="24"/>
          <w:szCs w:val="24"/>
          <w:highlight w:val="none"/>
          <w:u w:val="single"/>
        </w:rPr>
        <w:t>发包人</w:t>
      </w:r>
      <w:r>
        <w:rPr>
          <w:rFonts w:hint="eastAsia" w:ascii="宋体" w:hAnsi="宋体" w:eastAsia="宋体" w:cs="宋体"/>
          <w:color w:val="auto"/>
          <w:sz w:val="24"/>
          <w:szCs w:val="24"/>
          <w:highlight w:val="none"/>
        </w:rPr>
        <w:t>。</w:t>
      </w:r>
    </w:p>
    <w:p w14:paraId="75712AF7">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关于承包人提供的上述文件的使用限制的要求：</w:t>
      </w:r>
      <w:r>
        <w:rPr>
          <w:rFonts w:hint="eastAsia" w:ascii="宋体" w:hAnsi="宋体" w:eastAsia="宋体" w:cs="宋体"/>
          <w:b/>
          <w:bCs/>
          <w:color w:val="auto"/>
          <w:sz w:val="24"/>
          <w:szCs w:val="24"/>
          <w:highlight w:val="none"/>
          <w:u w:val="single"/>
        </w:rPr>
        <w:t>执行通用条款</w:t>
      </w:r>
      <w:r>
        <w:rPr>
          <w:rFonts w:hint="eastAsia" w:ascii="宋体" w:hAnsi="宋体" w:eastAsia="宋体" w:cs="宋体"/>
          <w:color w:val="auto"/>
          <w:sz w:val="24"/>
          <w:szCs w:val="24"/>
          <w:highlight w:val="none"/>
        </w:rPr>
        <w:t>。</w:t>
      </w:r>
    </w:p>
    <w:p w14:paraId="3F79C7BA">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1.11.4 承包人在施工过程中所采用的专利、专有技术、技术秘密的使用费的承担方式：</w:t>
      </w:r>
      <w:r>
        <w:rPr>
          <w:rFonts w:hint="eastAsia" w:ascii="宋体" w:hAnsi="宋体" w:eastAsia="宋体" w:cs="宋体"/>
          <w:b/>
          <w:bCs/>
          <w:color w:val="auto"/>
          <w:sz w:val="24"/>
          <w:szCs w:val="24"/>
          <w:highlight w:val="none"/>
          <w:u w:val="single"/>
        </w:rPr>
        <w:t>承包人在合同签订前和签订时未确定采用的专利、专有技术、技术秘密的使用费由发包人和承包人协商解决</w:t>
      </w:r>
      <w:r>
        <w:rPr>
          <w:rFonts w:hint="eastAsia" w:ascii="宋体" w:hAnsi="宋体" w:eastAsia="宋体" w:cs="宋体"/>
          <w:color w:val="auto"/>
          <w:sz w:val="24"/>
          <w:szCs w:val="24"/>
          <w:highlight w:val="none"/>
        </w:rPr>
        <w:t>。</w:t>
      </w:r>
    </w:p>
    <w:p w14:paraId="2FF25C2A">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1.13工程量清单错误的修正</w:t>
      </w:r>
    </w:p>
    <w:p w14:paraId="3614D4AA">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出现工程量清单错误时，是否调整合同价格：</w:t>
      </w:r>
      <w:r>
        <w:rPr>
          <w:rFonts w:hint="eastAsia" w:ascii="宋体" w:hAnsi="宋体" w:eastAsia="宋体" w:cs="宋体"/>
          <w:color w:val="auto"/>
          <w:sz w:val="24"/>
          <w:szCs w:val="24"/>
          <w:highlight w:val="none"/>
          <w:u w:val="single"/>
        </w:rPr>
        <w:t>是</w:t>
      </w:r>
      <w:r>
        <w:rPr>
          <w:rFonts w:hint="eastAsia" w:ascii="宋体" w:hAnsi="宋体" w:eastAsia="宋体" w:cs="宋体"/>
          <w:color w:val="auto"/>
          <w:sz w:val="24"/>
          <w:szCs w:val="24"/>
          <w:highlight w:val="none"/>
        </w:rPr>
        <w:t xml:space="preserve"> 。</w:t>
      </w:r>
    </w:p>
    <w:p w14:paraId="4E957647">
      <w:pPr>
        <w:keepNext w:val="0"/>
        <w:keepLines w:val="0"/>
        <w:pageBreakBefore w:val="0"/>
        <w:kinsoku/>
        <w:wordWrap/>
        <w:overflowPunct/>
        <w:topLinePunct w:val="0"/>
        <w:bidi w:val="0"/>
        <w:spacing w:line="312" w:lineRule="auto"/>
        <w:ind w:firstLine="480" w:firstLineChars="200"/>
        <w:contextualSpacing/>
        <w:textAlignment w:val="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允许调整合同价格的工程量偏差范围：</w:t>
      </w:r>
      <w:r>
        <w:rPr>
          <w:rFonts w:hint="eastAsia" w:ascii="宋体" w:hAnsi="宋体" w:eastAsia="宋体" w:cs="宋体"/>
          <w:color w:val="auto"/>
          <w:sz w:val="24"/>
          <w:szCs w:val="24"/>
          <w:highlight w:val="none"/>
          <w:u w:val="single"/>
        </w:rPr>
        <w:t>偏差范围为</w:t>
      </w:r>
      <w:r>
        <w:rPr>
          <w:rFonts w:hint="eastAsia" w:ascii="宋体" w:hAnsi="宋体" w:eastAsia="宋体" w:cs="宋体"/>
          <w:color w:val="auto"/>
          <w:sz w:val="24"/>
          <w:szCs w:val="24"/>
          <w:highlight w:val="none"/>
          <w:u w:val="single"/>
          <w:lang w:eastAsia="zh-CN"/>
        </w:rPr>
        <w:t>零</w:t>
      </w:r>
      <w:r>
        <w:rPr>
          <w:rFonts w:hint="eastAsia" w:ascii="宋体" w:hAnsi="宋体" w:eastAsia="宋体" w:cs="宋体"/>
          <w:color w:val="auto"/>
          <w:sz w:val="24"/>
          <w:szCs w:val="24"/>
          <w:highlight w:val="none"/>
          <w:u w:val="single"/>
        </w:rPr>
        <w:t>，工程量按规定计算</w:t>
      </w:r>
      <w:r>
        <w:rPr>
          <w:rFonts w:hint="eastAsia" w:ascii="宋体" w:hAnsi="宋体" w:eastAsia="宋体" w:cs="宋体"/>
          <w:color w:val="auto"/>
          <w:sz w:val="24"/>
          <w:szCs w:val="24"/>
          <w:highlight w:val="none"/>
          <w:u w:val="single"/>
          <w:lang w:eastAsia="zh-CN"/>
        </w:rPr>
        <w:t>。</w:t>
      </w:r>
    </w:p>
    <w:p w14:paraId="7A8BB155">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发包人</w:t>
      </w:r>
    </w:p>
    <w:p w14:paraId="0DF8703A">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 发包人代表</w:t>
      </w:r>
    </w:p>
    <w:p w14:paraId="7007BAB9">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发包人代表：</w:t>
      </w:r>
    </w:p>
    <w:p w14:paraId="3CAFC4EC">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    名：</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5874D242">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w:t>
      </w:r>
      <w:r>
        <w:rPr>
          <w:rFonts w:hint="eastAsia" w:ascii="宋体" w:hAnsi="宋体" w:eastAsia="宋体" w:cs="宋体"/>
          <w:color w:val="auto"/>
          <w:sz w:val="24"/>
          <w:szCs w:val="24"/>
          <w:highlight w:val="none"/>
          <w:u w:val="single"/>
        </w:rPr>
        <w:t>      </w:t>
      </w:r>
      <w:r>
        <w:rPr>
          <w:rFonts w:hint="eastAsia" w:ascii="宋体" w:hAnsi="宋体" w:eastAsia="宋体" w:cs="宋体"/>
          <w:color w:val="auto"/>
          <w:sz w:val="24"/>
          <w:szCs w:val="24"/>
          <w:highlight w:val="none"/>
        </w:rPr>
        <w:t>；</w:t>
      </w:r>
    </w:p>
    <w:p w14:paraId="70A6E49B">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    务：</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256C2DDB">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6B6AB907">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电子信箱：</w:t>
      </w:r>
      <w:r>
        <w:rPr>
          <w:rFonts w:hint="eastAsia" w:ascii="宋体" w:hAnsi="宋体" w:eastAsia="宋体" w:cs="宋体"/>
          <w:color w:val="auto"/>
          <w:sz w:val="24"/>
          <w:szCs w:val="24"/>
          <w:highlight w:val="none"/>
          <w:u w:val="single"/>
        </w:rPr>
        <w:t xml:space="preserve">      </w:t>
      </w:r>
      <w:r>
        <w:rPr>
          <w:rFonts w:hint="eastAsia" w:ascii="宋体" w:hAnsi="宋体" w:eastAsia="宋体" w:cs="宋体"/>
          <w:color w:val="auto"/>
          <w:sz w:val="24"/>
          <w:szCs w:val="24"/>
          <w:highlight w:val="none"/>
        </w:rPr>
        <w:t>；</w:t>
      </w:r>
    </w:p>
    <w:p w14:paraId="030AB729">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通信地址：</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57E56645">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发包人对发包人代表的授权范围如下：</w:t>
      </w:r>
      <w:r>
        <w:rPr>
          <w:rFonts w:hint="eastAsia" w:ascii="宋体" w:hAnsi="宋体" w:eastAsia="宋体" w:cs="宋体"/>
          <w:color w:val="auto"/>
          <w:sz w:val="24"/>
          <w:szCs w:val="24"/>
          <w:highlight w:val="none"/>
          <w:u w:val="single"/>
        </w:rPr>
        <w:t>主持该项目施工过程中及保修阶段的全过程管理。负责安全、质量、进度，监督材料、设备的定样，材料价格的确认，以及代表发包人对工程量造价的割算和工程结算、工程安全、质量、进度、变更、认价、工程量的增减等所有相关文件的签字确认。</w:t>
      </w:r>
    </w:p>
    <w:p w14:paraId="3181AB14">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 施工现场、施工条件和基础资料的提供</w:t>
      </w:r>
    </w:p>
    <w:p w14:paraId="0D9CFA7E">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2.4.1 提供施工现场</w:t>
      </w:r>
    </w:p>
    <w:p w14:paraId="2A875907">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关于发包人移交施工现场的期限要求：</w:t>
      </w:r>
      <w:r>
        <w:rPr>
          <w:rFonts w:hint="eastAsia" w:ascii="宋体" w:hAnsi="宋体" w:eastAsia="宋体" w:cs="宋体"/>
          <w:color w:val="auto"/>
          <w:sz w:val="24"/>
          <w:szCs w:val="24"/>
          <w:highlight w:val="none"/>
          <w:u w:val="single"/>
        </w:rPr>
        <w:t>发包人应最迟于开工日期7天前向承包人移交施工现场。</w:t>
      </w:r>
    </w:p>
    <w:p w14:paraId="7816D48D">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2.4.2 提供施工条件</w:t>
      </w:r>
    </w:p>
    <w:p w14:paraId="171C156E">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关于发包人应负责提供施工所需要的条件，包括：</w:t>
      </w:r>
    </w:p>
    <w:p w14:paraId="429B535F">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(1)施工场地具备施工条件的要求及完成的时间：</w:t>
      </w:r>
      <w:r>
        <w:rPr>
          <w:rFonts w:hint="eastAsia" w:ascii="宋体" w:hAnsi="宋体" w:eastAsia="宋体" w:cs="宋体"/>
          <w:color w:val="auto"/>
          <w:sz w:val="24"/>
          <w:szCs w:val="24"/>
          <w:highlight w:val="none"/>
          <w:u w:val="single"/>
        </w:rPr>
        <w:t>发包人提供承包人为目前场地现状</w:t>
      </w:r>
      <w:r>
        <w:rPr>
          <w:rFonts w:hint="eastAsia" w:ascii="宋体" w:hAnsi="宋体" w:eastAsia="宋体" w:cs="宋体"/>
          <w:color w:val="auto"/>
          <w:sz w:val="24"/>
          <w:szCs w:val="24"/>
          <w:highlight w:val="none"/>
        </w:rPr>
        <w:t>。</w:t>
      </w:r>
    </w:p>
    <w:p w14:paraId="2C987C90">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(2)将施工所需的水、电、电讯线路接至施工场地的时间、地点和供应要求：</w:t>
      </w:r>
      <w:r>
        <w:rPr>
          <w:rFonts w:hint="eastAsia" w:ascii="宋体" w:hAnsi="宋体" w:eastAsia="宋体" w:cs="宋体"/>
          <w:color w:val="auto"/>
          <w:sz w:val="24"/>
          <w:szCs w:val="24"/>
          <w:highlight w:val="none"/>
          <w:u w:val="single"/>
        </w:rPr>
        <w:t>水电均由投标单位自行考虑接驳并缴纳相关费用，涉及费用计入投标总价中</w:t>
      </w:r>
      <w:r>
        <w:rPr>
          <w:rFonts w:hint="eastAsia" w:ascii="宋体" w:hAnsi="宋体" w:eastAsia="宋体" w:cs="宋体"/>
          <w:color w:val="auto"/>
          <w:sz w:val="24"/>
          <w:szCs w:val="24"/>
          <w:highlight w:val="none"/>
          <w:u w:val="single"/>
          <w:lang w:eastAsia="zh-CN"/>
        </w:rPr>
        <w:t>。</w:t>
      </w:r>
    </w:p>
    <w:p w14:paraId="38283936">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(3)施工场地与公共道路的通道开通时间和要求: </w:t>
      </w:r>
      <w:r>
        <w:rPr>
          <w:rFonts w:hint="eastAsia" w:ascii="宋体" w:hAnsi="宋体" w:eastAsia="宋体" w:cs="宋体"/>
          <w:color w:val="auto"/>
          <w:sz w:val="24"/>
          <w:szCs w:val="24"/>
          <w:highlight w:val="none"/>
          <w:u w:val="single"/>
        </w:rPr>
        <w:t>已满足</w:t>
      </w:r>
      <w:r>
        <w:rPr>
          <w:rFonts w:hint="eastAsia" w:ascii="宋体" w:hAnsi="宋体" w:eastAsia="宋体" w:cs="宋体"/>
          <w:color w:val="auto"/>
          <w:sz w:val="24"/>
          <w:szCs w:val="24"/>
          <w:highlight w:val="none"/>
        </w:rPr>
        <w:t>。</w:t>
      </w:r>
    </w:p>
    <w:p w14:paraId="5C92BE6A">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(4)工程地质和地下管线资料的提供时间：</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3B8C59CD">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(5)由发包人办理的施工所需证件、批件的名称和完成时间:</w:t>
      </w:r>
      <w:r>
        <w:rPr>
          <w:rFonts w:hint="eastAsia" w:ascii="宋体" w:hAnsi="宋体" w:eastAsia="宋体" w:cs="宋体"/>
          <w:color w:val="auto"/>
          <w:sz w:val="24"/>
          <w:szCs w:val="24"/>
          <w:highlight w:val="none"/>
          <w:u w:val="single"/>
        </w:rPr>
        <w:t xml:space="preserve">  在开工前七天完成</w:t>
      </w:r>
      <w:r>
        <w:rPr>
          <w:rFonts w:hint="eastAsia" w:ascii="宋体" w:hAnsi="宋体" w:eastAsia="宋体" w:cs="宋体"/>
          <w:color w:val="auto"/>
          <w:sz w:val="24"/>
          <w:szCs w:val="24"/>
          <w:highlight w:val="none"/>
        </w:rPr>
        <w:t xml:space="preserve">。 </w:t>
      </w:r>
    </w:p>
    <w:p w14:paraId="1323FD32">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(6)水准点与坐标控制点交验要求：</w:t>
      </w:r>
      <w:r>
        <w:rPr>
          <w:rFonts w:hint="eastAsia" w:ascii="宋体" w:hAnsi="宋体" w:eastAsia="宋体" w:cs="宋体"/>
          <w:color w:val="auto"/>
          <w:sz w:val="24"/>
          <w:szCs w:val="24"/>
          <w:highlight w:val="none"/>
          <w:u w:val="single"/>
        </w:rPr>
        <w:t>提供新版嘉善测量标高数据，以此为准</w:t>
      </w:r>
      <w:r>
        <w:rPr>
          <w:rFonts w:hint="eastAsia" w:ascii="宋体" w:hAnsi="宋体" w:eastAsia="宋体" w:cs="宋体"/>
          <w:color w:val="auto"/>
          <w:sz w:val="24"/>
          <w:szCs w:val="24"/>
          <w:highlight w:val="none"/>
        </w:rPr>
        <w:t>。</w:t>
      </w:r>
    </w:p>
    <w:p w14:paraId="5DFE16BC">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(7)图纸会审和设计交底时间: </w:t>
      </w:r>
      <w:r>
        <w:rPr>
          <w:rFonts w:hint="eastAsia" w:ascii="宋体" w:hAnsi="宋体" w:eastAsia="宋体" w:cs="宋体"/>
          <w:color w:val="auto"/>
          <w:sz w:val="24"/>
          <w:szCs w:val="24"/>
          <w:highlight w:val="none"/>
          <w:u w:val="single"/>
        </w:rPr>
        <w:t>合同签订后七天内</w:t>
      </w:r>
      <w:r>
        <w:rPr>
          <w:rFonts w:hint="eastAsia" w:ascii="宋体" w:hAnsi="宋体" w:eastAsia="宋体" w:cs="宋体"/>
          <w:color w:val="auto"/>
          <w:sz w:val="24"/>
          <w:szCs w:val="24"/>
          <w:highlight w:val="none"/>
        </w:rPr>
        <w:t xml:space="preserve">。 </w:t>
      </w:r>
    </w:p>
    <w:p w14:paraId="446D8B07">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(8)协调处理施工场地周围地下管线和邻近建筑物、构筑物(含文物保护建筑)、古树名木的保护工作: </w:t>
      </w:r>
      <w:r>
        <w:rPr>
          <w:rFonts w:hint="eastAsia" w:ascii="宋体" w:hAnsi="宋体" w:eastAsia="宋体" w:cs="宋体"/>
          <w:color w:val="auto"/>
          <w:sz w:val="24"/>
          <w:szCs w:val="24"/>
          <w:highlight w:val="none"/>
          <w:u w:val="single"/>
        </w:rPr>
        <w:t>发包人将协助承包人对上述事项的保护工作，除文物保护、建筑古树名木的保护发生费用由发包人承担外，其余保护费用、赔偿费用均由承包人承担</w:t>
      </w:r>
      <w:r>
        <w:rPr>
          <w:rFonts w:hint="eastAsia" w:ascii="宋体" w:hAnsi="宋体" w:eastAsia="宋体" w:cs="宋体"/>
          <w:color w:val="auto"/>
          <w:sz w:val="24"/>
          <w:szCs w:val="24"/>
          <w:highlight w:val="none"/>
        </w:rPr>
        <w:t xml:space="preserve">。 </w:t>
      </w:r>
    </w:p>
    <w:p w14:paraId="127C5988">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(9)双方约定发包人应做的其他工作：</w:t>
      </w:r>
      <w:r>
        <w:rPr>
          <w:rFonts w:hint="eastAsia" w:ascii="宋体" w:hAnsi="宋体" w:eastAsia="宋体" w:cs="宋体"/>
          <w:color w:val="auto"/>
          <w:sz w:val="24"/>
          <w:szCs w:val="24"/>
          <w:highlight w:val="none"/>
          <w:u w:val="single"/>
        </w:rPr>
        <w:t>发生时另行协商</w:t>
      </w:r>
      <w:r>
        <w:rPr>
          <w:rFonts w:hint="eastAsia" w:ascii="宋体" w:hAnsi="宋体" w:eastAsia="宋体" w:cs="宋体"/>
          <w:color w:val="auto"/>
          <w:sz w:val="24"/>
          <w:szCs w:val="24"/>
          <w:highlight w:val="none"/>
        </w:rPr>
        <w:t>。</w:t>
      </w:r>
    </w:p>
    <w:p w14:paraId="7F40B3CB">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 资金来源证明及支付担保</w:t>
      </w:r>
    </w:p>
    <w:p w14:paraId="627C14EA">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发包人提供资金来源证明的期限要求：</w:t>
      </w:r>
      <w:r>
        <w:rPr>
          <w:rFonts w:hint="eastAsia" w:ascii="宋体" w:hAnsi="宋体" w:eastAsia="宋体" w:cs="宋体"/>
          <w:color w:val="auto"/>
          <w:sz w:val="24"/>
          <w:szCs w:val="24"/>
          <w:highlight w:val="none"/>
          <w:u w:val="single"/>
        </w:rPr>
        <w:t>收到承包人要求提供资金来源证明的书面通知后28天内</w:t>
      </w:r>
      <w:r>
        <w:rPr>
          <w:rFonts w:hint="eastAsia" w:ascii="宋体" w:hAnsi="宋体" w:eastAsia="宋体" w:cs="宋体"/>
          <w:color w:val="auto"/>
          <w:sz w:val="24"/>
          <w:szCs w:val="24"/>
          <w:highlight w:val="none"/>
        </w:rPr>
        <w:t>。</w:t>
      </w:r>
    </w:p>
    <w:p w14:paraId="6A1AE1B1">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发包人是否提供支付担保：</w:t>
      </w:r>
      <w:r>
        <w:rPr>
          <w:rFonts w:hint="eastAsia" w:ascii="宋体" w:hAnsi="宋体" w:eastAsia="宋体" w:cs="宋体"/>
          <w:color w:val="auto"/>
          <w:sz w:val="24"/>
          <w:szCs w:val="24"/>
          <w:highlight w:val="none"/>
          <w:u w:val="single"/>
        </w:rPr>
        <w:t xml:space="preserve">由双方协商明确 </w:t>
      </w:r>
      <w:r>
        <w:rPr>
          <w:rFonts w:hint="eastAsia" w:ascii="宋体" w:hAnsi="宋体" w:eastAsia="宋体" w:cs="宋体"/>
          <w:color w:val="auto"/>
          <w:sz w:val="24"/>
          <w:szCs w:val="24"/>
          <w:highlight w:val="none"/>
        </w:rPr>
        <w:t xml:space="preserve"> 。</w:t>
      </w:r>
    </w:p>
    <w:p w14:paraId="23DA2771">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发包人提供支付担保的形式：</w:t>
      </w:r>
      <w:r>
        <w:rPr>
          <w:rFonts w:hint="eastAsia" w:ascii="宋体" w:hAnsi="宋体" w:eastAsia="宋体" w:cs="宋体"/>
          <w:color w:val="auto"/>
          <w:sz w:val="24"/>
          <w:szCs w:val="24"/>
          <w:highlight w:val="none"/>
          <w:u w:val="single"/>
        </w:rPr>
        <w:t xml:space="preserve">由双方协商明确 </w:t>
      </w:r>
      <w:r>
        <w:rPr>
          <w:rFonts w:hint="eastAsia" w:ascii="宋体" w:hAnsi="宋体" w:eastAsia="宋体" w:cs="宋体"/>
          <w:color w:val="auto"/>
          <w:sz w:val="24"/>
          <w:szCs w:val="24"/>
          <w:highlight w:val="none"/>
        </w:rPr>
        <w:t>。</w:t>
      </w:r>
    </w:p>
    <w:p w14:paraId="4585F66C">
      <w:pPr>
        <w:keepNext w:val="0"/>
        <w:keepLines w:val="0"/>
        <w:pageBreakBefore w:val="0"/>
        <w:kinsoku/>
        <w:wordWrap/>
        <w:overflowPunct/>
        <w:topLinePunct w:val="0"/>
        <w:bidi w:val="0"/>
        <w:spacing w:line="30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承包人</w:t>
      </w:r>
    </w:p>
    <w:p w14:paraId="60D0927A">
      <w:pPr>
        <w:keepNext w:val="0"/>
        <w:keepLines w:val="0"/>
        <w:pageBreakBefore w:val="0"/>
        <w:kinsoku/>
        <w:wordWrap/>
        <w:overflowPunct/>
        <w:topLinePunct w:val="0"/>
        <w:bidi w:val="0"/>
        <w:spacing w:line="30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 承包人的一般义务</w:t>
      </w:r>
    </w:p>
    <w:p w14:paraId="38B9C036">
      <w:pPr>
        <w:keepNext w:val="0"/>
        <w:keepLines w:val="0"/>
        <w:pageBreakBefore w:val="0"/>
        <w:kinsoku/>
        <w:wordWrap/>
        <w:overflowPunct/>
        <w:topLinePunct w:val="0"/>
        <w:bidi w:val="0"/>
        <w:spacing w:line="300" w:lineRule="auto"/>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（5）承包人提交的竣工资料的内容：</w:t>
      </w:r>
      <w:r>
        <w:rPr>
          <w:rFonts w:hint="eastAsia" w:ascii="宋体" w:hAnsi="宋体"/>
          <w:color w:val="auto"/>
          <w:sz w:val="24"/>
          <w:szCs w:val="24"/>
          <w:highlight w:val="none"/>
          <w:u w:val="single"/>
        </w:rPr>
        <w:t>完整标准的竣工技术资料，结算书，电子文本</w:t>
      </w:r>
      <w:r>
        <w:rPr>
          <w:rFonts w:hint="eastAsia" w:ascii="宋体" w:hAnsi="宋体" w:eastAsia="宋体" w:cs="宋体"/>
          <w:color w:val="auto"/>
          <w:sz w:val="24"/>
          <w:szCs w:val="24"/>
          <w:highlight w:val="none"/>
          <w:u w:val="single"/>
        </w:rPr>
        <w:t xml:space="preserve"> 。</w:t>
      </w:r>
    </w:p>
    <w:p w14:paraId="7DD7B21C">
      <w:pPr>
        <w:keepNext w:val="0"/>
        <w:keepLines w:val="0"/>
        <w:pageBreakBefore w:val="0"/>
        <w:kinsoku/>
        <w:wordWrap/>
        <w:overflowPunct/>
        <w:topLinePunct w:val="0"/>
        <w:bidi w:val="0"/>
        <w:spacing w:line="30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承包人需要提交的竣工资料套数：</w:t>
      </w:r>
      <w:r>
        <w:rPr>
          <w:rFonts w:hint="eastAsia" w:ascii="宋体" w:hAnsi="宋体" w:eastAsia="宋体" w:cs="宋体"/>
          <w:color w:val="auto"/>
          <w:sz w:val="24"/>
          <w:szCs w:val="24"/>
          <w:highlight w:val="none"/>
          <w:u w:val="single"/>
          <w:lang w:val="en-US" w:eastAsia="zh-CN"/>
        </w:rPr>
        <w:t>叁</w:t>
      </w:r>
      <w:r>
        <w:rPr>
          <w:rFonts w:hint="eastAsia" w:ascii="宋体" w:hAnsi="宋体" w:eastAsia="宋体" w:cs="宋体"/>
          <w:color w:val="auto"/>
          <w:sz w:val="24"/>
          <w:szCs w:val="24"/>
          <w:highlight w:val="none"/>
          <w:u w:val="single"/>
        </w:rPr>
        <w:t>套</w:t>
      </w:r>
      <w:r>
        <w:rPr>
          <w:rFonts w:hint="eastAsia" w:ascii="宋体" w:hAnsi="宋体" w:eastAsia="宋体" w:cs="宋体"/>
          <w:color w:val="auto"/>
          <w:sz w:val="24"/>
          <w:szCs w:val="24"/>
          <w:highlight w:val="none"/>
        </w:rPr>
        <w:t>。</w:t>
      </w:r>
    </w:p>
    <w:p w14:paraId="102DE954">
      <w:pPr>
        <w:keepNext w:val="0"/>
        <w:keepLines w:val="0"/>
        <w:pageBreakBefore w:val="0"/>
        <w:kinsoku/>
        <w:wordWrap/>
        <w:overflowPunct/>
        <w:topLinePunct w:val="0"/>
        <w:bidi w:val="0"/>
        <w:spacing w:line="300" w:lineRule="auto"/>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承包人提交的竣工资料的费用承担：</w:t>
      </w:r>
      <w:r>
        <w:rPr>
          <w:rFonts w:hint="eastAsia" w:ascii="宋体" w:hAnsi="宋体" w:eastAsia="宋体" w:cs="宋体"/>
          <w:color w:val="auto"/>
          <w:sz w:val="24"/>
          <w:szCs w:val="24"/>
          <w:highlight w:val="none"/>
          <w:u w:val="single"/>
        </w:rPr>
        <w:t>由承包人承担，如果发包人要求提供超出合同约定的资料及数量的费用由发包人承担 。</w:t>
      </w:r>
    </w:p>
    <w:p w14:paraId="4E4771D3">
      <w:pPr>
        <w:keepNext w:val="0"/>
        <w:keepLines w:val="0"/>
        <w:pageBreakBefore w:val="0"/>
        <w:kinsoku/>
        <w:wordWrap/>
        <w:overflowPunct/>
        <w:topLinePunct w:val="0"/>
        <w:bidi w:val="0"/>
        <w:spacing w:line="30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承包人提交的竣工资料移交时间：</w:t>
      </w:r>
      <w:r>
        <w:rPr>
          <w:rFonts w:hint="eastAsia" w:ascii="宋体" w:hAnsi="宋体" w:eastAsia="宋体" w:cs="宋体"/>
          <w:b/>
          <w:bCs/>
          <w:color w:val="auto"/>
          <w:sz w:val="24"/>
          <w:szCs w:val="24"/>
          <w:highlight w:val="none"/>
          <w:u w:val="single"/>
        </w:rPr>
        <w:t>竣工验收前十天内</w:t>
      </w:r>
      <w:r>
        <w:rPr>
          <w:rFonts w:hint="eastAsia" w:ascii="宋体" w:hAnsi="宋体" w:eastAsia="宋体" w:cs="宋体"/>
          <w:color w:val="auto"/>
          <w:sz w:val="24"/>
          <w:szCs w:val="24"/>
          <w:highlight w:val="none"/>
        </w:rPr>
        <w:t>。</w:t>
      </w:r>
    </w:p>
    <w:p w14:paraId="61EC57CC">
      <w:pPr>
        <w:keepNext w:val="0"/>
        <w:keepLines w:val="0"/>
        <w:pageBreakBefore w:val="0"/>
        <w:kinsoku/>
        <w:wordWrap/>
        <w:overflowPunct/>
        <w:topLinePunct w:val="0"/>
        <w:bidi w:val="0"/>
        <w:spacing w:line="30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承包人提交的竣工资料形式要求：</w:t>
      </w:r>
      <w:r>
        <w:rPr>
          <w:rFonts w:hint="eastAsia" w:ascii="宋体" w:hAnsi="宋体" w:eastAsia="宋体" w:cs="宋体"/>
          <w:color w:val="auto"/>
          <w:sz w:val="24"/>
          <w:szCs w:val="24"/>
          <w:highlight w:val="none"/>
          <w:u w:val="single"/>
        </w:rPr>
        <w:t>书面形式和电子文件现场交验给发包人代表人，代表人书面签收。</w:t>
      </w:r>
    </w:p>
    <w:p w14:paraId="3D16F0FD">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（6）承包人应履行的其他义务：</w:t>
      </w:r>
    </w:p>
    <w:p w14:paraId="625582EC">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遵守地方政府和有关部门对施工场地交通、环卫和施工噪音等管理规定，并办理相关审批手续。所有手续的费用由承包人承担。承包人应采取有效措施尽量减小尘土和噪音污染，需要进行夜间作业时应经发包人批准。按监理要求管理及环保要求实施施工管理并承担相关费用。</w:t>
      </w:r>
    </w:p>
    <w:p w14:paraId="27944775">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3.2 </w:t>
      </w:r>
      <w:r>
        <w:rPr>
          <w:rFonts w:hint="eastAsia" w:ascii="宋体" w:hAnsi="宋体" w:eastAsia="宋体" w:cs="宋体"/>
          <w:color w:val="auto"/>
          <w:sz w:val="24"/>
          <w:szCs w:val="24"/>
          <w:highlight w:val="none"/>
          <w:lang w:eastAsia="zh-CN"/>
        </w:rPr>
        <w:t>项目经理</w:t>
      </w:r>
    </w:p>
    <w:p w14:paraId="0419F75D">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3.2.1 </w:t>
      </w:r>
      <w:r>
        <w:rPr>
          <w:rFonts w:hint="eastAsia" w:ascii="宋体" w:hAnsi="宋体" w:eastAsia="宋体" w:cs="宋体"/>
          <w:color w:val="auto"/>
          <w:sz w:val="24"/>
          <w:szCs w:val="24"/>
          <w:highlight w:val="none"/>
          <w:lang w:eastAsia="zh-CN"/>
        </w:rPr>
        <w:t>项目经理</w:t>
      </w:r>
      <w:r>
        <w:rPr>
          <w:rFonts w:hint="eastAsia" w:ascii="宋体" w:hAnsi="宋体" w:eastAsia="宋体" w:cs="宋体"/>
          <w:color w:val="auto"/>
          <w:sz w:val="24"/>
          <w:szCs w:val="24"/>
          <w:highlight w:val="none"/>
        </w:rPr>
        <w:t>：</w:t>
      </w:r>
    </w:p>
    <w:p w14:paraId="58180D70">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    名：</w:t>
      </w:r>
      <w:r>
        <w:rPr>
          <w:rFonts w:hint="eastAsia" w:ascii="宋体" w:hAnsi="宋体" w:eastAsia="宋体" w:cs="宋体"/>
          <w:color w:val="auto"/>
          <w:sz w:val="24"/>
          <w:szCs w:val="24"/>
          <w:highlight w:val="none"/>
          <w:u w:val="single"/>
        </w:rPr>
        <w:t>         </w:t>
      </w:r>
      <w:r>
        <w:rPr>
          <w:rFonts w:hint="eastAsia" w:ascii="宋体" w:hAnsi="宋体" w:eastAsia="宋体" w:cs="宋体"/>
          <w:color w:val="auto"/>
          <w:sz w:val="24"/>
          <w:szCs w:val="24"/>
          <w:highlight w:val="none"/>
        </w:rPr>
        <w:t>；</w:t>
      </w:r>
    </w:p>
    <w:p w14:paraId="115A2F84">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w:t>
      </w:r>
      <w:r>
        <w:rPr>
          <w:rFonts w:hint="eastAsia" w:ascii="宋体" w:hAnsi="宋体" w:eastAsia="宋体" w:cs="宋体"/>
          <w:color w:val="auto"/>
          <w:sz w:val="24"/>
          <w:szCs w:val="24"/>
          <w:highlight w:val="none"/>
          <w:u w:val="single"/>
        </w:rPr>
        <w:t>         </w:t>
      </w:r>
      <w:r>
        <w:rPr>
          <w:rFonts w:hint="eastAsia" w:ascii="宋体" w:hAnsi="宋体" w:eastAsia="宋体" w:cs="宋体"/>
          <w:color w:val="auto"/>
          <w:sz w:val="24"/>
          <w:szCs w:val="24"/>
          <w:highlight w:val="none"/>
        </w:rPr>
        <w:t>；</w:t>
      </w:r>
    </w:p>
    <w:p w14:paraId="1F124BD6">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项目负责人</w:t>
      </w:r>
      <w:r>
        <w:rPr>
          <w:rFonts w:hint="eastAsia" w:ascii="宋体" w:hAnsi="宋体" w:eastAsia="宋体" w:cs="宋体"/>
          <w:color w:val="auto"/>
          <w:sz w:val="24"/>
          <w:szCs w:val="24"/>
          <w:highlight w:val="none"/>
        </w:rPr>
        <w:t>执业资格等级：</w:t>
      </w:r>
      <w:r>
        <w:rPr>
          <w:rFonts w:hint="eastAsia" w:ascii="宋体" w:hAnsi="宋体" w:eastAsia="宋体" w:cs="宋体"/>
          <w:color w:val="auto"/>
          <w:sz w:val="24"/>
          <w:szCs w:val="24"/>
          <w:highlight w:val="none"/>
          <w:u w:val="single"/>
        </w:rPr>
        <w:t>   </w:t>
      </w:r>
      <w:r>
        <w:rPr>
          <w:rFonts w:hint="eastAsia" w:ascii="宋体" w:hAnsi="宋体" w:eastAsia="宋体" w:cs="宋体"/>
          <w:color w:val="auto"/>
          <w:sz w:val="24"/>
          <w:szCs w:val="24"/>
          <w:highlight w:val="none"/>
        </w:rPr>
        <w:t>；</w:t>
      </w:r>
    </w:p>
    <w:p w14:paraId="4A98EFCB">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项目负责人</w:t>
      </w:r>
      <w:r>
        <w:rPr>
          <w:rFonts w:hint="eastAsia" w:ascii="宋体" w:hAnsi="宋体" w:eastAsia="宋体" w:cs="宋体"/>
          <w:color w:val="auto"/>
          <w:sz w:val="24"/>
          <w:szCs w:val="24"/>
          <w:highlight w:val="none"/>
        </w:rPr>
        <w:t>注册证书号：</w:t>
      </w:r>
      <w:r>
        <w:rPr>
          <w:rFonts w:hint="eastAsia" w:ascii="宋体" w:hAnsi="宋体" w:eastAsia="宋体" w:cs="宋体"/>
          <w:i/>
          <w:iCs/>
          <w:color w:val="auto"/>
          <w:sz w:val="24"/>
          <w:szCs w:val="24"/>
          <w:highlight w:val="none"/>
          <w:u w:val="single"/>
        </w:rPr>
        <w:t> </w:t>
      </w:r>
      <w:r>
        <w:rPr>
          <w:rFonts w:hint="eastAsia" w:ascii="宋体" w:hAnsi="宋体" w:eastAsia="宋体" w:cs="宋体"/>
          <w:color w:val="auto"/>
          <w:sz w:val="24"/>
          <w:szCs w:val="24"/>
          <w:highlight w:val="none"/>
        </w:rPr>
        <w:t>；</w:t>
      </w:r>
    </w:p>
    <w:p w14:paraId="3A396DCF">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项目负责人</w:t>
      </w:r>
      <w:r>
        <w:rPr>
          <w:rFonts w:hint="eastAsia" w:ascii="宋体" w:hAnsi="宋体" w:eastAsia="宋体" w:cs="宋体"/>
          <w:color w:val="auto"/>
          <w:sz w:val="24"/>
          <w:szCs w:val="24"/>
          <w:highlight w:val="none"/>
        </w:rPr>
        <w:t>执业印章号：</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w:t>
      </w:r>
    </w:p>
    <w:p w14:paraId="322613FF">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安全生产考核合格证书号：</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w:t>
      </w:r>
    </w:p>
    <w:p w14:paraId="287CE673">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rPr>
        <w:t>         </w:t>
      </w:r>
      <w:r>
        <w:rPr>
          <w:rFonts w:hint="eastAsia" w:ascii="宋体" w:hAnsi="宋体" w:eastAsia="宋体" w:cs="宋体"/>
          <w:color w:val="auto"/>
          <w:sz w:val="24"/>
          <w:szCs w:val="24"/>
          <w:highlight w:val="none"/>
        </w:rPr>
        <w:t>；</w:t>
      </w:r>
    </w:p>
    <w:p w14:paraId="7A016A5C">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电子信箱：</w:t>
      </w:r>
      <w:r>
        <w:rPr>
          <w:rFonts w:hint="eastAsia" w:ascii="宋体" w:hAnsi="宋体" w:eastAsia="宋体" w:cs="宋体"/>
          <w:color w:val="auto"/>
          <w:sz w:val="24"/>
          <w:szCs w:val="24"/>
          <w:highlight w:val="none"/>
          <w:u w:val="single"/>
        </w:rPr>
        <w:t>         </w:t>
      </w:r>
      <w:r>
        <w:rPr>
          <w:rFonts w:hint="eastAsia" w:ascii="宋体" w:hAnsi="宋体" w:eastAsia="宋体" w:cs="宋体"/>
          <w:color w:val="auto"/>
          <w:sz w:val="24"/>
          <w:szCs w:val="24"/>
          <w:highlight w:val="none"/>
        </w:rPr>
        <w:t>；</w:t>
      </w:r>
    </w:p>
    <w:p w14:paraId="29E5AED4">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通信地址：</w:t>
      </w:r>
      <w:r>
        <w:rPr>
          <w:rFonts w:hint="eastAsia" w:ascii="宋体" w:hAnsi="宋体" w:eastAsia="宋体" w:cs="宋体"/>
          <w:color w:val="auto"/>
          <w:sz w:val="24"/>
          <w:szCs w:val="24"/>
          <w:highlight w:val="none"/>
          <w:u w:val="single"/>
        </w:rPr>
        <w:t>         </w:t>
      </w:r>
      <w:r>
        <w:rPr>
          <w:rFonts w:hint="eastAsia" w:ascii="宋体" w:hAnsi="宋体" w:eastAsia="宋体" w:cs="宋体"/>
          <w:color w:val="auto"/>
          <w:sz w:val="24"/>
          <w:szCs w:val="24"/>
          <w:highlight w:val="none"/>
        </w:rPr>
        <w:t>；</w:t>
      </w:r>
    </w:p>
    <w:p w14:paraId="0C1830F2">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承包人对</w:t>
      </w:r>
      <w:r>
        <w:rPr>
          <w:rFonts w:hint="eastAsia" w:ascii="宋体" w:hAnsi="宋体" w:eastAsia="宋体" w:cs="宋体"/>
          <w:color w:val="auto"/>
          <w:sz w:val="24"/>
          <w:szCs w:val="24"/>
          <w:highlight w:val="none"/>
          <w:lang w:eastAsia="zh-CN"/>
        </w:rPr>
        <w:t>项目经理</w:t>
      </w:r>
      <w:r>
        <w:rPr>
          <w:rFonts w:hint="eastAsia" w:ascii="宋体" w:hAnsi="宋体" w:eastAsia="宋体" w:cs="宋体"/>
          <w:color w:val="auto"/>
          <w:sz w:val="24"/>
          <w:szCs w:val="24"/>
          <w:highlight w:val="none"/>
        </w:rPr>
        <w:t>的授权范围如下：</w:t>
      </w:r>
      <w:r>
        <w:rPr>
          <w:rFonts w:hint="eastAsia" w:ascii="宋体" w:hAnsi="宋体" w:eastAsia="宋体" w:cs="宋体"/>
          <w:color w:val="auto"/>
          <w:sz w:val="24"/>
          <w:szCs w:val="24"/>
          <w:highlight w:val="none"/>
          <w:u w:val="single"/>
        </w:rPr>
        <w:t>代表承包人履行合同，并常驻现场，直接负责本工程施工过程中的各项职责。</w:t>
      </w:r>
    </w:p>
    <w:p w14:paraId="299E73EF">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关于</w:t>
      </w:r>
      <w:r>
        <w:rPr>
          <w:rFonts w:hint="eastAsia" w:ascii="宋体" w:hAnsi="宋体" w:eastAsia="宋体" w:cs="宋体"/>
          <w:color w:val="auto"/>
          <w:sz w:val="24"/>
          <w:szCs w:val="24"/>
          <w:highlight w:val="none"/>
          <w:lang w:eastAsia="zh-CN"/>
        </w:rPr>
        <w:t>项目经理</w:t>
      </w:r>
      <w:r>
        <w:rPr>
          <w:rFonts w:hint="eastAsia" w:ascii="宋体" w:hAnsi="宋体" w:eastAsia="宋体" w:cs="宋体"/>
          <w:color w:val="auto"/>
          <w:sz w:val="24"/>
          <w:szCs w:val="24"/>
          <w:highlight w:val="none"/>
        </w:rPr>
        <w:t>每月在施工现场的时间要求：</w:t>
      </w:r>
      <w:r>
        <w:rPr>
          <w:rFonts w:hint="eastAsia" w:ascii="宋体" w:hAnsi="宋体" w:eastAsia="宋体" w:cs="宋体"/>
          <w:b/>
          <w:bCs/>
          <w:color w:val="auto"/>
          <w:sz w:val="24"/>
          <w:szCs w:val="24"/>
          <w:highlight w:val="none"/>
          <w:u w:val="single"/>
        </w:rPr>
        <w:t>到位率必须达80%以上（每月按30天计），达不到要求的</w:t>
      </w:r>
      <w:r>
        <w:rPr>
          <w:rFonts w:hint="eastAsia" w:ascii="宋体" w:hAnsi="宋体" w:eastAsia="宋体" w:cs="宋体"/>
          <w:b/>
          <w:bCs/>
          <w:color w:val="auto"/>
          <w:sz w:val="24"/>
          <w:szCs w:val="24"/>
          <w:highlight w:val="none"/>
          <w:u w:val="single"/>
          <w:lang w:eastAsia="zh-CN"/>
        </w:rPr>
        <w:t>，</w:t>
      </w:r>
      <w:r>
        <w:rPr>
          <w:rFonts w:hint="eastAsia" w:ascii="宋体" w:hAnsi="宋体" w:eastAsia="宋体" w:cs="宋体"/>
          <w:b/>
          <w:bCs/>
          <w:color w:val="auto"/>
          <w:sz w:val="24"/>
          <w:szCs w:val="24"/>
          <w:highlight w:val="none"/>
          <w:u w:val="single"/>
        </w:rPr>
        <w:t>承包人向发包方支付1000元/(人·天)的违约金。</w:t>
      </w:r>
    </w:p>
    <w:p w14:paraId="53E88A92">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承包人未提交劳动合同，以及没有为</w:t>
      </w:r>
      <w:r>
        <w:rPr>
          <w:rFonts w:hint="eastAsia" w:ascii="宋体" w:hAnsi="宋体" w:eastAsia="宋体" w:cs="宋体"/>
          <w:color w:val="auto"/>
          <w:sz w:val="24"/>
          <w:szCs w:val="24"/>
          <w:highlight w:val="none"/>
          <w:lang w:eastAsia="zh-CN"/>
        </w:rPr>
        <w:t>项目经理</w:t>
      </w:r>
      <w:r>
        <w:rPr>
          <w:rFonts w:hint="eastAsia" w:ascii="宋体" w:hAnsi="宋体" w:eastAsia="宋体" w:cs="宋体"/>
          <w:color w:val="auto"/>
          <w:sz w:val="24"/>
          <w:szCs w:val="24"/>
          <w:highlight w:val="none"/>
        </w:rPr>
        <w:t>缴纳社会保险证明的违约责任：</w:t>
      </w:r>
      <w:r>
        <w:rPr>
          <w:rFonts w:hint="eastAsia" w:ascii="宋体" w:hAnsi="宋体" w:eastAsia="宋体" w:cs="宋体"/>
          <w:color w:val="auto"/>
          <w:sz w:val="24"/>
          <w:szCs w:val="24"/>
          <w:highlight w:val="none"/>
          <w:u w:val="single"/>
        </w:rPr>
        <w:t>承包人不提交上述文件的，</w:t>
      </w:r>
      <w:r>
        <w:rPr>
          <w:rFonts w:hint="eastAsia" w:ascii="宋体" w:hAnsi="宋体" w:eastAsia="宋体" w:cs="宋体"/>
          <w:color w:val="auto"/>
          <w:sz w:val="24"/>
          <w:szCs w:val="24"/>
          <w:highlight w:val="none"/>
          <w:u w:val="single"/>
          <w:lang w:eastAsia="zh-CN"/>
        </w:rPr>
        <w:t>项目经理</w:t>
      </w:r>
      <w:r>
        <w:rPr>
          <w:rFonts w:hint="eastAsia" w:ascii="宋体" w:hAnsi="宋体" w:eastAsia="宋体" w:cs="宋体"/>
          <w:color w:val="auto"/>
          <w:sz w:val="24"/>
          <w:szCs w:val="24"/>
          <w:highlight w:val="none"/>
          <w:u w:val="single"/>
        </w:rPr>
        <w:t>无权履行职责，发包人有权要求更换</w:t>
      </w:r>
      <w:r>
        <w:rPr>
          <w:rFonts w:hint="eastAsia" w:ascii="宋体" w:hAnsi="宋体" w:eastAsia="宋体" w:cs="宋体"/>
          <w:color w:val="auto"/>
          <w:sz w:val="24"/>
          <w:szCs w:val="24"/>
          <w:highlight w:val="none"/>
          <w:u w:val="single"/>
          <w:lang w:eastAsia="zh-CN"/>
        </w:rPr>
        <w:t>项目经理</w:t>
      </w:r>
      <w:r>
        <w:rPr>
          <w:rFonts w:hint="eastAsia" w:ascii="宋体" w:hAnsi="宋体" w:eastAsia="宋体" w:cs="宋体"/>
          <w:color w:val="auto"/>
          <w:sz w:val="24"/>
          <w:szCs w:val="24"/>
          <w:highlight w:val="none"/>
          <w:u w:val="single"/>
        </w:rPr>
        <w:t>，由此增加的费用和（或）延误的工期由承包人承担。</w:t>
      </w:r>
    </w:p>
    <w:p w14:paraId="6B87C6F8">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eastAsia="zh-CN"/>
        </w:rPr>
        <w:t>项目经理</w:t>
      </w:r>
      <w:r>
        <w:rPr>
          <w:rFonts w:hint="eastAsia" w:ascii="宋体" w:hAnsi="宋体" w:eastAsia="宋体" w:cs="宋体"/>
          <w:color w:val="auto"/>
          <w:sz w:val="24"/>
          <w:szCs w:val="24"/>
          <w:highlight w:val="none"/>
        </w:rPr>
        <w:t>未经批准，擅自离开施工现场的违约责任：</w:t>
      </w:r>
      <w:r>
        <w:rPr>
          <w:rFonts w:hint="eastAsia" w:ascii="宋体" w:hAnsi="宋体" w:eastAsia="宋体" w:cs="宋体"/>
          <w:color w:val="auto"/>
          <w:sz w:val="24"/>
          <w:szCs w:val="24"/>
          <w:highlight w:val="none"/>
          <w:u w:val="single"/>
        </w:rPr>
        <w:t xml:space="preserve">达不到要求的，承包人向发包方支付1000元/(人•天)的违约金。 </w:t>
      </w:r>
    </w:p>
    <w:p w14:paraId="3D87FD52">
      <w:pPr>
        <w:keepNext w:val="0"/>
        <w:keepLines w:val="0"/>
        <w:pageBreakBefore w:val="0"/>
        <w:kinsoku/>
        <w:wordWrap/>
        <w:overflowPunct/>
        <w:topLinePunct w:val="0"/>
        <w:bidi w:val="0"/>
        <w:spacing w:line="31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3.2.3 承包人擅自更换</w:t>
      </w:r>
      <w:r>
        <w:rPr>
          <w:rFonts w:hint="eastAsia" w:ascii="宋体" w:hAnsi="宋体" w:eastAsia="宋体" w:cs="宋体"/>
          <w:color w:val="auto"/>
          <w:sz w:val="24"/>
          <w:szCs w:val="24"/>
          <w:highlight w:val="none"/>
          <w:lang w:eastAsia="zh-CN"/>
        </w:rPr>
        <w:t>项目经理</w:t>
      </w:r>
      <w:r>
        <w:rPr>
          <w:rFonts w:hint="eastAsia" w:ascii="宋体" w:hAnsi="宋体" w:eastAsia="宋体" w:cs="宋体"/>
          <w:color w:val="auto"/>
          <w:sz w:val="24"/>
          <w:szCs w:val="24"/>
          <w:highlight w:val="none"/>
        </w:rPr>
        <w:t>的违约责任：</w:t>
      </w:r>
      <w:r>
        <w:rPr>
          <w:rFonts w:hint="eastAsia" w:ascii="宋体" w:hAnsi="宋体" w:eastAsia="宋体" w:cs="宋体"/>
          <w:color w:val="auto"/>
          <w:sz w:val="24"/>
          <w:szCs w:val="24"/>
          <w:highlight w:val="none"/>
          <w:u w:val="single"/>
        </w:rPr>
        <w:t>扣除合同金额的2％作为违约金</w:t>
      </w:r>
      <w:r>
        <w:rPr>
          <w:rFonts w:hint="eastAsia" w:ascii="宋体" w:hAnsi="宋体" w:eastAsia="宋体" w:cs="宋体"/>
          <w:color w:val="auto"/>
          <w:sz w:val="24"/>
          <w:szCs w:val="24"/>
          <w:highlight w:val="none"/>
        </w:rPr>
        <w:t>。</w:t>
      </w:r>
    </w:p>
    <w:p w14:paraId="6017DA6D">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3.2.4 承包人无正当理由拒绝更换</w:t>
      </w:r>
      <w:r>
        <w:rPr>
          <w:rFonts w:hint="eastAsia" w:ascii="宋体" w:hAnsi="宋体" w:eastAsia="宋体" w:cs="宋体"/>
          <w:color w:val="auto"/>
          <w:sz w:val="24"/>
          <w:szCs w:val="24"/>
          <w:highlight w:val="none"/>
          <w:lang w:eastAsia="zh-CN"/>
        </w:rPr>
        <w:t>项目经理</w:t>
      </w:r>
      <w:r>
        <w:rPr>
          <w:rFonts w:hint="eastAsia" w:ascii="宋体" w:hAnsi="宋体" w:eastAsia="宋体" w:cs="宋体"/>
          <w:color w:val="auto"/>
          <w:sz w:val="24"/>
          <w:szCs w:val="24"/>
          <w:highlight w:val="none"/>
        </w:rPr>
        <w:t>的违约责任：</w:t>
      </w:r>
      <w:r>
        <w:rPr>
          <w:rFonts w:hint="eastAsia" w:ascii="宋体" w:hAnsi="宋体" w:eastAsia="宋体" w:cs="宋体"/>
          <w:color w:val="auto"/>
          <w:sz w:val="24"/>
          <w:szCs w:val="24"/>
          <w:highlight w:val="none"/>
          <w:u w:val="single"/>
        </w:rPr>
        <w:t>进行停工处理，直到更换符合岗位要求的</w:t>
      </w:r>
      <w:r>
        <w:rPr>
          <w:rFonts w:hint="eastAsia" w:ascii="宋体" w:hAnsi="宋体" w:eastAsia="宋体" w:cs="宋体"/>
          <w:color w:val="auto"/>
          <w:sz w:val="24"/>
          <w:szCs w:val="24"/>
          <w:highlight w:val="none"/>
          <w:u w:val="single"/>
          <w:lang w:eastAsia="zh-CN"/>
        </w:rPr>
        <w:t>项目经理</w:t>
      </w:r>
      <w:r>
        <w:rPr>
          <w:rFonts w:hint="eastAsia" w:ascii="宋体" w:hAnsi="宋体" w:eastAsia="宋体" w:cs="宋体"/>
          <w:color w:val="auto"/>
          <w:sz w:val="24"/>
          <w:szCs w:val="24"/>
          <w:highlight w:val="none"/>
          <w:u w:val="single"/>
        </w:rPr>
        <w:t>。由此对发包人造成的工期延误和经济损失由承包人承担</w:t>
      </w:r>
      <w:r>
        <w:rPr>
          <w:rFonts w:hint="eastAsia" w:ascii="宋体" w:hAnsi="宋体" w:eastAsia="宋体" w:cs="宋体"/>
          <w:color w:val="auto"/>
          <w:sz w:val="24"/>
          <w:szCs w:val="24"/>
          <w:highlight w:val="none"/>
          <w:u w:val="single"/>
          <w:lang w:eastAsia="zh-CN"/>
        </w:rPr>
        <w:t>。</w:t>
      </w:r>
    </w:p>
    <w:p w14:paraId="339FCD9A">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 承包人人员</w:t>
      </w:r>
    </w:p>
    <w:p w14:paraId="3D7D7622">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3.3.1 承包人提交项目管理机构及施工现场管理人员安排报告的期限：</w:t>
      </w:r>
      <w:r>
        <w:rPr>
          <w:rFonts w:hint="eastAsia" w:ascii="宋体" w:hAnsi="宋体" w:eastAsia="宋体" w:cs="宋体"/>
          <w:b/>
          <w:bCs/>
          <w:color w:val="auto"/>
          <w:sz w:val="24"/>
          <w:szCs w:val="24"/>
          <w:highlight w:val="none"/>
          <w:u w:val="single"/>
        </w:rPr>
        <w:t>开工通知后7天内</w:t>
      </w:r>
      <w:r>
        <w:rPr>
          <w:rFonts w:hint="eastAsia" w:ascii="宋体" w:hAnsi="宋体" w:eastAsia="宋体" w:cs="宋体"/>
          <w:color w:val="auto"/>
          <w:sz w:val="24"/>
          <w:szCs w:val="24"/>
          <w:highlight w:val="none"/>
          <w:u w:val="single"/>
        </w:rPr>
        <w:t>。</w:t>
      </w:r>
    </w:p>
    <w:p w14:paraId="3EE73D4D">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3.3.3 承包人无正当理由拒绝撤换主要施工管理人员的违约责任：</w:t>
      </w:r>
      <w:r>
        <w:rPr>
          <w:rFonts w:hint="eastAsia" w:ascii="宋体" w:hAnsi="宋体" w:eastAsia="宋体" w:cs="宋体"/>
          <w:b/>
          <w:bCs/>
          <w:color w:val="auto"/>
          <w:sz w:val="24"/>
          <w:szCs w:val="24"/>
          <w:highlight w:val="none"/>
          <w:u w:val="single"/>
        </w:rPr>
        <w:t>停工整改，更换符合要求的施工人员后再进行施工。由此对发包人造成的工期延误和经济损失由承包人承担</w:t>
      </w:r>
      <w:r>
        <w:rPr>
          <w:rFonts w:hint="eastAsia" w:ascii="宋体" w:hAnsi="宋体" w:eastAsia="宋体" w:cs="宋体"/>
          <w:color w:val="auto"/>
          <w:sz w:val="24"/>
          <w:szCs w:val="24"/>
          <w:highlight w:val="none"/>
          <w:u w:val="single"/>
        </w:rPr>
        <w:t>。</w:t>
      </w:r>
    </w:p>
    <w:p w14:paraId="1AD64C11">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3.3.4 承包人主要施工管理人员离开施工现场的批准要求：</w:t>
      </w:r>
      <w:r>
        <w:rPr>
          <w:rFonts w:hint="eastAsia" w:ascii="宋体" w:hAnsi="宋体" w:eastAsia="宋体" w:cs="宋体"/>
          <w:color w:val="auto"/>
          <w:sz w:val="24"/>
          <w:szCs w:val="24"/>
          <w:highlight w:val="none"/>
          <w:u w:val="single"/>
        </w:rPr>
        <w:t>执行通用条款3.3.4条。</w:t>
      </w:r>
    </w:p>
    <w:p w14:paraId="018DE126">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3.3.5承包人擅自更换主要施工管理人员的违约责任：</w:t>
      </w:r>
      <w:r>
        <w:rPr>
          <w:rFonts w:hint="eastAsia" w:ascii="宋体" w:hAnsi="宋体" w:eastAsia="宋体" w:cs="宋体"/>
          <w:color w:val="auto"/>
          <w:sz w:val="24"/>
          <w:szCs w:val="24"/>
          <w:highlight w:val="none"/>
          <w:u w:val="single"/>
        </w:rPr>
        <w:t>按2000元</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（人•次）扣款，并同时追究施工单位违约的责任。</w:t>
      </w:r>
    </w:p>
    <w:p w14:paraId="2EF8E775">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b/>
          <w:bCs/>
          <w:color w:val="auto"/>
          <w:sz w:val="24"/>
          <w:szCs w:val="24"/>
          <w:highlight w:val="none"/>
          <w:u w:val="single"/>
        </w:rPr>
      </w:pPr>
      <w:r>
        <w:rPr>
          <w:rFonts w:hint="eastAsia" w:ascii="宋体" w:hAnsi="宋体" w:eastAsia="宋体" w:cs="宋体"/>
          <w:color w:val="auto"/>
          <w:sz w:val="24"/>
          <w:szCs w:val="24"/>
          <w:highlight w:val="none"/>
          <w:lang w:val="en-US" w:eastAsia="zh-CN"/>
        </w:rPr>
        <w:t>3.3.6</w:t>
      </w:r>
      <w:r>
        <w:rPr>
          <w:rFonts w:hint="eastAsia" w:ascii="宋体" w:hAnsi="宋体" w:eastAsia="宋体" w:cs="宋体"/>
          <w:color w:val="auto"/>
          <w:sz w:val="24"/>
          <w:szCs w:val="24"/>
          <w:highlight w:val="none"/>
        </w:rPr>
        <w:t>承包人主要施工管理人员擅自离开施工现场的违约责任：</w:t>
      </w:r>
      <w:r>
        <w:rPr>
          <w:rFonts w:hint="eastAsia" w:ascii="宋体" w:hAnsi="宋体" w:eastAsia="宋体" w:cs="宋体"/>
          <w:b/>
          <w:bCs/>
          <w:color w:val="auto"/>
          <w:sz w:val="24"/>
          <w:szCs w:val="24"/>
          <w:highlight w:val="none"/>
          <w:u w:val="single"/>
        </w:rPr>
        <w:t>第一次警告处理，三次以上的该名管理人员清退出场 。</w:t>
      </w:r>
    </w:p>
    <w:p w14:paraId="7C8739E5">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32"/>
          <w:highlight w:val="none"/>
        </w:rPr>
        <w:t>3.3.7</w:t>
      </w:r>
      <w:r>
        <w:rPr>
          <w:rFonts w:hint="eastAsia" w:ascii="宋体" w:hAnsi="宋体" w:eastAsia="宋体" w:cs="宋体"/>
          <w:b/>
          <w:color w:val="auto"/>
          <w:sz w:val="24"/>
          <w:szCs w:val="24"/>
          <w:highlight w:val="none"/>
        </w:rPr>
        <w:t>承包人派驻人员的到位率必须达80%以上（每月按30天计），达不到要求的，承包人向发包人支付违约金1000元</w:t>
      </w:r>
      <w:r>
        <w:rPr>
          <w:rFonts w:hint="eastAsia" w:ascii="宋体" w:hAnsi="宋体" w:eastAsia="宋体" w:cs="宋体"/>
          <w:b/>
          <w:color w:val="auto"/>
          <w:sz w:val="24"/>
          <w:szCs w:val="24"/>
          <w:highlight w:val="none"/>
          <w:lang w:val="en-US" w:eastAsia="zh-CN"/>
        </w:rPr>
        <w:t>/</w:t>
      </w:r>
      <w:r>
        <w:rPr>
          <w:rFonts w:hint="eastAsia" w:ascii="宋体" w:hAnsi="宋体" w:eastAsia="宋体" w:cs="宋体"/>
          <w:b/>
          <w:color w:val="auto"/>
          <w:sz w:val="24"/>
          <w:szCs w:val="24"/>
          <w:highlight w:val="none"/>
        </w:rPr>
        <w:t>（人•</w:t>
      </w:r>
      <w:r>
        <w:rPr>
          <w:rFonts w:hint="eastAsia" w:ascii="宋体" w:hAnsi="宋体" w:eastAsia="宋体" w:cs="宋体"/>
          <w:b/>
          <w:color w:val="auto"/>
          <w:sz w:val="24"/>
          <w:szCs w:val="24"/>
          <w:highlight w:val="none"/>
          <w:lang w:val="en-US" w:eastAsia="zh-CN"/>
        </w:rPr>
        <w:t>天</w:t>
      </w:r>
      <w:r>
        <w:rPr>
          <w:rFonts w:hint="eastAsia" w:ascii="宋体" w:hAnsi="宋体" w:eastAsia="宋体" w:cs="宋体"/>
          <w:b/>
          <w:color w:val="auto"/>
          <w:sz w:val="24"/>
          <w:szCs w:val="24"/>
          <w:highlight w:val="none"/>
        </w:rPr>
        <w:t>）。</w:t>
      </w:r>
    </w:p>
    <w:p w14:paraId="63F60B7E">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 分包</w:t>
      </w:r>
    </w:p>
    <w:p w14:paraId="19EE8C92">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3.5.1 分包的一般约定</w:t>
      </w:r>
    </w:p>
    <w:p w14:paraId="636B3F6D">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禁止分包的工程包括：</w:t>
      </w:r>
      <w:r>
        <w:rPr>
          <w:rFonts w:hint="eastAsia" w:ascii="宋体" w:hAnsi="宋体" w:eastAsia="宋体" w:cs="宋体"/>
          <w:b/>
          <w:bCs/>
          <w:color w:val="auto"/>
          <w:sz w:val="24"/>
          <w:szCs w:val="24"/>
          <w:highlight w:val="none"/>
          <w:u w:val="single"/>
        </w:rPr>
        <w:t>合同承包范围内所有工程</w:t>
      </w:r>
      <w:r>
        <w:rPr>
          <w:rFonts w:hint="eastAsia" w:ascii="宋体" w:hAnsi="宋体"/>
          <w:b/>
          <w:strike w:val="0"/>
          <w:dstrike w:val="0"/>
          <w:color w:val="auto"/>
          <w:kern w:val="2"/>
          <w:sz w:val="24"/>
          <w:szCs w:val="24"/>
          <w:highlight w:val="none"/>
          <w:u w:val="single"/>
        </w:rPr>
        <w:t>（业主书面同意的除外）</w:t>
      </w:r>
    </w:p>
    <w:p w14:paraId="368323C2">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主体结构、关键性工作的范围：</w:t>
      </w:r>
      <w:r>
        <w:rPr>
          <w:rFonts w:hint="eastAsia" w:ascii="宋体" w:hAnsi="宋体" w:eastAsia="宋体" w:cs="宋体"/>
          <w:color w:val="auto"/>
          <w:sz w:val="24"/>
          <w:szCs w:val="24"/>
          <w:highlight w:val="none"/>
          <w:u w:val="single"/>
        </w:rPr>
        <w:t xml:space="preserve"> </w:t>
      </w:r>
      <w:r>
        <w:rPr>
          <w:rFonts w:hint="eastAsia" w:ascii="宋体" w:hAnsi="宋体"/>
          <w:color w:val="auto"/>
          <w:kern w:val="2"/>
          <w:sz w:val="24"/>
          <w:szCs w:val="24"/>
          <w:highlight w:val="none"/>
          <w:u w:val="single"/>
        </w:rPr>
        <w:t>按国家文件规定</w:t>
      </w:r>
      <w:r>
        <w:rPr>
          <w:rFonts w:hint="eastAsia" w:ascii="宋体" w:hAnsi="宋体" w:eastAsia="宋体" w:cs="宋体"/>
          <w:color w:val="auto"/>
          <w:sz w:val="24"/>
          <w:szCs w:val="24"/>
          <w:highlight w:val="none"/>
          <w:u w:val="single"/>
        </w:rPr>
        <w:t xml:space="preserve"> 。</w:t>
      </w:r>
    </w:p>
    <w:p w14:paraId="5C3C7AAD">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3.5.2分包的确定</w:t>
      </w:r>
    </w:p>
    <w:p w14:paraId="1FCF9CAC">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允许分包的专业工程包括：</w:t>
      </w:r>
      <w:r>
        <w:rPr>
          <w:rFonts w:hint="eastAsia" w:ascii="宋体" w:hAnsi="宋体" w:eastAsia="宋体" w:cs="宋体"/>
          <w:color w:val="auto"/>
          <w:sz w:val="24"/>
          <w:szCs w:val="24"/>
          <w:highlight w:val="none"/>
          <w:u w:val="single"/>
        </w:rPr>
        <w:t xml:space="preserve">  </w:t>
      </w:r>
      <w:r>
        <w:rPr>
          <w:rFonts w:hint="eastAsia" w:ascii="宋体" w:hAnsi="宋体"/>
          <w:b/>
          <w:color w:val="auto"/>
          <w:kern w:val="2"/>
          <w:sz w:val="24"/>
          <w:szCs w:val="24"/>
          <w:highlight w:val="none"/>
          <w:u w:val="single"/>
        </w:rPr>
        <w:t>在不涉及国家禁止的外由业主书面同意方可分包</w:t>
      </w:r>
      <w:r>
        <w:rPr>
          <w:rFonts w:hint="eastAsia" w:ascii="宋体" w:hAnsi="宋体" w:eastAsia="宋体" w:cs="宋体"/>
          <w:color w:val="auto"/>
          <w:sz w:val="24"/>
          <w:szCs w:val="24"/>
          <w:highlight w:val="none"/>
          <w:u w:val="single"/>
        </w:rPr>
        <w:t>。</w:t>
      </w:r>
    </w:p>
    <w:p w14:paraId="50AE8A30">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其他关于分包的约定：</w:t>
      </w:r>
      <w:r>
        <w:rPr>
          <w:rFonts w:hint="eastAsia" w:ascii="宋体" w:hAnsi="宋体"/>
          <w:b/>
          <w:color w:val="auto"/>
          <w:kern w:val="2"/>
          <w:sz w:val="24"/>
          <w:szCs w:val="24"/>
          <w:highlight w:val="none"/>
          <w:u w:val="single"/>
        </w:rPr>
        <w:t>分包人的确定,承包人需事先征得发包人的书面同意</w:t>
      </w:r>
      <w:r>
        <w:rPr>
          <w:rFonts w:hint="eastAsia" w:ascii="宋体" w:hAnsi="宋体"/>
          <w:b/>
          <w:bCs/>
          <w:color w:val="auto"/>
          <w:kern w:val="2"/>
          <w:sz w:val="24"/>
          <w:szCs w:val="24"/>
          <w:highlight w:val="none"/>
          <w:u w:val="single"/>
        </w:rPr>
        <w:t>。</w:t>
      </w:r>
    </w:p>
    <w:p w14:paraId="1C3D6752">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3.5.4 分包合同价款</w:t>
      </w:r>
    </w:p>
    <w:p w14:paraId="04634A42">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关于分包合同价款支付的约定：</w:t>
      </w:r>
      <w:r>
        <w:rPr>
          <w:rFonts w:hint="eastAsia" w:ascii="宋体" w:hAnsi="宋体" w:eastAsia="宋体" w:cs="宋体"/>
          <w:color w:val="auto"/>
          <w:sz w:val="24"/>
          <w:szCs w:val="24"/>
          <w:highlight w:val="none"/>
          <w:u w:val="single"/>
        </w:rPr>
        <w:t xml:space="preserve"> </w:t>
      </w:r>
      <w:r>
        <w:rPr>
          <w:rFonts w:hint="eastAsia" w:ascii="宋体" w:hAnsi="宋体"/>
          <w:b/>
          <w:bCs/>
          <w:color w:val="auto"/>
          <w:kern w:val="2"/>
          <w:sz w:val="24"/>
          <w:szCs w:val="24"/>
          <w:highlight w:val="none"/>
          <w:u w:val="single"/>
          <w:lang w:val="en-US" w:eastAsia="zh-CN"/>
        </w:rPr>
        <w:t>一般按通用条款执行，特殊情况下发包人有权直接向分包人支付分包合同价款并有权从应付承包人工程款中扣除该部分款项</w:t>
      </w:r>
      <w:r>
        <w:rPr>
          <w:rFonts w:hint="eastAsia" w:ascii="宋体" w:hAnsi="宋体"/>
          <w:b/>
          <w:bCs/>
          <w:color w:val="auto"/>
          <w:kern w:val="2"/>
          <w:sz w:val="24"/>
          <w:szCs w:val="24"/>
          <w:highlight w:val="none"/>
          <w:u w:val="single"/>
        </w:rPr>
        <w:t>。</w:t>
      </w:r>
    </w:p>
    <w:p w14:paraId="3E071CB3">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 工程照管与成品、半成品保护</w:t>
      </w:r>
    </w:p>
    <w:p w14:paraId="31A8B374">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承包人负责照管工程及工程相关的材料、工程设备的起始时间：</w:t>
      </w:r>
      <w:r>
        <w:rPr>
          <w:rFonts w:hint="eastAsia" w:hAnsi="宋体"/>
          <w:b/>
          <w:color w:val="auto"/>
          <w:sz w:val="24"/>
          <w:szCs w:val="24"/>
          <w:highlight w:val="none"/>
          <w:u w:val="single"/>
        </w:rPr>
        <w:t>自发包人向承包人移交施工现场之日起，直到颁发工程接收证书之日止，保护费用由承包人承担，该部分已考虑并包含在投标报价中</w:t>
      </w:r>
      <w:r>
        <w:rPr>
          <w:rFonts w:hint="eastAsia" w:ascii="宋体" w:hAnsi="宋体"/>
          <w:color w:val="auto"/>
          <w:sz w:val="24"/>
          <w:szCs w:val="24"/>
          <w:highlight w:val="none"/>
          <w:u w:val="single"/>
        </w:rPr>
        <w:t>。</w:t>
      </w:r>
    </w:p>
    <w:p w14:paraId="0FAAB3E0">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 履约担保</w:t>
      </w:r>
    </w:p>
    <w:p w14:paraId="1716D3F5">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承包人是否提供履约担保：</w:t>
      </w:r>
      <w:r>
        <w:rPr>
          <w:rFonts w:hint="eastAsia" w:ascii="宋体" w:hAnsi="宋体" w:eastAsia="宋体" w:cs="宋体"/>
          <w:color w:val="auto"/>
          <w:sz w:val="24"/>
          <w:szCs w:val="24"/>
          <w:highlight w:val="none"/>
          <w:u w:val="single"/>
        </w:rPr>
        <w:t>是。</w:t>
      </w:r>
    </w:p>
    <w:p w14:paraId="233EE8BE">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highlight w:val="none"/>
          <w:u w:val="single"/>
          <w:lang w:eastAsia="zh-CN"/>
        </w:rPr>
      </w:pPr>
      <w:r>
        <w:rPr>
          <w:rFonts w:hint="eastAsia" w:ascii="宋体" w:hAnsi="宋体" w:eastAsia="宋体" w:cs="宋体"/>
          <w:color w:val="auto"/>
          <w:sz w:val="24"/>
          <w:szCs w:val="24"/>
          <w:highlight w:val="none"/>
        </w:rPr>
        <w:t>承包人提供履约担保的形式、金额及期限的：</w:t>
      </w:r>
      <w:r>
        <w:rPr>
          <w:rFonts w:hint="eastAsia" w:ascii="宋体" w:hAnsi="宋体"/>
          <w:color w:val="auto"/>
          <w:sz w:val="24"/>
          <w:highlight w:val="none"/>
          <w:u w:val="single"/>
        </w:rPr>
        <w:t>中标人在收到中标通知书后，应在</w:t>
      </w:r>
      <w:r>
        <w:rPr>
          <w:rFonts w:hint="eastAsia" w:ascii="宋体" w:hAnsi="宋体"/>
          <w:color w:val="auto"/>
          <w:sz w:val="24"/>
          <w:highlight w:val="none"/>
          <w:u w:val="single"/>
          <w:lang w:val="en-US" w:eastAsia="zh-CN"/>
        </w:rPr>
        <w:t>项目实施</w:t>
      </w:r>
      <w:r>
        <w:rPr>
          <w:rFonts w:hint="eastAsia" w:ascii="宋体" w:hAnsi="宋体"/>
          <w:color w:val="auto"/>
          <w:sz w:val="24"/>
          <w:highlight w:val="none"/>
          <w:u w:val="single"/>
        </w:rPr>
        <w:t>前向招标人交纳履约保证金</w:t>
      </w:r>
      <w:r>
        <w:rPr>
          <w:rFonts w:hint="eastAsia" w:ascii="宋体" w:hAnsi="宋体"/>
          <w:color w:val="auto"/>
          <w:sz w:val="24"/>
          <w:szCs w:val="24"/>
          <w:highlight w:val="none"/>
          <w:u w:val="single"/>
        </w:rPr>
        <w:t>，履约保证金为</w:t>
      </w:r>
      <w:r>
        <w:rPr>
          <w:rFonts w:hint="eastAsia" w:ascii="宋体" w:hAnsi="宋体" w:cs="宋体"/>
          <w:b/>
          <w:color w:val="auto"/>
          <w:sz w:val="24"/>
          <w:szCs w:val="24"/>
          <w:highlight w:val="none"/>
          <w:u w:val="single"/>
        </w:rPr>
        <w:t>中标价的</w:t>
      </w:r>
      <w:r>
        <w:rPr>
          <w:rFonts w:hint="eastAsia" w:ascii="宋体" w:hAnsi="宋体" w:cs="宋体"/>
          <w:b/>
          <w:color w:val="auto"/>
          <w:sz w:val="24"/>
          <w:szCs w:val="24"/>
          <w:highlight w:val="none"/>
          <w:u w:val="single"/>
          <w:lang w:val="en-US" w:eastAsia="zh-CN"/>
        </w:rPr>
        <w:t>1%</w:t>
      </w:r>
      <w:r>
        <w:rPr>
          <w:rFonts w:hint="eastAsia" w:ascii="宋体" w:hAnsi="宋体"/>
          <w:color w:val="auto"/>
          <w:sz w:val="24"/>
          <w:szCs w:val="24"/>
          <w:highlight w:val="none"/>
          <w:u w:val="single"/>
        </w:rPr>
        <w:t>。</w:t>
      </w:r>
      <w:r>
        <w:rPr>
          <w:rFonts w:hint="eastAsia" w:ascii="宋体" w:hAnsi="宋体"/>
          <w:color w:val="auto"/>
          <w:sz w:val="24"/>
          <w:highlight w:val="none"/>
          <w:u w:val="single"/>
        </w:rPr>
        <w:t>履约保证金在</w:t>
      </w:r>
      <w:r>
        <w:rPr>
          <w:rFonts w:hint="eastAsia" w:ascii="宋体" w:hAnsi="宋体"/>
          <w:color w:val="auto"/>
          <w:sz w:val="24"/>
          <w:highlight w:val="none"/>
          <w:u w:val="single"/>
          <w:lang w:val="en-US" w:eastAsia="zh-CN"/>
        </w:rPr>
        <w:t>合同履行完毕且工程竣工验收合格后10</w:t>
      </w:r>
      <w:r>
        <w:rPr>
          <w:rFonts w:hint="eastAsia" w:ascii="宋体" w:hAnsi="宋体"/>
          <w:color w:val="auto"/>
          <w:sz w:val="24"/>
          <w:highlight w:val="none"/>
          <w:u w:val="single"/>
        </w:rPr>
        <w:t>日内无息退还</w:t>
      </w:r>
      <w:r>
        <w:rPr>
          <w:rFonts w:hint="eastAsia" w:ascii="宋体" w:hAnsi="宋体"/>
          <w:color w:val="auto"/>
          <w:sz w:val="24"/>
          <w:highlight w:val="none"/>
          <w:u w:val="single"/>
          <w:lang w:eastAsia="zh-CN"/>
        </w:rPr>
        <w:t>。</w:t>
      </w:r>
    </w:p>
    <w:p w14:paraId="26E0A613">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 监理人</w:t>
      </w:r>
    </w:p>
    <w:p w14:paraId="4FFF7900">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4.1监理人的一般规定</w:t>
      </w:r>
    </w:p>
    <w:p w14:paraId="0E11A074">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b/>
          <w:color w:val="auto"/>
          <w:sz w:val="24"/>
          <w:szCs w:val="24"/>
          <w:highlight w:val="none"/>
          <w:u w:val="single"/>
        </w:rPr>
      </w:pPr>
      <w:r>
        <w:rPr>
          <w:rFonts w:hint="eastAsia" w:ascii="宋体" w:hAnsi="宋体" w:eastAsia="宋体" w:cs="宋体"/>
          <w:color w:val="auto"/>
          <w:sz w:val="24"/>
          <w:szCs w:val="24"/>
          <w:highlight w:val="none"/>
        </w:rPr>
        <w:t>关于监理人的监理内容：</w:t>
      </w:r>
      <w:r>
        <w:rPr>
          <w:rFonts w:hint="eastAsia" w:ascii="宋体" w:hAnsi="宋体" w:eastAsia="宋体" w:cs="宋体"/>
          <w:b/>
          <w:color w:val="auto"/>
          <w:sz w:val="24"/>
          <w:szCs w:val="24"/>
          <w:highlight w:val="none"/>
          <w:u w:val="single"/>
        </w:rPr>
        <w:t>以发包人和监理单位签订的委托合同条款为准。</w:t>
      </w:r>
    </w:p>
    <w:p w14:paraId="00EFD3D1">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关于监理人的监理权限：</w:t>
      </w:r>
      <w:r>
        <w:rPr>
          <w:rFonts w:hint="eastAsia" w:ascii="宋体" w:hAnsi="宋体" w:eastAsia="宋体" w:cs="宋体"/>
          <w:color w:val="auto"/>
          <w:sz w:val="24"/>
          <w:szCs w:val="24"/>
          <w:highlight w:val="none"/>
          <w:u w:val="single"/>
        </w:rPr>
        <w:t>在本合同范围内按照有关的法律、法规及《建设工程监理规范》负责工程施工的全过程管理，发布开工令、审批施工组织设计和施工方案、审核工程量和工程的变更、签发工程款支付凭证、提出监理建议和履行监理合同规定的其它权力等。</w:t>
      </w:r>
    </w:p>
    <w:p w14:paraId="2E574398">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需要取得发包人批准才能行使的职权：</w:t>
      </w:r>
      <w:r>
        <w:rPr>
          <w:rFonts w:hint="eastAsia" w:ascii="宋体" w:hAnsi="宋体" w:eastAsia="宋体" w:cs="宋体"/>
          <w:color w:val="auto"/>
          <w:sz w:val="24"/>
          <w:szCs w:val="24"/>
          <w:highlight w:val="none"/>
          <w:u w:val="single"/>
        </w:rPr>
        <w:t>（1）涉及全局工程进度的工程暂停；（2）设计变更涉及工程投资或承包合同造价的变化；（3）索赔的支付；（4）涉及改变原设计意图或影响设计结构的补充图纸和指示等。</w:t>
      </w:r>
    </w:p>
    <w:p w14:paraId="27D62CC8">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b/>
          <w:color w:val="auto"/>
          <w:sz w:val="24"/>
          <w:szCs w:val="24"/>
          <w:highlight w:val="none"/>
          <w:u w:val="single"/>
        </w:rPr>
      </w:pPr>
      <w:r>
        <w:rPr>
          <w:rFonts w:hint="eastAsia" w:ascii="宋体" w:hAnsi="宋体" w:eastAsia="宋体" w:cs="宋体"/>
          <w:color w:val="auto"/>
          <w:sz w:val="24"/>
          <w:szCs w:val="24"/>
          <w:highlight w:val="none"/>
        </w:rPr>
        <w:t>关于监理人在施工现场的办公场所、生活场所的提供和费用承担的约定：</w:t>
      </w:r>
      <w:r>
        <w:rPr>
          <w:rFonts w:hint="eastAsia" w:ascii="宋体" w:hAnsi="宋体" w:eastAsia="宋体" w:cs="宋体"/>
          <w:b/>
          <w:color w:val="auto"/>
          <w:sz w:val="24"/>
          <w:szCs w:val="24"/>
          <w:highlight w:val="none"/>
          <w:u w:val="single"/>
        </w:rPr>
        <w:t>提供一间现场临时办公室给监理使用，办公设施监理人自理，按照通用条款规定费用由发包人承担 。</w:t>
      </w:r>
    </w:p>
    <w:p w14:paraId="42A14B8C">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 监理人员</w:t>
      </w:r>
    </w:p>
    <w:p w14:paraId="613F5A5B">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总监理工程师：</w:t>
      </w:r>
    </w:p>
    <w:p w14:paraId="368ABAE9">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    名：</w:t>
      </w:r>
      <w:r>
        <w:rPr>
          <w:rFonts w:hint="eastAsia" w:ascii="宋体" w:hAnsi="宋体" w:eastAsia="宋体" w:cs="宋体"/>
          <w:color w:val="auto"/>
          <w:sz w:val="24"/>
          <w:szCs w:val="24"/>
          <w:highlight w:val="none"/>
          <w:u w:val="single"/>
        </w:rPr>
        <w:t>   </w:t>
      </w:r>
      <w:r>
        <w:rPr>
          <w:rFonts w:hint="eastAsia" w:ascii="宋体" w:hAnsi="宋体" w:eastAsia="宋体" w:cs="宋体"/>
          <w:color w:val="auto"/>
          <w:sz w:val="24"/>
          <w:szCs w:val="24"/>
          <w:highlight w:val="none"/>
        </w:rPr>
        <w:t>；</w:t>
      </w:r>
    </w:p>
    <w:p w14:paraId="4F7C6AC4">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    务：</w:t>
      </w:r>
      <w:r>
        <w:rPr>
          <w:rFonts w:hint="eastAsia" w:ascii="宋体" w:hAnsi="宋体" w:eastAsia="宋体" w:cs="宋体"/>
          <w:color w:val="auto"/>
          <w:sz w:val="24"/>
          <w:szCs w:val="24"/>
          <w:highlight w:val="none"/>
          <w:u w:val="single"/>
        </w:rPr>
        <w:t>   </w:t>
      </w:r>
      <w:r>
        <w:rPr>
          <w:rFonts w:hint="eastAsia" w:ascii="宋体" w:hAnsi="宋体" w:eastAsia="宋体" w:cs="宋体"/>
          <w:color w:val="auto"/>
          <w:sz w:val="24"/>
          <w:szCs w:val="24"/>
          <w:highlight w:val="none"/>
        </w:rPr>
        <w:t>；</w:t>
      </w:r>
    </w:p>
    <w:p w14:paraId="0FB13856">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监理工程师执业资格证书号：</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w:t>
      </w:r>
    </w:p>
    <w:p w14:paraId="7A87D6AC">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rPr>
        <w:t>   </w:t>
      </w:r>
      <w:r>
        <w:rPr>
          <w:rFonts w:hint="eastAsia" w:ascii="宋体" w:hAnsi="宋体" w:eastAsia="宋体" w:cs="宋体"/>
          <w:color w:val="auto"/>
          <w:sz w:val="24"/>
          <w:szCs w:val="24"/>
          <w:highlight w:val="none"/>
        </w:rPr>
        <w:t>；</w:t>
      </w:r>
    </w:p>
    <w:p w14:paraId="1E384D6E">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电子信箱：</w:t>
      </w:r>
      <w:r>
        <w:rPr>
          <w:rFonts w:hint="eastAsia" w:ascii="宋体" w:hAnsi="宋体" w:eastAsia="宋体" w:cs="宋体"/>
          <w:color w:val="auto"/>
          <w:sz w:val="24"/>
          <w:szCs w:val="24"/>
          <w:highlight w:val="none"/>
          <w:u w:val="single"/>
        </w:rPr>
        <w:t>   </w:t>
      </w:r>
      <w:r>
        <w:rPr>
          <w:rFonts w:hint="eastAsia" w:ascii="宋体" w:hAnsi="宋体" w:eastAsia="宋体" w:cs="宋体"/>
          <w:color w:val="auto"/>
          <w:sz w:val="24"/>
          <w:szCs w:val="24"/>
          <w:highlight w:val="none"/>
        </w:rPr>
        <w:t>；</w:t>
      </w:r>
    </w:p>
    <w:p w14:paraId="7C2E6E0A">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通信地址：</w:t>
      </w:r>
      <w:r>
        <w:rPr>
          <w:rFonts w:hint="eastAsia" w:ascii="宋体" w:hAnsi="宋体" w:eastAsia="宋体" w:cs="宋体"/>
          <w:color w:val="auto"/>
          <w:sz w:val="24"/>
          <w:szCs w:val="24"/>
          <w:highlight w:val="none"/>
          <w:u w:val="single"/>
        </w:rPr>
        <w:t>   </w:t>
      </w:r>
      <w:r>
        <w:rPr>
          <w:rFonts w:hint="eastAsia" w:ascii="宋体" w:hAnsi="宋体" w:eastAsia="宋体" w:cs="宋体"/>
          <w:color w:val="auto"/>
          <w:sz w:val="24"/>
          <w:szCs w:val="24"/>
          <w:highlight w:val="none"/>
        </w:rPr>
        <w:t>；</w:t>
      </w:r>
    </w:p>
    <w:p w14:paraId="7B7F0690">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b/>
          <w:color w:val="auto"/>
          <w:sz w:val="24"/>
          <w:szCs w:val="24"/>
          <w:highlight w:val="none"/>
          <w:u w:val="single"/>
        </w:rPr>
      </w:pPr>
      <w:r>
        <w:rPr>
          <w:rFonts w:hint="eastAsia" w:ascii="宋体" w:hAnsi="宋体" w:eastAsia="宋体" w:cs="宋体"/>
          <w:color w:val="auto"/>
          <w:sz w:val="24"/>
          <w:szCs w:val="24"/>
          <w:highlight w:val="none"/>
        </w:rPr>
        <w:t>关于监理人的其他约定：</w:t>
      </w:r>
      <w:r>
        <w:rPr>
          <w:rFonts w:hint="eastAsia" w:ascii="宋体" w:hAnsi="宋体" w:eastAsia="宋体" w:cs="宋体"/>
          <w:b/>
          <w:color w:val="auto"/>
          <w:sz w:val="24"/>
          <w:szCs w:val="24"/>
          <w:highlight w:val="none"/>
          <w:u w:val="single"/>
        </w:rPr>
        <w:t>发包人委托监理人的权限以书面形式在工程开工前一周告知承包人。</w:t>
      </w:r>
    </w:p>
    <w:p w14:paraId="2B41E004">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 商定或确定</w:t>
      </w:r>
    </w:p>
    <w:p w14:paraId="44ED7D39">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在发包人和承包人不能通过协商达成一致意见时，发包人授权监理人对以下事项进行确定：</w:t>
      </w:r>
    </w:p>
    <w:p w14:paraId="0DC3ABF5">
      <w:pPr>
        <w:keepNext w:val="0"/>
        <w:keepLines w:val="0"/>
        <w:pageBreakBefore w:val="0"/>
        <w:kinsoku/>
        <w:wordWrap/>
        <w:overflowPunct/>
        <w:topLinePunct w:val="0"/>
        <w:bidi w:val="0"/>
        <w:spacing w:line="312" w:lineRule="auto"/>
        <w:ind w:firstLine="482" w:firstLineChars="200"/>
        <w:jc w:val="left"/>
        <w:textAlignment w:val="auto"/>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u w:val="single"/>
        </w:rPr>
        <w:t>（1）施工现场安全是否符合规范要求；</w:t>
      </w:r>
    </w:p>
    <w:p w14:paraId="30A8A55B">
      <w:pPr>
        <w:keepNext w:val="0"/>
        <w:keepLines w:val="0"/>
        <w:pageBreakBefore w:val="0"/>
        <w:kinsoku/>
        <w:wordWrap/>
        <w:overflowPunct/>
        <w:topLinePunct w:val="0"/>
        <w:bidi w:val="0"/>
        <w:spacing w:line="312" w:lineRule="auto"/>
        <w:ind w:firstLine="482" w:firstLineChars="200"/>
        <w:jc w:val="left"/>
        <w:textAlignment w:val="auto"/>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u w:val="single"/>
        </w:rPr>
        <w:t>（2）分部分项工程质量是否符合验收规范 ；</w:t>
      </w:r>
    </w:p>
    <w:p w14:paraId="20E85B46">
      <w:pPr>
        <w:keepNext w:val="0"/>
        <w:keepLines w:val="0"/>
        <w:pageBreakBefore w:val="0"/>
        <w:kinsoku/>
        <w:wordWrap/>
        <w:overflowPunct/>
        <w:topLinePunct w:val="0"/>
        <w:bidi w:val="0"/>
        <w:spacing w:line="312" w:lineRule="auto"/>
        <w:ind w:firstLine="482" w:firstLineChars="200"/>
        <w:jc w:val="left"/>
        <w:textAlignment w:val="auto"/>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u w:val="single"/>
        </w:rPr>
        <w:t>（3）施工进度是否符合进度计划要求 ；</w:t>
      </w:r>
    </w:p>
    <w:p w14:paraId="3EA4E0DA">
      <w:pPr>
        <w:keepNext w:val="0"/>
        <w:keepLines w:val="0"/>
        <w:pageBreakBefore w:val="0"/>
        <w:kinsoku/>
        <w:wordWrap/>
        <w:overflowPunct/>
        <w:topLinePunct w:val="0"/>
        <w:bidi w:val="0"/>
        <w:spacing w:line="312" w:lineRule="auto"/>
        <w:ind w:firstLine="482" w:firstLineChars="200"/>
        <w:jc w:val="left"/>
        <w:textAlignment w:val="auto"/>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u w:val="single"/>
        </w:rPr>
        <w:t>（4）发包人的其它授权。</w:t>
      </w:r>
    </w:p>
    <w:p w14:paraId="76671FF1">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 工程质量</w:t>
      </w:r>
    </w:p>
    <w:p w14:paraId="72176E8B">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质量要求</w:t>
      </w:r>
    </w:p>
    <w:p w14:paraId="7B13437B">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5.1.1 特殊质量标准和要求：</w:t>
      </w:r>
      <w:r>
        <w:rPr>
          <w:rFonts w:hint="eastAsia" w:ascii="宋体" w:hAnsi="宋体" w:eastAsia="宋体" w:cs="宋体"/>
          <w:color w:val="auto"/>
          <w:sz w:val="24"/>
          <w:szCs w:val="24"/>
          <w:highlight w:val="none"/>
          <w:u w:val="single"/>
        </w:rPr>
        <w:t>无特殊要求</w:t>
      </w:r>
      <w:r>
        <w:rPr>
          <w:rFonts w:hint="eastAsia" w:ascii="宋体" w:hAnsi="宋体" w:eastAsia="宋体" w:cs="宋体"/>
          <w:color w:val="auto"/>
          <w:sz w:val="24"/>
          <w:szCs w:val="24"/>
          <w:highlight w:val="none"/>
        </w:rPr>
        <w:t xml:space="preserve"> 。</w:t>
      </w:r>
    </w:p>
    <w:p w14:paraId="4FE9533B">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关于工程奖项的约定：</w:t>
      </w:r>
      <w:r>
        <w:rPr>
          <w:rFonts w:hint="eastAsia" w:ascii="宋体" w:hAnsi="宋体" w:eastAsia="宋体" w:cs="宋体"/>
          <w:b/>
          <w:bCs/>
          <w:color w:val="auto"/>
          <w:sz w:val="24"/>
          <w:szCs w:val="24"/>
          <w:highlight w:val="none"/>
          <w:u w:val="single"/>
        </w:rPr>
        <w:t>无约定</w:t>
      </w:r>
      <w:r>
        <w:rPr>
          <w:rFonts w:hint="eastAsia" w:ascii="宋体" w:hAnsi="宋体" w:eastAsia="宋体" w:cs="宋体"/>
          <w:color w:val="auto"/>
          <w:sz w:val="24"/>
          <w:szCs w:val="24"/>
          <w:highlight w:val="none"/>
        </w:rPr>
        <w:t xml:space="preserve"> 。</w:t>
      </w:r>
    </w:p>
    <w:p w14:paraId="07F1DC2B">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 隐蔽工程检查</w:t>
      </w:r>
    </w:p>
    <w:p w14:paraId="6817341E">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b/>
          <w:color w:val="auto"/>
          <w:sz w:val="24"/>
          <w:szCs w:val="24"/>
          <w:highlight w:val="none"/>
          <w:u w:val="single"/>
        </w:rPr>
      </w:pPr>
      <w:r>
        <w:rPr>
          <w:rFonts w:hint="eastAsia" w:ascii="宋体" w:hAnsi="宋体" w:eastAsia="宋体" w:cs="宋体"/>
          <w:color w:val="auto"/>
          <w:sz w:val="24"/>
          <w:szCs w:val="24"/>
          <w:highlight w:val="none"/>
        </w:rPr>
        <w:t>5.3.2承包人提前通知监理人隐蔽工程检查的期限的约定：</w:t>
      </w:r>
      <w:r>
        <w:rPr>
          <w:rFonts w:hint="eastAsia" w:ascii="宋体" w:hAnsi="宋体" w:eastAsia="宋体" w:cs="宋体"/>
          <w:b/>
          <w:color w:val="auto"/>
          <w:sz w:val="24"/>
          <w:szCs w:val="24"/>
          <w:highlight w:val="none"/>
          <w:u w:val="single"/>
        </w:rPr>
        <w:t>工程隐蔽部位经承包人自检确认具备覆盖条件后，承包人应在共同检查前8小时通知监理人检查。由于工期进度要求，如果出现整改的，整改完毕后监理人随时配合承包人进行验收。</w:t>
      </w:r>
    </w:p>
    <w:p w14:paraId="633F3C85">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监理人不能按时进行检查时，应提前</w:t>
      </w:r>
      <w:r>
        <w:rPr>
          <w:rFonts w:hint="eastAsia" w:ascii="宋体" w:hAnsi="宋体" w:eastAsia="宋体" w:cs="宋体"/>
          <w:color w:val="auto"/>
          <w:sz w:val="24"/>
          <w:szCs w:val="24"/>
          <w:highlight w:val="none"/>
          <w:u w:val="single"/>
        </w:rPr>
        <w:t xml:space="preserve"> 24 </w:t>
      </w:r>
      <w:r>
        <w:rPr>
          <w:rFonts w:hint="eastAsia" w:ascii="宋体" w:hAnsi="宋体" w:eastAsia="宋体" w:cs="宋体"/>
          <w:color w:val="auto"/>
          <w:sz w:val="24"/>
          <w:szCs w:val="24"/>
          <w:highlight w:val="none"/>
        </w:rPr>
        <w:t>小时提交书面延期要求。</w:t>
      </w:r>
    </w:p>
    <w:p w14:paraId="2213DA17">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关于延期最长不得超过：</w:t>
      </w:r>
      <w:r>
        <w:rPr>
          <w:rFonts w:hint="eastAsia" w:ascii="宋体" w:hAnsi="宋体" w:eastAsia="宋体" w:cs="宋体"/>
          <w:color w:val="auto"/>
          <w:sz w:val="24"/>
          <w:szCs w:val="24"/>
          <w:highlight w:val="none"/>
          <w:u w:val="single"/>
        </w:rPr>
        <w:t xml:space="preserve"> 48 </w:t>
      </w:r>
      <w:r>
        <w:rPr>
          <w:rFonts w:hint="eastAsia" w:ascii="宋体" w:hAnsi="宋体" w:eastAsia="宋体" w:cs="宋体"/>
          <w:color w:val="auto"/>
          <w:sz w:val="24"/>
          <w:szCs w:val="24"/>
          <w:highlight w:val="none"/>
        </w:rPr>
        <w:t xml:space="preserve"> 小时。</w:t>
      </w:r>
    </w:p>
    <w:p w14:paraId="67F6EFBA">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 安全文明施工与环境保护</w:t>
      </w:r>
    </w:p>
    <w:p w14:paraId="622E9B03">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6.1安全文明施工</w:t>
      </w:r>
    </w:p>
    <w:p w14:paraId="32B793A0">
      <w:pPr>
        <w:pStyle w:val="13"/>
        <w:keepNext w:val="0"/>
        <w:keepLines w:val="0"/>
        <w:pageBreakBefore w:val="0"/>
        <w:kinsoku/>
        <w:wordWrap/>
        <w:overflowPunct/>
        <w:topLinePunct w:val="0"/>
        <w:bidi w:val="0"/>
        <w:adjustRightInd w:val="0"/>
        <w:snapToGrid w:val="0"/>
        <w:spacing w:line="312" w:lineRule="auto"/>
        <w:ind w:left="0" w:leftChars="0"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6.1.1项目安全生产的达标目标及相应事项的约定：</w:t>
      </w:r>
    </w:p>
    <w:p w14:paraId="7926879B">
      <w:pPr>
        <w:pStyle w:val="13"/>
        <w:keepNext w:val="0"/>
        <w:keepLines w:val="0"/>
        <w:pageBreakBefore w:val="0"/>
        <w:kinsoku/>
        <w:wordWrap/>
        <w:overflowPunct/>
        <w:topLinePunct w:val="0"/>
        <w:bidi w:val="0"/>
        <w:adjustRightInd w:val="0"/>
        <w:snapToGrid w:val="0"/>
        <w:spacing w:line="312" w:lineRule="auto"/>
        <w:ind w:left="0" w:leftChars="0" w:firstLine="480" w:firstLineChars="200"/>
        <w:textAlignment w:val="auto"/>
        <w:rPr>
          <w:rFonts w:hint="eastAsia" w:ascii="宋体" w:hAnsi="宋体" w:eastAsia="宋体" w:cs="宋体"/>
          <w:color w:val="auto"/>
          <w:szCs w:val="24"/>
          <w:highlight w:val="none"/>
          <w:u w:val="single"/>
        </w:rPr>
      </w:pPr>
      <w:r>
        <w:rPr>
          <w:rFonts w:hint="eastAsia" w:ascii="宋体" w:hAnsi="宋体" w:eastAsia="宋体" w:cs="宋体"/>
          <w:b w:val="0"/>
          <w:color w:val="auto"/>
          <w:szCs w:val="24"/>
          <w:highlight w:val="none"/>
          <w:u w:val="single"/>
        </w:rPr>
        <w:t>（1）遵守工程建设安全文明施工的有关规定，认真落实各项安全保护措施，并随时接受甲方或监理工程师及有关部门的监督检查。</w:t>
      </w:r>
    </w:p>
    <w:p w14:paraId="033087B7">
      <w:pPr>
        <w:pStyle w:val="13"/>
        <w:keepNext w:val="0"/>
        <w:keepLines w:val="0"/>
        <w:pageBreakBefore w:val="0"/>
        <w:kinsoku/>
        <w:wordWrap/>
        <w:overflowPunct/>
        <w:topLinePunct w:val="0"/>
        <w:bidi w:val="0"/>
        <w:adjustRightInd w:val="0"/>
        <w:snapToGrid w:val="0"/>
        <w:spacing w:line="312" w:lineRule="auto"/>
        <w:ind w:left="0" w:leftChars="0" w:firstLine="480" w:firstLineChars="200"/>
        <w:textAlignment w:val="auto"/>
        <w:rPr>
          <w:rFonts w:hint="eastAsia" w:ascii="宋体" w:hAnsi="宋体" w:eastAsia="宋体" w:cs="宋体"/>
          <w:color w:val="auto"/>
          <w:szCs w:val="24"/>
          <w:highlight w:val="none"/>
          <w:u w:val="single"/>
        </w:rPr>
      </w:pPr>
      <w:r>
        <w:rPr>
          <w:rFonts w:hint="eastAsia" w:ascii="宋体" w:hAnsi="宋体" w:eastAsia="宋体" w:cs="宋体"/>
          <w:color w:val="auto"/>
          <w:szCs w:val="24"/>
          <w:highlight w:val="none"/>
          <w:u w:val="single"/>
        </w:rPr>
        <w:t>（2）承包人应对进入施工现场的所有人员进行安全文明施工教育，配备必要的劳动保护用具，保证工程的施工安全和人身安全。</w:t>
      </w:r>
    </w:p>
    <w:p w14:paraId="0B1EB227">
      <w:pPr>
        <w:pStyle w:val="13"/>
        <w:keepNext w:val="0"/>
        <w:keepLines w:val="0"/>
        <w:pageBreakBefore w:val="0"/>
        <w:kinsoku/>
        <w:wordWrap/>
        <w:overflowPunct/>
        <w:topLinePunct w:val="0"/>
        <w:bidi w:val="0"/>
        <w:adjustRightInd w:val="0"/>
        <w:snapToGrid w:val="0"/>
        <w:spacing w:line="312" w:lineRule="auto"/>
        <w:ind w:left="0" w:leftChars="0" w:firstLine="480" w:firstLineChars="200"/>
        <w:textAlignment w:val="auto"/>
        <w:rPr>
          <w:rFonts w:hint="eastAsia" w:ascii="宋体" w:hAnsi="宋体" w:eastAsia="宋体" w:cs="宋体"/>
          <w:color w:val="auto"/>
          <w:szCs w:val="24"/>
          <w:highlight w:val="none"/>
          <w:u w:val="single"/>
        </w:rPr>
      </w:pPr>
      <w:r>
        <w:rPr>
          <w:rFonts w:hint="eastAsia" w:ascii="宋体" w:hAnsi="宋体" w:eastAsia="宋体" w:cs="宋体"/>
          <w:color w:val="auto"/>
          <w:szCs w:val="24"/>
          <w:highlight w:val="none"/>
          <w:u w:val="single"/>
        </w:rPr>
        <w:t xml:space="preserve">（3）承包人应注意保护施工现场已完建筑物的安全，施工荷载必须满足结构要求，并采取必要措施，防止因施工不当造成工程事故。 </w:t>
      </w:r>
    </w:p>
    <w:p w14:paraId="014AB382">
      <w:pPr>
        <w:pStyle w:val="13"/>
        <w:keepNext w:val="0"/>
        <w:keepLines w:val="0"/>
        <w:pageBreakBefore w:val="0"/>
        <w:kinsoku/>
        <w:wordWrap/>
        <w:overflowPunct/>
        <w:topLinePunct w:val="0"/>
        <w:bidi w:val="0"/>
        <w:adjustRightInd w:val="0"/>
        <w:snapToGrid w:val="0"/>
        <w:spacing w:line="312" w:lineRule="auto"/>
        <w:ind w:left="0" w:leftChars="0" w:firstLine="480" w:firstLineChars="200"/>
        <w:textAlignment w:val="auto"/>
        <w:rPr>
          <w:rFonts w:hint="eastAsia" w:ascii="宋体" w:hAnsi="宋体" w:eastAsia="宋体" w:cs="宋体"/>
          <w:color w:val="auto"/>
          <w:szCs w:val="24"/>
          <w:highlight w:val="none"/>
          <w:u w:val="single"/>
        </w:rPr>
      </w:pPr>
      <w:r>
        <w:rPr>
          <w:rFonts w:hint="eastAsia" w:ascii="宋体" w:hAnsi="宋体" w:eastAsia="宋体" w:cs="宋体"/>
          <w:color w:val="auto"/>
          <w:szCs w:val="24"/>
          <w:highlight w:val="none"/>
          <w:u w:val="single"/>
        </w:rPr>
        <w:t>（4）如由于承包人安全措施不力造成事故的责任和由此发生的费用，由承包人承担。</w:t>
      </w:r>
    </w:p>
    <w:p w14:paraId="23DD0F18">
      <w:pPr>
        <w:pStyle w:val="13"/>
        <w:keepNext w:val="0"/>
        <w:keepLines w:val="0"/>
        <w:pageBreakBefore w:val="0"/>
        <w:kinsoku/>
        <w:wordWrap/>
        <w:overflowPunct/>
        <w:topLinePunct w:val="0"/>
        <w:bidi w:val="0"/>
        <w:adjustRightInd w:val="0"/>
        <w:snapToGrid w:val="0"/>
        <w:spacing w:line="312" w:lineRule="auto"/>
        <w:ind w:left="0" w:leftChars="0" w:firstLine="480" w:firstLineChars="200"/>
        <w:textAlignment w:val="auto"/>
        <w:rPr>
          <w:rFonts w:hint="eastAsia" w:ascii="宋体" w:hAnsi="宋体" w:eastAsia="宋体" w:cs="宋体"/>
          <w:b w:val="0"/>
          <w:color w:val="auto"/>
          <w:szCs w:val="24"/>
          <w:highlight w:val="none"/>
          <w:u w:val="single"/>
        </w:rPr>
      </w:pPr>
      <w:r>
        <w:rPr>
          <w:rFonts w:hint="eastAsia" w:ascii="宋体" w:hAnsi="宋体" w:eastAsia="宋体" w:cs="宋体"/>
          <w:b w:val="0"/>
          <w:color w:val="auto"/>
          <w:szCs w:val="24"/>
          <w:highlight w:val="none"/>
          <w:u w:val="single"/>
        </w:rPr>
        <w:t>（5）招标人发出安全整改指令后，中标人拒绝整改或未在规定时间内整改完毕的，招标人有权从中标人的履约保证金中视情节严重扣除1000-5000元/次的罚款。</w:t>
      </w:r>
    </w:p>
    <w:p w14:paraId="59035865">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6.1.4 关于治安保卫的特别约定：</w:t>
      </w:r>
      <w:r>
        <w:rPr>
          <w:rFonts w:hint="eastAsia" w:ascii="宋体" w:hAnsi="宋体" w:eastAsia="宋体" w:cs="宋体"/>
          <w:color w:val="auto"/>
          <w:sz w:val="24"/>
          <w:szCs w:val="24"/>
          <w:highlight w:val="none"/>
          <w:u w:val="single"/>
        </w:rPr>
        <w:t>无</w:t>
      </w:r>
      <w:r>
        <w:rPr>
          <w:rFonts w:hint="eastAsia" w:ascii="宋体" w:hAnsi="宋体" w:eastAsia="宋体" w:cs="宋体"/>
          <w:color w:val="auto"/>
          <w:sz w:val="24"/>
          <w:szCs w:val="24"/>
          <w:highlight w:val="none"/>
        </w:rPr>
        <w:t>。</w:t>
      </w:r>
    </w:p>
    <w:p w14:paraId="37BD3E22">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关于编制施工场地治安管理计划的约定：</w:t>
      </w:r>
      <w:r>
        <w:rPr>
          <w:rFonts w:hint="eastAsia" w:ascii="宋体" w:hAnsi="宋体" w:eastAsia="宋体" w:cs="宋体"/>
          <w:b/>
          <w:color w:val="auto"/>
          <w:sz w:val="24"/>
          <w:szCs w:val="24"/>
          <w:highlight w:val="none"/>
          <w:u w:val="single"/>
        </w:rPr>
        <w:t>发包人和承包人应在工程开工后7天内共同编制施工场地治安管理计划，并制定应对突发治安事件的紧急预案。</w:t>
      </w:r>
    </w:p>
    <w:p w14:paraId="3FE2653F">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6.1.5 文明施工</w:t>
      </w:r>
    </w:p>
    <w:p w14:paraId="4A32FA1B">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合同当事人对文明施工的要求：</w:t>
      </w:r>
      <w:r>
        <w:rPr>
          <w:rFonts w:hint="eastAsia" w:ascii="宋体" w:hAnsi="宋体" w:eastAsia="宋体" w:cs="宋体"/>
          <w:b/>
          <w:color w:val="auto"/>
          <w:sz w:val="24"/>
          <w:szCs w:val="24"/>
          <w:highlight w:val="none"/>
          <w:u w:val="single"/>
        </w:rPr>
        <w:t>遵守工程建设安全文明施工的有关规定，认真落实各项措施，并随时接受甲方或监理工程师及有关部门的监督检查</w:t>
      </w:r>
      <w:r>
        <w:rPr>
          <w:rFonts w:hint="eastAsia" w:ascii="宋体" w:hAnsi="宋体" w:eastAsia="宋体" w:cs="宋体"/>
          <w:color w:val="auto"/>
          <w:sz w:val="24"/>
          <w:szCs w:val="24"/>
          <w:highlight w:val="none"/>
        </w:rPr>
        <w:t>。安全文明施工未达到投标承诺要求，承包人应承担违约责任。发包人可从承包人履约保证金中扣除相应费用，扣款最高不超过履约保证金。</w:t>
      </w:r>
    </w:p>
    <w:p w14:paraId="7AF2D340">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6.1.6 关于安全文明施工费支付比例和支付期限的约定：</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2C8E1F53">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 工期和进度</w:t>
      </w:r>
    </w:p>
    <w:p w14:paraId="7D847B49">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 施工组织设计</w:t>
      </w:r>
    </w:p>
    <w:p w14:paraId="72E3C0A4">
      <w:pPr>
        <w:keepNext w:val="0"/>
        <w:keepLines w:val="0"/>
        <w:pageBreakBefore w:val="0"/>
        <w:kinsoku/>
        <w:wordWrap/>
        <w:overflowPunct/>
        <w:topLinePunct w:val="0"/>
        <w:autoSpaceDE w:val="0"/>
        <w:autoSpaceDN w:val="0"/>
        <w:bidi w:val="0"/>
        <w:adjustRightInd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7.1.1 合同当事人约定的施工组织设计应包括的其他内容：</w:t>
      </w:r>
      <w:r>
        <w:rPr>
          <w:rFonts w:hint="eastAsia" w:ascii="宋体" w:hAnsi="宋体" w:eastAsia="宋体" w:cs="宋体"/>
          <w:b/>
          <w:bCs/>
          <w:color w:val="auto"/>
          <w:sz w:val="24"/>
          <w:szCs w:val="24"/>
          <w:highlight w:val="none"/>
          <w:u w:val="single"/>
        </w:rPr>
        <w:t>执行通用条款7.1.1条</w:t>
      </w:r>
      <w:r>
        <w:rPr>
          <w:rFonts w:hint="eastAsia" w:ascii="宋体" w:hAnsi="宋体" w:eastAsia="宋体" w:cs="宋体"/>
          <w:color w:val="auto"/>
          <w:sz w:val="24"/>
          <w:szCs w:val="24"/>
          <w:highlight w:val="none"/>
        </w:rPr>
        <w:t>。</w:t>
      </w:r>
    </w:p>
    <w:p w14:paraId="408235AA">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7.1.2 施工组织设计的提交和修改</w:t>
      </w:r>
    </w:p>
    <w:p w14:paraId="32E12AD2">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承包人提交详细施工组织设计的期限的约定：</w:t>
      </w:r>
      <w:r>
        <w:rPr>
          <w:rFonts w:hint="eastAsia" w:ascii="宋体" w:hAnsi="宋体" w:eastAsia="宋体" w:cs="宋体"/>
          <w:color w:val="auto"/>
          <w:sz w:val="24"/>
          <w:szCs w:val="24"/>
          <w:highlight w:val="none"/>
          <w:u w:val="single"/>
        </w:rPr>
        <w:t>合同签订后3天内，承包人提交施工组织设计（施工方案）和进度计划一式二份。</w:t>
      </w:r>
      <w:r>
        <w:rPr>
          <w:rFonts w:hint="eastAsia" w:ascii="宋体" w:hAnsi="宋体" w:eastAsia="宋体" w:cs="宋体"/>
          <w:b/>
          <w:color w:val="auto"/>
          <w:sz w:val="24"/>
          <w:szCs w:val="24"/>
          <w:highlight w:val="none"/>
          <w:u w:val="single"/>
        </w:rPr>
        <w:t>要求签订合同后三天内进场</w:t>
      </w:r>
      <w:r>
        <w:rPr>
          <w:rFonts w:hint="eastAsia" w:ascii="宋体" w:hAnsi="宋体" w:eastAsia="宋体" w:cs="宋体"/>
          <w:color w:val="auto"/>
          <w:sz w:val="24"/>
          <w:szCs w:val="24"/>
          <w:highlight w:val="none"/>
        </w:rPr>
        <w:t>。</w:t>
      </w:r>
    </w:p>
    <w:p w14:paraId="12376AC6">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发包人和监理人在收到详细的施工组织设计后确认或提出修改意见的期限：</w:t>
      </w:r>
      <w:r>
        <w:rPr>
          <w:rFonts w:hint="eastAsia" w:ascii="宋体" w:hAnsi="宋体" w:eastAsia="宋体" w:cs="宋体"/>
          <w:b/>
          <w:bCs/>
          <w:color w:val="auto"/>
          <w:sz w:val="24"/>
          <w:szCs w:val="24"/>
          <w:highlight w:val="none"/>
          <w:u w:val="single"/>
        </w:rPr>
        <w:t>7个有效工作日</w:t>
      </w:r>
      <w:r>
        <w:rPr>
          <w:rFonts w:hint="eastAsia" w:ascii="宋体" w:hAnsi="宋体" w:eastAsia="宋体" w:cs="宋体"/>
          <w:color w:val="auto"/>
          <w:sz w:val="24"/>
          <w:szCs w:val="24"/>
          <w:highlight w:val="none"/>
        </w:rPr>
        <w:t>。</w:t>
      </w:r>
    </w:p>
    <w:p w14:paraId="0AA68051">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 施工进度计划</w:t>
      </w:r>
    </w:p>
    <w:p w14:paraId="14EB6D36">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7.2.2 施工进度计划的修订</w:t>
      </w:r>
    </w:p>
    <w:p w14:paraId="1F2FC1E0">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发包人和监理人在收到修订的施工进度计划后确认或提出修改意见的期限：</w:t>
      </w:r>
      <w:r>
        <w:rPr>
          <w:rFonts w:hint="eastAsia" w:ascii="宋体" w:hAnsi="宋体" w:eastAsia="宋体" w:cs="宋体"/>
          <w:b/>
          <w:bCs/>
          <w:color w:val="auto"/>
          <w:sz w:val="24"/>
          <w:szCs w:val="24"/>
          <w:highlight w:val="none"/>
          <w:u w:val="single"/>
        </w:rPr>
        <w:t>执行通用条款7.2.2条。</w:t>
      </w:r>
    </w:p>
    <w:p w14:paraId="2886A842">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 开工</w:t>
      </w:r>
    </w:p>
    <w:p w14:paraId="4A23292B">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7.3.1 开工准备</w:t>
      </w:r>
    </w:p>
    <w:p w14:paraId="68046BEE">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关于承包人提交工程开工报审表的期限：</w:t>
      </w:r>
      <w:r>
        <w:rPr>
          <w:rFonts w:hint="eastAsia" w:ascii="宋体" w:hAnsi="宋体" w:eastAsia="宋体" w:cs="宋体"/>
          <w:b/>
          <w:bCs/>
          <w:color w:val="auto"/>
          <w:sz w:val="24"/>
          <w:szCs w:val="24"/>
          <w:highlight w:val="none"/>
          <w:u w:val="single"/>
        </w:rPr>
        <w:t>执行通用条款7.3.1条</w:t>
      </w:r>
      <w:r>
        <w:rPr>
          <w:rFonts w:hint="eastAsia" w:ascii="宋体" w:hAnsi="宋体" w:eastAsia="宋体" w:cs="宋体"/>
          <w:color w:val="auto"/>
          <w:sz w:val="24"/>
          <w:szCs w:val="24"/>
          <w:highlight w:val="none"/>
        </w:rPr>
        <w:t>。</w:t>
      </w:r>
    </w:p>
    <w:p w14:paraId="015A5083">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关于发包人应完成的其他开工准备工作及期限：</w:t>
      </w:r>
      <w:r>
        <w:rPr>
          <w:rFonts w:hint="eastAsia" w:ascii="宋体" w:hAnsi="宋体" w:eastAsia="宋体" w:cs="宋体"/>
          <w:b/>
          <w:bCs/>
          <w:color w:val="auto"/>
          <w:sz w:val="24"/>
          <w:szCs w:val="24"/>
          <w:highlight w:val="none"/>
          <w:u w:val="single"/>
        </w:rPr>
        <w:t>在开工前办理完毕所有合法手续</w:t>
      </w:r>
      <w:r>
        <w:rPr>
          <w:rFonts w:hint="eastAsia" w:ascii="宋体" w:hAnsi="宋体" w:eastAsia="宋体" w:cs="宋体"/>
          <w:b/>
          <w:bCs/>
          <w:color w:val="auto"/>
          <w:sz w:val="24"/>
          <w:szCs w:val="24"/>
          <w:highlight w:val="none"/>
          <w:u w:val="single"/>
        </w:rPr>
        <w:t>（承包人应当予以配合）</w:t>
      </w:r>
      <w:r>
        <w:rPr>
          <w:rFonts w:hint="eastAsia" w:ascii="宋体" w:hAnsi="宋体" w:eastAsia="宋体" w:cs="宋体"/>
          <w:color w:val="auto"/>
          <w:sz w:val="24"/>
          <w:szCs w:val="24"/>
          <w:highlight w:val="none"/>
        </w:rPr>
        <w:t>。</w:t>
      </w:r>
    </w:p>
    <w:p w14:paraId="7207389E">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关于承包人应完成的其他开工准备工作及期限：</w:t>
      </w:r>
      <w:r>
        <w:rPr>
          <w:rFonts w:hint="eastAsia" w:ascii="宋体" w:hAnsi="宋体" w:eastAsia="宋体" w:cs="宋体"/>
          <w:color w:val="auto"/>
          <w:sz w:val="24"/>
          <w:szCs w:val="24"/>
          <w:highlight w:val="none"/>
          <w:u w:val="single"/>
        </w:rPr>
        <w:t>按相关行政主管及发包人要求</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58C2D675">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7.3.2开工通知</w:t>
      </w:r>
    </w:p>
    <w:p w14:paraId="632E2B12">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因发包人原因造成监理人未能在计划开工日期之日起</w:t>
      </w:r>
      <w:r>
        <w:rPr>
          <w:rFonts w:hint="eastAsia" w:ascii="宋体" w:hAnsi="宋体" w:eastAsia="宋体" w:cs="宋体"/>
          <w:b/>
          <w:color w:val="auto"/>
          <w:sz w:val="24"/>
          <w:szCs w:val="24"/>
          <w:highlight w:val="none"/>
          <w:u w:val="single"/>
        </w:rPr>
        <w:t xml:space="preserve"> 90</w:t>
      </w:r>
      <w:r>
        <w:rPr>
          <w:rFonts w:hint="eastAsia" w:ascii="宋体" w:hAnsi="宋体" w:eastAsia="宋体" w:cs="宋体"/>
          <w:color w:val="auto"/>
          <w:sz w:val="24"/>
          <w:szCs w:val="24"/>
          <w:highlight w:val="none"/>
        </w:rPr>
        <w:t>天内发出开工通知的，承包人有权提出价格调整要求，或者解除合同。</w:t>
      </w:r>
    </w:p>
    <w:p w14:paraId="6E2B1518">
      <w:pPr>
        <w:keepNext w:val="0"/>
        <w:keepLines w:val="0"/>
        <w:pageBreakBefore w:val="0"/>
        <w:widowControl w:val="0"/>
        <w:kinsoku/>
        <w:wordWrap/>
        <w:overflowPunct/>
        <w:topLinePunct w:val="0"/>
        <w:bidi w:val="0"/>
        <w:spacing w:line="312" w:lineRule="auto"/>
        <w:ind w:left="0" w:leftChars="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7.4 测量放线</w:t>
      </w:r>
    </w:p>
    <w:p w14:paraId="6C3E0212">
      <w:pPr>
        <w:keepNext w:val="0"/>
        <w:keepLines w:val="0"/>
        <w:pageBreakBefore w:val="0"/>
        <w:widowControl w:val="0"/>
        <w:kinsoku/>
        <w:wordWrap/>
        <w:overflowPunct/>
        <w:topLinePunct w:val="0"/>
        <w:bidi w:val="0"/>
        <w:spacing w:line="312" w:lineRule="auto"/>
        <w:ind w:left="0" w:leftChars="0" w:firstLine="480" w:firstLineChars="200"/>
        <w:jc w:val="left"/>
        <w:textAlignment w:val="auto"/>
        <w:outlineLvl w:val="9"/>
        <w:rPr>
          <w:rFonts w:hint="eastAsia" w:ascii="宋体" w:hAnsi="宋体" w:eastAsia="宋体" w:cs="宋体"/>
          <w:b/>
          <w:color w:val="auto"/>
          <w:sz w:val="24"/>
          <w:szCs w:val="24"/>
          <w:highlight w:val="none"/>
          <w:u w:val="single"/>
        </w:rPr>
      </w:pPr>
      <w:r>
        <w:rPr>
          <w:rFonts w:hint="eastAsia" w:ascii="宋体" w:hAnsi="宋体" w:eastAsia="宋体" w:cs="宋体"/>
          <w:color w:val="auto"/>
          <w:sz w:val="24"/>
          <w:szCs w:val="24"/>
          <w:highlight w:val="none"/>
        </w:rPr>
        <w:t>7.4.1发包人通过监理人向承包人提供测量基准点、基准线和水准点及其书面资料的期限：</w:t>
      </w:r>
      <w:r>
        <w:rPr>
          <w:rFonts w:hint="eastAsia" w:ascii="宋体" w:hAnsi="宋体" w:eastAsia="宋体" w:cs="宋体"/>
          <w:b/>
          <w:color w:val="auto"/>
          <w:sz w:val="24"/>
          <w:szCs w:val="24"/>
          <w:highlight w:val="none"/>
          <w:u w:val="single"/>
        </w:rPr>
        <w:t>〔开工通知〕载明的开工日期前7天 。</w:t>
      </w:r>
    </w:p>
    <w:p w14:paraId="671C37F1">
      <w:pPr>
        <w:keepNext w:val="0"/>
        <w:keepLines w:val="0"/>
        <w:pageBreakBefore w:val="0"/>
        <w:widowControl w:val="0"/>
        <w:kinsoku/>
        <w:wordWrap/>
        <w:overflowPunct/>
        <w:topLinePunct w:val="0"/>
        <w:bidi w:val="0"/>
        <w:spacing w:line="312" w:lineRule="auto"/>
        <w:ind w:left="0" w:leftChars="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7.5 工期延误</w:t>
      </w:r>
    </w:p>
    <w:p w14:paraId="2A02CCF7">
      <w:pPr>
        <w:keepNext w:val="0"/>
        <w:keepLines w:val="0"/>
        <w:pageBreakBefore w:val="0"/>
        <w:kinsoku/>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7.5.1因发包人原因导致工期延误的其他情形：</w:t>
      </w:r>
    </w:p>
    <w:p w14:paraId="288D559A">
      <w:pPr>
        <w:pStyle w:val="13"/>
        <w:keepNext w:val="0"/>
        <w:keepLines w:val="0"/>
        <w:pageBreakBefore w:val="0"/>
        <w:kinsoku/>
        <w:overflowPunct/>
        <w:topLinePunct w:val="0"/>
        <w:bidi w:val="0"/>
        <w:adjustRightInd w:val="0"/>
        <w:snapToGrid w:val="0"/>
        <w:spacing w:line="312" w:lineRule="auto"/>
        <w:ind w:left="0" w:leftChars="0" w:firstLine="482" w:firstLineChars="200"/>
        <w:textAlignment w:val="auto"/>
        <w:rPr>
          <w:rFonts w:hint="eastAsia" w:ascii="宋体" w:hAnsi="宋体" w:eastAsia="宋体" w:cs="宋体"/>
          <w:b/>
          <w:bCs/>
          <w:color w:val="auto"/>
          <w:kern w:val="2"/>
          <w:sz w:val="24"/>
          <w:szCs w:val="24"/>
          <w:highlight w:val="none"/>
          <w:u w:val="single"/>
          <w:lang w:val="en-US" w:eastAsia="zh-CN" w:bidi="ar-SA"/>
        </w:rPr>
      </w:pPr>
      <w:r>
        <w:rPr>
          <w:rFonts w:hint="eastAsia" w:ascii="宋体" w:hAnsi="宋体" w:eastAsia="宋体" w:cs="宋体"/>
          <w:b/>
          <w:bCs/>
          <w:color w:val="auto"/>
          <w:kern w:val="2"/>
          <w:sz w:val="24"/>
          <w:szCs w:val="24"/>
          <w:highlight w:val="none"/>
          <w:u w:val="single"/>
          <w:lang w:val="en-US" w:eastAsia="zh-CN" w:bidi="ar-SA"/>
        </w:rPr>
        <w:t>（1）招标范围以外增加的工程量超过合同工程总量15%以上，且属于关键线路工程以致影响施工进度的（由发包人代表会同监理工程师认定，最终以发包人代表确认为准）；</w:t>
      </w:r>
    </w:p>
    <w:p w14:paraId="3E1A2CA5">
      <w:pPr>
        <w:pStyle w:val="13"/>
        <w:keepNext w:val="0"/>
        <w:keepLines w:val="0"/>
        <w:pageBreakBefore w:val="0"/>
        <w:kinsoku/>
        <w:overflowPunct/>
        <w:topLinePunct w:val="0"/>
        <w:bidi w:val="0"/>
        <w:adjustRightInd w:val="0"/>
        <w:snapToGrid w:val="0"/>
        <w:spacing w:line="312" w:lineRule="auto"/>
        <w:ind w:left="0" w:leftChars="0" w:firstLine="482" w:firstLineChars="200"/>
        <w:textAlignment w:val="auto"/>
        <w:rPr>
          <w:rFonts w:hint="eastAsia" w:ascii="宋体" w:hAnsi="宋体" w:eastAsia="宋体" w:cs="宋体"/>
          <w:b/>
          <w:bCs/>
          <w:color w:val="auto"/>
          <w:kern w:val="2"/>
          <w:sz w:val="24"/>
          <w:szCs w:val="24"/>
          <w:highlight w:val="none"/>
          <w:u w:val="single"/>
          <w:lang w:val="en-US" w:eastAsia="zh-CN" w:bidi="ar-SA"/>
        </w:rPr>
      </w:pPr>
      <w:r>
        <w:rPr>
          <w:rFonts w:hint="eastAsia" w:ascii="宋体" w:hAnsi="宋体" w:eastAsia="宋体" w:cs="宋体"/>
          <w:b/>
          <w:bCs/>
          <w:color w:val="auto"/>
          <w:kern w:val="2"/>
          <w:sz w:val="24"/>
          <w:szCs w:val="24"/>
          <w:highlight w:val="none"/>
          <w:u w:val="single"/>
          <w:lang w:val="en-US" w:eastAsia="zh-CN" w:bidi="ar-SA"/>
        </w:rPr>
        <w:t>（2）不可抗力；</w:t>
      </w:r>
    </w:p>
    <w:p w14:paraId="0E5BF575">
      <w:pPr>
        <w:keepNext w:val="0"/>
        <w:keepLines w:val="0"/>
        <w:pageBreakBefore w:val="0"/>
        <w:kinsoku/>
        <w:wordWrap/>
        <w:overflowPunct/>
        <w:topLinePunct w:val="0"/>
        <w:bidi w:val="0"/>
        <w:spacing w:line="312" w:lineRule="auto"/>
        <w:ind w:firstLine="482" w:firstLineChars="200"/>
        <w:jc w:val="left"/>
        <w:textAlignment w:val="auto"/>
        <w:rPr>
          <w:rFonts w:hint="eastAsia" w:ascii="宋体" w:hAnsi="宋体" w:eastAsia="宋体" w:cs="宋体"/>
          <w:b/>
          <w:bCs/>
          <w:color w:val="auto"/>
          <w:kern w:val="2"/>
          <w:sz w:val="24"/>
          <w:szCs w:val="24"/>
          <w:highlight w:val="none"/>
          <w:u w:val="single"/>
          <w:lang w:val="en-US" w:eastAsia="zh-CN" w:bidi="ar-SA"/>
        </w:rPr>
      </w:pPr>
      <w:r>
        <w:rPr>
          <w:rFonts w:hint="eastAsia" w:ascii="宋体" w:hAnsi="宋体" w:eastAsia="宋体" w:cs="宋体"/>
          <w:b/>
          <w:bCs/>
          <w:color w:val="auto"/>
          <w:kern w:val="2"/>
          <w:sz w:val="24"/>
          <w:szCs w:val="24"/>
          <w:highlight w:val="none"/>
          <w:u w:val="single"/>
          <w:lang w:val="en-US" w:eastAsia="zh-CN" w:bidi="ar-SA"/>
        </w:rPr>
        <w:t>（3）由于发包人原因造成的其他情形；</w:t>
      </w:r>
    </w:p>
    <w:p w14:paraId="4469EB90">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7.5.2 因承包人原因导致工期延误</w:t>
      </w:r>
    </w:p>
    <w:p w14:paraId="0709AC72">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因承包人原因造成工期延误，逾期竣工违约金的计算方法为：</w:t>
      </w:r>
    </w:p>
    <w:p w14:paraId="0DF3B806">
      <w:pPr>
        <w:keepNext w:val="0"/>
        <w:keepLines w:val="0"/>
        <w:pageBreakBefore w:val="0"/>
        <w:numPr>
          <w:ilvl w:val="0"/>
          <w:numId w:val="0"/>
        </w:numPr>
        <w:kinsoku/>
        <w:wordWrap/>
        <w:overflowPunct/>
        <w:topLinePunct w:val="0"/>
        <w:bidi w:val="0"/>
        <w:spacing w:line="312" w:lineRule="auto"/>
        <w:ind w:firstLine="480" w:firstLineChars="200"/>
        <w:jc w:val="left"/>
        <w:textAlignment w:val="auto"/>
        <w:rPr>
          <w:rFonts w:hint="eastAsia" w:ascii="宋体" w:hAnsi="宋体" w:eastAsia="宋体" w:cs="宋体"/>
          <w:b/>
          <w:color w:val="auto"/>
          <w:sz w:val="24"/>
          <w:szCs w:val="24"/>
          <w:highlight w:val="none"/>
          <w:u w:val="singl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延误工期扣款：</w:t>
      </w:r>
      <w:r>
        <w:rPr>
          <w:rFonts w:hint="eastAsia" w:ascii="宋体" w:hAnsi="宋体" w:eastAsia="宋体" w:cs="宋体"/>
          <w:b/>
          <w:color w:val="auto"/>
          <w:sz w:val="24"/>
          <w:szCs w:val="24"/>
          <w:highlight w:val="none"/>
          <w:u w:val="single"/>
        </w:rPr>
        <w:t>每延误一天扣</w:t>
      </w:r>
      <w:r>
        <w:rPr>
          <w:rFonts w:hint="eastAsia" w:ascii="宋体" w:hAnsi="宋体" w:eastAsia="宋体" w:cs="宋体"/>
          <w:b/>
          <w:color w:val="auto"/>
          <w:sz w:val="24"/>
          <w:szCs w:val="24"/>
          <w:highlight w:val="none"/>
          <w:u w:val="single"/>
          <w:lang w:val="en-US" w:eastAsia="zh-CN"/>
        </w:rPr>
        <w:t>500</w:t>
      </w:r>
      <w:r>
        <w:rPr>
          <w:rFonts w:hint="eastAsia" w:ascii="宋体" w:hAnsi="宋体" w:eastAsia="宋体" w:cs="宋体"/>
          <w:b/>
          <w:color w:val="auto"/>
          <w:sz w:val="24"/>
          <w:szCs w:val="24"/>
          <w:highlight w:val="none"/>
          <w:u w:val="single"/>
        </w:rPr>
        <w:t>元/天。</w:t>
      </w:r>
    </w:p>
    <w:p w14:paraId="037C650A">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b/>
          <w:color w:val="auto"/>
          <w:sz w:val="24"/>
          <w:szCs w:val="24"/>
          <w:highlight w:val="none"/>
          <w:u w:val="single"/>
        </w:rPr>
      </w:pPr>
      <w:r>
        <w:rPr>
          <w:rFonts w:hint="eastAsia" w:ascii="宋体" w:hAnsi="宋体" w:eastAsia="宋体" w:cs="宋体"/>
          <w:color w:val="auto"/>
          <w:sz w:val="24"/>
          <w:szCs w:val="24"/>
          <w:highlight w:val="none"/>
        </w:rPr>
        <w:t>因承包人原因造成工期延误，逾期竣工违约金的上限</w:t>
      </w:r>
      <w:r>
        <w:rPr>
          <w:rFonts w:hint="eastAsia" w:ascii="宋体" w:hAnsi="宋体" w:eastAsia="宋体" w:cs="宋体"/>
          <w:b/>
          <w:color w:val="auto"/>
          <w:sz w:val="24"/>
          <w:szCs w:val="24"/>
          <w:highlight w:val="none"/>
          <w:u w:val="single"/>
          <w:lang w:val="en-US" w:eastAsia="zh-CN"/>
        </w:rPr>
        <w:t>履约保证金</w:t>
      </w:r>
      <w:r>
        <w:rPr>
          <w:rFonts w:hint="eastAsia" w:ascii="宋体" w:hAnsi="宋体" w:eastAsia="宋体" w:cs="宋体"/>
          <w:b/>
          <w:color w:val="auto"/>
          <w:sz w:val="24"/>
          <w:szCs w:val="24"/>
          <w:highlight w:val="none"/>
          <w:u w:val="single"/>
        </w:rPr>
        <w:t>。</w:t>
      </w:r>
    </w:p>
    <w:p w14:paraId="5E97741F">
      <w:pPr>
        <w:keepNext w:val="0"/>
        <w:keepLines w:val="0"/>
        <w:pageBreakBefore w:val="0"/>
        <w:numPr>
          <w:ilvl w:val="0"/>
          <w:numId w:val="0"/>
        </w:numPr>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2、如由于承包人原因无故不履行合同的，建设单位将通知行政主管部门对其单位进行相应的处罚或者记录单位不良行为。</w:t>
      </w:r>
    </w:p>
    <w:p w14:paraId="1CFFCF65">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7.6 不利物质条件</w:t>
      </w:r>
    </w:p>
    <w:p w14:paraId="1A026071">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不利物质条件的其他情形和有关约定：</w:t>
      </w:r>
      <w:r>
        <w:rPr>
          <w:rFonts w:hint="eastAsia" w:ascii="宋体" w:hAnsi="宋体" w:eastAsia="宋体" w:cs="宋体"/>
          <w:b/>
          <w:bCs/>
          <w:color w:val="auto"/>
          <w:sz w:val="24"/>
          <w:szCs w:val="24"/>
          <w:highlight w:val="none"/>
          <w:u w:val="single"/>
        </w:rPr>
        <w:t>执行通用条款7.6条，无其它约定</w:t>
      </w:r>
      <w:r>
        <w:rPr>
          <w:rFonts w:hint="eastAsia" w:ascii="宋体" w:hAnsi="宋体" w:eastAsia="宋体" w:cs="宋体"/>
          <w:b/>
          <w:bCs/>
          <w:color w:val="auto"/>
          <w:sz w:val="24"/>
          <w:szCs w:val="24"/>
          <w:highlight w:val="none"/>
          <w:u w:val="single"/>
        </w:rPr>
        <w:t>。</w:t>
      </w:r>
    </w:p>
    <w:p w14:paraId="186E3813">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7.7异常恶劣的气候条件</w:t>
      </w:r>
    </w:p>
    <w:p w14:paraId="07ACC8C1">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发包人和承包人同意以下情形视为异常恶劣的气候条件：</w:t>
      </w:r>
    </w:p>
    <w:p w14:paraId="7AFAD5BD">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u w:val="single"/>
        </w:rPr>
        <w:t>气温低于零下5度的连续降温；</w:t>
      </w:r>
    </w:p>
    <w:p w14:paraId="6F0A04DF">
      <w:pPr>
        <w:pStyle w:val="33"/>
        <w:keepNext w:val="0"/>
        <w:keepLines w:val="0"/>
        <w:pageBreakBefore w:val="0"/>
        <w:kinsoku/>
        <w:wordWrap/>
        <w:overflowPunct/>
        <w:topLinePunct w:val="0"/>
        <w:bidi w:val="0"/>
        <w:spacing w:before="0" w:after="0" w:line="312" w:lineRule="auto"/>
        <w:ind w:left="0" w:right="26" w:firstLine="460" w:firstLineChars="192"/>
        <w:textAlignment w:val="auto"/>
        <w:rPr>
          <w:rFonts w:hint="eastAsia" w:ascii="宋体" w:hAnsi="宋体" w:eastAsia="宋体" w:cs="宋体"/>
          <w:color w:val="auto"/>
          <w:kern w:val="2"/>
          <w:szCs w:val="24"/>
          <w:highlight w:val="none"/>
          <w:u w:val="single"/>
        </w:rPr>
      </w:pPr>
      <w:r>
        <w:rPr>
          <w:rFonts w:hint="eastAsia" w:ascii="宋体" w:hAnsi="宋体" w:eastAsia="宋体" w:cs="宋体"/>
          <w:color w:val="auto"/>
          <w:kern w:val="2"/>
          <w:szCs w:val="24"/>
          <w:highlight w:val="none"/>
        </w:rPr>
        <w:t>（2）</w:t>
      </w:r>
      <w:r>
        <w:rPr>
          <w:rFonts w:hint="eastAsia" w:ascii="宋体" w:hAnsi="宋体" w:eastAsia="宋体" w:cs="宋体"/>
          <w:color w:val="auto"/>
          <w:kern w:val="2"/>
          <w:szCs w:val="24"/>
          <w:highlight w:val="none"/>
          <w:u w:val="single"/>
        </w:rPr>
        <w:t>6级以上大风 ；</w:t>
      </w:r>
    </w:p>
    <w:p w14:paraId="2B29C206">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u w:val="single"/>
        </w:rPr>
        <w:t>6小时内降雨量将达50毫米以上，或者已达50毫米以上且降雨可能持续。</w:t>
      </w:r>
    </w:p>
    <w:p w14:paraId="2AB2D001">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7.9 提前竣工的奖励</w:t>
      </w:r>
    </w:p>
    <w:p w14:paraId="13319924">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7.9.2提前竣工的奖励：</w:t>
      </w:r>
      <w:r>
        <w:rPr>
          <w:rFonts w:hint="eastAsia" w:ascii="宋体" w:hAnsi="宋体" w:eastAsia="宋体" w:cs="宋体"/>
          <w:color w:val="auto"/>
          <w:sz w:val="24"/>
          <w:szCs w:val="24"/>
          <w:highlight w:val="none"/>
          <w:u w:val="single"/>
        </w:rPr>
        <w:t>无。</w:t>
      </w:r>
    </w:p>
    <w:p w14:paraId="3365B46A">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 材料与设备</w:t>
      </w:r>
    </w:p>
    <w:p w14:paraId="4701E4EB">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8.4材料与工程设备的保管与使用</w:t>
      </w:r>
    </w:p>
    <w:p w14:paraId="0555FC44">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8.4.1发包人供应的材料设备的保管费用的承担：</w:t>
      </w:r>
      <w:r>
        <w:rPr>
          <w:rFonts w:hint="eastAsia" w:ascii="宋体" w:hAnsi="宋体" w:eastAsia="宋体" w:cs="宋体"/>
          <w:color w:val="auto"/>
          <w:sz w:val="24"/>
          <w:szCs w:val="24"/>
          <w:highlight w:val="none"/>
          <w:u w:val="single"/>
        </w:rPr>
        <w:t>包含在投标报价中 。</w:t>
      </w:r>
    </w:p>
    <w:p w14:paraId="0665AC95">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8.6 样品</w:t>
      </w:r>
    </w:p>
    <w:p w14:paraId="417F22B8">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8.6.1</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样品的报送与封存</w:t>
      </w:r>
    </w:p>
    <w:p w14:paraId="4A5CCAF3">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需要承包人报送样品的材料或工程设备，样品的种类、名称、规格、数量要求：</w:t>
      </w:r>
      <w:r>
        <w:rPr>
          <w:rFonts w:hint="eastAsia" w:ascii="宋体" w:hAnsi="宋体" w:eastAsia="宋体" w:cs="宋体"/>
          <w:b/>
          <w:bCs/>
          <w:color w:val="auto"/>
          <w:sz w:val="24"/>
          <w:szCs w:val="24"/>
          <w:highlight w:val="none"/>
          <w:u w:val="single"/>
        </w:rPr>
        <w:t>执行通用条款8.6.1，</w:t>
      </w:r>
      <w:r>
        <w:rPr>
          <w:rFonts w:hint="eastAsia" w:ascii="宋体" w:hAnsi="宋体" w:eastAsia="宋体" w:cs="宋体"/>
          <w:b/>
          <w:color w:val="auto"/>
          <w:sz w:val="24"/>
          <w:szCs w:val="24"/>
          <w:highlight w:val="none"/>
          <w:u w:val="single"/>
        </w:rPr>
        <w:t>由承包人采购的材料、设备，承包人应在规定的时间内，按照工期进度计划向监理工程师报送材料、设备的使用计划，需要认价的材料、设备应提供达到合同或图纸规定质量要求的，类似档次的至少3个品牌，并提供参考市场价格。发包人在收到承包人的材料报价单后在48小时内给予确认，逾期视为认可</w:t>
      </w:r>
      <w:r>
        <w:rPr>
          <w:rFonts w:hint="eastAsia" w:ascii="宋体" w:hAnsi="宋体" w:eastAsia="宋体" w:cs="宋体"/>
          <w:color w:val="auto"/>
          <w:sz w:val="24"/>
          <w:szCs w:val="24"/>
          <w:highlight w:val="none"/>
          <w:u w:val="single"/>
        </w:rPr>
        <w:t>。</w:t>
      </w:r>
    </w:p>
    <w:p w14:paraId="06291889">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8.8 施工设备和临时设施</w:t>
      </w:r>
    </w:p>
    <w:p w14:paraId="083A77E7">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8.8.1 承包人提供的施工设备和临时设施</w:t>
      </w:r>
    </w:p>
    <w:p w14:paraId="29CCA04B">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b/>
          <w:color w:val="auto"/>
          <w:sz w:val="24"/>
          <w:szCs w:val="24"/>
          <w:highlight w:val="none"/>
          <w:u w:val="single"/>
        </w:rPr>
      </w:pPr>
      <w:r>
        <w:rPr>
          <w:rFonts w:hint="eastAsia" w:ascii="宋体" w:hAnsi="宋体" w:eastAsia="宋体" w:cs="宋体"/>
          <w:color w:val="auto"/>
          <w:sz w:val="24"/>
          <w:szCs w:val="24"/>
          <w:highlight w:val="none"/>
        </w:rPr>
        <w:t>关于修建临时设施费用承担的约定：</w:t>
      </w:r>
      <w:r>
        <w:rPr>
          <w:rFonts w:hint="eastAsia" w:ascii="宋体" w:hAnsi="宋体" w:eastAsia="宋体" w:cs="宋体"/>
          <w:b/>
          <w:bCs/>
          <w:color w:val="auto"/>
          <w:sz w:val="24"/>
          <w:szCs w:val="24"/>
          <w:highlight w:val="none"/>
          <w:u w:val="single"/>
        </w:rPr>
        <w:t>（1）施工现场建筑红线内工程施工需要的临时宿舍、仓库、办公室、主要道路、水、电、管线等临时设施的搭设、维护、拆除的费用由承包人承担，承包人按规定计取临时设施费用；（2）建筑红线内、外道路及周围民居的安全防护搭设和高压线安全防护费用已考虑在投标报价中，发生安全事故的由承包人自行承担。</w:t>
      </w:r>
    </w:p>
    <w:p w14:paraId="1EE64A56">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 试验与检验</w:t>
      </w:r>
    </w:p>
    <w:p w14:paraId="4D83CAB3">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9.1试验设备与试验人员</w:t>
      </w:r>
    </w:p>
    <w:p w14:paraId="1DB45E88">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9.1.2 试验设备</w:t>
      </w:r>
    </w:p>
    <w:p w14:paraId="0847ED30">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施工现场需要配置的试验场所：</w:t>
      </w:r>
      <w:r>
        <w:rPr>
          <w:rFonts w:hint="eastAsia" w:ascii="宋体" w:hAnsi="宋体" w:eastAsia="宋体" w:cs="宋体"/>
          <w:color w:val="auto"/>
          <w:sz w:val="24"/>
          <w:szCs w:val="24"/>
          <w:highlight w:val="none"/>
          <w:u w:val="single"/>
        </w:rPr>
        <w:t>／</w:t>
      </w:r>
    </w:p>
    <w:p w14:paraId="111CBBE7">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施工现场需要配备的试验设备：</w:t>
      </w:r>
      <w:r>
        <w:rPr>
          <w:rFonts w:hint="eastAsia" w:ascii="宋体" w:hAnsi="宋体" w:eastAsia="宋体" w:cs="宋体"/>
          <w:color w:val="auto"/>
          <w:sz w:val="24"/>
          <w:szCs w:val="24"/>
          <w:highlight w:val="none"/>
          <w:u w:val="single"/>
        </w:rPr>
        <w:t>／</w:t>
      </w:r>
    </w:p>
    <w:p w14:paraId="3B9342F3">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施工现场需要具备的其他试验条件：</w:t>
      </w:r>
      <w:r>
        <w:rPr>
          <w:rFonts w:hint="eastAsia" w:ascii="宋体" w:hAnsi="宋体" w:eastAsia="宋体" w:cs="宋体"/>
          <w:color w:val="auto"/>
          <w:sz w:val="24"/>
          <w:szCs w:val="24"/>
          <w:highlight w:val="none"/>
          <w:u w:val="single"/>
        </w:rPr>
        <w:t>／</w:t>
      </w:r>
    </w:p>
    <w:p w14:paraId="60A1017B">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9.4 现场工艺试验 </w:t>
      </w:r>
    </w:p>
    <w:p w14:paraId="3726A87F">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现场工艺试验的有关约定：</w:t>
      </w:r>
      <w:r>
        <w:rPr>
          <w:rFonts w:hint="eastAsia" w:ascii="宋体" w:hAnsi="宋体" w:eastAsia="宋体" w:cs="宋体"/>
          <w:color w:val="auto"/>
          <w:sz w:val="24"/>
          <w:szCs w:val="24"/>
          <w:highlight w:val="none"/>
          <w:u w:val="single"/>
        </w:rPr>
        <w:t>／</w:t>
      </w:r>
    </w:p>
    <w:p w14:paraId="73A85A27">
      <w:pPr>
        <w:keepNext w:val="0"/>
        <w:keepLines w:val="0"/>
        <w:pageBreakBefore w:val="0"/>
        <w:kinsoku/>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 变更</w:t>
      </w:r>
    </w:p>
    <w:p w14:paraId="1A028D50">
      <w:pPr>
        <w:keepNext w:val="0"/>
        <w:keepLines w:val="0"/>
        <w:pageBreakBefore w:val="0"/>
        <w:kinsoku/>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10.1变更的范围</w:t>
      </w:r>
    </w:p>
    <w:p w14:paraId="18F73CEF">
      <w:pPr>
        <w:keepNext w:val="0"/>
        <w:keepLines w:val="0"/>
        <w:pageBreakBefore w:val="0"/>
        <w:kinsoku/>
        <w:overflowPunct/>
        <w:topLinePunct w:val="0"/>
        <w:bidi w:val="0"/>
        <w:spacing w:line="312" w:lineRule="auto"/>
        <w:ind w:firstLine="480" w:firstLineChars="200"/>
        <w:jc w:val="left"/>
        <w:textAlignment w:val="auto"/>
        <w:rPr>
          <w:rFonts w:hint="eastAsia" w:ascii="宋体" w:hAnsi="宋体" w:eastAsia="宋体" w:cs="宋体"/>
          <w:b/>
          <w:bCs/>
          <w:color w:val="auto"/>
          <w:sz w:val="24"/>
          <w:szCs w:val="24"/>
          <w:highlight w:val="none"/>
          <w:u w:val="single"/>
        </w:rPr>
      </w:pPr>
      <w:r>
        <w:rPr>
          <w:rFonts w:hint="eastAsia" w:ascii="宋体" w:hAnsi="宋体" w:eastAsia="宋体" w:cs="宋体"/>
          <w:color w:val="auto"/>
          <w:sz w:val="24"/>
          <w:szCs w:val="24"/>
          <w:highlight w:val="none"/>
        </w:rPr>
        <w:t>关于变更的范围的约定：</w:t>
      </w:r>
      <w:r>
        <w:rPr>
          <w:rFonts w:hint="eastAsia" w:ascii="宋体" w:hAnsi="宋体" w:eastAsia="宋体" w:cs="宋体"/>
          <w:b/>
          <w:bCs/>
          <w:color w:val="auto"/>
          <w:sz w:val="24"/>
          <w:szCs w:val="24"/>
          <w:highlight w:val="none"/>
          <w:u w:val="single"/>
        </w:rPr>
        <w:t>（1）执行通用条款10.1条，超出10.1条范围的现场变更，双方商定，现场办理签证。（2）工程联系单、设计变更等工程量及费用签证的结算方式同合同专用条款12.1条约定，结算时并入总造价。</w:t>
      </w:r>
    </w:p>
    <w:p w14:paraId="4D22DFAC">
      <w:pPr>
        <w:keepNext w:val="0"/>
        <w:keepLines w:val="0"/>
        <w:pageBreakBefore w:val="0"/>
        <w:kinsoku/>
        <w:overflowPunct/>
        <w:topLinePunct w:val="0"/>
        <w:bidi w:val="0"/>
        <w:spacing w:line="312" w:lineRule="auto"/>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u w:val="single"/>
        </w:rPr>
        <w:t>10.4 变更估价</w:t>
      </w:r>
    </w:p>
    <w:p w14:paraId="09CF5EEA">
      <w:pPr>
        <w:keepNext w:val="0"/>
        <w:keepLines w:val="0"/>
        <w:pageBreakBefore w:val="0"/>
        <w:kinsoku/>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10.4.1 变更估价原则</w:t>
      </w:r>
    </w:p>
    <w:p w14:paraId="1F499D7C">
      <w:pPr>
        <w:keepNext w:val="0"/>
        <w:keepLines w:val="0"/>
        <w:pageBreakBefore w:val="0"/>
        <w:widowControl w:val="0"/>
        <w:kinsoku/>
        <w:wordWrap/>
        <w:overflowPunct/>
        <w:topLinePunct w:val="0"/>
        <w:autoSpaceDE/>
        <w:autoSpaceDN/>
        <w:bidi w:val="0"/>
        <w:adjustRightInd/>
        <w:spacing w:line="312" w:lineRule="auto"/>
        <w:ind w:left="0" w:leftChars="0" w:right="0" w:firstLine="480" w:firstLineChars="200"/>
        <w:contextualSpacing/>
        <w:jc w:val="both"/>
        <w:textAlignment w:val="auto"/>
        <w:rPr>
          <w:rFonts w:ascii="宋体" w:hAnsi="宋体"/>
          <w:color w:val="auto"/>
          <w:kern w:val="2"/>
          <w:sz w:val="24"/>
          <w:szCs w:val="24"/>
          <w:highlight w:val="none"/>
          <w:u w:val="single"/>
        </w:rPr>
      </w:pPr>
      <w:r>
        <w:rPr>
          <w:rFonts w:ascii="宋体" w:hAnsi="宋体"/>
          <w:color w:val="auto"/>
          <w:kern w:val="2"/>
          <w:sz w:val="24"/>
          <w:szCs w:val="24"/>
          <w:highlight w:val="none"/>
        </w:rPr>
        <w:t>关于变更估价的约定</w:t>
      </w:r>
      <w:r>
        <w:rPr>
          <w:rFonts w:hint="eastAsia" w:ascii="宋体" w:hAnsi="宋体"/>
          <w:color w:val="auto"/>
          <w:kern w:val="2"/>
          <w:sz w:val="24"/>
          <w:szCs w:val="24"/>
          <w:highlight w:val="none"/>
        </w:rPr>
        <w:t>：</w:t>
      </w:r>
      <w:r>
        <w:rPr>
          <w:rFonts w:hint="eastAsia" w:ascii="宋体" w:hAnsi="宋体"/>
          <w:color w:val="auto"/>
          <w:kern w:val="2"/>
          <w:sz w:val="24"/>
          <w:szCs w:val="24"/>
          <w:highlight w:val="none"/>
          <w:u w:val="single"/>
        </w:rPr>
        <w:t>分部分项工程清单与计价表和施工技术措施项目清单与计价表中工程量按照竣工图结合变更联系单并按照《建设工程工程量清单计价规范》（GB50500-2013）、《市政工程工程量计算规范》GB50857-2013</w:t>
      </w:r>
      <w:r>
        <w:rPr>
          <w:rFonts w:hint="eastAsia" w:ascii="宋体" w:hAnsi="宋体"/>
          <w:color w:val="auto"/>
          <w:kern w:val="2"/>
          <w:sz w:val="24"/>
          <w:szCs w:val="24"/>
          <w:highlight w:val="none"/>
          <w:u w:val="single"/>
          <w:lang w:eastAsia="zh-CN"/>
        </w:rPr>
        <w:t>、</w:t>
      </w:r>
      <w:r>
        <w:rPr>
          <w:rFonts w:hint="eastAsia" w:ascii="宋体" w:hAnsi="宋体"/>
          <w:color w:val="auto"/>
          <w:kern w:val="2"/>
          <w:sz w:val="24"/>
          <w:szCs w:val="24"/>
          <w:highlight w:val="none"/>
          <w:u w:val="single"/>
        </w:rPr>
        <w:t xml:space="preserve">《浙江省建设工程计价规则》（2018版）规定计算。 </w:t>
      </w:r>
    </w:p>
    <w:p w14:paraId="152B9822">
      <w:pPr>
        <w:keepNext w:val="0"/>
        <w:keepLines w:val="0"/>
        <w:pageBreakBefore w:val="0"/>
        <w:widowControl w:val="0"/>
        <w:tabs>
          <w:tab w:val="left" w:pos="360"/>
        </w:tabs>
        <w:kinsoku/>
        <w:wordWrap/>
        <w:overflowPunct/>
        <w:topLinePunct w:val="0"/>
        <w:autoSpaceDE/>
        <w:autoSpaceDN/>
        <w:bidi w:val="0"/>
        <w:adjustRightInd/>
        <w:snapToGrid w:val="0"/>
        <w:spacing w:line="312" w:lineRule="auto"/>
        <w:ind w:left="0" w:leftChars="0" w:right="0" w:firstLine="480" w:firstLineChars="200"/>
        <w:contextualSpacing/>
        <w:jc w:val="both"/>
        <w:textAlignment w:val="auto"/>
        <w:rPr>
          <w:rFonts w:ascii="宋体" w:hAnsi="宋体"/>
          <w:color w:val="auto"/>
          <w:kern w:val="2"/>
          <w:sz w:val="24"/>
          <w:szCs w:val="24"/>
          <w:highlight w:val="none"/>
          <w:u w:val="single"/>
        </w:rPr>
      </w:pPr>
      <w:r>
        <w:rPr>
          <w:rFonts w:hint="eastAsia" w:ascii="宋体" w:hAnsi="宋体"/>
          <w:color w:val="auto"/>
          <w:kern w:val="2"/>
          <w:sz w:val="24"/>
          <w:szCs w:val="24"/>
          <w:highlight w:val="none"/>
          <w:u w:val="single"/>
        </w:rPr>
        <w:t>以上综合单价具体调整方法如下：</w:t>
      </w:r>
    </w:p>
    <w:p w14:paraId="0E09A164">
      <w:pPr>
        <w:keepNext w:val="0"/>
        <w:keepLines w:val="0"/>
        <w:pageBreakBefore w:val="0"/>
        <w:widowControl w:val="0"/>
        <w:tabs>
          <w:tab w:val="left" w:pos="360"/>
        </w:tabs>
        <w:kinsoku/>
        <w:wordWrap/>
        <w:overflowPunct/>
        <w:topLinePunct w:val="0"/>
        <w:autoSpaceDE/>
        <w:autoSpaceDN/>
        <w:bidi w:val="0"/>
        <w:adjustRightInd/>
        <w:snapToGrid w:val="0"/>
        <w:spacing w:line="312" w:lineRule="auto"/>
        <w:ind w:left="0" w:leftChars="0" w:right="0" w:firstLine="480" w:firstLineChars="200"/>
        <w:contextualSpacing/>
        <w:jc w:val="both"/>
        <w:textAlignment w:val="auto"/>
        <w:rPr>
          <w:rFonts w:ascii="宋体" w:hAnsi="宋体"/>
          <w:color w:val="auto"/>
          <w:kern w:val="2"/>
          <w:sz w:val="24"/>
          <w:szCs w:val="24"/>
          <w:highlight w:val="none"/>
          <w:u w:val="single"/>
        </w:rPr>
      </w:pPr>
      <w:r>
        <w:rPr>
          <w:rFonts w:ascii="宋体" w:hAnsi="宋体"/>
          <w:color w:val="auto"/>
          <w:kern w:val="2"/>
          <w:sz w:val="24"/>
          <w:szCs w:val="24"/>
          <w:highlight w:val="none"/>
          <w:u w:val="single"/>
        </w:rPr>
        <w:t>①合同中已有适用的价格，按合同已有的价格。</w:t>
      </w:r>
      <w:r>
        <w:rPr>
          <w:rFonts w:hint="eastAsia" w:ascii="宋体" w:hAnsi="宋体"/>
          <w:color w:val="auto"/>
          <w:kern w:val="2"/>
          <w:sz w:val="24"/>
          <w:szCs w:val="24"/>
          <w:highlight w:val="none"/>
          <w:u w:val="single"/>
        </w:rPr>
        <w:t>但合价金额占合同总价2%及以上的分部分项清单项目，其工程量增加或减少超过本项工程数量15%及以上时，或合价金额占合同总价不到2%的分部分项清单项目，但其工程量增加或减少超过本项工程数量25%及以上时，其增加部分工程量单价按投标价的95%计取；减少后剩余部分工程量的单价按投标价的105%计取。</w:t>
      </w:r>
    </w:p>
    <w:p w14:paraId="037448C2">
      <w:pPr>
        <w:keepNext w:val="0"/>
        <w:keepLines w:val="0"/>
        <w:pageBreakBefore w:val="0"/>
        <w:widowControl w:val="0"/>
        <w:tabs>
          <w:tab w:val="left" w:pos="360"/>
        </w:tabs>
        <w:kinsoku/>
        <w:wordWrap/>
        <w:overflowPunct/>
        <w:topLinePunct w:val="0"/>
        <w:autoSpaceDE/>
        <w:autoSpaceDN/>
        <w:bidi w:val="0"/>
        <w:adjustRightInd/>
        <w:snapToGrid w:val="0"/>
        <w:spacing w:line="312" w:lineRule="auto"/>
        <w:ind w:left="0" w:leftChars="0" w:right="0" w:firstLine="480" w:firstLineChars="200"/>
        <w:contextualSpacing/>
        <w:jc w:val="both"/>
        <w:textAlignment w:val="auto"/>
        <w:rPr>
          <w:rFonts w:ascii="宋体" w:hAnsi="宋体"/>
          <w:color w:val="auto"/>
          <w:kern w:val="2"/>
          <w:sz w:val="24"/>
          <w:szCs w:val="24"/>
          <w:highlight w:val="none"/>
          <w:u w:val="single"/>
        </w:rPr>
      </w:pPr>
      <w:r>
        <w:rPr>
          <w:rFonts w:ascii="宋体" w:hAnsi="宋体"/>
          <w:color w:val="auto"/>
          <w:kern w:val="2"/>
          <w:sz w:val="24"/>
          <w:szCs w:val="24"/>
          <w:highlight w:val="none"/>
          <w:u w:val="single"/>
        </w:rPr>
        <w:t>②合同中</w:t>
      </w:r>
      <w:r>
        <w:rPr>
          <w:rFonts w:hint="eastAsia" w:ascii="宋体" w:hAnsi="宋体"/>
          <w:color w:val="auto"/>
          <w:kern w:val="2"/>
          <w:sz w:val="24"/>
          <w:szCs w:val="24"/>
          <w:highlight w:val="none"/>
          <w:u w:val="single"/>
        </w:rPr>
        <w:t>没有适用的综合单价，但有类似的工程项目综合单价，可参照类似工程项目综合单价计算确定：A、某种材料（或半成品及成品）等级、标准变化的，清单组合子目不变，仅调整不同的材料市场价格之差；B、清单项目组合内容中某一个（或多个）定额子目发生变化，不影响其他特征及工程内容价格的，仅调整发生变化的定额子目价格。</w:t>
      </w:r>
    </w:p>
    <w:p w14:paraId="3437B79F">
      <w:pPr>
        <w:keepNext w:val="0"/>
        <w:keepLines w:val="0"/>
        <w:pageBreakBefore w:val="0"/>
        <w:widowControl w:val="0"/>
        <w:tabs>
          <w:tab w:val="left" w:pos="360"/>
        </w:tabs>
        <w:kinsoku/>
        <w:wordWrap/>
        <w:overflowPunct/>
        <w:topLinePunct w:val="0"/>
        <w:autoSpaceDE/>
        <w:autoSpaceDN/>
        <w:bidi w:val="0"/>
        <w:adjustRightInd/>
        <w:snapToGrid w:val="0"/>
        <w:spacing w:line="312" w:lineRule="auto"/>
        <w:ind w:left="0" w:leftChars="0" w:right="0" w:firstLine="480" w:firstLineChars="200"/>
        <w:contextualSpacing/>
        <w:jc w:val="both"/>
        <w:textAlignment w:val="auto"/>
        <w:rPr>
          <w:rFonts w:ascii="宋体" w:hAnsi="宋体"/>
          <w:color w:val="auto"/>
          <w:kern w:val="2"/>
          <w:sz w:val="24"/>
          <w:szCs w:val="24"/>
          <w:highlight w:val="none"/>
          <w:u w:val="single"/>
        </w:rPr>
      </w:pPr>
      <w:r>
        <w:rPr>
          <w:rFonts w:ascii="宋体" w:hAnsi="宋体"/>
          <w:color w:val="auto"/>
          <w:kern w:val="2"/>
          <w:sz w:val="24"/>
          <w:szCs w:val="24"/>
          <w:highlight w:val="none"/>
          <w:u w:val="single"/>
        </w:rPr>
        <w:t>③</w:t>
      </w:r>
      <w:r>
        <w:rPr>
          <w:rFonts w:hint="eastAsia" w:ascii="宋体" w:hAnsi="宋体"/>
          <w:color w:val="auto"/>
          <w:kern w:val="2"/>
          <w:sz w:val="24"/>
          <w:szCs w:val="24"/>
          <w:highlight w:val="none"/>
          <w:u w:val="single"/>
        </w:rPr>
        <w:t>合同中没有适用的综合单价，则依据合同约定编制依据、组价原则和承包人投标报价</w:t>
      </w:r>
      <w:r>
        <w:rPr>
          <w:rFonts w:hint="eastAsia" w:ascii="宋体" w:hAnsi="宋体"/>
          <w:color w:val="auto"/>
          <w:kern w:val="2"/>
          <w:sz w:val="24"/>
          <w:szCs w:val="24"/>
          <w:highlight w:val="none"/>
          <w:u w:val="single"/>
          <w:lang w:val="en-US" w:eastAsia="zh-CN"/>
        </w:rPr>
        <w:t>相对标准预算价的</w:t>
      </w:r>
      <w:r>
        <w:rPr>
          <w:rFonts w:hint="eastAsia" w:ascii="宋体" w:hAnsi="宋体"/>
          <w:color w:val="auto"/>
          <w:kern w:val="2"/>
          <w:sz w:val="24"/>
          <w:szCs w:val="24"/>
          <w:highlight w:val="none"/>
          <w:u w:val="single"/>
        </w:rPr>
        <w:t>浮动率，提出适当的单价，经发包人确认后执行。</w:t>
      </w:r>
    </w:p>
    <w:p w14:paraId="1059F21B">
      <w:pPr>
        <w:keepNext w:val="0"/>
        <w:keepLines w:val="0"/>
        <w:pageBreakBefore w:val="0"/>
        <w:widowControl w:val="0"/>
        <w:tabs>
          <w:tab w:val="left" w:pos="0"/>
        </w:tabs>
        <w:kinsoku/>
        <w:wordWrap/>
        <w:overflowPunct/>
        <w:topLinePunct w:val="0"/>
        <w:autoSpaceDE/>
        <w:autoSpaceDN/>
        <w:bidi w:val="0"/>
        <w:adjustRightInd/>
        <w:spacing w:line="312" w:lineRule="auto"/>
        <w:ind w:left="0" w:leftChars="0" w:right="0" w:firstLine="480" w:firstLineChars="200"/>
        <w:contextualSpacing/>
        <w:jc w:val="both"/>
        <w:textAlignment w:val="auto"/>
        <w:rPr>
          <w:rFonts w:ascii="宋体" w:hAnsi="宋体"/>
          <w:color w:val="auto"/>
          <w:kern w:val="2"/>
          <w:sz w:val="24"/>
          <w:szCs w:val="24"/>
          <w:highlight w:val="none"/>
          <w:u w:val="single"/>
        </w:rPr>
      </w:pPr>
      <w:r>
        <w:rPr>
          <w:rFonts w:hint="eastAsia" w:ascii="宋体" w:hAnsi="宋体"/>
          <w:color w:val="auto"/>
          <w:kern w:val="2"/>
          <w:sz w:val="24"/>
          <w:szCs w:val="24"/>
          <w:highlight w:val="none"/>
          <w:u w:val="single"/>
        </w:rPr>
        <w:t>④投标综合单价异常的处理：</w:t>
      </w:r>
    </w:p>
    <w:p w14:paraId="2421BB84">
      <w:pPr>
        <w:keepNext w:val="0"/>
        <w:keepLines w:val="0"/>
        <w:pageBreakBefore w:val="0"/>
        <w:widowControl w:val="0"/>
        <w:tabs>
          <w:tab w:val="left" w:pos="0"/>
        </w:tabs>
        <w:kinsoku/>
        <w:wordWrap/>
        <w:overflowPunct/>
        <w:topLinePunct w:val="0"/>
        <w:autoSpaceDE/>
        <w:autoSpaceDN/>
        <w:bidi w:val="0"/>
        <w:adjustRightInd/>
        <w:spacing w:line="312" w:lineRule="auto"/>
        <w:ind w:left="0" w:leftChars="0" w:right="0" w:firstLine="480" w:firstLineChars="200"/>
        <w:contextualSpacing/>
        <w:jc w:val="both"/>
        <w:textAlignment w:val="auto"/>
        <w:rPr>
          <w:rFonts w:ascii="宋体" w:hAnsi="宋体"/>
          <w:color w:val="auto"/>
          <w:kern w:val="2"/>
          <w:sz w:val="24"/>
          <w:szCs w:val="24"/>
          <w:highlight w:val="none"/>
          <w:u w:val="single"/>
        </w:rPr>
      </w:pPr>
      <w:r>
        <w:rPr>
          <w:rFonts w:hint="eastAsia" w:ascii="宋体" w:hAnsi="宋体"/>
          <w:color w:val="auto"/>
          <w:kern w:val="2"/>
          <w:sz w:val="24"/>
          <w:szCs w:val="24"/>
          <w:highlight w:val="none"/>
          <w:u w:val="single"/>
        </w:rPr>
        <w:t>（1）投标综合单价遇下列情况，应对其异常性进行判定：A、投标综合单价与按合同约定的计价依据计算的综合单价偏差±30%以上；B、虽然综合单价正常，但组成综合单价的人、材、机消耗量或单价与按合同约定计价依据计算的人、材、机消耗量或单价相比偏差±30%以上；</w:t>
      </w:r>
    </w:p>
    <w:p w14:paraId="6F29FA4C">
      <w:pPr>
        <w:keepNext w:val="0"/>
        <w:keepLines w:val="0"/>
        <w:pageBreakBefore w:val="0"/>
        <w:widowControl w:val="0"/>
        <w:tabs>
          <w:tab w:val="left" w:pos="0"/>
        </w:tabs>
        <w:kinsoku/>
        <w:wordWrap/>
        <w:overflowPunct/>
        <w:topLinePunct w:val="0"/>
        <w:autoSpaceDE/>
        <w:autoSpaceDN/>
        <w:bidi w:val="0"/>
        <w:adjustRightInd/>
        <w:spacing w:line="312" w:lineRule="auto"/>
        <w:ind w:left="0" w:leftChars="0" w:right="0" w:firstLine="480" w:firstLineChars="200"/>
        <w:contextualSpacing/>
        <w:jc w:val="both"/>
        <w:textAlignment w:val="auto"/>
        <w:rPr>
          <w:rFonts w:ascii="宋体" w:hAnsi="宋体"/>
          <w:color w:val="auto"/>
          <w:kern w:val="2"/>
          <w:sz w:val="24"/>
          <w:szCs w:val="24"/>
          <w:highlight w:val="none"/>
          <w:u w:val="single"/>
        </w:rPr>
      </w:pPr>
      <w:r>
        <w:rPr>
          <w:rFonts w:hint="eastAsia" w:ascii="宋体" w:hAnsi="宋体"/>
          <w:color w:val="auto"/>
          <w:kern w:val="2"/>
          <w:sz w:val="24"/>
          <w:szCs w:val="24"/>
          <w:highlight w:val="none"/>
          <w:u w:val="single"/>
        </w:rPr>
        <w:t>（2）综合单价异常且工程量增减超过本项工程量15%以上的，按下列原则处理：A、工程量增加超过本项工程量15%以内的，按原综合单价计算，增加超过15%以外部分工程量，按以上第</w:t>
      </w:r>
      <w:r>
        <w:rPr>
          <w:rFonts w:ascii="宋体" w:hAnsi="宋体"/>
          <w:color w:val="auto"/>
          <w:kern w:val="2"/>
          <w:sz w:val="24"/>
          <w:szCs w:val="24"/>
          <w:highlight w:val="none"/>
          <w:u w:val="single"/>
        </w:rPr>
        <w:t>③</w:t>
      </w:r>
      <w:r>
        <w:rPr>
          <w:rFonts w:hint="eastAsia" w:ascii="宋体" w:hAnsi="宋体"/>
          <w:color w:val="auto"/>
          <w:kern w:val="2"/>
          <w:sz w:val="24"/>
          <w:szCs w:val="24"/>
          <w:highlight w:val="none"/>
          <w:u w:val="single"/>
        </w:rPr>
        <w:t>条重新确定综合单价，计算合价；B、工程量减少超过本项工程量15%以内的，按原综合单价在该项目合价中扣除，减少超过15%以外部分工程量，按以上第</w:t>
      </w:r>
      <w:r>
        <w:rPr>
          <w:rFonts w:ascii="宋体" w:hAnsi="宋体"/>
          <w:color w:val="auto"/>
          <w:kern w:val="2"/>
          <w:sz w:val="24"/>
          <w:szCs w:val="24"/>
          <w:highlight w:val="none"/>
          <w:u w:val="single"/>
        </w:rPr>
        <w:t>③</w:t>
      </w:r>
      <w:r>
        <w:rPr>
          <w:rFonts w:hint="eastAsia" w:ascii="宋体" w:hAnsi="宋体"/>
          <w:color w:val="auto"/>
          <w:kern w:val="2"/>
          <w:sz w:val="24"/>
          <w:szCs w:val="24"/>
          <w:highlight w:val="none"/>
          <w:u w:val="single"/>
        </w:rPr>
        <w:t>条重新确定综合单价，计算合价后，在该项目合价中扣除。</w:t>
      </w:r>
    </w:p>
    <w:p w14:paraId="28A154E5">
      <w:pPr>
        <w:keepNext w:val="0"/>
        <w:keepLines w:val="0"/>
        <w:pageBreakBefore w:val="0"/>
        <w:widowControl w:val="0"/>
        <w:tabs>
          <w:tab w:val="left" w:pos="0"/>
        </w:tabs>
        <w:kinsoku/>
        <w:wordWrap/>
        <w:overflowPunct/>
        <w:topLinePunct w:val="0"/>
        <w:autoSpaceDE/>
        <w:autoSpaceDN/>
        <w:bidi w:val="0"/>
        <w:adjustRightInd/>
        <w:spacing w:line="312" w:lineRule="auto"/>
        <w:ind w:left="0" w:leftChars="0" w:right="0" w:firstLine="480" w:firstLineChars="200"/>
        <w:contextualSpacing/>
        <w:jc w:val="both"/>
        <w:textAlignment w:val="auto"/>
        <w:rPr>
          <w:rFonts w:ascii="宋体" w:hAnsi="宋体"/>
          <w:color w:val="auto"/>
          <w:kern w:val="2"/>
          <w:sz w:val="24"/>
          <w:szCs w:val="24"/>
          <w:highlight w:val="none"/>
        </w:rPr>
      </w:pPr>
      <w:r>
        <w:rPr>
          <w:rFonts w:hint="eastAsia" w:ascii="宋体" w:hAnsi="宋体"/>
          <w:color w:val="auto"/>
          <w:kern w:val="2"/>
          <w:sz w:val="24"/>
          <w:szCs w:val="24"/>
          <w:highlight w:val="none"/>
          <w:u w:val="single"/>
        </w:rPr>
        <w:t>⑤施工组织(总价)措施项目清单与计价表价格包干，工程结算不作调整。</w:t>
      </w:r>
    </w:p>
    <w:p w14:paraId="694BCAD1">
      <w:pPr>
        <w:keepNext w:val="0"/>
        <w:keepLines w:val="0"/>
        <w:pageBreakBefore w:val="0"/>
        <w:widowControl w:val="0"/>
        <w:tabs>
          <w:tab w:val="left" w:pos="0"/>
        </w:tabs>
        <w:kinsoku/>
        <w:wordWrap/>
        <w:overflowPunct/>
        <w:topLinePunct w:val="0"/>
        <w:autoSpaceDE/>
        <w:autoSpaceDN/>
        <w:bidi w:val="0"/>
        <w:adjustRightInd/>
        <w:spacing w:line="312" w:lineRule="auto"/>
        <w:ind w:left="0" w:leftChars="0" w:right="0" w:firstLine="480" w:firstLineChars="200"/>
        <w:contextualSpacing/>
        <w:jc w:val="both"/>
        <w:textAlignment w:val="auto"/>
        <w:rPr>
          <w:rFonts w:ascii="宋体" w:hAnsi="宋体"/>
          <w:color w:val="auto"/>
          <w:kern w:val="2"/>
          <w:sz w:val="24"/>
          <w:szCs w:val="24"/>
          <w:highlight w:val="none"/>
          <w:u w:val="single"/>
        </w:rPr>
      </w:pPr>
      <w:r>
        <w:rPr>
          <w:rFonts w:hint="eastAsia" w:ascii="宋体" w:hAnsi="宋体"/>
          <w:color w:val="auto"/>
          <w:kern w:val="2"/>
          <w:sz w:val="24"/>
          <w:szCs w:val="24"/>
          <w:highlight w:val="none"/>
          <w:u w:val="single"/>
        </w:rPr>
        <w:t>⑥税金按规定计取，规费按规定计取。</w:t>
      </w:r>
    </w:p>
    <w:p w14:paraId="07BC2BC8">
      <w:pPr>
        <w:keepNext w:val="0"/>
        <w:keepLines w:val="0"/>
        <w:pageBreakBefore w:val="0"/>
        <w:numPr>
          <w:ilvl w:val="0"/>
          <w:numId w:val="0"/>
        </w:numPr>
        <w:kinsoku/>
        <w:wordWrap/>
        <w:overflowPunct/>
        <w:topLinePunct w:val="0"/>
        <w:bidi w:val="0"/>
        <w:spacing w:line="312" w:lineRule="auto"/>
        <w:ind w:left="483" w:lef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10.5承包人的合理化建议</w:t>
      </w:r>
    </w:p>
    <w:p w14:paraId="1FB0BEB4">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监理人审查承包人合理化建议的期限：</w:t>
      </w:r>
      <w:r>
        <w:rPr>
          <w:rFonts w:hint="eastAsia" w:ascii="宋体" w:hAnsi="宋体" w:eastAsia="宋体" w:cs="宋体"/>
          <w:b/>
          <w:bCs/>
          <w:color w:val="auto"/>
          <w:sz w:val="24"/>
          <w:szCs w:val="24"/>
          <w:highlight w:val="none"/>
          <w:u w:val="single"/>
        </w:rPr>
        <w:t>二个工作日</w:t>
      </w:r>
      <w:r>
        <w:rPr>
          <w:rFonts w:hint="eastAsia" w:ascii="宋体" w:hAnsi="宋体" w:eastAsia="宋体" w:cs="宋体"/>
          <w:color w:val="auto"/>
          <w:sz w:val="24"/>
          <w:szCs w:val="24"/>
          <w:highlight w:val="none"/>
        </w:rPr>
        <w:t>。</w:t>
      </w:r>
    </w:p>
    <w:p w14:paraId="35961D8D">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发包人审批承包人合理化建议的期限：</w:t>
      </w:r>
      <w:r>
        <w:rPr>
          <w:rFonts w:hint="eastAsia" w:ascii="宋体" w:hAnsi="宋体" w:eastAsia="宋体" w:cs="宋体"/>
          <w:b/>
          <w:bCs/>
          <w:color w:val="auto"/>
          <w:sz w:val="24"/>
          <w:szCs w:val="24"/>
          <w:highlight w:val="none"/>
          <w:u w:val="single"/>
        </w:rPr>
        <w:t>二个工作日</w:t>
      </w:r>
      <w:r>
        <w:rPr>
          <w:rFonts w:hint="eastAsia" w:ascii="宋体" w:hAnsi="宋体" w:eastAsia="宋体" w:cs="宋体"/>
          <w:color w:val="auto"/>
          <w:sz w:val="24"/>
          <w:szCs w:val="24"/>
          <w:highlight w:val="none"/>
        </w:rPr>
        <w:t>。</w:t>
      </w:r>
    </w:p>
    <w:p w14:paraId="2D33E07F">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承包人提出的合理化建议降低了合同价格或者提高了工程经济效益的奖励的方法和金额为：</w:t>
      </w:r>
      <w:r>
        <w:rPr>
          <w:rFonts w:hint="eastAsia" w:ascii="宋体" w:hAnsi="宋体" w:eastAsia="宋体" w:cs="宋体"/>
          <w:b/>
          <w:bCs/>
          <w:color w:val="auto"/>
          <w:sz w:val="24"/>
          <w:szCs w:val="24"/>
          <w:highlight w:val="none"/>
          <w:u w:val="single"/>
        </w:rPr>
        <w:t>承包人按照该建议施工发生的额外费用由发包人承担，降低的合同价或提高的经济效益由发包人受益</w:t>
      </w:r>
      <w:r>
        <w:rPr>
          <w:rFonts w:hint="eastAsia" w:ascii="宋体" w:hAnsi="宋体" w:eastAsia="宋体" w:cs="宋体"/>
          <w:color w:val="auto"/>
          <w:sz w:val="24"/>
          <w:szCs w:val="24"/>
          <w:highlight w:val="none"/>
          <w:u w:val="single"/>
        </w:rPr>
        <w:t>。</w:t>
      </w:r>
    </w:p>
    <w:p w14:paraId="7C3420B8">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10.7 暂估价</w:t>
      </w:r>
    </w:p>
    <w:p w14:paraId="21FA07F2">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暂估价材料和工程设备的明细详见附件11：《暂估价一览表》。</w:t>
      </w:r>
    </w:p>
    <w:p w14:paraId="38DB38AA">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10.7.1 依法必须招标的暂估价项目</w:t>
      </w:r>
    </w:p>
    <w:p w14:paraId="3F0B7D58">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对于依法必须招标的暂估价项目的确认和批准采取第</w:t>
      </w:r>
      <w:r>
        <w:rPr>
          <w:rFonts w:hint="eastAsia" w:ascii="宋体" w:hAnsi="宋体" w:eastAsia="宋体" w:cs="宋体"/>
          <w:color w:val="auto"/>
          <w:sz w:val="24"/>
          <w:szCs w:val="24"/>
          <w:highlight w:val="none"/>
          <w:u w:val="single"/>
        </w:rPr>
        <w:t xml:space="preserve">  2 </w:t>
      </w:r>
      <w:r>
        <w:rPr>
          <w:rFonts w:hint="eastAsia" w:ascii="宋体" w:hAnsi="宋体" w:eastAsia="宋体" w:cs="宋体"/>
          <w:color w:val="auto"/>
          <w:sz w:val="24"/>
          <w:szCs w:val="24"/>
          <w:highlight w:val="none"/>
        </w:rPr>
        <w:t>种方式确定。</w:t>
      </w:r>
    </w:p>
    <w:p w14:paraId="0C5AE120">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10.7.2 不属于依法必须招标的暂估价项目</w:t>
      </w:r>
    </w:p>
    <w:p w14:paraId="0E161D81">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对于不属于依法必须招标的暂估价项目的确认和批准采取第</w:t>
      </w:r>
      <w:r>
        <w:rPr>
          <w:rFonts w:hint="eastAsia" w:ascii="宋体" w:hAnsi="宋体" w:eastAsia="宋体" w:cs="宋体"/>
          <w:color w:val="auto"/>
          <w:sz w:val="24"/>
          <w:szCs w:val="24"/>
          <w:highlight w:val="none"/>
          <w:u w:val="single"/>
        </w:rPr>
        <w:t xml:space="preserve"> 2 </w:t>
      </w:r>
      <w:r>
        <w:rPr>
          <w:rFonts w:hint="eastAsia" w:ascii="宋体" w:hAnsi="宋体" w:eastAsia="宋体" w:cs="宋体"/>
          <w:color w:val="auto"/>
          <w:sz w:val="24"/>
          <w:szCs w:val="24"/>
          <w:highlight w:val="none"/>
        </w:rPr>
        <w:t>种方式确定。</w:t>
      </w:r>
    </w:p>
    <w:p w14:paraId="04AF656B">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第3种方式：承包人直接实施的暂估价项目</w:t>
      </w:r>
    </w:p>
    <w:p w14:paraId="3EB50080">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承包人直接实施的暂估价项目的约定：</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w:t>
      </w:r>
    </w:p>
    <w:p w14:paraId="3784A89D">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10.8 暂列金额</w:t>
      </w:r>
    </w:p>
    <w:p w14:paraId="429A674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合同当事人关于暂列金额使用的约定：</w:t>
      </w:r>
      <w:r>
        <w:rPr>
          <w:rFonts w:hint="eastAsia" w:ascii="宋体" w:hAnsi="宋体" w:eastAsia="宋体" w:cs="宋体"/>
          <w:b/>
          <w:color w:val="auto"/>
          <w:kern w:val="0"/>
          <w:sz w:val="24"/>
          <w:szCs w:val="24"/>
          <w:highlight w:val="none"/>
          <w:u w:val="single"/>
        </w:rPr>
        <w:t>按照发包人书面意见执行</w:t>
      </w:r>
      <w:r>
        <w:rPr>
          <w:rFonts w:hint="eastAsia" w:ascii="宋体" w:hAnsi="宋体" w:eastAsia="宋体" w:cs="宋体"/>
          <w:color w:val="auto"/>
          <w:sz w:val="24"/>
          <w:szCs w:val="24"/>
          <w:highlight w:val="none"/>
        </w:rPr>
        <w:t xml:space="preserve"> 。</w:t>
      </w:r>
    </w:p>
    <w:p w14:paraId="2D71A82E">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 价格调整</w:t>
      </w:r>
    </w:p>
    <w:p w14:paraId="08A0F2AA">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 市场价格波动引起的调整</w:t>
      </w:r>
    </w:p>
    <w:p w14:paraId="6911D9D0">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市场价格波动是否调整合同价格的约定：</w:t>
      </w:r>
      <w:r>
        <w:rPr>
          <w:rFonts w:hint="eastAsia" w:ascii="宋体" w:hAnsi="宋体"/>
          <w:color w:val="auto"/>
          <w:sz w:val="24"/>
          <w:szCs w:val="24"/>
          <w:highlight w:val="none"/>
          <w:u w:val="single"/>
          <w:lang w:val="en-US" w:eastAsia="zh-CN"/>
        </w:rPr>
        <w:t>不调整</w:t>
      </w:r>
      <w:r>
        <w:rPr>
          <w:rFonts w:hint="eastAsia" w:ascii="宋体" w:hAnsi="宋体" w:eastAsia="宋体" w:cs="宋体"/>
          <w:color w:val="auto"/>
          <w:sz w:val="24"/>
          <w:szCs w:val="24"/>
          <w:highlight w:val="none"/>
          <w:u w:val="single"/>
        </w:rPr>
        <w:t>。</w:t>
      </w:r>
    </w:p>
    <w:p w14:paraId="4D9E62C7">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因市场价格波动调整合同价格，采用以下第</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种方式对合同价格进行调整：</w:t>
      </w:r>
    </w:p>
    <w:p w14:paraId="6CC2F756">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第1种方式：采用价格指数进行价格调整。</w:t>
      </w:r>
    </w:p>
    <w:p w14:paraId="6A8A0FC1">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关于各可调因子、定值和变值权重，以及基本价格指数及其来源的约定：</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 xml:space="preserve">；  </w:t>
      </w:r>
    </w:p>
    <w:p w14:paraId="68C5F87A">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第2种方式：采用造价信息进行价格调整。</w:t>
      </w:r>
    </w:p>
    <w:p w14:paraId="75AE991A">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（2）关于基准价格的约定：</w:t>
      </w:r>
    </w:p>
    <w:p w14:paraId="0FB65F05">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专用合同条款①承包人在已标价工程量清单或预算书中载明的材料单价低于基准价格的：专用合同条款合同履行期间材料单价涨幅以基准价格为基础超过</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%时，或材料单价跌幅以已标价工程量清单或预算书中载明材料单价为基础超过</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%时，其超过部分据实调整。</w:t>
      </w:r>
    </w:p>
    <w:p w14:paraId="44666A64">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②承包人在已标价工程量清单或预算书中载明的材料单价高于基准价格的：专用合同条款合同履行期间材料单价跌幅以基准价格为基础超过</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%时，材料单价涨幅以已标价工程量清单或预算书中载明材料单价为基础超过</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%时，其超过部分据实调整。</w:t>
      </w:r>
    </w:p>
    <w:p w14:paraId="32C79B11">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③承包人在已标价工程量清单或预算书中载明的材料单价等于基准单价的：专用合同条款合同履行期间材料单价涨跌幅以基准单价为基础超过</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%时，其超过部分据实调整。</w:t>
      </w:r>
    </w:p>
    <w:p w14:paraId="3E7D7DE2">
      <w:pPr>
        <w:pStyle w:val="3"/>
        <w:keepNext w:val="0"/>
        <w:keepLines w:val="0"/>
        <w:pageBreakBefore w:val="0"/>
        <w:kinsoku/>
        <w:wordWrap/>
        <w:overflowPunct/>
        <w:topLinePunct w:val="0"/>
        <w:bidi w:val="0"/>
        <w:spacing w:line="312" w:lineRule="auto"/>
        <w:ind w:right="63" w:firstLine="360"/>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第3种方式：其他价格调整方式</w:t>
      </w:r>
      <w:r>
        <w:rPr>
          <w:rFonts w:hint="eastAsia" w:ascii="宋体" w:hAnsi="宋体" w:eastAsia="宋体" w:cs="宋体"/>
          <w:b w:val="0"/>
          <w:color w:val="auto"/>
          <w:sz w:val="24"/>
          <w:szCs w:val="24"/>
          <w:highlight w:val="none"/>
          <w:u w:val="single"/>
        </w:rPr>
        <w:t>无</w:t>
      </w:r>
    </w:p>
    <w:p w14:paraId="04FEA13A">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12.合同价格、计量与支付</w:t>
      </w:r>
    </w:p>
    <w:p w14:paraId="685D42A2">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 合同价格形式</w:t>
      </w:r>
    </w:p>
    <w:p w14:paraId="71E8A03C">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1、单价合同。</w:t>
      </w:r>
    </w:p>
    <w:p w14:paraId="1B91F245">
      <w:pPr>
        <w:keepNext w:val="0"/>
        <w:keepLines w:val="0"/>
        <w:pageBreakBefore w:val="0"/>
        <w:kinsoku/>
        <w:wordWrap/>
        <w:overflowPunct/>
        <w:topLinePunct w:val="0"/>
        <w:bidi w:val="0"/>
        <w:adjustRightInd w:val="0"/>
        <w:snapToGrid w:val="0"/>
        <w:spacing w:line="31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综合单价包含的风险范围：</w:t>
      </w:r>
    </w:p>
    <w:p w14:paraId="40CC0930">
      <w:pPr>
        <w:keepNext w:val="0"/>
        <w:keepLines w:val="0"/>
        <w:pageBreakBefore w:val="0"/>
        <w:kinsoku/>
        <w:wordWrap/>
        <w:overflowPunct/>
        <w:topLinePunct w:val="0"/>
        <w:bidi w:val="0"/>
        <w:spacing w:line="312"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u w:val="single"/>
        </w:rPr>
        <w:t>第11.1条明确的可调整范围以外的人工、材料信息价的变动；</w:t>
      </w:r>
    </w:p>
    <w:p w14:paraId="7B64A9CA">
      <w:pPr>
        <w:keepNext w:val="0"/>
        <w:keepLines w:val="0"/>
        <w:pageBreakBefore w:val="0"/>
        <w:kinsoku/>
        <w:wordWrap/>
        <w:overflowPunct/>
        <w:topLinePunct w:val="0"/>
        <w:bidi w:val="0"/>
        <w:adjustRightInd w:val="0"/>
        <w:snapToGrid w:val="0"/>
        <w:spacing w:line="312"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2）施工期间停水、停电一周内不超过8小时引起的费用增加；</w:t>
      </w:r>
    </w:p>
    <w:p w14:paraId="576EF7EE">
      <w:pPr>
        <w:keepNext w:val="0"/>
        <w:keepLines w:val="0"/>
        <w:pageBreakBefore w:val="0"/>
        <w:kinsoku/>
        <w:wordWrap/>
        <w:overflowPunct/>
        <w:topLinePunct w:val="0"/>
        <w:bidi w:val="0"/>
        <w:adjustRightInd w:val="0"/>
        <w:snapToGrid w:val="0"/>
        <w:spacing w:line="312"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3）专用条款中约定不予调整的条款和承包人承担应计入投标总价的费用；</w:t>
      </w:r>
    </w:p>
    <w:p w14:paraId="3BF06F5B">
      <w:pPr>
        <w:keepNext w:val="0"/>
        <w:keepLines w:val="0"/>
        <w:pageBreakBefore w:val="0"/>
        <w:kinsoku/>
        <w:wordWrap/>
        <w:overflowPunct/>
        <w:topLinePunct w:val="0"/>
        <w:bidi w:val="0"/>
        <w:adjustRightInd w:val="0"/>
        <w:snapToGrid w:val="0"/>
        <w:spacing w:line="312"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4）质量和安全的风险包括在风险费中；</w:t>
      </w:r>
    </w:p>
    <w:p w14:paraId="4CD36FD6">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风险费用的计算方法：</w:t>
      </w:r>
      <w:r>
        <w:rPr>
          <w:rFonts w:hint="eastAsia" w:ascii="宋体" w:hAnsi="宋体" w:eastAsia="宋体" w:cs="宋体"/>
          <w:color w:val="auto"/>
          <w:sz w:val="24"/>
          <w:szCs w:val="24"/>
          <w:highlight w:val="none"/>
          <w:u w:val="single"/>
        </w:rPr>
        <w:t xml:space="preserve">计入各清单项目投标单价中  </w:t>
      </w:r>
      <w:r>
        <w:rPr>
          <w:rFonts w:hint="eastAsia" w:ascii="宋体" w:hAnsi="宋体" w:eastAsia="宋体" w:cs="宋体"/>
          <w:color w:val="auto"/>
          <w:sz w:val="24"/>
          <w:szCs w:val="24"/>
          <w:highlight w:val="none"/>
        </w:rPr>
        <w:t>。</w:t>
      </w:r>
    </w:p>
    <w:p w14:paraId="5955AE84">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风险范围以外合同价格的调整方法：      </w:t>
      </w:r>
    </w:p>
    <w:p w14:paraId="7EBEC6F4">
      <w:pPr>
        <w:keepNext w:val="0"/>
        <w:keepLines w:val="0"/>
        <w:pageBreakBefore w:val="0"/>
        <w:kinsoku/>
        <w:wordWrap/>
        <w:overflowPunct/>
        <w:topLinePunct w:val="0"/>
        <w:bidi w:val="0"/>
        <w:adjustRightInd w:val="0"/>
        <w:snapToGrid w:val="0"/>
        <w:spacing w:line="312"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 xml:space="preserve">（1）工程量的偏差按专用条款第1.13条调整。 </w:t>
      </w:r>
    </w:p>
    <w:p w14:paraId="3785098F">
      <w:pPr>
        <w:keepNext w:val="0"/>
        <w:keepLines w:val="0"/>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（2）单价价格变化按照专用条款10.4.1条调整。</w:t>
      </w:r>
    </w:p>
    <w:p w14:paraId="49EE4B30">
      <w:pPr>
        <w:keepNext w:val="0"/>
        <w:keepLines w:val="0"/>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2、总价合同。</w:t>
      </w:r>
    </w:p>
    <w:p w14:paraId="51D22321">
      <w:pPr>
        <w:keepNext w:val="0"/>
        <w:keepLines w:val="0"/>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总价包含的风险范围：</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w:t>
      </w:r>
    </w:p>
    <w:p w14:paraId="4FFC141F">
      <w:pPr>
        <w:keepNext w:val="0"/>
        <w:keepLines w:val="0"/>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风险费用的计算方法：</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w:t>
      </w:r>
    </w:p>
    <w:p w14:paraId="3A4358F5">
      <w:pPr>
        <w:keepNext w:val="0"/>
        <w:keepLines w:val="0"/>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风险范围以外合同价格的调整方法：</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w:t>
      </w:r>
    </w:p>
    <w:p w14:paraId="1E3C82FD">
      <w:pPr>
        <w:keepNext w:val="0"/>
        <w:keepLines w:val="0"/>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3、其他价格方式：</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w:t>
      </w:r>
    </w:p>
    <w:p w14:paraId="29107DB8">
      <w:pPr>
        <w:keepNext w:val="0"/>
        <w:keepLines w:val="0"/>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 预付款</w:t>
      </w:r>
    </w:p>
    <w:p w14:paraId="6BC24173">
      <w:pPr>
        <w:keepNext w:val="0"/>
        <w:keepLines w:val="0"/>
        <w:pageBreakBefore w:val="0"/>
        <w:widowControl w:val="0"/>
        <w:kinsoku/>
        <w:wordWrap/>
        <w:overflowPunct/>
        <w:topLinePunct w:val="0"/>
        <w:autoSpaceDE/>
        <w:autoSpaceDN/>
        <w:bidi w:val="0"/>
        <w:adjustRightInd/>
        <w:snapToGrid/>
        <w:spacing w:line="312" w:lineRule="auto"/>
        <w:ind w:left="0" w:leftChars="0" w:right="0" w:firstLine="480" w:firstLineChars="200"/>
        <w:contextualSpacing/>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预付款支付比例或金额：</w:t>
      </w:r>
      <w:r>
        <w:rPr>
          <w:rFonts w:hint="eastAsia" w:ascii="宋体" w:hAnsi="宋体"/>
          <w:b/>
          <w:color w:val="auto"/>
          <w:kern w:val="2"/>
          <w:sz w:val="24"/>
          <w:szCs w:val="24"/>
          <w:highlight w:val="none"/>
          <w:u w:val="single"/>
        </w:rPr>
        <w:t>预付款支付总额为合同价的</w:t>
      </w:r>
      <w:r>
        <w:rPr>
          <w:rFonts w:hint="eastAsia" w:ascii="宋体" w:hAnsi="宋体"/>
          <w:b/>
          <w:color w:val="auto"/>
          <w:kern w:val="2"/>
          <w:sz w:val="24"/>
          <w:szCs w:val="24"/>
          <w:highlight w:val="none"/>
          <w:u w:val="single"/>
          <w:lang w:val="en-US" w:eastAsia="zh-CN"/>
        </w:rPr>
        <w:t>40</w:t>
      </w:r>
      <w:r>
        <w:rPr>
          <w:rFonts w:hint="eastAsia" w:ascii="宋体" w:hAnsi="宋体"/>
          <w:b/>
          <w:color w:val="auto"/>
          <w:kern w:val="2"/>
          <w:sz w:val="24"/>
          <w:szCs w:val="24"/>
          <w:highlight w:val="none"/>
          <w:u w:val="single"/>
        </w:rPr>
        <w:t>%</w:t>
      </w:r>
      <w:r>
        <w:rPr>
          <w:rFonts w:ascii="宋体" w:hAnsi="宋体"/>
          <w:color w:val="auto"/>
          <w:kern w:val="2"/>
          <w:sz w:val="24"/>
          <w:szCs w:val="24"/>
          <w:highlight w:val="none"/>
        </w:rPr>
        <w:t>。</w:t>
      </w:r>
    </w:p>
    <w:p w14:paraId="492BACCD">
      <w:pPr>
        <w:keepNext w:val="0"/>
        <w:keepLines w:val="0"/>
        <w:pageBreakBefore w:val="0"/>
        <w:widowControl w:val="0"/>
        <w:kinsoku/>
        <w:wordWrap/>
        <w:overflowPunct/>
        <w:topLinePunct w:val="0"/>
        <w:autoSpaceDE/>
        <w:autoSpaceDN/>
        <w:bidi w:val="0"/>
        <w:adjustRightInd/>
        <w:snapToGrid/>
        <w:spacing w:line="312" w:lineRule="auto"/>
        <w:ind w:left="0" w:leftChars="0" w:right="0" w:firstLine="480" w:firstLineChars="200"/>
        <w:contextualSpacing/>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预付款支付期限：</w:t>
      </w:r>
      <w:r>
        <w:rPr>
          <w:rFonts w:hint="eastAsia" w:ascii="宋体" w:hAnsi="宋体"/>
          <w:b/>
          <w:color w:val="auto"/>
          <w:kern w:val="2"/>
          <w:sz w:val="24"/>
          <w:szCs w:val="24"/>
          <w:highlight w:val="none"/>
          <w:u w:val="single"/>
        </w:rPr>
        <w:t>支付时间为合同签订后</w:t>
      </w:r>
      <w:r>
        <w:rPr>
          <w:rFonts w:hint="eastAsia" w:ascii="宋体" w:hAnsi="宋体"/>
          <w:b/>
          <w:color w:val="auto"/>
          <w:kern w:val="2"/>
          <w:sz w:val="24"/>
          <w:szCs w:val="24"/>
          <w:highlight w:val="none"/>
          <w:u w:val="single"/>
          <w:lang w:val="en-US" w:eastAsia="zh-CN"/>
        </w:rPr>
        <w:t>7</w:t>
      </w:r>
      <w:r>
        <w:rPr>
          <w:rFonts w:hint="eastAsia" w:ascii="宋体" w:hAnsi="宋体"/>
          <w:b/>
          <w:color w:val="auto"/>
          <w:kern w:val="2"/>
          <w:sz w:val="24"/>
          <w:szCs w:val="24"/>
          <w:highlight w:val="none"/>
          <w:u w:val="single"/>
        </w:rPr>
        <w:t>天内</w:t>
      </w:r>
      <w:r>
        <w:rPr>
          <w:rFonts w:hint="eastAsia" w:ascii="宋体" w:hAnsi="宋体" w:eastAsia="宋体" w:cs="宋体"/>
          <w:color w:val="auto"/>
          <w:kern w:val="2"/>
          <w:sz w:val="24"/>
          <w:szCs w:val="24"/>
          <w:highlight w:val="none"/>
        </w:rPr>
        <w:t>。</w:t>
      </w:r>
    </w:p>
    <w:p w14:paraId="69E0B7DF">
      <w:pPr>
        <w:keepNext w:val="0"/>
        <w:keepLines w:val="0"/>
        <w:pageBreakBefore w:val="0"/>
        <w:widowControl w:val="0"/>
        <w:kinsoku/>
        <w:wordWrap/>
        <w:overflowPunct/>
        <w:topLinePunct w:val="0"/>
        <w:autoSpaceDE/>
        <w:autoSpaceDN/>
        <w:bidi w:val="0"/>
        <w:adjustRightInd/>
        <w:snapToGrid/>
        <w:spacing w:line="312" w:lineRule="auto"/>
        <w:ind w:left="0" w:leftChars="0" w:right="0" w:firstLine="480" w:firstLineChars="200"/>
        <w:contextualSpacing/>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预付款扣回的方式：</w:t>
      </w:r>
      <w:r>
        <w:rPr>
          <w:rFonts w:hint="eastAsia" w:ascii="宋体" w:hAnsi="宋体"/>
          <w:color w:val="auto"/>
          <w:kern w:val="2"/>
          <w:sz w:val="24"/>
          <w:szCs w:val="24"/>
          <w:highlight w:val="none"/>
          <w:u w:val="single"/>
        </w:rPr>
        <w:t>本工程预付款不扣回，抵作</w:t>
      </w:r>
      <w:r>
        <w:rPr>
          <w:rFonts w:hint="eastAsia" w:ascii="宋体" w:hAnsi="宋体"/>
          <w:color w:val="auto"/>
          <w:kern w:val="2"/>
          <w:sz w:val="24"/>
          <w:szCs w:val="24"/>
          <w:highlight w:val="none"/>
          <w:u w:val="single"/>
          <w:lang w:val="en-US" w:eastAsia="zh-CN"/>
        </w:rPr>
        <w:t>工程款</w:t>
      </w:r>
      <w:r>
        <w:rPr>
          <w:rFonts w:hint="eastAsia" w:ascii="宋体" w:hAnsi="宋体" w:eastAsia="宋体" w:cs="宋体"/>
          <w:color w:val="auto"/>
          <w:kern w:val="2"/>
          <w:sz w:val="24"/>
          <w:szCs w:val="24"/>
          <w:highlight w:val="none"/>
        </w:rPr>
        <w:t>。</w:t>
      </w:r>
    </w:p>
    <w:p w14:paraId="6A913AB0">
      <w:pPr>
        <w:keepNext w:val="0"/>
        <w:keepLines w:val="0"/>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12.2.2 预付款担保</w:t>
      </w:r>
    </w:p>
    <w:p w14:paraId="1DFCCDDA">
      <w:pPr>
        <w:keepNext w:val="0"/>
        <w:keepLines w:val="0"/>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承包人提交预付款担保的期限：</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 xml:space="preserve"> 。</w:t>
      </w:r>
    </w:p>
    <w:p w14:paraId="7DE7B4E1">
      <w:pPr>
        <w:keepNext w:val="0"/>
        <w:keepLines w:val="0"/>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预付款担保的形式为：</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 xml:space="preserve"> 。</w:t>
      </w:r>
    </w:p>
    <w:p w14:paraId="6CE03B14">
      <w:pPr>
        <w:keepNext w:val="0"/>
        <w:keepLines w:val="0"/>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 计量</w:t>
      </w:r>
    </w:p>
    <w:p w14:paraId="2FA9D692">
      <w:pPr>
        <w:keepNext w:val="0"/>
        <w:keepLines w:val="0"/>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12.3.1 计量原则</w:t>
      </w:r>
    </w:p>
    <w:p w14:paraId="44B7E4B4">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工程量计算规则：</w:t>
      </w:r>
      <w:r>
        <w:rPr>
          <w:rFonts w:hint="eastAsia" w:ascii="宋体" w:hAnsi="宋体" w:eastAsia="宋体" w:cs="宋体"/>
          <w:color w:val="auto"/>
          <w:sz w:val="24"/>
          <w:szCs w:val="24"/>
          <w:highlight w:val="none"/>
          <w:u w:val="single"/>
        </w:rPr>
        <w:t>按照《建设工程工程量清单计价规范》（GB50500`2013）及</w:t>
      </w:r>
      <w:r>
        <w:rPr>
          <w:rFonts w:hint="eastAsia" w:ascii="宋体" w:hAnsi="宋体" w:eastAsia="宋体" w:cs="宋体"/>
          <w:color w:val="auto"/>
          <w:sz w:val="24"/>
          <w:szCs w:val="24"/>
          <w:highlight w:val="none"/>
          <w:u w:val="single"/>
        </w:rPr>
        <w:t>浙江省建设工程预算定额（2018版）</w:t>
      </w:r>
      <w:r>
        <w:rPr>
          <w:rFonts w:hint="eastAsia" w:ascii="宋体" w:hAnsi="宋体" w:eastAsia="宋体" w:cs="宋体"/>
          <w:color w:val="auto"/>
          <w:sz w:val="24"/>
          <w:szCs w:val="24"/>
          <w:highlight w:val="none"/>
          <w:u w:val="single"/>
        </w:rPr>
        <w:t>中相关工程量计算规则、图纸、批准的施工组织设计、签证及变更等进行计量。</w:t>
      </w:r>
    </w:p>
    <w:p w14:paraId="6C41DD65">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12.3.2 计量周期</w:t>
      </w:r>
    </w:p>
    <w:p w14:paraId="1C5292A2">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关于计量周期的约定：</w:t>
      </w:r>
      <w:r>
        <w:rPr>
          <w:rFonts w:hint="eastAsia" w:ascii="宋体" w:hAnsi="宋体" w:eastAsia="宋体" w:cs="宋体"/>
          <w:b/>
          <w:bCs/>
          <w:color w:val="auto"/>
          <w:sz w:val="24"/>
          <w:szCs w:val="24"/>
          <w:highlight w:val="none"/>
          <w:u w:val="single"/>
          <w:lang w:val="en-US" w:eastAsia="zh-CN"/>
        </w:rPr>
        <w:t>/</w:t>
      </w:r>
      <w:r>
        <w:rPr>
          <w:rFonts w:hint="eastAsia" w:ascii="宋体" w:hAnsi="宋体" w:eastAsia="宋体" w:cs="宋体"/>
          <w:color w:val="auto"/>
          <w:sz w:val="24"/>
          <w:szCs w:val="24"/>
          <w:highlight w:val="none"/>
        </w:rPr>
        <w:t>。</w:t>
      </w:r>
    </w:p>
    <w:p w14:paraId="6D53F7E6">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12.3.3 单价合同的计量</w:t>
      </w:r>
    </w:p>
    <w:p w14:paraId="1BD1C36B">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关于单价合同计量的约定：</w:t>
      </w:r>
      <w:r>
        <w:rPr>
          <w:rFonts w:hint="eastAsia" w:ascii="宋体" w:hAnsi="宋体" w:eastAsia="宋体" w:cs="宋体"/>
          <w:color w:val="auto"/>
          <w:sz w:val="24"/>
          <w:szCs w:val="24"/>
          <w:highlight w:val="none"/>
          <w:u w:val="single"/>
        </w:rPr>
        <w:t>/。</w:t>
      </w:r>
    </w:p>
    <w:p w14:paraId="386D2CE6">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12.3.4 总价合同的计量</w:t>
      </w:r>
    </w:p>
    <w:p w14:paraId="1444A391">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关于总价合同计量的约定：</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w:t>
      </w:r>
    </w:p>
    <w:p w14:paraId="267FD9F5">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12.3.5总价合同采用支付分解表计量支付的，是否适用第12.3.4 项〔总价合同的计量〕约定进行计量：</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 xml:space="preserve"> 。</w:t>
      </w:r>
    </w:p>
    <w:p w14:paraId="433F4EDE">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12.3.6 其他价格形式合同的计量</w:t>
      </w:r>
    </w:p>
    <w:p w14:paraId="173B6949">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其他价格形式的计量方式和程序</w:t>
      </w:r>
      <w:r>
        <w:rPr>
          <w:rFonts w:hint="eastAsia" w:ascii="宋体" w:hAnsi="宋体" w:eastAsia="宋体" w:cs="宋体"/>
          <w:b/>
          <w:bCs/>
          <w:color w:val="auto"/>
          <w:sz w:val="24"/>
          <w:szCs w:val="24"/>
          <w:highlight w:val="none"/>
          <w:u w:val="single"/>
        </w:rPr>
        <w:t>按照专用条款12.1条及专用条款12.3.1条中确定</w:t>
      </w:r>
      <w:r>
        <w:rPr>
          <w:rFonts w:hint="eastAsia" w:ascii="宋体" w:hAnsi="宋体" w:eastAsia="宋体" w:cs="宋体"/>
          <w:b/>
          <w:bCs/>
          <w:color w:val="auto"/>
          <w:kern w:val="0"/>
          <w:sz w:val="24"/>
          <w:szCs w:val="24"/>
          <w:highlight w:val="none"/>
          <w:u w:val="single"/>
        </w:rPr>
        <w:t>的工程量计量方式和程序进行计量</w:t>
      </w:r>
      <w:r>
        <w:rPr>
          <w:rFonts w:hint="eastAsia" w:ascii="宋体" w:hAnsi="宋体" w:eastAsia="宋体" w:cs="宋体"/>
          <w:color w:val="auto"/>
          <w:sz w:val="24"/>
          <w:szCs w:val="24"/>
          <w:highlight w:val="none"/>
          <w:u w:val="single"/>
        </w:rPr>
        <w:t>。</w:t>
      </w:r>
    </w:p>
    <w:p w14:paraId="586F0426">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 工程进度款支付</w:t>
      </w:r>
    </w:p>
    <w:p w14:paraId="204652F3">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12.4.1 付款周期双方约定的工程款支付的方式和时间：</w:t>
      </w:r>
    </w:p>
    <w:p w14:paraId="73BC2BA8">
      <w:pPr>
        <w:snapToGrid w:val="0"/>
        <w:spacing w:line="360" w:lineRule="auto"/>
        <w:ind w:firstLine="482" w:firstLineChars="200"/>
        <w:rPr>
          <w:rFonts w:hint="eastAsia" w:ascii="宋体" w:hAnsi="宋体"/>
          <w:b/>
          <w:color w:val="auto"/>
          <w:sz w:val="24"/>
          <w:szCs w:val="24"/>
          <w:highlight w:val="none"/>
          <w:u w:val="single"/>
        </w:rPr>
      </w:pPr>
      <w:r>
        <w:rPr>
          <w:rFonts w:hint="eastAsia" w:ascii="宋体" w:hAnsi="宋体"/>
          <w:b/>
          <w:color w:val="auto"/>
          <w:sz w:val="24"/>
          <w:szCs w:val="24"/>
          <w:highlight w:val="none"/>
          <w:u w:val="single"/>
        </w:rPr>
        <w:t>(1)工程竣工验收合格且工程结算审计完毕，承包人上缴质保金（结算审定价的1.5%）给发包人，所有验收资料归档备案（提交业主）满足要求后一个月内付至审定价的100%（含预付款及全部已支付的各种款项）；</w:t>
      </w:r>
    </w:p>
    <w:p w14:paraId="47ED7C5F">
      <w:pPr>
        <w:snapToGrid w:val="0"/>
        <w:spacing w:line="360" w:lineRule="auto"/>
        <w:ind w:firstLine="482" w:firstLineChars="200"/>
        <w:rPr>
          <w:rFonts w:hint="eastAsia" w:ascii="宋体" w:hAnsi="宋体"/>
          <w:b/>
          <w:color w:val="auto"/>
          <w:sz w:val="24"/>
          <w:szCs w:val="24"/>
          <w:highlight w:val="none"/>
          <w:u w:val="single"/>
        </w:rPr>
      </w:pPr>
      <w:r>
        <w:rPr>
          <w:rFonts w:hint="eastAsia" w:ascii="宋体" w:hAnsi="宋体"/>
          <w:b/>
          <w:color w:val="auto"/>
          <w:sz w:val="24"/>
          <w:szCs w:val="24"/>
          <w:highlight w:val="none"/>
          <w:u w:val="single"/>
          <w:lang w:eastAsia="zh-CN"/>
        </w:rPr>
        <w:t>（</w:t>
      </w:r>
      <w:r>
        <w:rPr>
          <w:rFonts w:hint="eastAsia" w:ascii="宋体" w:hAnsi="宋体"/>
          <w:b/>
          <w:color w:val="auto"/>
          <w:sz w:val="24"/>
          <w:szCs w:val="24"/>
          <w:highlight w:val="none"/>
          <w:u w:val="single"/>
          <w:lang w:val="en-US" w:eastAsia="zh-CN"/>
        </w:rPr>
        <w:t>2</w:t>
      </w:r>
      <w:r>
        <w:rPr>
          <w:rFonts w:hint="eastAsia" w:ascii="宋体" w:hAnsi="宋体"/>
          <w:b/>
          <w:color w:val="auto"/>
          <w:sz w:val="24"/>
          <w:szCs w:val="24"/>
          <w:highlight w:val="none"/>
          <w:u w:val="single"/>
          <w:lang w:eastAsia="zh-CN"/>
        </w:rPr>
        <w:t>）</w:t>
      </w:r>
      <w:r>
        <w:rPr>
          <w:rFonts w:hint="eastAsia" w:ascii="宋体" w:hAnsi="宋体"/>
          <w:b/>
          <w:color w:val="auto"/>
          <w:sz w:val="24"/>
          <w:szCs w:val="24"/>
          <w:highlight w:val="none"/>
          <w:u w:val="single"/>
        </w:rPr>
        <w:t>质保金待一年缺陷责任期满后退还（无息）。</w:t>
      </w:r>
    </w:p>
    <w:p w14:paraId="4FFE9150">
      <w:pPr>
        <w:pStyle w:val="2"/>
        <w:rPr>
          <w:rFonts w:hint="eastAsia" w:ascii="宋体" w:hAnsi="宋体" w:eastAsia="宋体" w:cstheme="minorBidi"/>
          <w:b/>
          <w:color w:val="auto"/>
          <w:kern w:val="2"/>
          <w:sz w:val="24"/>
          <w:szCs w:val="24"/>
          <w:highlight w:val="none"/>
          <w:u w:val="none"/>
          <w:lang w:val="en-US" w:eastAsia="zh-CN" w:bidi="ar-SA"/>
        </w:rPr>
      </w:pPr>
      <w:r>
        <w:rPr>
          <w:rFonts w:hint="eastAsia" w:ascii="宋体" w:hAnsi="宋体" w:cstheme="minorBidi"/>
          <w:b/>
          <w:color w:val="auto"/>
          <w:kern w:val="2"/>
          <w:sz w:val="24"/>
          <w:szCs w:val="24"/>
          <w:highlight w:val="none"/>
          <w:u w:val="none"/>
          <w:lang w:val="en-US" w:eastAsia="zh-CN" w:bidi="ar-SA"/>
        </w:rPr>
        <w:t>注：</w:t>
      </w:r>
      <w:r>
        <w:rPr>
          <w:rFonts w:hint="eastAsia" w:ascii="宋体" w:hAnsi="宋体" w:eastAsia="宋体" w:cstheme="minorBidi"/>
          <w:b/>
          <w:color w:val="auto"/>
          <w:kern w:val="2"/>
          <w:sz w:val="24"/>
          <w:szCs w:val="24"/>
          <w:highlight w:val="none"/>
          <w:u w:val="none"/>
          <w:lang w:val="en-US" w:eastAsia="zh-CN" w:bidi="ar-SA"/>
        </w:rPr>
        <w:t>在签订合同时，供应商明确表示无需预付款或者主动要求降低预付款比例的，采购单位可不适用前述规定。</w:t>
      </w:r>
    </w:p>
    <w:p w14:paraId="707CB4C4">
      <w:pPr>
        <w:keepNext w:val="0"/>
        <w:keepLines w:val="0"/>
        <w:pageBreakBefore w:val="0"/>
        <w:numPr>
          <w:ilvl w:val="0"/>
          <w:numId w:val="0"/>
        </w:numPr>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12.4.2 进度付款申</w:t>
      </w:r>
      <w:r>
        <w:rPr>
          <w:rFonts w:hint="eastAsia" w:ascii="宋体" w:hAnsi="宋体" w:eastAsia="宋体" w:cs="宋体"/>
          <w:color w:val="auto"/>
          <w:sz w:val="24"/>
          <w:szCs w:val="24"/>
          <w:highlight w:val="none"/>
        </w:rPr>
        <w:t>请单的编制</w:t>
      </w:r>
    </w:p>
    <w:p w14:paraId="30E30B06">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关于进度付款申请单编制的约定：</w:t>
      </w:r>
      <w:r>
        <w:rPr>
          <w:rFonts w:hint="eastAsia" w:ascii="宋体" w:hAnsi="宋体" w:eastAsia="宋体" w:cs="宋体"/>
          <w:i/>
          <w:iCs/>
          <w:color w:val="auto"/>
          <w:sz w:val="24"/>
          <w:szCs w:val="24"/>
          <w:highlight w:val="none"/>
          <w:u w:val="single"/>
        </w:rPr>
        <w:t xml:space="preserve"> </w:t>
      </w:r>
      <w:r>
        <w:rPr>
          <w:rFonts w:hint="eastAsia" w:ascii="宋体" w:hAnsi="宋体" w:eastAsia="宋体" w:cs="宋体"/>
          <w:color w:val="auto"/>
          <w:sz w:val="24"/>
          <w:szCs w:val="24"/>
          <w:highlight w:val="none"/>
          <w:u w:val="single"/>
        </w:rPr>
        <w:t>/</w:t>
      </w:r>
      <w:r>
        <w:rPr>
          <w:rFonts w:hint="eastAsia" w:ascii="宋体" w:hAnsi="宋体" w:eastAsia="宋体" w:cs="宋体"/>
          <w:i/>
          <w:iCs/>
          <w:color w:val="auto"/>
          <w:sz w:val="24"/>
          <w:szCs w:val="24"/>
          <w:highlight w:val="none"/>
          <w:u w:val="single"/>
        </w:rPr>
        <w:t xml:space="preserve">   。</w:t>
      </w:r>
    </w:p>
    <w:p w14:paraId="74A13773">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12.4.3 进度付款申请单的提交</w:t>
      </w:r>
    </w:p>
    <w:p w14:paraId="223736A8">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（1）单价合同进度付款申请单提交的约定：</w:t>
      </w:r>
      <w:r>
        <w:rPr>
          <w:rFonts w:hint="eastAsia" w:ascii="宋体" w:hAnsi="宋体" w:eastAsia="宋体" w:cs="宋体"/>
          <w:color w:val="auto"/>
          <w:sz w:val="24"/>
          <w:szCs w:val="24"/>
          <w:highlight w:val="none"/>
          <w:u w:val="single"/>
        </w:rPr>
        <w:t>/</w:t>
      </w:r>
      <w:r>
        <w:rPr>
          <w:rFonts w:hint="eastAsia" w:ascii="宋体" w:hAnsi="宋体" w:eastAsia="宋体" w:cs="宋体"/>
          <w:i/>
          <w:iCs/>
          <w:color w:val="auto"/>
          <w:sz w:val="24"/>
          <w:szCs w:val="24"/>
          <w:highlight w:val="none"/>
          <w:u w:val="single"/>
        </w:rPr>
        <w:t xml:space="preserve">  </w:t>
      </w:r>
      <w:r>
        <w:rPr>
          <w:rFonts w:hint="eastAsia" w:ascii="宋体" w:hAnsi="宋体" w:eastAsia="宋体" w:cs="宋体"/>
          <w:color w:val="auto"/>
          <w:sz w:val="24"/>
          <w:szCs w:val="24"/>
          <w:highlight w:val="none"/>
        </w:rPr>
        <w:t>。</w:t>
      </w:r>
    </w:p>
    <w:p w14:paraId="1682D86E">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（2）总价合同进度付款申请单提交的约定：</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01228475">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（3）其他价格形式合同进度付款申请单提交的约定：</w:t>
      </w:r>
      <w:r>
        <w:rPr>
          <w:rFonts w:hint="eastAsia" w:ascii="宋体" w:hAnsi="宋体" w:eastAsia="宋体" w:cs="宋体"/>
          <w:i/>
          <w:iCs/>
          <w:color w:val="auto"/>
          <w:sz w:val="24"/>
          <w:szCs w:val="24"/>
          <w:highlight w:val="none"/>
          <w:u w:val="single"/>
        </w:rPr>
        <w:t xml:space="preserve">/   </w:t>
      </w:r>
      <w:r>
        <w:rPr>
          <w:rFonts w:hint="eastAsia" w:ascii="宋体" w:hAnsi="宋体" w:eastAsia="宋体" w:cs="宋体"/>
          <w:color w:val="auto"/>
          <w:sz w:val="24"/>
          <w:szCs w:val="24"/>
          <w:highlight w:val="none"/>
        </w:rPr>
        <w:t>。</w:t>
      </w:r>
    </w:p>
    <w:p w14:paraId="36923F64">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12.4.4 进度款审核和支付</w:t>
      </w:r>
    </w:p>
    <w:p w14:paraId="5E9750E3">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（1）监理人审查并报送发包人的期限：</w:t>
      </w:r>
      <w:r>
        <w:rPr>
          <w:rFonts w:hint="eastAsia" w:ascii="宋体" w:hAnsi="宋体" w:eastAsia="宋体" w:cs="宋体"/>
          <w:color w:val="auto"/>
          <w:sz w:val="24"/>
          <w:szCs w:val="24"/>
          <w:highlight w:val="none"/>
          <w:u w:val="single"/>
        </w:rPr>
        <w:t>/</w:t>
      </w:r>
      <w:r>
        <w:rPr>
          <w:rFonts w:hint="eastAsia" w:ascii="宋体" w:hAnsi="宋体" w:eastAsia="宋体" w:cs="宋体"/>
          <w:i/>
          <w:iCs/>
          <w:color w:val="auto"/>
          <w:sz w:val="24"/>
          <w:szCs w:val="24"/>
          <w:highlight w:val="none"/>
          <w:u w:val="single"/>
        </w:rPr>
        <w:t xml:space="preserve">  </w:t>
      </w:r>
      <w:r>
        <w:rPr>
          <w:rFonts w:hint="eastAsia" w:ascii="宋体" w:hAnsi="宋体" w:eastAsia="宋体" w:cs="宋体"/>
          <w:color w:val="auto"/>
          <w:sz w:val="24"/>
          <w:szCs w:val="24"/>
          <w:highlight w:val="none"/>
        </w:rPr>
        <w:t>。</w:t>
      </w:r>
    </w:p>
    <w:p w14:paraId="2C007DB2">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发包人完成审批并签发进度款支付证书的期限：</w:t>
      </w:r>
      <w:r>
        <w:rPr>
          <w:rFonts w:hint="eastAsia" w:ascii="宋体" w:hAnsi="宋体" w:eastAsia="宋体" w:cs="宋体"/>
          <w:color w:val="auto"/>
          <w:sz w:val="24"/>
          <w:szCs w:val="24"/>
          <w:highlight w:val="none"/>
          <w:u w:val="single"/>
        </w:rPr>
        <w:t>/</w:t>
      </w:r>
      <w:r>
        <w:rPr>
          <w:rFonts w:hint="eastAsia" w:ascii="宋体" w:hAnsi="宋体" w:eastAsia="宋体" w:cs="宋体"/>
          <w:i/>
          <w:iCs/>
          <w:color w:val="auto"/>
          <w:sz w:val="24"/>
          <w:szCs w:val="24"/>
          <w:highlight w:val="none"/>
          <w:u w:val="single"/>
        </w:rPr>
        <w:t xml:space="preserve">   </w:t>
      </w:r>
      <w:r>
        <w:rPr>
          <w:rFonts w:hint="eastAsia" w:ascii="宋体" w:hAnsi="宋体" w:eastAsia="宋体" w:cs="宋体"/>
          <w:b/>
          <w:bCs/>
          <w:color w:val="auto"/>
          <w:sz w:val="24"/>
          <w:szCs w:val="24"/>
          <w:highlight w:val="none"/>
        </w:rPr>
        <w:t>。</w:t>
      </w:r>
    </w:p>
    <w:p w14:paraId="786621F8">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（2）发包人支付进度款的期限：</w:t>
      </w:r>
      <w:r>
        <w:rPr>
          <w:rFonts w:hint="eastAsia" w:ascii="宋体" w:hAnsi="宋体" w:eastAsia="宋体" w:cs="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3BE741C9">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发包人逾期支付进度款的违约金的计算方式：</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 xml:space="preserve"> 。</w:t>
      </w:r>
    </w:p>
    <w:p w14:paraId="7A6AB06C">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12.4.6 支付分解表的编制</w:t>
      </w:r>
    </w:p>
    <w:p w14:paraId="1968AD08">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2、总价合同支付分解表的编制与审批：</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5004E88D">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3、单价合同的总价项目支付分解表的编制与审批：</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 xml:space="preserve"> 。</w:t>
      </w:r>
    </w:p>
    <w:p w14:paraId="45DB3DA3">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 验收和工程试车</w:t>
      </w:r>
    </w:p>
    <w:p w14:paraId="0B04C623">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 分部分项工程验收</w:t>
      </w:r>
    </w:p>
    <w:p w14:paraId="37380624">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13.1.2监理人不能按时进行验收时，应提前</w:t>
      </w:r>
      <w:r>
        <w:rPr>
          <w:rFonts w:hint="eastAsia" w:ascii="宋体" w:hAnsi="宋体" w:eastAsia="宋体" w:cs="宋体"/>
          <w:color w:val="auto"/>
          <w:sz w:val="24"/>
          <w:szCs w:val="24"/>
          <w:highlight w:val="none"/>
          <w:u w:val="single"/>
        </w:rPr>
        <w:t>24</w:t>
      </w:r>
      <w:r>
        <w:rPr>
          <w:rFonts w:hint="eastAsia" w:ascii="宋体" w:hAnsi="宋体" w:eastAsia="宋体" w:cs="宋体"/>
          <w:color w:val="auto"/>
          <w:sz w:val="24"/>
          <w:szCs w:val="24"/>
          <w:highlight w:val="none"/>
        </w:rPr>
        <w:t>小时提交书面延期要求。</w:t>
      </w:r>
    </w:p>
    <w:p w14:paraId="186B27EA">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关于延期最长不得超过：</w:t>
      </w:r>
      <w:r>
        <w:rPr>
          <w:rFonts w:hint="eastAsia" w:ascii="宋体" w:hAnsi="宋体" w:eastAsia="宋体" w:cs="宋体"/>
          <w:color w:val="auto"/>
          <w:sz w:val="24"/>
          <w:szCs w:val="24"/>
          <w:highlight w:val="none"/>
          <w:u w:val="single"/>
        </w:rPr>
        <w:t>48</w:t>
      </w:r>
      <w:r>
        <w:rPr>
          <w:rFonts w:hint="eastAsia" w:ascii="宋体" w:hAnsi="宋体" w:eastAsia="宋体" w:cs="宋体"/>
          <w:color w:val="auto"/>
          <w:sz w:val="24"/>
          <w:szCs w:val="24"/>
          <w:highlight w:val="none"/>
        </w:rPr>
        <w:t>小时。</w:t>
      </w:r>
    </w:p>
    <w:p w14:paraId="4DFDE59F">
      <w:pPr>
        <w:keepNext w:val="0"/>
        <w:keepLines w:val="0"/>
        <w:pageBreakBefore w:val="0"/>
        <w:kinsoku/>
        <w:wordWrap/>
        <w:overflowPunct/>
        <w:topLinePunct w:val="0"/>
        <w:bidi w:val="0"/>
        <w:spacing w:line="30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 竣工验收</w:t>
      </w:r>
    </w:p>
    <w:p w14:paraId="6FB5C46F">
      <w:pPr>
        <w:keepNext w:val="0"/>
        <w:keepLines w:val="0"/>
        <w:pageBreakBefore w:val="0"/>
        <w:kinsoku/>
        <w:wordWrap/>
        <w:overflowPunct/>
        <w:topLinePunct w:val="0"/>
        <w:bidi w:val="0"/>
        <w:spacing w:line="30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13.2.2竣工验收程序</w:t>
      </w:r>
      <w:r>
        <w:rPr>
          <w:rFonts w:hint="eastAsia" w:ascii="宋体" w:hAnsi="宋体" w:eastAsia="宋体" w:cs="宋体"/>
          <w:color w:val="auto"/>
          <w:sz w:val="24"/>
          <w:szCs w:val="24"/>
          <w:highlight w:val="none"/>
          <w:lang w:eastAsia="zh-CN"/>
        </w:rPr>
        <w:t>：</w:t>
      </w:r>
    </w:p>
    <w:p w14:paraId="7AE2D73E">
      <w:pPr>
        <w:keepNext w:val="0"/>
        <w:keepLines w:val="0"/>
        <w:pageBreakBefore w:val="0"/>
        <w:kinsoku/>
        <w:wordWrap/>
        <w:overflowPunct/>
        <w:topLinePunct w:val="0"/>
        <w:bidi w:val="0"/>
        <w:spacing w:line="300" w:lineRule="auto"/>
        <w:ind w:firstLine="480" w:firstLineChars="200"/>
        <w:jc w:val="left"/>
        <w:textAlignment w:val="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u w:val="single"/>
        </w:rPr>
        <w:t>关于竣工验收程序的约定：按通用条款及行政主管部门规定。同时需满足以下要求：承包人在竣工验收</w:t>
      </w:r>
      <w:r>
        <w:rPr>
          <w:rFonts w:hint="eastAsia" w:ascii="宋体" w:hAnsi="宋体" w:eastAsia="宋体" w:cs="宋体"/>
          <w:color w:val="auto"/>
          <w:sz w:val="24"/>
          <w:szCs w:val="24"/>
          <w:highlight w:val="none"/>
          <w:u w:val="single"/>
          <w:lang w:eastAsia="zh-CN"/>
        </w:rPr>
        <w:t>合格</w:t>
      </w:r>
      <w:r>
        <w:rPr>
          <w:rFonts w:hint="eastAsia" w:ascii="宋体" w:hAnsi="宋体" w:eastAsia="宋体" w:cs="宋体"/>
          <w:color w:val="auto"/>
          <w:sz w:val="24"/>
          <w:szCs w:val="24"/>
          <w:highlight w:val="none"/>
          <w:u w:val="single"/>
          <w:lang w:val="en-US" w:eastAsia="zh-CN"/>
        </w:rPr>
        <w:t>前十天</w:t>
      </w:r>
      <w:r>
        <w:rPr>
          <w:rFonts w:hint="eastAsia" w:ascii="宋体" w:hAnsi="宋体" w:eastAsia="宋体" w:cs="宋体"/>
          <w:color w:val="auto"/>
          <w:sz w:val="24"/>
          <w:szCs w:val="24"/>
          <w:highlight w:val="none"/>
          <w:u w:val="single"/>
        </w:rPr>
        <w:t>内提交发包方满足验收要求的有关施工资料、技术资料、竣工图纸、结算书及完整的书面结算资料和电子文本等竣工资料。其中完整标准的竣工图和技术资料各</w:t>
      </w:r>
      <w:r>
        <w:rPr>
          <w:rFonts w:hint="eastAsia" w:ascii="宋体" w:hAnsi="宋体" w:eastAsia="宋体" w:cs="宋体"/>
          <w:color w:val="auto"/>
          <w:sz w:val="24"/>
          <w:szCs w:val="24"/>
          <w:highlight w:val="none"/>
          <w:u w:val="single"/>
          <w:lang w:val="en-US" w:eastAsia="zh-CN"/>
        </w:rPr>
        <w:t>叁</w:t>
      </w:r>
      <w:r>
        <w:rPr>
          <w:rFonts w:hint="eastAsia" w:ascii="宋体" w:hAnsi="宋体" w:eastAsia="宋体" w:cs="宋体"/>
          <w:color w:val="auto"/>
          <w:sz w:val="24"/>
          <w:szCs w:val="24"/>
          <w:highlight w:val="none"/>
          <w:u w:val="single"/>
        </w:rPr>
        <w:t>套，结算书及完整的书面结算资料叁套和电子文本两套</w:t>
      </w:r>
      <w:r>
        <w:rPr>
          <w:rFonts w:hint="eastAsia" w:ascii="宋体" w:hAnsi="宋体" w:eastAsia="宋体" w:cs="宋体"/>
          <w:color w:val="auto"/>
          <w:sz w:val="24"/>
          <w:szCs w:val="24"/>
          <w:highlight w:val="none"/>
          <w:u w:val="single"/>
          <w:lang w:eastAsia="zh-CN"/>
        </w:rPr>
        <w:t>。</w:t>
      </w:r>
    </w:p>
    <w:p w14:paraId="2224B171">
      <w:pPr>
        <w:keepNext w:val="0"/>
        <w:keepLines w:val="0"/>
        <w:pageBreakBefore w:val="0"/>
        <w:kinsoku/>
        <w:wordWrap/>
        <w:overflowPunct/>
        <w:topLinePunct w:val="0"/>
        <w:bidi w:val="0"/>
        <w:spacing w:line="300" w:lineRule="auto"/>
        <w:ind w:firstLine="480" w:firstLineChars="200"/>
        <w:jc w:val="left"/>
        <w:textAlignment w:val="auto"/>
        <w:rPr>
          <w:rFonts w:hint="eastAsia" w:ascii="宋体" w:hAnsi="宋体" w:eastAsia="宋体" w:cs="宋体"/>
          <w:b/>
          <w:bCs/>
          <w:color w:val="auto"/>
          <w:kern w:val="0"/>
          <w:sz w:val="24"/>
          <w:szCs w:val="24"/>
          <w:highlight w:val="none"/>
          <w:u w:val="single"/>
          <w:lang w:val="en-US" w:eastAsia="zh-CN"/>
        </w:rPr>
      </w:pPr>
      <w:r>
        <w:rPr>
          <w:rFonts w:hint="eastAsia" w:ascii="宋体" w:hAnsi="宋体" w:eastAsia="宋体" w:cs="宋体"/>
          <w:color w:val="auto"/>
          <w:sz w:val="24"/>
          <w:szCs w:val="24"/>
          <w:highlight w:val="none"/>
        </w:rPr>
        <w:t>发包人不按照本项约定组织竣工验收、颁发工程接收证书的违约金的计算方法：</w:t>
      </w:r>
      <w:r>
        <w:rPr>
          <w:rFonts w:hint="eastAsia" w:ascii="宋体" w:hAnsi="宋体" w:eastAsia="宋体" w:cs="宋体"/>
          <w:b/>
          <w:bCs/>
          <w:color w:val="auto"/>
          <w:kern w:val="0"/>
          <w:sz w:val="24"/>
          <w:szCs w:val="24"/>
          <w:highlight w:val="none"/>
          <w:u w:val="single"/>
          <w:lang w:val="en-US" w:eastAsia="zh-CN"/>
        </w:rPr>
        <w:t>无。</w:t>
      </w:r>
    </w:p>
    <w:p w14:paraId="07F0CD47">
      <w:pPr>
        <w:keepNext w:val="0"/>
        <w:keepLines w:val="0"/>
        <w:pageBreakBefore w:val="0"/>
        <w:kinsoku/>
        <w:wordWrap/>
        <w:overflowPunct/>
        <w:topLinePunct w:val="0"/>
        <w:bidi w:val="0"/>
        <w:spacing w:line="30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13.2.5移交、接收全部与部分工程</w:t>
      </w:r>
    </w:p>
    <w:p w14:paraId="64A426FD">
      <w:pPr>
        <w:keepNext w:val="0"/>
        <w:keepLines w:val="0"/>
        <w:pageBreakBefore w:val="0"/>
        <w:kinsoku/>
        <w:wordWrap/>
        <w:overflowPunct/>
        <w:topLinePunct w:val="0"/>
        <w:bidi w:val="0"/>
        <w:spacing w:line="30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承包人向发包人移交工程的期限：</w:t>
      </w:r>
      <w:r>
        <w:rPr>
          <w:rFonts w:hint="eastAsia" w:ascii="宋体" w:hAnsi="宋体" w:eastAsia="宋体" w:cs="宋体"/>
          <w:b/>
          <w:bCs/>
          <w:color w:val="auto"/>
          <w:kern w:val="0"/>
          <w:sz w:val="24"/>
          <w:szCs w:val="24"/>
          <w:highlight w:val="none"/>
          <w:u w:val="single"/>
        </w:rPr>
        <w:t>在颁发工程接收证书后15个有效工作日内完成工程的移交</w:t>
      </w:r>
      <w:r>
        <w:rPr>
          <w:rFonts w:hint="eastAsia" w:ascii="宋体" w:hAnsi="宋体" w:eastAsia="宋体" w:cs="宋体"/>
          <w:color w:val="auto"/>
          <w:sz w:val="24"/>
          <w:szCs w:val="24"/>
          <w:highlight w:val="none"/>
        </w:rPr>
        <w:t>。</w:t>
      </w:r>
    </w:p>
    <w:p w14:paraId="5B3065A3">
      <w:pPr>
        <w:keepNext w:val="0"/>
        <w:keepLines w:val="0"/>
        <w:pageBreakBefore w:val="0"/>
        <w:kinsoku/>
        <w:wordWrap/>
        <w:overflowPunct/>
        <w:topLinePunct w:val="0"/>
        <w:bidi w:val="0"/>
        <w:spacing w:line="300" w:lineRule="auto"/>
        <w:ind w:firstLine="480" w:firstLineChars="200"/>
        <w:jc w:val="left"/>
        <w:textAlignment w:val="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发包人未按本合同约定接收全部或部分工程的，违约金的计算方法为：</w:t>
      </w:r>
      <w:r>
        <w:rPr>
          <w:rFonts w:hint="eastAsia" w:ascii="宋体" w:hAnsi="宋体" w:eastAsia="宋体" w:cs="宋体"/>
          <w:b/>
          <w:bCs/>
          <w:color w:val="auto"/>
          <w:kern w:val="0"/>
          <w:sz w:val="24"/>
          <w:szCs w:val="24"/>
          <w:highlight w:val="none"/>
          <w:u w:val="single"/>
        </w:rPr>
        <w:t>每逾期接受一天，应以签约合同价为基数，按照中国人民银行发布的同期同类贷款基准利率支付违约金</w:t>
      </w:r>
      <w:r>
        <w:rPr>
          <w:rFonts w:hint="eastAsia" w:ascii="宋体" w:hAnsi="宋体" w:cs="宋体"/>
          <w:b/>
          <w:bCs/>
          <w:color w:val="auto"/>
          <w:kern w:val="0"/>
          <w:sz w:val="24"/>
          <w:szCs w:val="24"/>
          <w:highlight w:val="none"/>
          <w:u w:val="single"/>
          <w:lang w:eastAsia="zh-CN"/>
        </w:rPr>
        <w:t>。</w:t>
      </w:r>
    </w:p>
    <w:p w14:paraId="319B1936">
      <w:pPr>
        <w:keepNext w:val="0"/>
        <w:keepLines w:val="0"/>
        <w:pageBreakBefore w:val="0"/>
        <w:kinsoku/>
        <w:wordWrap/>
        <w:overflowPunct/>
        <w:topLinePunct w:val="0"/>
        <w:bidi w:val="0"/>
        <w:spacing w:line="30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承包人未按时移交工程的，违约金的计算方法为：</w:t>
      </w:r>
      <w:r>
        <w:rPr>
          <w:rFonts w:hint="eastAsia" w:ascii="宋体" w:hAnsi="宋体" w:eastAsia="宋体" w:cs="宋体"/>
          <w:b/>
          <w:bCs/>
          <w:color w:val="auto"/>
          <w:kern w:val="0"/>
          <w:sz w:val="24"/>
          <w:szCs w:val="24"/>
          <w:highlight w:val="none"/>
          <w:u w:val="single"/>
        </w:rPr>
        <w:t>每逾期移交一天，应以签约合同价为基数，按照中国人民银行发布的同期同类贷款基准利率支付违约金</w:t>
      </w:r>
      <w:r>
        <w:rPr>
          <w:rFonts w:hint="eastAsia" w:ascii="宋体" w:hAnsi="宋体" w:eastAsia="宋体" w:cs="宋体"/>
          <w:color w:val="auto"/>
          <w:sz w:val="24"/>
          <w:szCs w:val="24"/>
          <w:highlight w:val="none"/>
          <w:u w:val="single"/>
        </w:rPr>
        <w:t>。</w:t>
      </w:r>
    </w:p>
    <w:p w14:paraId="22C13605">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13.3 工程试车</w:t>
      </w:r>
    </w:p>
    <w:p w14:paraId="3F55CDE1">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13.3.1 试车程序</w:t>
      </w:r>
    </w:p>
    <w:p w14:paraId="1EEBCDC6">
      <w:pPr>
        <w:keepNext w:val="0"/>
        <w:keepLines w:val="0"/>
        <w:pageBreakBefore w:val="0"/>
        <w:kinsoku/>
        <w:wordWrap/>
        <w:overflowPunct/>
        <w:topLinePunct w:val="0"/>
        <w:bidi w:val="0"/>
        <w:spacing w:line="312" w:lineRule="auto"/>
        <w:ind w:firstLine="480" w:firstLineChars="200"/>
        <w:textAlignment w:val="auto"/>
        <w:rPr>
          <w:rFonts w:hint="eastAsia" w:ascii="宋体" w:hAnsi="宋体" w:eastAsia="宋体" w:cs="宋体"/>
          <w:color w:val="auto"/>
          <w:kern w:val="0"/>
          <w:sz w:val="24"/>
          <w:szCs w:val="32"/>
          <w:highlight w:val="none"/>
        </w:rPr>
      </w:pPr>
      <w:r>
        <w:rPr>
          <w:rFonts w:hint="eastAsia" w:ascii="宋体" w:hAnsi="宋体" w:eastAsia="宋体" w:cs="宋体"/>
          <w:color w:val="auto"/>
          <w:kern w:val="0"/>
          <w:sz w:val="24"/>
          <w:szCs w:val="32"/>
          <w:highlight w:val="none"/>
        </w:rPr>
        <w:t>工程试车内容：</w:t>
      </w:r>
      <w:r>
        <w:rPr>
          <w:rFonts w:hint="eastAsia" w:ascii="宋体" w:hAnsi="宋体" w:eastAsia="宋体" w:cs="宋体"/>
          <w:color w:val="auto"/>
          <w:sz w:val="24"/>
          <w:szCs w:val="32"/>
          <w:highlight w:val="none"/>
          <w:u w:val="single"/>
        </w:rPr>
        <w:t xml:space="preserve">  </w:t>
      </w:r>
      <w:r>
        <w:rPr>
          <w:rFonts w:hint="eastAsia" w:ascii="宋体" w:hAnsi="宋体" w:eastAsia="宋体" w:cs="宋体"/>
          <w:b/>
          <w:color w:val="auto"/>
          <w:sz w:val="24"/>
          <w:szCs w:val="32"/>
          <w:highlight w:val="none"/>
          <w:u w:val="single"/>
          <w:lang w:val="en-US" w:eastAsia="zh-CN"/>
        </w:rPr>
        <w:t>/</w:t>
      </w:r>
      <w:r>
        <w:rPr>
          <w:rFonts w:hint="eastAsia" w:ascii="宋体" w:hAnsi="宋体" w:eastAsia="宋体" w:cs="宋体"/>
          <w:color w:val="auto"/>
          <w:sz w:val="24"/>
          <w:szCs w:val="32"/>
          <w:highlight w:val="none"/>
          <w:u w:val="single"/>
        </w:rPr>
        <w:t xml:space="preserve">  </w:t>
      </w:r>
      <w:r>
        <w:rPr>
          <w:rFonts w:hint="eastAsia" w:ascii="宋体" w:hAnsi="宋体" w:eastAsia="宋体" w:cs="宋体"/>
          <w:color w:val="auto"/>
          <w:sz w:val="24"/>
          <w:szCs w:val="32"/>
          <w:highlight w:val="none"/>
        </w:rPr>
        <w:t>。</w:t>
      </w:r>
    </w:p>
    <w:p w14:paraId="09066A3C">
      <w:pPr>
        <w:keepNext w:val="0"/>
        <w:keepLines w:val="0"/>
        <w:pageBreakBefore w:val="0"/>
        <w:kinsoku/>
        <w:wordWrap/>
        <w:overflowPunct/>
        <w:topLinePunct w:val="0"/>
        <w:bidi w:val="0"/>
        <w:spacing w:line="312" w:lineRule="auto"/>
        <w:ind w:firstLine="480" w:firstLineChars="200"/>
        <w:textAlignment w:val="auto"/>
        <w:rPr>
          <w:rFonts w:hint="eastAsia" w:ascii="宋体" w:hAnsi="宋体" w:eastAsia="宋体" w:cs="宋体"/>
          <w:color w:val="auto"/>
          <w:kern w:val="0"/>
          <w:sz w:val="24"/>
          <w:szCs w:val="32"/>
          <w:highlight w:val="none"/>
        </w:rPr>
      </w:pPr>
      <w:r>
        <w:rPr>
          <w:rFonts w:hint="eastAsia" w:ascii="宋体" w:hAnsi="宋体" w:eastAsia="宋体" w:cs="宋体"/>
          <w:color w:val="auto"/>
          <w:kern w:val="0"/>
          <w:sz w:val="24"/>
          <w:szCs w:val="32"/>
          <w:highlight w:val="none"/>
        </w:rPr>
        <w:t>（1）单机无负荷试车费用由</w:t>
      </w:r>
      <w:r>
        <w:rPr>
          <w:rFonts w:hint="eastAsia" w:ascii="宋体" w:hAnsi="宋体" w:eastAsia="宋体" w:cs="宋体"/>
          <w:color w:val="auto"/>
          <w:sz w:val="24"/>
          <w:szCs w:val="32"/>
          <w:highlight w:val="none"/>
          <w:u w:val="single"/>
        </w:rPr>
        <w:t xml:space="preserve">      /    </w:t>
      </w:r>
      <w:r>
        <w:rPr>
          <w:rFonts w:hint="eastAsia" w:ascii="宋体" w:hAnsi="宋体" w:eastAsia="宋体" w:cs="宋体"/>
          <w:color w:val="auto"/>
          <w:kern w:val="0"/>
          <w:sz w:val="24"/>
          <w:szCs w:val="32"/>
          <w:highlight w:val="none"/>
        </w:rPr>
        <w:t>承担；</w:t>
      </w:r>
    </w:p>
    <w:p w14:paraId="1E768AA7">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kern w:val="0"/>
          <w:sz w:val="24"/>
          <w:szCs w:val="32"/>
          <w:highlight w:val="none"/>
        </w:rPr>
      </w:pPr>
      <w:r>
        <w:rPr>
          <w:rFonts w:hint="eastAsia" w:ascii="宋体" w:hAnsi="宋体" w:eastAsia="宋体" w:cs="宋体"/>
          <w:color w:val="auto"/>
          <w:kern w:val="0"/>
          <w:sz w:val="24"/>
          <w:szCs w:val="32"/>
          <w:highlight w:val="none"/>
        </w:rPr>
        <w:t>（2）无负荷联动试车费用由</w:t>
      </w:r>
      <w:r>
        <w:rPr>
          <w:rFonts w:hint="eastAsia" w:ascii="宋体" w:hAnsi="宋体" w:eastAsia="宋体" w:cs="宋体"/>
          <w:color w:val="auto"/>
          <w:sz w:val="24"/>
          <w:szCs w:val="32"/>
          <w:highlight w:val="none"/>
          <w:u w:val="single"/>
        </w:rPr>
        <w:t xml:space="preserve">     /    </w:t>
      </w:r>
      <w:r>
        <w:rPr>
          <w:rFonts w:hint="eastAsia" w:ascii="宋体" w:hAnsi="宋体" w:eastAsia="宋体" w:cs="宋体"/>
          <w:color w:val="auto"/>
          <w:kern w:val="0"/>
          <w:sz w:val="24"/>
          <w:szCs w:val="32"/>
          <w:highlight w:val="none"/>
        </w:rPr>
        <w:t>承担。</w:t>
      </w:r>
    </w:p>
    <w:p w14:paraId="6FC9CF10">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13.3.3 投料试车</w:t>
      </w:r>
    </w:p>
    <w:p w14:paraId="7D6B34CD">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关于投料试车相关事项的约定：</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48B08BEF">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13.6 竣工退场</w:t>
      </w:r>
    </w:p>
    <w:p w14:paraId="1BFA0F81">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13.6.1 竣工退场</w:t>
      </w:r>
    </w:p>
    <w:p w14:paraId="7CD1445A">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承包人完成竣工退场的期限：</w:t>
      </w:r>
      <w:r>
        <w:rPr>
          <w:rFonts w:hint="eastAsia" w:ascii="宋体" w:hAnsi="宋体" w:eastAsia="宋体" w:cs="宋体"/>
          <w:b/>
          <w:bCs/>
          <w:color w:val="auto"/>
          <w:sz w:val="24"/>
          <w:szCs w:val="24"/>
          <w:highlight w:val="none"/>
          <w:u w:val="single"/>
        </w:rPr>
        <w:t>执行通用条款13.6.1条</w:t>
      </w:r>
      <w:r>
        <w:rPr>
          <w:rFonts w:hint="eastAsia" w:ascii="宋体" w:hAnsi="宋体" w:eastAsia="宋体" w:cs="宋体"/>
          <w:color w:val="auto"/>
          <w:kern w:val="0"/>
          <w:sz w:val="24"/>
          <w:szCs w:val="24"/>
          <w:highlight w:val="none"/>
        </w:rPr>
        <w:t>。</w:t>
      </w:r>
    </w:p>
    <w:p w14:paraId="1898E516">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 竣工结算</w:t>
      </w:r>
    </w:p>
    <w:p w14:paraId="25AE7D4B">
      <w:pPr>
        <w:keepNext w:val="0"/>
        <w:keepLines w:val="0"/>
        <w:pageBreakBefore w:val="0"/>
        <w:widowControl w:val="0"/>
        <w:kinsoku/>
        <w:wordWrap/>
        <w:overflowPunct/>
        <w:topLinePunct w:val="0"/>
        <w:autoSpaceDE/>
        <w:autoSpaceDN/>
        <w:bidi w:val="0"/>
        <w:adjustRightInd/>
        <w:snapToGrid/>
        <w:spacing w:line="300" w:lineRule="auto"/>
        <w:ind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 竣工付款申请</w:t>
      </w:r>
    </w:p>
    <w:p w14:paraId="64C850F5">
      <w:pPr>
        <w:keepNext w:val="0"/>
        <w:keepLines w:val="0"/>
        <w:pageBreakBefore w:val="0"/>
        <w:widowControl w:val="0"/>
        <w:kinsoku/>
        <w:wordWrap/>
        <w:overflowPunct/>
        <w:topLinePunct w:val="0"/>
        <w:autoSpaceDE/>
        <w:autoSpaceDN/>
        <w:bidi w:val="0"/>
        <w:adjustRightInd/>
        <w:snapToGrid/>
        <w:spacing w:line="300" w:lineRule="auto"/>
        <w:ind w:firstLine="480" w:firstLineChars="200"/>
        <w:contextualSpacing/>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承包人提交竣工付款申请单的期限：</w:t>
      </w:r>
      <w:r>
        <w:rPr>
          <w:rFonts w:hint="eastAsia" w:ascii="宋体" w:hAnsi="宋体" w:eastAsia="宋体" w:cs="宋体"/>
          <w:b/>
          <w:bCs/>
          <w:color w:val="auto"/>
          <w:sz w:val="24"/>
          <w:szCs w:val="24"/>
          <w:highlight w:val="none"/>
          <w:u w:val="single"/>
        </w:rPr>
        <w:t>竣工结算审定后</w:t>
      </w:r>
      <w:r>
        <w:rPr>
          <w:rFonts w:hint="eastAsia" w:ascii="宋体" w:hAnsi="宋体" w:eastAsia="宋体" w:cs="宋体"/>
          <w:b/>
          <w:bCs/>
          <w:color w:val="auto"/>
          <w:sz w:val="24"/>
          <w:szCs w:val="24"/>
          <w:highlight w:val="none"/>
          <w:u w:val="single"/>
          <w:lang w:val="en-US" w:eastAsia="zh-CN"/>
        </w:rPr>
        <w:t>15</w:t>
      </w:r>
      <w:r>
        <w:rPr>
          <w:rFonts w:hint="eastAsia" w:ascii="宋体" w:hAnsi="宋体" w:eastAsia="宋体" w:cs="宋体"/>
          <w:b/>
          <w:bCs/>
          <w:color w:val="auto"/>
          <w:sz w:val="24"/>
          <w:szCs w:val="24"/>
          <w:highlight w:val="none"/>
          <w:u w:val="single"/>
        </w:rPr>
        <w:t>日内提交</w:t>
      </w:r>
      <w:r>
        <w:rPr>
          <w:rFonts w:hint="eastAsia" w:ascii="宋体" w:hAnsi="宋体" w:eastAsia="宋体" w:cs="宋体"/>
          <w:color w:val="auto"/>
          <w:sz w:val="24"/>
          <w:szCs w:val="24"/>
          <w:highlight w:val="none"/>
        </w:rPr>
        <w:t>。</w:t>
      </w:r>
    </w:p>
    <w:p w14:paraId="3EB86CBD">
      <w:pPr>
        <w:keepNext w:val="0"/>
        <w:keepLines w:val="0"/>
        <w:pageBreakBefore w:val="0"/>
        <w:widowControl w:val="0"/>
        <w:kinsoku/>
        <w:wordWrap/>
        <w:overflowPunct/>
        <w:topLinePunct w:val="0"/>
        <w:autoSpaceDE/>
        <w:autoSpaceDN/>
        <w:bidi w:val="0"/>
        <w:adjustRightInd/>
        <w:snapToGrid/>
        <w:spacing w:line="300" w:lineRule="auto"/>
        <w:ind w:firstLine="480" w:firstLineChars="200"/>
        <w:contextualSpacing/>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竣工付款申请单应包括的内容：</w:t>
      </w:r>
      <w:r>
        <w:rPr>
          <w:rFonts w:hint="eastAsia" w:ascii="宋体" w:hAnsi="宋体" w:eastAsia="宋体" w:cs="宋体"/>
          <w:b/>
          <w:bCs/>
          <w:color w:val="auto"/>
          <w:sz w:val="24"/>
          <w:szCs w:val="24"/>
          <w:highlight w:val="none"/>
          <w:u w:val="single"/>
        </w:rPr>
        <w:t>按通用条款14.1条规定并按嘉善县工程结算审核相关规定提交完整的结算资料。</w:t>
      </w:r>
    </w:p>
    <w:p w14:paraId="177FAB27">
      <w:pPr>
        <w:keepNext w:val="0"/>
        <w:keepLines w:val="0"/>
        <w:pageBreakBefore w:val="0"/>
        <w:widowControl w:val="0"/>
        <w:kinsoku/>
        <w:wordWrap/>
        <w:overflowPunct/>
        <w:topLinePunct w:val="0"/>
        <w:autoSpaceDE/>
        <w:autoSpaceDN/>
        <w:bidi w:val="0"/>
        <w:adjustRightInd/>
        <w:snapToGrid/>
        <w:spacing w:line="300" w:lineRule="auto"/>
        <w:ind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 竣工结算审核</w:t>
      </w:r>
    </w:p>
    <w:p w14:paraId="427B2890">
      <w:pPr>
        <w:keepNext w:val="0"/>
        <w:keepLines w:val="0"/>
        <w:pageBreakBefore w:val="0"/>
        <w:widowControl w:val="0"/>
        <w:kinsoku/>
        <w:wordWrap/>
        <w:overflowPunct/>
        <w:topLinePunct w:val="0"/>
        <w:autoSpaceDE/>
        <w:autoSpaceDN/>
        <w:bidi w:val="0"/>
        <w:adjustRightInd/>
        <w:snapToGrid/>
        <w:spacing w:line="300" w:lineRule="auto"/>
        <w:ind w:firstLine="480" w:firstLineChars="200"/>
        <w:contextualSpacing/>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发包人审批竣工付款申请单的期限：</w:t>
      </w:r>
      <w:r>
        <w:rPr>
          <w:rFonts w:hint="eastAsia" w:ascii="宋体" w:hAnsi="宋体" w:eastAsia="宋体" w:cs="宋体"/>
          <w:color w:val="auto"/>
          <w:sz w:val="24"/>
          <w:szCs w:val="24"/>
          <w:highlight w:val="none"/>
          <w:u w:val="single"/>
        </w:rPr>
        <w:t>双方就竣工结算审核及竣工付款申请单审批协商一致同意以下内容：</w:t>
      </w:r>
    </w:p>
    <w:p w14:paraId="7CF2799D">
      <w:pPr>
        <w:keepNext w:val="0"/>
        <w:keepLines w:val="0"/>
        <w:pageBreakBefore w:val="0"/>
        <w:widowControl w:val="0"/>
        <w:numPr>
          <w:ilvl w:val="0"/>
          <w:numId w:val="6"/>
        </w:numPr>
        <w:kinsoku/>
        <w:wordWrap/>
        <w:overflowPunct/>
        <w:topLinePunct w:val="0"/>
        <w:autoSpaceDE/>
        <w:autoSpaceDN/>
        <w:bidi w:val="0"/>
        <w:adjustRightInd/>
        <w:snapToGrid/>
        <w:spacing w:line="300" w:lineRule="auto"/>
        <w:ind w:firstLine="480" w:firstLineChars="200"/>
        <w:contextualSpacing/>
        <w:jc w:val="both"/>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承包人在工程竣工</w:t>
      </w:r>
      <w:r>
        <w:rPr>
          <w:rFonts w:hint="eastAsia" w:ascii="宋体" w:hAnsi="宋体" w:eastAsia="宋体" w:cs="宋体"/>
          <w:color w:val="auto"/>
          <w:sz w:val="24"/>
          <w:szCs w:val="24"/>
          <w:highlight w:val="none"/>
          <w:u w:val="single"/>
          <w:lang w:val="en-US" w:eastAsia="zh-CN"/>
        </w:rPr>
        <w:t>结算审定后十五</w:t>
      </w:r>
      <w:r>
        <w:rPr>
          <w:rFonts w:hint="eastAsia" w:ascii="宋体" w:hAnsi="宋体" w:eastAsia="宋体" w:cs="宋体"/>
          <w:color w:val="auto"/>
          <w:sz w:val="24"/>
          <w:szCs w:val="24"/>
          <w:highlight w:val="none"/>
          <w:u w:val="single"/>
        </w:rPr>
        <w:t>天内向发包人提交</w:t>
      </w:r>
      <w:r>
        <w:rPr>
          <w:rFonts w:hint="eastAsia" w:ascii="宋体" w:hAnsi="宋体" w:eastAsia="宋体" w:cs="宋体"/>
          <w:color w:val="auto"/>
          <w:sz w:val="24"/>
          <w:szCs w:val="24"/>
          <w:highlight w:val="none"/>
          <w:u w:val="single"/>
        </w:rPr>
        <w:t>竣工付款申请单</w:t>
      </w:r>
      <w:r>
        <w:rPr>
          <w:rFonts w:hint="eastAsia" w:ascii="宋体" w:hAnsi="宋体" w:eastAsia="宋体" w:cs="宋体"/>
          <w:color w:val="auto"/>
          <w:sz w:val="24"/>
          <w:szCs w:val="24"/>
          <w:highlight w:val="none"/>
          <w:u w:val="single"/>
        </w:rPr>
        <w:t>和完整的工程竣工结算资料，发包人应在28日内对资料的有效性和完整性进行核对。双方核对完成后，签署《竣工结算资料有效和完整移交确认书》。</w:t>
      </w:r>
    </w:p>
    <w:p w14:paraId="79841601">
      <w:pPr>
        <w:keepNext w:val="0"/>
        <w:keepLines w:val="0"/>
        <w:pageBreakBefore w:val="0"/>
        <w:widowControl w:val="0"/>
        <w:kinsoku/>
        <w:wordWrap/>
        <w:overflowPunct/>
        <w:topLinePunct w:val="0"/>
        <w:autoSpaceDE/>
        <w:autoSpaceDN/>
        <w:bidi w:val="0"/>
        <w:adjustRightInd/>
        <w:snapToGrid/>
        <w:spacing w:line="300" w:lineRule="auto"/>
        <w:ind w:firstLine="480" w:firstLineChars="200"/>
        <w:contextualSpacing/>
        <w:jc w:val="both"/>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b w:val="0"/>
          <w:bCs w:val="0"/>
          <w:color w:val="auto"/>
          <w:kern w:val="2"/>
          <w:sz w:val="24"/>
          <w:szCs w:val="24"/>
          <w:highlight w:val="none"/>
          <w:u w:val="single"/>
          <w:lang w:val="en-US" w:eastAsia="zh-CN" w:bidi="ar-SA"/>
        </w:rPr>
        <w:t>（2）</w:t>
      </w:r>
      <w:r>
        <w:rPr>
          <w:rFonts w:hint="eastAsia" w:ascii="宋体" w:hAnsi="宋体" w:eastAsia="宋体" w:cs="宋体"/>
          <w:color w:val="auto"/>
          <w:sz w:val="24"/>
          <w:szCs w:val="24"/>
          <w:highlight w:val="none"/>
          <w:u w:val="single"/>
          <w:lang w:val="en-US" w:eastAsia="zh-CN"/>
        </w:rPr>
        <w:t>承包人送审的结算由业主委托中介咨询机构审核，工程结算审核基本收费（5%以内的核减额）由发包人支付，超过5%以外的核减核增额及全部核增额的追加费用（按浙江省建设工程造价咨询服务基准收费标准计算）由承包人支付，如承包人在中介咨询机构出具审核报告前未支付此费用给咨询机构，承包人则同意由发包人从应支付给承包人的工程款中扣除直接支付给咨询机构。</w:t>
      </w:r>
    </w:p>
    <w:p w14:paraId="568E042E">
      <w:pPr>
        <w:keepNext w:val="0"/>
        <w:keepLines w:val="0"/>
        <w:pageBreakBefore w:val="0"/>
        <w:widowControl w:val="0"/>
        <w:kinsoku/>
        <w:wordWrap/>
        <w:overflowPunct/>
        <w:topLinePunct w:val="0"/>
        <w:autoSpaceDE/>
        <w:autoSpaceDN/>
        <w:bidi w:val="0"/>
        <w:adjustRightInd/>
        <w:snapToGrid/>
        <w:spacing w:line="300" w:lineRule="auto"/>
        <w:ind w:firstLine="480" w:firstLineChars="200"/>
        <w:contextualSpacing/>
        <w:jc w:val="left"/>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u w:val="none"/>
          <w:lang w:val="en-US" w:eastAsia="zh-CN"/>
        </w:rPr>
        <w:t>发包人完成竣工付款的期限：</w:t>
      </w:r>
      <w:r>
        <w:rPr>
          <w:rFonts w:hint="eastAsia" w:ascii="宋体" w:hAnsi="宋体" w:eastAsia="宋体" w:cs="宋体"/>
          <w:color w:val="auto"/>
          <w:sz w:val="24"/>
          <w:szCs w:val="24"/>
          <w:highlight w:val="none"/>
          <w:u w:val="single"/>
          <w:lang w:val="en-US" w:eastAsia="zh-CN"/>
        </w:rPr>
        <w:t>30天。</w:t>
      </w:r>
    </w:p>
    <w:p w14:paraId="5BB77ED0">
      <w:pPr>
        <w:keepNext w:val="0"/>
        <w:keepLines w:val="0"/>
        <w:pageBreakBefore w:val="0"/>
        <w:widowControl w:val="0"/>
        <w:kinsoku/>
        <w:wordWrap/>
        <w:overflowPunct/>
        <w:topLinePunct w:val="0"/>
        <w:autoSpaceDE/>
        <w:autoSpaceDN/>
        <w:bidi w:val="0"/>
        <w:adjustRightInd/>
        <w:snapToGrid/>
        <w:spacing w:line="300" w:lineRule="auto"/>
        <w:ind w:firstLine="480" w:firstLineChars="200"/>
        <w:contextualSpacing/>
        <w:jc w:val="left"/>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u w:val="none"/>
          <w:lang w:val="en-US" w:eastAsia="zh-CN"/>
        </w:rPr>
        <w:t>关于竣工付款证书异议部分复核的方式和程序：</w:t>
      </w:r>
      <w:r>
        <w:rPr>
          <w:rFonts w:hint="eastAsia" w:ascii="宋体" w:hAnsi="宋体" w:eastAsia="宋体" w:cs="宋体"/>
          <w:color w:val="auto"/>
          <w:sz w:val="24"/>
          <w:szCs w:val="24"/>
          <w:highlight w:val="none"/>
          <w:u w:val="single"/>
          <w:lang w:val="en-US" w:eastAsia="zh-CN"/>
        </w:rPr>
        <w:t xml:space="preserve">  /       </w:t>
      </w:r>
    </w:p>
    <w:p w14:paraId="26463B54">
      <w:pPr>
        <w:keepNext w:val="0"/>
        <w:keepLines w:val="0"/>
        <w:pageBreakBefore w:val="0"/>
        <w:widowControl w:val="0"/>
        <w:kinsoku/>
        <w:wordWrap/>
        <w:overflowPunct/>
        <w:topLinePunct w:val="0"/>
        <w:autoSpaceDE/>
        <w:autoSpaceDN/>
        <w:bidi w:val="0"/>
        <w:adjustRightInd/>
        <w:snapToGrid/>
        <w:spacing w:line="300" w:lineRule="auto"/>
        <w:ind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14.4 最终结清</w:t>
      </w:r>
    </w:p>
    <w:p w14:paraId="23CB54F6">
      <w:pPr>
        <w:keepNext w:val="0"/>
        <w:keepLines w:val="0"/>
        <w:pageBreakBefore w:val="0"/>
        <w:widowControl w:val="0"/>
        <w:kinsoku/>
        <w:wordWrap/>
        <w:overflowPunct/>
        <w:topLinePunct w:val="0"/>
        <w:autoSpaceDE/>
        <w:autoSpaceDN/>
        <w:bidi w:val="0"/>
        <w:adjustRightInd/>
        <w:snapToGrid/>
        <w:spacing w:line="300" w:lineRule="auto"/>
        <w:ind w:firstLine="480" w:firstLineChars="200"/>
        <w:contextualSpacing/>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14.4.1 最终结清申请单</w:t>
      </w:r>
    </w:p>
    <w:p w14:paraId="672C3EC2">
      <w:pPr>
        <w:keepNext w:val="0"/>
        <w:keepLines w:val="0"/>
        <w:pageBreakBefore w:val="0"/>
        <w:widowControl w:val="0"/>
        <w:kinsoku/>
        <w:wordWrap/>
        <w:overflowPunct/>
        <w:topLinePunct w:val="0"/>
        <w:autoSpaceDE/>
        <w:autoSpaceDN/>
        <w:bidi w:val="0"/>
        <w:adjustRightInd/>
        <w:snapToGrid/>
        <w:spacing w:line="300" w:lineRule="auto"/>
        <w:ind w:firstLine="480" w:firstLineChars="200"/>
        <w:contextualSpacing/>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承包人提交最终结清申请单的份数：</w:t>
      </w:r>
      <w:r>
        <w:rPr>
          <w:rFonts w:hint="eastAsia" w:ascii="宋体" w:hAnsi="宋体" w:eastAsia="宋体" w:cs="宋体"/>
          <w:color w:val="auto"/>
          <w:sz w:val="24"/>
          <w:szCs w:val="24"/>
          <w:highlight w:val="none"/>
          <w:u w:val="single"/>
        </w:rPr>
        <w:t>三份</w:t>
      </w:r>
      <w:r>
        <w:rPr>
          <w:rFonts w:hint="eastAsia" w:ascii="宋体" w:hAnsi="宋体" w:eastAsia="宋体" w:cs="宋体"/>
          <w:color w:val="auto"/>
          <w:sz w:val="24"/>
          <w:szCs w:val="24"/>
          <w:highlight w:val="none"/>
        </w:rPr>
        <w:t>。</w:t>
      </w:r>
    </w:p>
    <w:p w14:paraId="617104D3">
      <w:pPr>
        <w:keepNext w:val="0"/>
        <w:keepLines w:val="0"/>
        <w:pageBreakBefore w:val="0"/>
        <w:widowControl w:val="0"/>
        <w:kinsoku/>
        <w:wordWrap/>
        <w:overflowPunct/>
        <w:topLinePunct w:val="0"/>
        <w:autoSpaceDE/>
        <w:autoSpaceDN/>
        <w:bidi w:val="0"/>
        <w:adjustRightInd/>
        <w:snapToGrid/>
        <w:spacing w:line="300" w:lineRule="auto"/>
        <w:ind w:firstLine="480" w:firstLineChars="200"/>
        <w:contextualSpacing/>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承包人提交最终结算申请单的期限：</w:t>
      </w:r>
      <w:r>
        <w:rPr>
          <w:rFonts w:hint="eastAsia" w:ascii="宋体" w:hAnsi="宋体" w:eastAsia="宋体" w:cs="宋体"/>
          <w:color w:val="auto"/>
          <w:sz w:val="24"/>
          <w:szCs w:val="24"/>
          <w:highlight w:val="none"/>
          <w:u w:val="single"/>
        </w:rPr>
        <w:t>缺陷责任期终止证书颁发后7天内</w:t>
      </w:r>
      <w:r>
        <w:rPr>
          <w:rFonts w:hint="eastAsia" w:ascii="宋体" w:hAnsi="宋体" w:eastAsia="宋体" w:cs="宋体"/>
          <w:color w:val="auto"/>
          <w:sz w:val="24"/>
          <w:szCs w:val="24"/>
          <w:highlight w:val="none"/>
        </w:rPr>
        <w:t xml:space="preserve">。 </w:t>
      </w:r>
    </w:p>
    <w:p w14:paraId="7933918C">
      <w:pPr>
        <w:keepNext w:val="0"/>
        <w:keepLines w:val="0"/>
        <w:pageBreakBefore w:val="0"/>
        <w:widowControl w:val="0"/>
        <w:kinsoku/>
        <w:wordWrap/>
        <w:overflowPunct/>
        <w:topLinePunct w:val="0"/>
        <w:autoSpaceDE/>
        <w:autoSpaceDN/>
        <w:bidi w:val="0"/>
        <w:adjustRightInd/>
        <w:snapToGrid/>
        <w:spacing w:line="300" w:lineRule="auto"/>
        <w:ind w:firstLine="480" w:firstLineChars="200"/>
        <w:contextualSpacing/>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14.4.2 最终结清证书和支付</w:t>
      </w:r>
    </w:p>
    <w:p w14:paraId="6EF11D08">
      <w:pPr>
        <w:keepNext w:val="0"/>
        <w:keepLines w:val="0"/>
        <w:pageBreakBefore w:val="0"/>
        <w:widowControl w:val="0"/>
        <w:kinsoku/>
        <w:wordWrap/>
        <w:overflowPunct/>
        <w:topLinePunct w:val="0"/>
        <w:autoSpaceDE/>
        <w:autoSpaceDN/>
        <w:bidi w:val="0"/>
        <w:adjustRightInd/>
        <w:snapToGrid/>
        <w:spacing w:line="300" w:lineRule="auto"/>
        <w:ind w:firstLine="480" w:firstLineChars="200"/>
        <w:contextualSpacing/>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（1）发包人完成最终结清申请单的审批并颁发最终结清证书的期限：</w:t>
      </w:r>
      <w:r>
        <w:rPr>
          <w:rFonts w:hint="eastAsia" w:ascii="宋体" w:hAnsi="宋体" w:eastAsia="宋体" w:cs="宋体"/>
          <w:b/>
          <w:bCs/>
          <w:color w:val="auto"/>
          <w:sz w:val="24"/>
          <w:szCs w:val="24"/>
          <w:highlight w:val="none"/>
          <w:u w:val="single"/>
          <w:lang w:val="en-US" w:eastAsia="zh-CN"/>
        </w:rPr>
        <w:t>30</w:t>
      </w:r>
      <w:r>
        <w:rPr>
          <w:rFonts w:hint="eastAsia" w:ascii="宋体" w:hAnsi="宋体" w:eastAsia="宋体" w:cs="宋体"/>
          <w:b/>
          <w:bCs/>
          <w:color w:val="auto"/>
          <w:sz w:val="24"/>
          <w:szCs w:val="24"/>
          <w:highlight w:val="none"/>
          <w:u w:val="single"/>
        </w:rPr>
        <w:t>天</w:t>
      </w:r>
      <w:r>
        <w:rPr>
          <w:rFonts w:hint="eastAsia" w:ascii="宋体" w:hAnsi="宋体" w:eastAsia="宋体" w:cs="宋体"/>
          <w:color w:val="auto"/>
          <w:sz w:val="24"/>
          <w:szCs w:val="24"/>
          <w:highlight w:val="none"/>
        </w:rPr>
        <w:t>。</w:t>
      </w:r>
    </w:p>
    <w:p w14:paraId="3BB62C13">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b/>
          <w:bCs/>
          <w:color w:val="auto"/>
          <w:sz w:val="24"/>
          <w:szCs w:val="24"/>
          <w:highlight w:val="none"/>
          <w:u w:val="single"/>
        </w:rPr>
      </w:pPr>
      <w:r>
        <w:rPr>
          <w:rFonts w:hint="eastAsia" w:ascii="宋体" w:hAnsi="宋体" w:eastAsia="宋体" w:cs="宋体"/>
          <w:color w:val="auto"/>
          <w:sz w:val="24"/>
          <w:szCs w:val="24"/>
          <w:highlight w:val="none"/>
        </w:rPr>
        <w:t>（2）发包人完成支付的期限：</w:t>
      </w:r>
      <w:r>
        <w:rPr>
          <w:rFonts w:hint="eastAsia" w:ascii="宋体" w:hAnsi="宋体" w:eastAsia="宋体" w:cs="宋体"/>
          <w:b/>
          <w:bCs/>
          <w:color w:val="auto"/>
          <w:sz w:val="24"/>
          <w:szCs w:val="24"/>
          <w:highlight w:val="none"/>
          <w:u w:val="single"/>
          <w:lang w:val="en-US" w:eastAsia="zh-CN"/>
        </w:rPr>
        <w:t>30</w:t>
      </w:r>
      <w:r>
        <w:rPr>
          <w:rFonts w:hint="eastAsia" w:ascii="宋体" w:hAnsi="宋体" w:eastAsia="宋体" w:cs="宋体"/>
          <w:b/>
          <w:bCs/>
          <w:color w:val="auto"/>
          <w:sz w:val="24"/>
          <w:szCs w:val="24"/>
          <w:highlight w:val="none"/>
          <w:u w:val="single"/>
        </w:rPr>
        <w:t>天。</w:t>
      </w:r>
    </w:p>
    <w:p w14:paraId="39DD0806">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 缺陷责任期与保修</w:t>
      </w:r>
    </w:p>
    <w:p w14:paraId="660B2009">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15.2缺陷责任期</w:t>
      </w:r>
    </w:p>
    <w:p w14:paraId="165B70A0">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缺陷责任期的具体期限：</w:t>
      </w:r>
      <w:r>
        <w:rPr>
          <w:rFonts w:hint="eastAsia" w:ascii="宋体" w:hAnsi="宋体" w:eastAsia="宋体" w:cs="宋体"/>
          <w:b/>
          <w:bCs/>
          <w:color w:val="auto"/>
          <w:sz w:val="24"/>
          <w:szCs w:val="24"/>
          <w:highlight w:val="none"/>
          <w:u w:val="single"/>
        </w:rPr>
        <w:t>执行通用条款15.2条</w:t>
      </w:r>
      <w:r>
        <w:rPr>
          <w:rFonts w:hint="eastAsia" w:ascii="宋体" w:hAnsi="宋体" w:eastAsia="宋体" w:cs="宋体"/>
          <w:b/>
          <w:bCs/>
          <w:color w:val="auto"/>
          <w:sz w:val="24"/>
          <w:szCs w:val="24"/>
          <w:highlight w:val="none"/>
          <w:u w:val="single"/>
        </w:rPr>
        <w:t>，期限为</w:t>
      </w:r>
      <w:r>
        <w:rPr>
          <w:rFonts w:hint="eastAsia" w:ascii="宋体" w:hAnsi="宋体" w:eastAsia="宋体" w:cs="宋体"/>
          <w:b/>
          <w:bCs/>
          <w:color w:val="auto"/>
          <w:sz w:val="24"/>
          <w:szCs w:val="24"/>
          <w:highlight w:val="none"/>
          <w:u w:val="single"/>
          <w:lang w:val="en-US" w:eastAsia="zh-CN"/>
        </w:rPr>
        <w:t>12</w:t>
      </w:r>
      <w:r>
        <w:rPr>
          <w:rFonts w:hint="eastAsia" w:ascii="宋体" w:hAnsi="宋体" w:eastAsia="宋体" w:cs="宋体"/>
          <w:b/>
          <w:bCs/>
          <w:color w:val="auto"/>
          <w:sz w:val="24"/>
          <w:szCs w:val="24"/>
          <w:highlight w:val="none"/>
          <w:u w:val="single"/>
        </w:rPr>
        <w:t>个月</w:t>
      </w:r>
      <w:r>
        <w:rPr>
          <w:rFonts w:hint="eastAsia" w:ascii="宋体" w:hAnsi="宋体" w:eastAsia="宋体" w:cs="宋体"/>
          <w:color w:val="auto"/>
          <w:sz w:val="24"/>
          <w:szCs w:val="24"/>
          <w:highlight w:val="none"/>
        </w:rPr>
        <w:t xml:space="preserve"> 。</w:t>
      </w:r>
    </w:p>
    <w:p w14:paraId="5DA21584">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 质量保证金</w:t>
      </w:r>
    </w:p>
    <w:p w14:paraId="026F84A2">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关于是否扣留质量保证金的约定：</w:t>
      </w:r>
      <w:r>
        <w:rPr>
          <w:rFonts w:hint="eastAsia" w:ascii="宋体" w:hAnsi="宋体" w:eastAsia="宋体" w:cs="宋体"/>
          <w:color w:val="auto"/>
          <w:sz w:val="24"/>
          <w:szCs w:val="24"/>
          <w:highlight w:val="none"/>
          <w:u w:val="single"/>
        </w:rPr>
        <w:t>是</w:t>
      </w:r>
      <w:r>
        <w:rPr>
          <w:rFonts w:hint="eastAsia" w:ascii="宋体" w:hAnsi="宋体" w:eastAsia="宋体" w:cs="宋体"/>
          <w:color w:val="auto"/>
          <w:sz w:val="24"/>
          <w:szCs w:val="24"/>
          <w:highlight w:val="none"/>
        </w:rPr>
        <w:t>。</w:t>
      </w:r>
    </w:p>
    <w:p w14:paraId="7BA00978">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15.3.1 承包人提供质量保证金的方式</w:t>
      </w:r>
    </w:p>
    <w:p w14:paraId="215470C9">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质量保证金采用以</w:t>
      </w:r>
      <w:r>
        <w:rPr>
          <w:rFonts w:hint="eastAsia" w:ascii="宋体" w:hAnsi="宋体" w:eastAsia="宋体" w:cs="宋体"/>
          <w:color w:val="auto"/>
          <w:sz w:val="24"/>
          <w:szCs w:val="24"/>
          <w:highlight w:val="none"/>
        </w:rPr>
        <w:t>下第</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2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种方式：</w:t>
      </w:r>
    </w:p>
    <w:p w14:paraId="4BA3A2F8">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（1）质量保证金保函，保证金额为：</w:t>
      </w:r>
      <w:r>
        <w:rPr>
          <w:rFonts w:hint="eastAsia" w:ascii="宋体" w:hAnsi="宋体"/>
          <w:b/>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 xml:space="preserve"> ； </w:t>
      </w:r>
    </w:p>
    <w:p w14:paraId="58CC8424">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1.5%</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的工程款；</w:t>
      </w:r>
    </w:p>
    <w:p w14:paraId="156657D2">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（3）其他方式: </w:t>
      </w:r>
      <w:r>
        <w:rPr>
          <w:rFonts w:hint="eastAsia" w:ascii="宋体" w:hAnsi="宋体"/>
          <w:b/>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14:paraId="6CA8715E">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15.3.2 质量保证金的扣留 </w:t>
      </w:r>
    </w:p>
    <w:p w14:paraId="1553E904">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质量保证金的扣留采取以下第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3 </w:t>
      </w:r>
      <w:r>
        <w:rPr>
          <w:rFonts w:hint="eastAsia" w:ascii="宋体" w:hAnsi="宋体" w:eastAsia="宋体" w:cs="宋体"/>
          <w:color w:val="auto"/>
          <w:sz w:val="24"/>
          <w:szCs w:val="24"/>
          <w:highlight w:val="none"/>
        </w:rPr>
        <w:t>种方式：</w:t>
      </w:r>
    </w:p>
    <w:p w14:paraId="42A3C3DC">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（1）在支付工程进度款时逐次扣留，在此情形下，质量保证金的计算基数不包括预付款的支付、扣回以及价格调整的金额；</w:t>
      </w:r>
    </w:p>
    <w:p w14:paraId="7692D14C">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（2）工程竣工结算时一次性扣留质量保证金；</w:t>
      </w:r>
    </w:p>
    <w:p w14:paraId="02AB5C46">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（3）其他扣留方式:</w:t>
      </w:r>
      <w:r>
        <w:rPr>
          <w:rFonts w:hint="eastAsia" w:ascii="宋体" w:hAnsi="宋体" w:eastAsia="宋体" w:cs="宋体"/>
          <w:color w:val="auto"/>
          <w:kern w:val="0"/>
          <w:highlight w:val="none"/>
          <w:u w:val="single"/>
          <w:lang w:val="en-US" w:eastAsia="zh-CN"/>
        </w:rPr>
        <w:t xml:space="preserve"> </w:t>
      </w:r>
      <w:r>
        <w:rPr>
          <w:rFonts w:hint="eastAsia" w:ascii="宋体" w:hAnsi="宋体"/>
          <w:color w:val="auto"/>
          <w:sz w:val="24"/>
          <w:szCs w:val="24"/>
          <w:highlight w:val="none"/>
          <w:u w:val="single"/>
          <w:lang w:val="en-US" w:eastAsia="zh-CN"/>
        </w:rPr>
        <w:t>结算审计完毕后承包人上缴质保金（结算审定价的1.5%）给发包人，</w:t>
      </w:r>
      <w:r>
        <w:rPr>
          <w:color w:val="auto"/>
          <w:sz w:val="24"/>
          <w:szCs w:val="24"/>
          <w:highlight w:val="none"/>
          <w:u w:val="single"/>
        </w:rPr>
        <w:t>质量保证金可以采用银行保函或保险机构保证保险保单或融资担保公司保函的形式</w:t>
      </w:r>
      <w:r>
        <w:rPr>
          <w:rFonts w:hint="eastAsia" w:ascii="宋体" w:hAnsi="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14:paraId="1DA242D1">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b/>
          <w:color w:val="auto"/>
          <w:sz w:val="24"/>
          <w:szCs w:val="24"/>
          <w:highlight w:val="none"/>
          <w:u w:val="single"/>
        </w:rPr>
      </w:pPr>
      <w:r>
        <w:rPr>
          <w:rFonts w:hint="eastAsia" w:ascii="宋体" w:hAnsi="宋体" w:eastAsia="宋体" w:cs="宋体"/>
          <w:color w:val="auto"/>
          <w:sz w:val="24"/>
          <w:szCs w:val="24"/>
          <w:highlight w:val="none"/>
        </w:rPr>
        <w:t>关于质量保证金的补充约定：</w:t>
      </w:r>
      <w:r>
        <w:rPr>
          <w:rFonts w:hint="eastAsia" w:ascii="宋体" w:hAnsi="宋体"/>
          <w:b/>
          <w:color w:val="auto"/>
          <w:sz w:val="24"/>
          <w:szCs w:val="24"/>
          <w:highlight w:val="none"/>
          <w:u w:val="single"/>
        </w:rPr>
        <w:t>工程结算总价的</w:t>
      </w:r>
      <w:r>
        <w:rPr>
          <w:rFonts w:hint="eastAsia" w:ascii="宋体" w:hAnsi="宋体"/>
          <w:b/>
          <w:color w:val="auto"/>
          <w:sz w:val="24"/>
          <w:szCs w:val="24"/>
          <w:highlight w:val="none"/>
          <w:u w:val="single"/>
          <w:lang w:val="en-US" w:eastAsia="zh-CN"/>
        </w:rPr>
        <w:t>1</w:t>
      </w:r>
      <w:r>
        <w:rPr>
          <w:rFonts w:ascii="宋体" w:hAnsi="宋体"/>
          <w:b/>
          <w:color w:val="auto"/>
          <w:sz w:val="24"/>
          <w:szCs w:val="24"/>
          <w:highlight w:val="none"/>
          <w:u w:val="single"/>
        </w:rPr>
        <w:t>.5%</w:t>
      </w:r>
      <w:r>
        <w:rPr>
          <w:rFonts w:hint="eastAsia" w:ascii="宋体" w:hAnsi="宋体"/>
          <w:b/>
          <w:color w:val="auto"/>
          <w:sz w:val="24"/>
          <w:szCs w:val="24"/>
          <w:highlight w:val="none"/>
          <w:u w:val="single"/>
          <w:lang w:val="en-US" w:eastAsia="zh-CN"/>
        </w:rPr>
        <w:t>作为</w:t>
      </w:r>
      <w:r>
        <w:rPr>
          <w:rFonts w:hint="eastAsia" w:ascii="宋体" w:hAnsi="宋体"/>
          <w:b/>
          <w:color w:val="auto"/>
          <w:sz w:val="24"/>
          <w:szCs w:val="24"/>
          <w:highlight w:val="none"/>
          <w:u w:val="single"/>
        </w:rPr>
        <w:t>质保金，至</w:t>
      </w:r>
      <w:r>
        <w:rPr>
          <w:rFonts w:hint="eastAsia" w:ascii="宋体" w:hAnsi="宋体"/>
          <w:b/>
          <w:color w:val="auto"/>
          <w:sz w:val="24"/>
          <w:szCs w:val="24"/>
          <w:highlight w:val="none"/>
          <w:u w:val="single"/>
          <w:lang w:val="en-US" w:eastAsia="zh-CN"/>
        </w:rPr>
        <w:t>缺陷责任期满后</w:t>
      </w:r>
      <w:r>
        <w:rPr>
          <w:rFonts w:hint="eastAsia" w:ascii="宋体" w:hAnsi="宋体"/>
          <w:b/>
          <w:color w:val="auto"/>
          <w:sz w:val="24"/>
          <w:szCs w:val="24"/>
          <w:highlight w:val="none"/>
          <w:u w:val="single"/>
        </w:rPr>
        <w:t>的一个月内退还（无息）</w:t>
      </w:r>
      <w:r>
        <w:rPr>
          <w:rFonts w:hint="eastAsia" w:ascii="宋体" w:hAnsi="宋体" w:eastAsia="宋体" w:cs="宋体"/>
          <w:b/>
          <w:color w:val="auto"/>
          <w:sz w:val="24"/>
          <w:szCs w:val="24"/>
          <w:highlight w:val="none"/>
          <w:u w:val="single"/>
        </w:rPr>
        <w:t>。</w:t>
      </w:r>
    </w:p>
    <w:p w14:paraId="59CF079F">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15.4保修</w:t>
      </w:r>
    </w:p>
    <w:p w14:paraId="7E7DED80">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15.4.1保修责任</w:t>
      </w:r>
    </w:p>
    <w:p w14:paraId="04CB8E5C">
      <w:pPr>
        <w:pStyle w:val="33"/>
        <w:keepNext w:val="0"/>
        <w:keepLines w:val="0"/>
        <w:pageBreakBefore w:val="0"/>
        <w:kinsoku/>
        <w:wordWrap/>
        <w:overflowPunct/>
        <w:topLinePunct w:val="0"/>
        <w:bidi w:val="0"/>
        <w:snapToGrid w:val="0"/>
        <w:spacing w:before="0" w:after="0" w:line="312" w:lineRule="auto"/>
        <w:ind w:left="0" w:right="-6"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工程保修期为：双方根据《建设工程质量管理条例》及有关规定，约定本工程的质量保修期如下：</w:t>
      </w:r>
    </w:p>
    <w:p w14:paraId="3A94AD6B">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地基基础工程和主体结构工程为设计文件规定的该工程合理使用年限；</w:t>
      </w:r>
    </w:p>
    <w:p w14:paraId="488ADFCC">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屋面防水工程、有防水要求的卫生间、房间和外墙面的防渗漏为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5</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 w:val="24"/>
          <w:szCs w:val="24"/>
          <w:highlight w:val="none"/>
        </w:rPr>
        <w:t>年；</w:t>
      </w:r>
    </w:p>
    <w:p w14:paraId="797E7D31">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装修工程为</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2</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sz w:val="24"/>
          <w:szCs w:val="24"/>
          <w:highlight w:val="none"/>
        </w:rPr>
        <w:t>年；</w:t>
      </w:r>
    </w:p>
    <w:p w14:paraId="71388F94">
      <w:pPr>
        <w:pStyle w:val="33"/>
        <w:keepNext w:val="0"/>
        <w:keepLines w:val="0"/>
        <w:pageBreakBefore w:val="0"/>
        <w:kinsoku/>
        <w:wordWrap/>
        <w:overflowPunct/>
        <w:topLinePunct w:val="0"/>
        <w:bidi w:val="0"/>
        <w:snapToGrid w:val="0"/>
        <w:spacing w:before="0" w:after="0" w:line="312" w:lineRule="auto"/>
        <w:ind w:left="0" w:right="-6"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4.</w:t>
      </w:r>
      <w:r>
        <w:rPr>
          <w:rFonts w:hint="eastAsia" w:ascii="宋体" w:hAnsi="宋体" w:eastAsia="宋体" w:cs="宋体"/>
          <w:color w:val="auto"/>
          <w:szCs w:val="24"/>
          <w:highlight w:val="none"/>
        </w:rPr>
        <w:t>电气管线、给排水管道、设备安装工程为</w:t>
      </w:r>
      <w:r>
        <w:rPr>
          <w:rFonts w:hint="eastAsia" w:ascii="宋体" w:hAnsi="宋体" w:eastAsia="宋体" w:cs="宋体"/>
          <w:color w:val="auto"/>
          <w:szCs w:val="24"/>
          <w:highlight w:val="none"/>
          <w:u w:val="single"/>
        </w:rPr>
        <w:t>　</w:t>
      </w:r>
      <w:r>
        <w:rPr>
          <w:rFonts w:hint="eastAsia" w:ascii="宋体" w:hAnsi="宋体" w:eastAsia="宋体" w:cs="宋体"/>
          <w:color w:val="auto"/>
          <w:szCs w:val="24"/>
          <w:highlight w:val="none"/>
          <w:u w:val="single"/>
          <w:lang w:val="en-US" w:eastAsia="zh-CN"/>
        </w:rPr>
        <w:t>2</w:t>
      </w:r>
      <w:r>
        <w:rPr>
          <w:rFonts w:hint="eastAsia" w:ascii="宋体" w:hAnsi="宋体" w:eastAsia="宋体" w:cs="宋体"/>
          <w:color w:val="auto"/>
          <w:szCs w:val="24"/>
          <w:highlight w:val="none"/>
          <w:u w:val="single"/>
        </w:rPr>
        <w:t>　</w:t>
      </w:r>
      <w:r>
        <w:rPr>
          <w:rFonts w:hint="eastAsia" w:ascii="宋体" w:hAnsi="宋体" w:eastAsia="宋体" w:cs="宋体"/>
          <w:color w:val="auto"/>
          <w:szCs w:val="24"/>
          <w:highlight w:val="none"/>
        </w:rPr>
        <w:t>年；</w:t>
      </w:r>
    </w:p>
    <w:p w14:paraId="024E6B21">
      <w:pPr>
        <w:pStyle w:val="33"/>
        <w:keepNext w:val="0"/>
        <w:keepLines w:val="0"/>
        <w:pageBreakBefore w:val="0"/>
        <w:kinsoku/>
        <w:wordWrap/>
        <w:overflowPunct/>
        <w:topLinePunct w:val="0"/>
        <w:bidi w:val="0"/>
        <w:snapToGrid w:val="0"/>
        <w:spacing w:before="0" w:after="0" w:line="312" w:lineRule="auto"/>
        <w:ind w:left="0" w:right="-6"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5.</w:t>
      </w:r>
      <w:r>
        <w:rPr>
          <w:rFonts w:hint="eastAsia" w:ascii="宋体" w:hAnsi="宋体" w:eastAsia="宋体" w:cs="宋体"/>
          <w:color w:val="auto"/>
          <w:szCs w:val="24"/>
          <w:highlight w:val="none"/>
        </w:rPr>
        <w:t>供热与供冷系统为</w:t>
      </w:r>
      <w:r>
        <w:rPr>
          <w:rFonts w:hint="eastAsia" w:ascii="宋体" w:hAnsi="宋体" w:eastAsia="宋体" w:cs="宋体"/>
          <w:color w:val="auto"/>
          <w:szCs w:val="24"/>
          <w:highlight w:val="none"/>
          <w:u w:val="single"/>
          <w:lang w:val="en-US" w:eastAsia="zh-CN"/>
        </w:rPr>
        <w:t xml:space="preserve"> 2</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个采暖期、供冷期；</w:t>
      </w:r>
    </w:p>
    <w:p w14:paraId="67E62444">
      <w:pPr>
        <w:pStyle w:val="33"/>
        <w:keepNext w:val="0"/>
        <w:keepLines w:val="0"/>
        <w:pageBreakBefore w:val="0"/>
        <w:kinsoku/>
        <w:wordWrap/>
        <w:overflowPunct/>
        <w:topLinePunct w:val="0"/>
        <w:bidi w:val="0"/>
        <w:snapToGrid w:val="0"/>
        <w:spacing w:before="0" w:after="0" w:line="312" w:lineRule="auto"/>
        <w:ind w:left="0" w:right="-6"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6.</w:t>
      </w:r>
      <w:r>
        <w:rPr>
          <w:rFonts w:hint="eastAsia" w:ascii="宋体" w:hAnsi="宋体" w:eastAsia="宋体" w:cs="宋体"/>
          <w:color w:val="auto"/>
          <w:szCs w:val="24"/>
          <w:highlight w:val="none"/>
        </w:rPr>
        <w:t>住宅小区内的给排水设施、道路等配套工程为</w:t>
      </w:r>
      <w:r>
        <w:rPr>
          <w:rFonts w:hint="eastAsia" w:ascii="宋体" w:hAnsi="宋体" w:eastAsia="宋体" w:cs="宋体"/>
          <w:color w:val="auto"/>
          <w:szCs w:val="24"/>
          <w:highlight w:val="none"/>
          <w:u w:val="single"/>
        </w:rPr>
        <w:t>　</w:t>
      </w:r>
      <w:r>
        <w:rPr>
          <w:rFonts w:hint="eastAsia" w:ascii="宋体" w:hAnsi="宋体" w:eastAsia="宋体" w:cs="宋体"/>
          <w:color w:val="auto"/>
          <w:szCs w:val="24"/>
          <w:highlight w:val="none"/>
          <w:u w:val="single"/>
          <w:lang w:val="en-US" w:eastAsia="zh-CN"/>
        </w:rPr>
        <w:t>2</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年；</w:t>
      </w:r>
    </w:p>
    <w:p w14:paraId="2619B368">
      <w:pPr>
        <w:pStyle w:val="33"/>
        <w:keepNext w:val="0"/>
        <w:keepLines w:val="0"/>
        <w:pageBreakBefore w:val="0"/>
        <w:kinsoku/>
        <w:wordWrap/>
        <w:overflowPunct/>
        <w:topLinePunct w:val="0"/>
        <w:bidi w:val="0"/>
        <w:snapToGrid w:val="0"/>
        <w:spacing w:before="0" w:after="0" w:line="312" w:lineRule="auto"/>
        <w:ind w:left="0" w:right="-6"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7.</w:t>
      </w:r>
      <w:r>
        <w:rPr>
          <w:rFonts w:hint="eastAsia" w:ascii="宋体" w:hAnsi="宋体" w:eastAsia="宋体" w:cs="宋体"/>
          <w:color w:val="auto"/>
          <w:szCs w:val="24"/>
          <w:highlight w:val="none"/>
        </w:rPr>
        <w:t>其他项目保修期限约定如下：</w:t>
      </w:r>
      <w:r>
        <w:rPr>
          <w:rFonts w:hint="eastAsia" w:ascii="宋体" w:hAnsi="宋体" w:eastAsia="宋体" w:cs="宋体"/>
          <w:b/>
          <w:color w:val="auto"/>
          <w:sz w:val="24"/>
          <w:szCs w:val="24"/>
          <w:highlight w:val="none"/>
          <w:u w:val="single"/>
          <w:lang w:eastAsia="zh-CN"/>
        </w:rPr>
        <w:t>有规定的按规定，无规定的至少</w:t>
      </w:r>
      <w:r>
        <w:rPr>
          <w:rFonts w:hint="eastAsia" w:ascii="宋体" w:hAnsi="宋体" w:eastAsia="宋体" w:cs="宋体"/>
          <w:b/>
          <w:color w:val="auto"/>
          <w:sz w:val="24"/>
          <w:szCs w:val="24"/>
          <w:highlight w:val="none"/>
          <w:u w:val="single"/>
          <w:lang w:val="en-US" w:eastAsia="zh-CN"/>
        </w:rPr>
        <w:t>2年</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w:t>
      </w:r>
    </w:p>
    <w:p w14:paraId="068F5B77">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质量保修期</w:t>
      </w:r>
      <w:r>
        <w:rPr>
          <w:rFonts w:hint="eastAsia" w:ascii="宋体" w:hAnsi="宋体" w:eastAsia="宋体" w:cs="宋体"/>
          <w:color w:val="auto"/>
          <w:kern w:val="0"/>
          <w:sz w:val="24"/>
          <w:szCs w:val="24"/>
          <w:highlight w:val="none"/>
        </w:rPr>
        <w:t>自工程竣工验收合格之日起计算。</w:t>
      </w:r>
    </w:p>
    <w:p w14:paraId="50F73AB9">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15.4.3 修复通知</w:t>
      </w:r>
    </w:p>
    <w:p w14:paraId="2DBAA704">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承包人收到保修通知并到达工程现场的合理时间：</w:t>
      </w:r>
      <w:r>
        <w:rPr>
          <w:rFonts w:hint="eastAsia" w:ascii="宋体" w:hAnsi="宋体" w:eastAsia="宋体" w:cs="宋体"/>
          <w:b/>
          <w:color w:val="auto"/>
          <w:sz w:val="24"/>
          <w:szCs w:val="24"/>
          <w:highlight w:val="none"/>
          <w:u w:val="single"/>
        </w:rPr>
        <w:t>在接到修理书面通知单之日</w:t>
      </w:r>
      <w:r>
        <w:rPr>
          <w:rFonts w:hint="eastAsia" w:ascii="宋体" w:hAnsi="宋体" w:eastAsia="宋体" w:cs="宋体"/>
          <w:b/>
          <w:color w:val="auto"/>
          <w:sz w:val="24"/>
          <w:szCs w:val="24"/>
          <w:highlight w:val="none"/>
          <w:u w:val="single"/>
          <w:lang w:val="en-US" w:eastAsia="zh-CN"/>
        </w:rPr>
        <w:t>2</w:t>
      </w:r>
      <w:r>
        <w:rPr>
          <w:rFonts w:hint="eastAsia" w:ascii="宋体" w:hAnsi="宋体" w:eastAsia="宋体" w:cs="宋体"/>
          <w:b/>
          <w:color w:val="auto"/>
          <w:sz w:val="24"/>
          <w:szCs w:val="24"/>
          <w:highlight w:val="none"/>
          <w:u w:val="single"/>
        </w:rPr>
        <w:t>天内派人到现场维修。</w:t>
      </w:r>
    </w:p>
    <w:p w14:paraId="246C8DB1">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 违约</w:t>
      </w:r>
    </w:p>
    <w:p w14:paraId="3CA995F0">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 发包人违约</w:t>
      </w:r>
    </w:p>
    <w:p w14:paraId="329B0837">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16.1.1发包人违约的情形</w:t>
      </w:r>
    </w:p>
    <w:p w14:paraId="032AF2A9">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发包人违约的其他情形：</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b/>
          <w:color w:val="auto"/>
          <w:sz w:val="24"/>
          <w:szCs w:val="24"/>
          <w:highlight w:val="none"/>
          <w:u w:val="single"/>
        </w:rPr>
        <w:t>。</w:t>
      </w:r>
    </w:p>
    <w:p w14:paraId="050B6148">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16.1.2 发包人违约的责任</w:t>
      </w:r>
    </w:p>
    <w:p w14:paraId="53B11F54">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发包人违约责任的承担方式和计算方法：</w:t>
      </w:r>
    </w:p>
    <w:p w14:paraId="554B735E">
      <w:pPr>
        <w:keepNext w:val="0"/>
        <w:keepLines w:val="0"/>
        <w:pageBreakBefore w:val="0"/>
        <w:kinsoku/>
        <w:wordWrap/>
        <w:overflowPunct/>
        <w:topLinePunct w:val="0"/>
        <w:bidi w:val="0"/>
        <w:spacing w:line="31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（1）因发包人原因未能在计划开工日期前7天内下达开工通知的违约责任：</w:t>
      </w:r>
      <w:r>
        <w:rPr>
          <w:rFonts w:hint="eastAsia" w:ascii="宋体" w:hAnsi="宋体" w:eastAsia="宋体" w:cs="宋体"/>
          <w:b/>
          <w:bCs/>
          <w:color w:val="auto"/>
          <w:kern w:val="0"/>
          <w:sz w:val="24"/>
          <w:szCs w:val="24"/>
          <w:highlight w:val="none"/>
          <w:u w:val="single"/>
        </w:rPr>
        <w:t>每逾期一天，应以签约合同价为基数，按照中国人民银行发布的同期同类贷款基准利率支付违约金。</w:t>
      </w:r>
    </w:p>
    <w:p w14:paraId="69AA6FF1">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（2）因发包人原因未能按合同约定支付合同价款的违约责任：</w:t>
      </w:r>
      <w:r>
        <w:rPr>
          <w:rFonts w:hint="eastAsia" w:ascii="宋体" w:hAnsi="宋体" w:eastAsia="宋体" w:cs="宋体"/>
          <w:b/>
          <w:bCs/>
          <w:color w:val="auto"/>
          <w:kern w:val="0"/>
          <w:sz w:val="24"/>
          <w:szCs w:val="24"/>
          <w:highlight w:val="none"/>
          <w:u w:val="single"/>
        </w:rPr>
        <w:t>每逾期一天，应以签约合同价为基数，按照中国人民银行发布的同期同类贷款基准利率的两倍支付违约金。</w:t>
      </w:r>
    </w:p>
    <w:p w14:paraId="4C70CC51">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（3）发包人违反第10.1款〔变更的范围〕第（2）项约定，自行实施被取消的工作或转由他人实施的违约责任：</w:t>
      </w:r>
      <w:r>
        <w:rPr>
          <w:rFonts w:hint="eastAsia" w:ascii="宋体" w:hAnsi="宋体" w:eastAsia="宋体" w:cs="宋体"/>
          <w:b/>
          <w:bCs/>
          <w:color w:val="auto"/>
          <w:kern w:val="0"/>
          <w:sz w:val="24"/>
          <w:szCs w:val="24"/>
          <w:highlight w:val="none"/>
          <w:u w:val="single"/>
        </w:rPr>
        <w:t>发包人将承包人合同范围内的分项工程未经过承包人同意转包给其他单位施工，导致承包人经济损失的由发包人来承担。</w:t>
      </w:r>
    </w:p>
    <w:p w14:paraId="23E05749">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（4）发包人提供的材料、工程设备的规格、数量或质量不符合合同约定，或因发包人原因导致交货日期延误或交货地点变更等情况的违约责任：</w:t>
      </w:r>
      <w:r>
        <w:rPr>
          <w:rFonts w:hint="eastAsia" w:ascii="宋体" w:hAnsi="宋体" w:eastAsia="宋体" w:cs="宋体"/>
          <w:b/>
          <w:bCs/>
          <w:color w:val="auto"/>
          <w:kern w:val="0"/>
          <w:sz w:val="24"/>
          <w:szCs w:val="24"/>
          <w:highlight w:val="none"/>
          <w:u w:val="single"/>
        </w:rPr>
        <w:t>导致承包人无法正常施工的，延误工期顺延</w:t>
      </w:r>
      <w:r>
        <w:rPr>
          <w:rFonts w:hint="eastAsia" w:ascii="宋体" w:hAnsi="宋体" w:eastAsia="宋体" w:cs="宋体"/>
          <w:color w:val="auto"/>
          <w:kern w:val="0"/>
          <w:sz w:val="24"/>
          <w:szCs w:val="24"/>
          <w:highlight w:val="none"/>
          <w:u w:val="single"/>
        </w:rPr>
        <w:t>。</w:t>
      </w:r>
    </w:p>
    <w:p w14:paraId="4D1A5A87">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b/>
          <w:bCs/>
          <w:color w:val="auto"/>
          <w:kern w:val="0"/>
          <w:sz w:val="24"/>
          <w:szCs w:val="24"/>
          <w:highlight w:val="none"/>
          <w:u w:val="single"/>
        </w:rPr>
      </w:pPr>
      <w:r>
        <w:rPr>
          <w:rFonts w:hint="eastAsia" w:ascii="宋体" w:hAnsi="宋体" w:eastAsia="宋体" w:cs="宋体"/>
          <w:color w:val="auto"/>
          <w:sz w:val="24"/>
          <w:szCs w:val="24"/>
          <w:highlight w:val="none"/>
        </w:rPr>
        <w:t>（5）因发包人违反合同约定造成暂停施工的违约责任：</w:t>
      </w:r>
      <w:r>
        <w:rPr>
          <w:rFonts w:hint="eastAsia" w:ascii="宋体" w:hAnsi="宋体" w:eastAsia="宋体" w:cs="宋体"/>
          <w:b/>
          <w:bCs/>
          <w:color w:val="auto"/>
          <w:kern w:val="0"/>
          <w:sz w:val="24"/>
          <w:szCs w:val="24"/>
          <w:highlight w:val="none"/>
          <w:u w:val="single"/>
        </w:rPr>
        <w:t>工期顺延。</w:t>
      </w:r>
    </w:p>
    <w:p w14:paraId="2FF27440">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（6）发包人无正当理由没有在约定期限内发出复工指示，导致承包人无法复工的违约责任：</w:t>
      </w:r>
      <w:r>
        <w:rPr>
          <w:rFonts w:hint="eastAsia" w:ascii="宋体" w:hAnsi="宋体" w:eastAsia="宋体" w:cs="宋体"/>
          <w:b/>
          <w:bCs/>
          <w:color w:val="auto"/>
          <w:kern w:val="0"/>
          <w:sz w:val="24"/>
          <w:szCs w:val="24"/>
          <w:highlight w:val="none"/>
          <w:u w:val="single"/>
        </w:rPr>
        <w:t>工期顺延</w:t>
      </w:r>
      <w:r>
        <w:rPr>
          <w:rFonts w:hint="eastAsia" w:ascii="宋体" w:hAnsi="宋体" w:eastAsia="宋体" w:cs="宋体"/>
          <w:color w:val="auto"/>
          <w:sz w:val="24"/>
          <w:szCs w:val="24"/>
          <w:highlight w:val="none"/>
        </w:rPr>
        <w:t>。</w:t>
      </w:r>
    </w:p>
    <w:p w14:paraId="04F1A2C0">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（7）其他：</w:t>
      </w:r>
      <w:r>
        <w:rPr>
          <w:rFonts w:hint="eastAsia" w:ascii="宋体" w:hAnsi="宋体" w:eastAsia="宋体" w:cs="宋体"/>
          <w:b/>
          <w:bCs/>
          <w:color w:val="auto"/>
          <w:kern w:val="0"/>
          <w:sz w:val="24"/>
          <w:szCs w:val="24"/>
          <w:highlight w:val="none"/>
          <w:u w:val="single"/>
        </w:rPr>
        <w:t>发生时双方另行协商</w:t>
      </w:r>
      <w:r>
        <w:rPr>
          <w:rFonts w:hint="eastAsia" w:ascii="宋体" w:hAnsi="宋体" w:eastAsia="宋体" w:cs="宋体"/>
          <w:color w:val="auto"/>
          <w:sz w:val="24"/>
          <w:szCs w:val="24"/>
          <w:highlight w:val="none"/>
        </w:rPr>
        <w:t>。</w:t>
      </w:r>
    </w:p>
    <w:p w14:paraId="1BC7521E">
      <w:pPr>
        <w:keepNext w:val="0"/>
        <w:keepLines w:val="0"/>
        <w:pageBreakBefore w:val="0"/>
        <w:kinsoku/>
        <w:wordWrap/>
        <w:overflowPunct/>
        <w:topLinePunct w:val="0"/>
        <w:bidi w:val="0"/>
        <w:spacing w:line="30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16.1.3 因发包人违约解除合同</w:t>
      </w:r>
    </w:p>
    <w:p w14:paraId="07A2199A">
      <w:pPr>
        <w:keepNext w:val="0"/>
        <w:keepLines w:val="0"/>
        <w:pageBreakBefore w:val="0"/>
        <w:kinsoku/>
        <w:wordWrap/>
        <w:overflowPunct/>
        <w:topLinePunct w:val="0"/>
        <w:bidi w:val="0"/>
        <w:spacing w:line="30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承包人按16.1.1项〔发包人违约的情形〕约定暂停施工满</w:t>
      </w:r>
      <w:r>
        <w:rPr>
          <w:rFonts w:hint="eastAsia" w:ascii="宋体" w:hAnsi="宋体" w:eastAsia="宋体" w:cs="宋体"/>
          <w:b/>
          <w:color w:val="auto"/>
          <w:sz w:val="24"/>
          <w:szCs w:val="24"/>
          <w:highlight w:val="none"/>
          <w:u w:val="single"/>
        </w:rPr>
        <w:t>28</w:t>
      </w:r>
      <w:r>
        <w:rPr>
          <w:rFonts w:hint="eastAsia" w:ascii="宋体" w:hAnsi="宋体" w:eastAsia="宋体" w:cs="宋体"/>
          <w:color w:val="auto"/>
          <w:sz w:val="24"/>
          <w:szCs w:val="24"/>
          <w:highlight w:val="none"/>
        </w:rPr>
        <w:t>天后发包人仍不纠正其违约行为并致使合同目的不能实现的，承包人有权解除合同。</w:t>
      </w:r>
    </w:p>
    <w:p w14:paraId="7887CE4A">
      <w:pPr>
        <w:keepNext w:val="0"/>
        <w:keepLines w:val="0"/>
        <w:pageBreakBefore w:val="0"/>
        <w:kinsoku/>
        <w:wordWrap/>
        <w:overflowPunct/>
        <w:topLinePunct w:val="0"/>
        <w:bidi w:val="0"/>
        <w:spacing w:line="30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 承包人违约</w:t>
      </w:r>
    </w:p>
    <w:p w14:paraId="149AF4CE">
      <w:pPr>
        <w:keepNext w:val="0"/>
        <w:keepLines w:val="0"/>
        <w:pageBreakBefore w:val="0"/>
        <w:kinsoku/>
        <w:wordWrap/>
        <w:overflowPunct/>
        <w:topLinePunct w:val="0"/>
        <w:bidi w:val="0"/>
        <w:spacing w:line="30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16.2.1 承包人违约的情形</w:t>
      </w:r>
    </w:p>
    <w:p w14:paraId="37CD9AC4">
      <w:pPr>
        <w:keepNext w:val="0"/>
        <w:keepLines w:val="0"/>
        <w:pageBreakBefore w:val="0"/>
        <w:kinsoku/>
        <w:wordWrap/>
        <w:overflowPunct/>
        <w:topLinePunct w:val="0"/>
        <w:bidi w:val="0"/>
        <w:spacing w:line="30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承包人违约的其他情形：</w:t>
      </w:r>
      <w:r>
        <w:rPr>
          <w:rFonts w:hint="eastAsia" w:ascii="宋体" w:hAnsi="宋体" w:eastAsia="宋体" w:cs="宋体"/>
          <w:b/>
          <w:color w:val="auto"/>
          <w:sz w:val="24"/>
          <w:szCs w:val="24"/>
          <w:highlight w:val="none"/>
          <w:u w:val="single"/>
        </w:rPr>
        <w:t>因承包人的原因，工程质量达不到合同约定的等级，经县质监站及更上一级的质量检测部门最终鉴定，工程质量达不到合格标准的，承包人无偿修复到合格标准，并承担由此给发包人造成的实际损失。</w:t>
      </w:r>
    </w:p>
    <w:p w14:paraId="49D4679C">
      <w:pPr>
        <w:keepNext w:val="0"/>
        <w:keepLines w:val="0"/>
        <w:pageBreakBefore w:val="0"/>
        <w:kinsoku/>
        <w:wordWrap/>
        <w:overflowPunct/>
        <w:topLinePunct w:val="0"/>
        <w:bidi w:val="0"/>
        <w:spacing w:line="30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16.2.2承包人违约的责任</w:t>
      </w:r>
    </w:p>
    <w:p w14:paraId="03394944">
      <w:pPr>
        <w:keepNext w:val="0"/>
        <w:keepLines w:val="0"/>
        <w:pageBreakBefore w:val="0"/>
        <w:kinsoku/>
        <w:wordWrap/>
        <w:overflowPunct/>
        <w:topLinePunct w:val="0"/>
        <w:bidi w:val="0"/>
        <w:spacing w:line="30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承包人违约责任的承担方式和计算方法：</w:t>
      </w:r>
      <w:r>
        <w:rPr>
          <w:rFonts w:hint="eastAsia" w:ascii="宋体" w:hAnsi="宋体" w:eastAsia="宋体" w:cs="宋体"/>
          <w:color w:val="auto"/>
          <w:sz w:val="24"/>
          <w:szCs w:val="24"/>
          <w:highlight w:val="none"/>
          <w:lang w:val="en-US" w:eastAsia="zh-CN"/>
        </w:rPr>
        <w:t>1、</w:t>
      </w:r>
      <w:r>
        <w:rPr>
          <w:rFonts w:hint="eastAsia" w:ascii="宋体" w:hAnsi="宋体" w:eastAsia="宋体" w:cs="宋体"/>
          <w:b/>
          <w:color w:val="auto"/>
          <w:sz w:val="24"/>
          <w:szCs w:val="24"/>
          <w:highlight w:val="none"/>
          <w:u w:val="single"/>
          <w:lang w:eastAsia="zh-CN"/>
        </w:rPr>
        <w:t>工期</w:t>
      </w:r>
      <w:r>
        <w:rPr>
          <w:rFonts w:hint="eastAsia" w:ascii="宋体" w:hAnsi="宋体" w:eastAsia="宋体" w:cs="宋体"/>
          <w:b/>
          <w:color w:val="auto"/>
          <w:sz w:val="24"/>
          <w:szCs w:val="24"/>
          <w:highlight w:val="none"/>
          <w:u w:val="single"/>
        </w:rPr>
        <w:t>每延误一天扣</w:t>
      </w:r>
      <w:r>
        <w:rPr>
          <w:rFonts w:hint="eastAsia" w:ascii="宋体" w:hAnsi="宋体" w:eastAsia="宋体" w:cs="宋体"/>
          <w:b/>
          <w:color w:val="auto"/>
          <w:sz w:val="24"/>
          <w:szCs w:val="24"/>
          <w:highlight w:val="none"/>
          <w:u w:val="single"/>
          <w:lang w:val="en-US" w:eastAsia="zh-CN"/>
        </w:rPr>
        <w:t>500</w:t>
      </w:r>
      <w:r>
        <w:rPr>
          <w:rFonts w:hint="eastAsia" w:ascii="宋体" w:hAnsi="宋体" w:eastAsia="宋体" w:cs="宋体"/>
          <w:b/>
          <w:color w:val="auto"/>
          <w:sz w:val="24"/>
          <w:szCs w:val="24"/>
          <w:highlight w:val="none"/>
          <w:u w:val="single"/>
        </w:rPr>
        <w:t>元/天；扣款最高不超过</w:t>
      </w:r>
      <w:r>
        <w:rPr>
          <w:rFonts w:hint="eastAsia" w:ascii="宋体" w:hAnsi="宋体" w:eastAsia="宋体" w:cs="宋体"/>
          <w:b/>
          <w:color w:val="auto"/>
          <w:sz w:val="24"/>
          <w:szCs w:val="24"/>
          <w:highlight w:val="none"/>
          <w:u w:val="single"/>
          <w:lang w:eastAsia="zh-CN"/>
        </w:rPr>
        <w:t>履约保证金</w:t>
      </w:r>
      <w:r>
        <w:rPr>
          <w:rFonts w:hint="eastAsia" w:ascii="宋体" w:hAnsi="宋体" w:eastAsia="宋体" w:cs="宋体"/>
          <w:color w:val="auto"/>
          <w:sz w:val="24"/>
          <w:szCs w:val="24"/>
          <w:highlight w:val="none"/>
        </w:rPr>
        <w:t xml:space="preserve">。 </w:t>
      </w:r>
    </w:p>
    <w:p w14:paraId="65F967D8">
      <w:pPr>
        <w:keepNext w:val="0"/>
        <w:keepLines w:val="0"/>
        <w:pageBreakBefore w:val="0"/>
        <w:widowControl/>
        <w:numPr>
          <w:ilvl w:val="0"/>
          <w:numId w:val="7"/>
        </w:numPr>
        <w:kinsoku/>
        <w:wordWrap/>
        <w:overflowPunct/>
        <w:topLinePunct w:val="0"/>
        <w:bidi w:val="0"/>
        <w:spacing w:line="300" w:lineRule="auto"/>
        <w:ind w:firstLine="482" w:firstLineChars="200"/>
        <w:jc w:val="left"/>
        <w:textAlignment w:val="auto"/>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u w:val="single"/>
        </w:rPr>
        <w:t>质量违约：从承包人履约保证金中扣除质量保证金，同时保留索赔的权利。此项扣款最高不超过履约保证金。</w:t>
      </w:r>
    </w:p>
    <w:p w14:paraId="097AC20B">
      <w:pPr>
        <w:keepNext w:val="0"/>
        <w:keepLines w:val="0"/>
        <w:pageBreakBefore w:val="0"/>
        <w:widowControl/>
        <w:numPr>
          <w:ilvl w:val="0"/>
          <w:numId w:val="0"/>
        </w:numPr>
        <w:kinsoku/>
        <w:wordWrap/>
        <w:overflowPunct/>
        <w:topLinePunct w:val="0"/>
        <w:bidi w:val="0"/>
        <w:spacing w:line="300" w:lineRule="auto"/>
        <w:ind w:firstLine="482" w:firstLineChars="200"/>
        <w:jc w:val="left"/>
        <w:textAlignment w:val="auto"/>
        <w:rPr>
          <w:rFonts w:hint="eastAsia" w:ascii="宋体" w:hAnsi="宋体" w:eastAsia="宋体" w:cs="宋体"/>
          <w:b/>
          <w:color w:val="auto"/>
          <w:kern w:val="0"/>
          <w:sz w:val="24"/>
          <w:szCs w:val="24"/>
          <w:highlight w:val="none"/>
          <w:u w:val="single"/>
        </w:rPr>
      </w:pPr>
      <w:r>
        <w:rPr>
          <w:rFonts w:hint="eastAsia" w:ascii="宋体" w:hAnsi="宋体" w:eastAsia="宋体" w:cs="宋体"/>
          <w:b/>
          <w:color w:val="auto"/>
          <w:sz w:val="24"/>
          <w:szCs w:val="24"/>
          <w:highlight w:val="none"/>
          <w:u w:val="none"/>
        </w:rPr>
        <w:t>3、</w:t>
      </w:r>
      <w:r>
        <w:rPr>
          <w:rFonts w:hint="eastAsia" w:ascii="宋体" w:hAnsi="宋体" w:eastAsia="宋体" w:cs="宋体"/>
          <w:b/>
          <w:color w:val="auto"/>
          <w:sz w:val="24"/>
          <w:szCs w:val="24"/>
          <w:highlight w:val="none"/>
          <w:u w:val="single"/>
        </w:rPr>
        <w:t>安全文明生产：安全文明施工未达到投标承诺要求，承包人应承担违约责任。发包人可从承包人履约保证金中扣除相应费用，扣款最高不超过履约保证金。</w:t>
      </w:r>
    </w:p>
    <w:p w14:paraId="77B8A48E">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16.2.3 因承包人违约解除合同</w:t>
      </w:r>
    </w:p>
    <w:p w14:paraId="2E877A0A">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关于承包人违约解除合同的特别约定：</w:t>
      </w:r>
      <w:r>
        <w:rPr>
          <w:rFonts w:hint="eastAsia" w:ascii="宋体" w:hAnsi="宋体" w:eastAsia="宋体" w:cs="宋体"/>
          <w:b/>
          <w:bCs/>
          <w:color w:val="auto"/>
          <w:sz w:val="24"/>
          <w:szCs w:val="24"/>
          <w:highlight w:val="none"/>
          <w:u w:val="single"/>
        </w:rPr>
        <w:t>执行通用条款16.2.3条</w:t>
      </w:r>
      <w:r>
        <w:rPr>
          <w:rFonts w:hint="eastAsia" w:ascii="宋体" w:hAnsi="宋体" w:eastAsia="宋体" w:cs="宋体"/>
          <w:color w:val="auto"/>
          <w:sz w:val="24"/>
          <w:szCs w:val="24"/>
          <w:highlight w:val="none"/>
        </w:rPr>
        <w:t>。</w:t>
      </w:r>
    </w:p>
    <w:p w14:paraId="35D9629D">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发包人继续使用承包人在施工现场的材料、设备、临时工程、承包人文件和由承包人或以其名义编制的其他文件的费用承担方式：</w:t>
      </w:r>
      <w:r>
        <w:rPr>
          <w:rFonts w:hint="eastAsia" w:ascii="宋体" w:hAnsi="宋体" w:eastAsia="宋体" w:cs="宋体"/>
          <w:b/>
          <w:bCs/>
          <w:color w:val="auto"/>
          <w:kern w:val="0"/>
          <w:sz w:val="24"/>
          <w:szCs w:val="24"/>
          <w:highlight w:val="none"/>
          <w:u w:val="single"/>
        </w:rPr>
        <w:t>材料、设备、临时工程按照市场价结算，其它资料无偿提供</w:t>
      </w:r>
      <w:r>
        <w:rPr>
          <w:rFonts w:hint="eastAsia" w:ascii="宋体" w:hAnsi="宋体" w:eastAsia="宋体" w:cs="宋体"/>
          <w:color w:val="auto"/>
          <w:sz w:val="24"/>
          <w:szCs w:val="24"/>
          <w:highlight w:val="none"/>
        </w:rPr>
        <w:t>。</w:t>
      </w:r>
    </w:p>
    <w:p w14:paraId="66D89944">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 不可抗力</w:t>
      </w:r>
    </w:p>
    <w:p w14:paraId="03150C4C">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17.1 不可抗力的确认</w:t>
      </w:r>
    </w:p>
    <w:p w14:paraId="1C4A41CB">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除通用合同条款约定的不可抗力事件之外，视为不可抗力的其他情形：</w:t>
      </w:r>
      <w:r>
        <w:rPr>
          <w:rFonts w:hint="eastAsia" w:ascii="宋体" w:hAnsi="宋体" w:eastAsia="宋体" w:cs="宋体"/>
          <w:color w:val="auto"/>
          <w:kern w:val="0"/>
          <w:sz w:val="24"/>
          <w:szCs w:val="24"/>
          <w:highlight w:val="none"/>
          <w:u w:val="single"/>
          <w:lang w:val="en-US" w:eastAsia="zh-CN"/>
        </w:rPr>
        <w:t>7.7条异常恶劣的气候条件中规定的</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sz w:val="24"/>
          <w:szCs w:val="24"/>
          <w:highlight w:val="none"/>
        </w:rPr>
        <w:t>。</w:t>
      </w:r>
    </w:p>
    <w:p w14:paraId="109DC734">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17.4因不可抗力解除合同</w:t>
      </w:r>
    </w:p>
    <w:p w14:paraId="34421E56">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合同解除后，发包人应在商定或确定发包人应支付款项后</w:t>
      </w:r>
      <w:r>
        <w:rPr>
          <w:rFonts w:hint="eastAsia" w:ascii="宋体" w:hAnsi="宋体" w:eastAsia="宋体" w:cs="宋体"/>
          <w:b/>
          <w:color w:val="auto"/>
          <w:sz w:val="24"/>
          <w:szCs w:val="24"/>
          <w:highlight w:val="none"/>
          <w:u w:val="single"/>
        </w:rPr>
        <w:t xml:space="preserve"> 28</w:t>
      </w:r>
      <w:r>
        <w:rPr>
          <w:rFonts w:hint="eastAsia" w:ascii="宋体" w:hAnsi="宋体" w:eastAsia="宋体" w:cs="宋体"/>
          <w:color w:val="auto"/>
          <w:sz w:val="24"/>
          <w:szCs w:val="24"/>
          <w:highlight w:val="none"/>
        </w:rPr>
        <w:t>天内完成款项的支付。</w:t>
      </w:r>
    </w:p>
    <w:p w14:paraId="3E7B7D8E">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18.保险</w:t>
      </w:r>
    </w:p>
    <w:p w14:paraId="3A63AFC9">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18.1 工程保险</w:t>
      </w:r>
    </w:p>
    <w:p w14:paraId="2445FC20">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关于工程保险的特别约定：</w:t>
      </w:r>
      <w:r>
        <w:rPr>
          <w:rFonts w:hint="eastAsia" w:ascii="宋体" w:hAnsi="宋体" w:eastAsia="宋体" w:cs="宋体"/>
          <w:color w:val="auto"/>
          <w:sz w:val="24"/>
          <w:szCs w:val="24"/>
          <w:highlight w:val="none"/>
          <w:u w:val="single"/>
        </w:rPr>
        <w:t xml:space="preserve">承包人必须办理建筑工程保险（含人身意外伤害险、建筑工程一切险及第三者责任险等），保险期限从开工之日到工程竣工验收合格且质保期满止。享受意外伤害保险的范围是施工现场从事施工作业、施工管理的人员及第三者，其费用由承包人承担。  </w:t>
      </w:r>
    </w:p>
    <w:p w14:paraId="541F4C10">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18.3 其他保险</w:t>
      </w:r>
    </w:p>
    <w:p w14:paraId="50F05548">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关于其他保险的约定：</w:t>
      </w:r>
      <w:r>
        <w:rPr>
          <w:rFonts w:hint="eastAsia" w:ascii="宋体" w:hAnsi="宋体" w:eastAsia="宋体" w:cs="宋体"/>
          <w:b/>
          <w:bCs/>
          <w:color w:val="auto"/>
          <w:kern w:val="0"/>
          <w:sz w:val="24"/>
          <w:szCs w:val="24"/>
          <w:highlight w:val="none"/>
          <w:u w:val="single"/>
        </w:rPr>
        <w:t>执行通用条款18.3</w:t>
      </w:r>
      <w:r>
        <w:rPr>
          <w:rFonts w:hint="eastAsia" w:ascii="宋体" w:hAnsi="宋体" w:eastAsia="宋体" w:cs="宋体"/>
          <w:color w:val="auto"/>
          <w:sz w:val="24"/>
          <w:szCs w:val="24"/>
          <w:highlight w:val="none"/>
        </w:rPr>
        <w:t>。</w:t>
      </w:r>
    </w:p>
    <w:p w14:paraId="76AB69A5">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承包人是否应为其施工设备等办理财产保险：</w:t>
      </w:r>
      <w:r>
        <w:rPr>
          <w:rFonts w:hint="eastAsia" w:ascii="宋体" w:hAnsi="宋体" w:eastAsia="宋体" w:cs="宋体"/>
          <w:b/>
          <w:bCs/>
          <w:color w:val="auto"/>
          <w:kern w:val="0"/>
          <w:sz w:val="24"/>
          <w:szCs w:val="24"/>
          <w:highlight w:val="none"/>
          <w:u w:val="single"/>
        </w:rPr>
        <w:t>承包人为施工人员和自有的施工机械设备办理保险。</w:t>
      </w:r>
    </w:p>
    <w:p w14:paraId="43369FF1">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18.7 通知义务</w:t>
      </w:r>
    </w:p>
    <w:p w14:paraId="4EF3CA31">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关于变更保险合同时的通知义务的约定：</w:t>
      </w:r>
      <w:r>
        <w:rPr>
          <w:rFonts w:hint="eastAsia" w:ascii="宋体" w:hAnsi="宋体" w:eastAsia="宋体" w:cs="宋体"/>
          <w:b/>
          <w:bCs/>
          <w:color w:val="auto"/>
          <w:kern w:val="0"/>
          <w:sz w:val="24"/>
          <w:szCs w:val="24"/>
          <w:highlight w:val="none"/>
          <w:u w:val="single"/>
        </w:rPr>
        <w:t>执行通用条款18.7</w:t>
      </w:r>
      <w:r>
        <w:rPr>
          <w:rFonts w:hint="eastAsia" w:ascii="宋体" w:hAnsi="宋体" w:eastAsia="宋体" w:cs="宋体"/>
          <w:color w:val="auto"/>
          <w:sz w:val="24"/>
          <w:szCs w:val="24"/>
          <w:highlight w:val="none"/>
        </w:rPr>
        <w:t>。</w:t>
      </w:r>
    </w:p>
    <w:p w14:paraId="6587CB9F">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 争议解决</w:t>
      </w:r>
    </w:p>
    <w:p w14:paraId="50A7A44B">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20.3 争议评审</w:t>
      </w:r>
    </w:p>
    <w:p w14:paraId="294A5DDA">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合同当事人是否同意将工程争议提交争议评审小组决定： </w:t>
      </w:r>
      <w:r>
        <w:rPr>
          <w:rFonts w:hint="eastAsia" w:ascii="宋体" w:hAnsi="宋体" w:eastAsia="宋体" w:cs="宋体"/>
          <w:b/>
          <w:bCs/>
          <w:color w:val="auto"/>
          <w:kern w:val="0"/>
          <w:sz w:val="24"/>
          <w:szCs w:val="24"/>
          <w:highlight w:val="none"/>
          <w:u w:val="single"/>
        </w:rPr>
        <w:t>否</w:t>
      </w:r>
      <w:r>
        <w:rPr>
          <w:rFonts w:hint="eastAsia" w:ascii="宋体" w:hAnsi="宋体" w:eastAsia="宋体" w:cs="宋体"/>
          <w:color w:val="auto"/>
          <w:sz w:val="24"/>
          <w:szCs w:val="24"/>
          <w:highlight w:val="none"/>
        </w:rPr>
        <w:t xml:space="preserve">。  </w:t>
      </w:r>
    </w:p>
    <w:p w14:paraId="72F2246C">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20.3.1 争议评审小组的确定</w:t>
      </w:r>
    </w:p>
    <w:p w14:paraId="6FE69BA5">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争议评审小组成员的确定：</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 xml:space="preserve"> 。</w:t>
      </w:r>
    </w:p>
    <w:p w14:paraId="72F10EB0">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选定争议评审员的期限：</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38229FA9">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争议评审小组成员的报酬承担方式：</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67268921">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其他事项的约定：</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08345C0E">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20.3.2 争议评审小组的决定</w:t>
      </w:r>
    </w:p>
    <w:p w14:paraId="26012677">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合同当事人关于本项的约定：</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4FBE1997">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20.4仲裁或诉讼</w:t>
      </w:r>
    </w:p>
    <w:p w14:paraId="64FB097F">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因合同及合同有关事项发生的争议，按下列第</w:t>
      </w:r>
      <w:r>
        <w:rPr>
          <w:rFonts w:hint="eastAsia" w:ascii="宋体" w:hAnsi="宋体" w:eastAsia="宋体" w:cs="宋体"/>
          <w:color w:val="auto"/>
          <w:sz w:val="24"/>
          <w:szCs w:val="24"/>
          <w:highlight w:val="none"/>
          <w:u w:val="single"/>
        </w:rPr>
        <w:t xml:space="preserve">  2 </w:t>
      </w:r>
      <w:r>
        <w:rPr>
          <w:rFonts w:hint="eastAsia" w:ascii="宋体" w:hAnsi="宋体" w:eastAsia="宋体" w:cs="宋体"/>
          <w:color w:val="auto"/>
          <w:sz w:val="24"/>
          <w:szCs w:val="24"/>
          <w:highlight w:val="none"/>
        </w:rPr>
        <w:t>种方式解决：</w:t>
      </w:r>
    </w:p>
    <w:p w14:paraId="5B3F5C3D">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（1）向 </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仲裁委员会申请仲裁；</w:t>
      </w:r>
    </w:p>
    <w:p w14:paraId="3EEB7F33">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（2）向 </w:t>
      </w:r>
      <w:r>
        <w:rPr>
          <w:rFonts w:hint="eastAsia" w:ascii="宋体" w:hAnsi="宋体" w:eastAsia="宋体" w:cs="宋体"/>
          <w:color w:val="auto"/>
          <w:sz w:val="24"/>
          <w:szCs w:val="24"/>
          <w:highlight w:val="none"/>
          <w:u w:val="single"/>
        </w:rPr>
        <w:t xml:space="preserve">      嘉善</w:t>
      </w:r>
      <w:r>
        <w:rPr>
          <w:rFonts w:hint="eastAsia" w:ascii="宋体" w:hAnsi="宋体" w:eastAsia="宋体" w:cs="宋体"/>
          <w:color w:val="auto"/>
          <w:sz w:val="24"/>
          <w:szCs w:val="24"/>
          <w:highlight w:val="none"/>
          <w:u w:val="single"/>
          <w:lang w:eastAsia="zh-CN"/>
        </w:rPr>
        <w:t>县</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人民法院起诉。</w:t>
      </w:r>
    </w:p>
    <w:p w14:paraId="32D8582C">
      <w:pPr>
        <w:bidi w:val="0"/>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21、补充条款</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rPr>
        <w:t xml:space="preserve"> 另行商定。 </w:t>
      </w:r>
    </w:p>
    <w:p w14:paraId="139E8A22">
      <w:pPr>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br w:type="page"/>
      </w:r>
    </w:p>
    <w:p w14:paraId="77F73E17">
      <w:pPr>
        <w:spacing w:line="300" w:lineRule="auto"/>
        <w:ind w:firstLine="480" w:firstLineChars="200"/>
        <w:jc w:val="left"/>
        <w:rPr>
          <w:rFonts w:ascii="宋体" w:hAnsi="宋体"/>
          <w:color w:val="auto"/>
          <w:sz w:val="24"/>
          <w:highlight w:val="none"/>
        </w:rPr>
      </w:pPr>
      <w:r>
        <w:rPr>
          <w:rFonts w:hint="eastAsia" w:ascii="宋体" w:hAnsi="宋体"/>
          <w:color w:val="auto"/>
          <w:sz w:val="24"/>
          <w:szCs w:val="24"/>
          <w:highlight w:val="none"/>
        </w:rPr>
        <w:t>附件1：承包人承揽工程项目一览表</w:t>
      </w:r>
      <w:r>
        <w:rPr>
          <w:rFonts w:hint="eastAsia" w:ascii="宋体" w:hAnsi="宋体"/>
          <w:color w:val="auto"/>
          <w:sz w:val="24"/>
          <w:szCs w:val="24"/>
          <w:highlight w:val="none"/>
        </w:rPr>
        <w:br w:type="textWrapping"/>
      </w:r>
    </w:p>
    <w:p w14:paraId="0D2F8A44">
      <w:pPr>
        <w:spacing w:line="300" w:lineRule="auto"/>
        <w:ind w:firstLine="3731"/>
        <w:rPr>
          <w:rFonts w:ascii="黑体" w:hAnsi="宋体" w:eastAsia="黑体"/>
          <w:color w:val="auto"/>
          <w:sz w:val="24"/>
          <w:highlight w:val="none"/>
        </w:rPr>
      </w:pPr>
      <w:r>
        <w:rPr>
          <w:rFonts w:ascii="黑体" w:hAnsi="宋体" w:eastAsia="黑体"/>
          <w:color w:val="auto"/>
          <w:sz w:val="24"/>
          <w:highlight w:val="none"/>
        </w:rPr>
        <w:t>承包人承揽工程项目一览表</w:t>
      </w:r>
    </w:p>
    <w:p w14:paraId="5F1B32AD">
      <w:pPr>
        <w:spacing w:line="300" w:lineRule="auto"/>
        <w:ind w:firstLine="3731"/>
        <w:rPr>
          <w:rFonts w:ascii="黑体" w:hAnsi="宋体" w:eastAsia="黑体"/>
          <w:color w:val="auto"/>
          <w:sz w:val="24"/>
          <w:highlight w:val="none"/>
        </w:rPr>
      </w:pPr>
    </w:p>
    <w:tbl>
      <w:tblPr>
        <w:tblStyle w:val="24"/>
        <w:tblW w:w="95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1134"/>
        <w:gridCol w:w="992"/>
        <w:gridCol w:w="709"/>
        <w:gridCol w:w="708"/>
        <w:gridCol w:w="993"/>
        <w:gridCol w:w="992"/>
        <w:gridCol w:w="850"/>
        <w:gridCol w:w="677"/>
        <w:gridCol w:w="831"/>
      </w:tblGrid>
      <w:tr w14:paraId="7288A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668" w:type="dxa"/>
            <w:noWrap w:val="0"/>
            <w:vAlign w:val="center"/>
          </w:tcPr>
          <w:p w14:paraId="27A8DB27">
            <w:pPr>
              <w:spacing w:line="300" w:lineRule="auto"/>
              <w:ind w:left="0" w:leftChars="0" w:firstLine="0" w:firstLineChars="0"/>
              <w:jc w:val="left"/>
              <w:rPr>
                <w:rFonts w:ascii="宋体" w:hAnsi="宋体"/>
                <w:color w:val="auto"/>
                <w:sz w:val="21"/>
                <w:szCs w:val="21"/>
                <w:highlight w:val="none"/>
              </w:rPr>
            </w:pPr>
            <w:r>
              <w:rPr>
                <w:rFonts w:hint="eastAsia" w:ascii="宋体" w:hAnsi="宋体"/>
                <w:color w:val="auto"/>
                <w:sz w:val="21"/>
                <w:szCs w:val="21"/>
                <w:highlight w:val="none"/>
              </w:rPr>
              <w:t>单位工程名称</w:t>
            </w:r>
          </w:p>
        </w:tc>
        <w:tc>
          <w:tcPr>
            <w:tcW w:w="1134" w:type="dxa"/>
            <w:noWrap w:val="0"/>
            <w:vAlign w:val="center"/>
          </w:tcPr>
          <w:p w14:paraId="70A541EE">
            <w:pPr>
              <w:spacing w:line="300" w:lineRule="auto"/>
              <w:ind w:left="0" w:leftChars="0" w:firstLine="0" w:firstLineChars="0"/>
              <w:jc w:val="left"/>
              <w:rPr>
                <w:rFonts w:ascii="宋体" w:hAnsi="宋体"/>
                <w:color w:val="auto"/>
                <w:sz w:val="21"/>
                <w:szCs w:val="21"/>
                <w:highlight w:val="none"/>
              </w:rPr>
            </w:pPr>
            <w:r>
              <w:rPr>
                <w:rFonts w:hint="eastAsia" w:ascii="宋体" w:hAnsi="宋体"/>
                <w:color w:val="auto"/>
                <w:sz w:val="21"/>
                <w:szCs w:val="21"/>
                <w:highlight w:val="none"/>
              </w:rPr>
              <w:t>建设规模</w:t>
            </w:r>
          </w:p>
        </w:tc>
        <w:tc>
          <w:tcPr>
            <w:tcW w:w="992" w:type="dxa"/>
            <w:noWrap w:val="0"/>
            <w:vAlign w:val="center"/>
          </w:tcPr>
          <w:p w14:paraId="3941FD7E">
            <w:pPr>
              <w:spacing w:line="300" w:lineRule="auto"/>
              <w:ind w:left="0" w:leftChars="0" w:firstLine="0" w:firstLineChars="0"/>
              <w:jc w:val="left"/>
              <w:rPr>
                <w:rFonts w:ascii="宋体" w:hAnsi="宋体"/>
                <w:color w:val="auto"/>
                <w:sz w:val="21"/>
                <w:szCs w:val="21"/>
                <w:highlight w:val="none"/>
              </w:rPr>
            </w:pPr>
            <w:r>
              <w:rPr>
                <w:rFonts w:hint="eastAsia" w:ascii="宋体" w:hAnsi="宋体"/>
                <w:color w:val="auto"/>
                <w:sz w:val="21"/>
                <w:szCs w:val="21"/>
                <w:highlight w:val="none"/>
              </w:rPr>
              <w:t>面积</w:t>
            </w:r>
          </w:p>
          <w:p w14:paraId="1BFF4196">
            <w:pPr>
              <w:spacing w:line="300" w:lineRule="auto"/>
              <w:jc w:val="left"/>
              <w:rPr>
                <w:rFonts w:ascii="宋体" w:hAnsi="宋体"/>
                <w:color w:val="auto"/>
                <w:sz w:val="21"/>
                <w:szCs w:val="21"/>
                <w:highlight w:val="none"/>
              </w:rPr>
            </w:pPr>
            <w:r>
              <w:rPr>
                <w:rFonts w:hint="eastAsia" w:ascii="宋体" w:hAnsi="宋体"/>
                <w:color w:val="auto"/>
                <w:sz w:val="21"/>
                <w:szCs w:val="21"/>
                <w:highlight w:val="none"/>
              </w:rPr>
              <w:t>（㎡）</w:t>
            </w:r>
          </w:p>
        </w:tc>
        <w:tc>
          <w:tcPr>
            <w:tcW w:w="709" w:type="dxa"/>
            <w:noWrap w:val="0"/>
            <w:vAlign w:val="center"/>
          </w:tcPr>
          <w:p w14:paraId="0A419BA4">
            <w:pPr>
              <w:spacing w:line="300" w:lineRule="auto"/>
              <w:ind w:left="0" w:leftChars="0" w:firstLine="0" w:firstLineChars="0"/>
              <w:jc w:val="left"/>
              <w:rPr>
                <w:rFonts w:ascii="宋体" w:hAnsi="宋体"/>
                <w:color w:val="auto"/>
                <w:sz w:val="21"/>
                <w:szCs w:val="21"/>
                <w:highlight w:val="none"/>
              </w:rPr>
            </w:pPr>
            <w:r>
              <w:rPr>
                <w:rFonts w:hint="eastAsia" w:ascii="宋体" w:hAnsi="宋体"/>
                <w:color w:val="auto"/>
                <w:sz w:val="21"/>
                <w:szCs w:val="21"/>
                <w:highlight w:val="none"/>
              </w:rPr>
              <w:t>结构形式</w:t>
            </w:r>
          </w:p>
        </w:tc>
        <w:tc>
          <w:tcPr>
            <w:tcW w:w="708" w:type="dxa"/>
            <w:noWrap w:val="0"/>
            <w:vAlign w:val="center"/>
          </w:tcPr>
          <w:p w14:paraId="76698F05">
            <w:pPr>
              <w:spacing w:line="300" w:lineRule="auto"/>
              <w:ind w:left="0" w:leftChars="0" w:firstLine="0" w:firstLineChars="0"/>
              <w:jc w:val="left"/>
              <w:rPr>
                <w:rFonts w:ascii="宋体" w:hAnsi="宋体"/>
                <w:color w:val="auto"/>
                <w:sz w:val="21"/>
                <w:szCs w:val="21"/>
                <w:highlight w:val="none"/>
              </w:rPr>
            </w:pPr>
            <w:r>
              <w:rPr>
                <w:rFonts w:hint="eastAsia" w:ascii="宋体" w:hAnsi="宋体"/>
                <w:color w:val="auto"/>
                <w:sz w:val="21"/>
                <w:szCs w:val="21"/>
                <w:highlight w:val="none"/>
              </w:rPr>
              <w:t>层数</w:t>
            </w:r>
          </w:p>
        </w:tc>
        <w:tc>
          <w:tcPr>
            <w:tcW w:w="993" w:type="dxa"/>
            <w:noWrap w:val="0"/>
            <w:vAlign w:val="center"/>
          </w:tcPr>
          <w:p w14:paraId="14247D87">
            <w:pPr>
              <w:spacing w:line="300" w:lineRule="auto"/>
              <w:ind w:left="0" w:leftChars="0" w:firstLine="0" w:firstLineChars="0"/>
              <w:jc w:val="left"/>
              <w:rPr>
                <w:rFonts w:ascii="宋体" w:hAnsi="宋体"/>
                <w:color w:val="auto"/>
                <w:sz w:val="21"/>
                <w:szCs w:val="21"/>
                <w:highlight w:val="none"/>
              </w:rPr>
            </w:pPr>
            <w:r>
              <w:rPr>
                <w:rFonts w:hint="eastAsia" w:ascii="宋体" w:hAnsi="宋体"/>
                <w:color w:val="auto"/>
                <w:sz w:val="21"/>
                <w:szCs w:val="21"/>
                <w:highlight w:val="none"/>
              </w:rPr>
              <w:t>生产能力</w:t>
            </w:r>
          </w:p>
        </w:tc>
        <w:tc>
          <w:tcPr>
            <w:tcW w:w="992" w:type="dxa"/>
            <w:noWrap w:val="0"/>
            <w:vAlign w:val="center"/>
          </w:tcPr>
          <w:p w14:paraId="679B517D">
            <w:pPr>
              <w:spacing w:line="300" w:lineRule="auto"/>
              <w:ind w:left="0" w:leftChars="0" w:firstLine="0" w:firstLineChars="0"/>
              <w:jc w:val="left"/>
              <w:rPr>
                <w:rFonts w:ascii="宋体" w:hAnsi="宋体"/>
                <w:color w:val="auto"/>
                <w:sz w:val="21"/>
                <w:szCs w:val="21"/>
                <w:highlight w:val="none"/>
              </w:rPr>
            </w:pPr>
            <w:r>
              <w:rPr>
                <w:rFonts w:hint="eastAsia" w:ascii="宋体" w:hAnsi="宋体"/>
                <w:color w:val="auto"/>
                <w:sz w:val="21"/>
                <w:szCs w:val="21"/>
                <w:highlight w:val="none"/>
              </w:rPr>
              <w:t>设备安装内容</w:t>
            </w:r>
          </w:p>
        </w:tc>
        <w:tc>
          <w:tcPr>
            <w:tcW w:w="850" w:type="dxa"/>
            <w:noWrap w:val="0"/>
            <w:vAlign w:val="center"/>
          </w:tcPr>
          <w:p w14:paraId="6F011B86">
            <w:pPr>
              <w:spacing w:line="300" w:lineRule="auto"/>
              <w:ind w:left="0" w:leftChars="0" w:firstLine="0" w:firstLineChars="0"/>
              <w:jc w:val="left"/>
              <w:rPr>
                <w:rFonts w:ascii="宋体" w:hAnsi="宋体"/>
                <w:color w:val="auto"/>
                <w:sz w:val="21"/>
                <w:szCs w:val="21"/>
                <w:highlight w:val="none"/>
              </w:rPr>
            </w:pPr>
            <w:r>
              <w:rPr>
                <w:rFonts w:hint="eastAsia" w:ascii="宋体" w:hAnsi="宋体"/>
                <w:color w:val="auto"/>
                <w:sz w:val="21"/>
                <w:szCs w:val="21"/>
                <w:highlight w:val="none"/>
              </w:rPr>
              <w:t>合同价格（元）</w:t>
            </w:r>
          </w:p>
        </w:tc>
        <w:tc>
          <w:tcPr>
            <w:tcW w:w="677" w:type="dxa"/>
            <w:noWrap w:val="0"/>
            <w:vAlign w:val="center"/>
          </w:tcPr>
          <w:p w14:paraId="01123CFF">
            <w:pPr>
              <w:spacing w:line="300" w:lineRule="auto"/>
              <w:ind w:left="0" w:leftChars="0" w:firstLine="0" w:firstLineChars="0"/>
              <w:jc w:val="left"/>
              <w:rPr>
                <w:rFonts w:ascii="宋体" w:hAnsi="宋体"/>
                <w:color w:val="auto"/>
                <w:sz w:val="21"/>
                <w:szCs w:val="21"/>
                <w:highlight w:val="none"/>
              </w:rPr>
            </w:pPr>
            <w:r>
              <w:rPr>
                <w:rFonts w:hint="eastAsia" w:ascii="宋体" w:hAnsi="宋体"/>
                <w:color w:val="auto"/>
                <w:sz w:val="21"/>
                <w:szCs w:val="21"/>
                <w:highlight w:val="none"/>
              </w:rPr>
              <w:t>开工日期</w:t>
            </w:r>
          </w:p>
        </w:tc>
        <w:tc>
          <w:tcPr>
            <w:tcW w:w="831" w:type="dxa"/>
            <w:noWrap w:val="0"/>
            <w:vAlign w:val="center"/>
          </w:tcPr>
          <w:p w14:paraId="33026AD5">
            <w:pPr>
              <w:spacing w:line="300" w:lineRule="auto"/>
              <w:ind w:left="0" w:leftChars="0" w:firstLine="0" w:firstLineChars="0"/>
              <w:jc w:val="left"/>
              <w:rPr>
                <w:rFonts w:ascii="宋体" w:hAnsi="宋体"/>
                <w:color w:val="auto"/>
                <w:sz w:val="21"/>
                <w:szCs w:val="21"/>
                <w:highlight w:val="none"/>
              </w:rPr>
            </w:pPr>
            <w:r>
              <w:rPr>
                <w:rFonts w:hint="eastAsia" w:ascii="宋体" w:hAnsi="宋体"/>
                <w:color w:val="auto"/>
                <w:sz w:val="21"/>
                <w:szCs w:val="21"/>
                <w:highlight w:val="none"/>
              </w:rPr>
              <w:t>竣工日期</w:t>
            </w:r>
          </w:p>
        </w:tc>
      </w:tr>
      <w:tr w14:paraId="0A3FD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9" w:hRule="atLeast"/>
        </w:trPr>
        <w:tc>
          <w:tcPr>
            <w:tcW w:w="1668" w:type="dxa"/>
            <w:noWrap w:val="0"/>
            <w:vAlign w:val="center"/>
          </w:tcPr>
          <w:p w14:paraId="18B25B2E">
            <w:pPr>
              <w:spacing w:line="300" w:lineRule="auto"/>
              <w:ind w:left="0" w:leftChars="0" w:firstLine="0" w:firstLineChars="0"/>
              <w:rPr>
                <w:rFonts w:hint="eastAsia" w:ascii="宋体" w:hAnsi="宋体" w:eastAsia="宋体"/>
                <w:b/>
                <w:color w:val="auto"/>
                <w:szCs w:val="18"/>
                <w:highlight w:val="none"/>
                <w:lang w:eastAsia="zh-CN"/>
              </w:rPr>
            </w:pPr>
          </w:p>
        </w:tc>
        <w:tc>
          <w:tcPr>
            <w:tcW w:w="1134" w:type="dxa"/>
            <w:noWrap w:val="0"/>
            <w:vAlign w:val="center"/>
          </w:tcPr>
          <w:p w14:paraId="30279D76">
            <w:pPr>
              <w:spacing w:line="300" w:lineRule="auto"/>
              <w:rPr>
                <w:rFonts w:ascii="宋体" w:hAnsi="宋体"/>
                <w:color w:val="auto"/>
                <w:highlight w:val="none"/>
              </w:rPr>
            </w:pPr>
          </w:p>
        </w:tc>
        <w:tc>
          <w:tcPr>
            <w:tcW w:w="992" w:type="dxa"/>
            <w:noWrap w:val="0"/>
            <w:vAlign w:val="center"/>
          </w:tcPr>
          <w:p w14:paraId="49B2EC31">
            <w:pPr>
              <w:spacing w:line="300" w:lineRule="auto"/>
              <w:rPr>
                <w:rFonts w:hint="eastAsia" w:ascii="宋体" w:hAnsi="宋体" w:eastAsia="宋体"/>
                <w:color w:val="auto"/>
                <w:highlight w:val="none"/>
                <w:lang w:val="en-US" w:eastAsia="zh-CN"/>
              </w:rPr>
            </w:pPr>
          </w:p>
        </w:tc>
        <w:tc>
          <w:tcPr>
            <w:tcW w:w="709" w:type="dxa"/>
            <w:noWrap w:val="0"/>
            <w:vAlign w:val="center"/>
          </w:tcPr>
          <w:p w14:paraId="04A917E6">
            <w:pPr>
              <w:spacing w:line="300" w:lineRule="auto"/>
              <w:rPr>
                <w:rFonts w:ascii="宋体" w:hAnsi="宋体"/>
                <w:color w:val="auto"/>
                <w:highlight w:val="none"/>
              </w:rPr>
            </w:pPr>
          </w:p>
        </w:tc>
        <w:tc>
          <w:tcPr>
            <w:tcW w:w="708" w:type="dxa"/>
            <w:noWrap w:val="0"/>
            <w:vAlign w:val="center"/>
          </w:tcPr>
          <w:p w14:paraId="0EC0DC40">
            <w:pPr>
              <w:spacing w:line="300" w:lineRule="auto"/>
              <w:rPr>
                <w:rFonts w:ascii="宋体" w:hAnsi="宋体"/>
                <w:color w:val="auto"/>
                <w:highlight w:val="none"/>
              </w:rPr>
            </w:pPr>
          </w:p>
        </w:tc>
        <w:tc>
          <w:tcPr>
            <w:tcW w:w="993" w:type="dxa"/>
            <w:noWrap w:val="0"/>
            <w:vAlign w:val="center"/>
          </w:tcPr>
          <w:p w14:paraId="02F6CB49">
            <w:pPr>
              <w:spacing w:line="300" w:lineRule="auto"/>
              <w:rPr>
                <w:rFonts w:ascii="宋体" w:hAnsi="宋体"/>
                <w:color w:val="auto"/>
                <w:highlight w:val="none"/>
              </w:rPr>
            </w:pPr>
          </w:p>
        </w:tc>
        <w:tc>
          <w:tcPr>
            <w:tcW w:w="992" w:type="dxa"/>
            <w:noWrap w:val="0"/>
            <w:vAlign w:val="center"/>
          </w:tcPr>
          <w:p w14:paraId="49481E06">
            <w:pPr>
              <w:spacing w:line="300" w:lineRule="auto"/>
              <w:rPr>
                <w:rFonts w:ascii="宋体" w:hAnsi="宋体"/>
                <w:color w:val="auto"/>
                <w:highlight w:val="none"/>
              </w:rPr>
            </w:pPr>
          </w:p>
        </w:tc>
        <w:tc>
          <w:tcPr>
            <w:tcW w:w="850" w:type="dxa"/>
            <w:noWrap w:val="0"/>
            <w:vAlign w:val="center"/>
          </w:tcPr>
          <w:p w14:paraId="0BD217F4">
            <w:pPr>
              <w:spacing w:line="300" w:lineRule="auto"/>
              <w:rPr>
                <w:rFonts w:ascii="宋体" w:hAnsi="宋体"/>
                <w:color w:val="auto"/>
                <w:highlight w:val="none"/>
              </w:rPr>
            </w:pPr>
          </w:p>
        </w:tc>
        <w:tc>
          <w:tcPr>
            <w:tcW w:w="677" w:type="dxa"/>
            <w:noWrap w:val="0"/>
            <w:vAlign w:val="center"/>
          </w:tcPr>
          <w:p w14:paraId="43511BB3">
            <w:pPr>
              <w:spacing w:line="300" w:lineRule="auto"/>
              <w:rPr>
                <w:rFonts w:ascii="宋体" w:hAnsi="宋体"/>
                <w:color w:val="auto"/>
                <w:highlight w:val="none"/>
              </w:rPr>
            </w:pPr>
          </w:p>
        </w:tc>
        <w:tc>
          <w:tcPr>
            <w:tcW w:w="831" w:type="dxa"/>
            <w:noWrap w:val="0"/>
            <w:vAlign w:val="center"/>
          </w:tcPr>
          <w:p w14:paraId="490D74A4">
            <w:pPr>
              <w:spacing w:line="300" w:lineRule="auto"/>
              <w:rPr>
                <w:rFonts w:ascii="宋体" w:hAnsi="宋体"/>
                <w:color w:val="auto"/>
                <w:highlight w:val="none"/>
              </w:rPr>
            </w:pPr>
          </w:p>
        </w:tc>
      </w:tr>
      <w:tr w14:paraId="0B80D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noWrap w:val="0"/>
            <w:vAlign w:val="top"/>
          </w:tcPr>
          <w:p w14:paraId="7DE4771E">
            <w:pPr>
              <w:spacing w:line="300" w:lineRule="auto"/>
              <w:rPr>
                <w:rFonts w:ascii="宋体" w:hAnsi="宋体"/>
                <w:color w:val="auto"/>
                <w:sz w:val="24"/>
                <w:highlight w:val="none"/>
              </w:rPr>
            </w:pPr>
          </w:p>
        </w:tc>
        <w:tc>
          <w:tcPr>
            <w:tcW w:w="1134" w:type="dxa"/>
            <w:noWrap w:val="0"/>
            <w:vAlign w:val="top"/>
          </w:tcPr>
          <w:p w14:paraId="332100BC">
            <w:pPr>
              <w:spacing w:line="300" w:lineRule="auto"/>
              <w:rPr>
                <w:rFonts w:ascii="宋体" w:hAnsi="宋体"/>
                <w:color w:val="auto"/>
                <w:sz w:val="24"/>
                <w:highlight w:val="none"/>
              </w:rPr>
            </w:pPr>
          </w:p>
        </w:tc>
        <w:tc>
          <w:tcPr>
            <w:tcW w:w="992" w:type="dxa"/>
            <w:noWrap w:val="0"/>
            <w:vAlign w:val="top"/>
          </w:tcPr>
          <w:p w14:paraId="347F09CA">
            <w:pPr>
              <w:spacing w:line="300" w:lineRule="auto"/>
              <w:rPr>
                <w:rFonts w:ascii="宋体" w:hAnsi="宋体"/>
                <w:color w:val="auto"/>
                <w:sz w:val="24"/>
                <w:highlight w:val="none"/>
              </w:rPr>
            </w:pPr>
          </w:p>
        </w:tc>
        <w:tc>
          <w:tcPr>
            <w:tcW w:w="709" w:type="dxa"/>
            <w:noWrap w:val="0"/>
            <w:vAlign w:val="top"/>
          </w:tcPr>
          <w:p w14:paraId="64BAE022">
            <w:pPr>
              <w:spacing w:line="300" w:lineRule="auto"/>
              <w:rPr>
                <w:rFonts w:ascii="宋体" w:hAnsi="宋体"/>
                <w:color w:val="auto"/>
                <w:sz w:val="24"/>
                <w:highlight w:val="none"/>
              </w:rPr>
            </w:pPr>
          </w:p>
        </w:tc>
        <w:tc>
          <w:tcPr>
            <w:tcW w:w="708" w:type="dxa"/>
            <w:noWrap w:val="0"/>
            <w:vAlign w:val="top"/>
          </w:tcPr>
          <w:p w14:paraId="30A4269D">
            <w:pPr>
              <w:spacing w:line="300" w:lineRule="auto"/>
              <w:rPr>
                <w:rFonts w:ascii="宋体" w:hAnsi="宋体"/>
                <w:color w:val="auto"/>
                <w:sz w:val="24"/>
                <w:highlight w:val="none"/>
              </w:rPr>
            </w:pPr>
          </w:p>
        </w:tc>
        <w:tc>
          <w:tcPr>
            <w:tcW w:w="993" w:type="dxa"/>
            <w:noWrap w:val="0"/>
            <w:vAlign w:val="top"/>
          </w:tcPr>
          <w:p w14:paraId="15C7906C">
            <w:pPr>
              <w:spacing w:line="300" w:lineRule="auto"/>
              <w:rPr>
                <w:rFonts w:ascii="宋体" w:hAnsi="宋体"/>
                <w:color w:val="auto"/>
                <w:sz w:val="24"/>
                <w:highlight w:val="none"/>
              </w:rPr>
            </w:pPr>
          </w:p>
        </w:tc>
        <w:tc>
          <w:tcPr>
            <w:tcW w:w="992" w:type="dxa"/>
            <w:noWrap w:val="0"/>
            <w:vAlign w:val="top"/>
          </w:tcPr>
          <w:p w14:paraId="603FCB67">
            <w:pPr>
              <w:spacing w:line="300" w:lineRule="auto"/>
              <w:rPr>
                <w:rFonts w:ascii="宋体" w:hAnsi="宋体"/>
                <w:color w:val="auto"/>
                <w:sz w:val="24"/>
                <w:highlight w:val="none"/>
              </w:rPr>
            </w:pPr>
          </w:p>
        </w:tc>
        <w:tc>
          <w:tcPr>
            <w:tcW w:w="850" w:type="dxa"/>
            <w:noWrap w:val="0"/>
            <w:vAlign w:val="top"/>
          </w:tcPr>
          <w:p w14:paraId="71B9BA73">
            <w:pPr>
              <w:spacing w:line="300" w:lineRule="auto"/>
              <w:rPr>
                <w:rFonts w:ascii="黑体" w:hAnsi="宋体" w:eastAsia="黑体"/>
                <w:color w:val="auto"/>
                <w:sz w:val="24"/>
                <w:highlight w:val="none"/>
              </w:rPr>
            </w:pPr>
          </w:p>
        </w:tc>
        <w:tc>
          <w:tcPr>
            <w:tcW w:w="677" w:type="dxa"/>
            <w:noWrap w:val="0"/>
            <w:vAlign w:val="top"/>
          </w:tcPr>
          <w:p w14:paraId="4478B2CB">
            <w:pPr>
              <w:spacing w:line="300" w:lineRule="auto"/>
              <w:rPr>
                <w:rFonts w:ascii="黑体" w:hAnsi="宋体" w:eastAsia="黑体"/>
                <w:color w:val="auto"/>
                <w:sz w:val="24"/>
                <w:highlight w:val="none"/>
              </w:rPr>
            </w:pPr>
          </w:p>
          <w:p w14:paraId="62DE2861">
            <w:pPr>
              <w:spacing w:line="300" w:lineRule="auto"/>
              <w:rPr>
                <w:rFonts w:ascii="黑体" w:hAnsi="宋体" w:eastAsia="黑体"/>
                <w:color w:val="auto"/>
                <w:sz w:val="24"/>
                <w:highlight w:val="none"/>
              </w:rPr>
            </w:pPr>
          </w:p>
        </w:tc>
        <w:tc>
          <w:tcPr>
            <w:tcW w:w="831" w:type="dxa"/>
            <w:noWrap w:val="0"/>
            <w:vAlign w:val="top"/>
          </w:tcPr>
          <w:p w14:paraId="2E771211">
            <w:pPr>
              <w:spacing w:line="300" w:lineRule="auto"/>
              <w:rPr>
                <w:rFonts w:ascii="黑体" w:hAnsi="宋体" w:eastAsia="黑体"/>
                <w:color w:val="auto"/>
                <w:sz w:val="24"/>
                <w:highlight w:val="none"/>
              </w:rPr>
            </w:pPr>
          </w:p>
          <w:p w14:paraId="6A25E7BC">
            <w:pPr>
              <w:spacing w:line="300" w:lineRule="auto"/>
              <w:rPr>
                <w:rFonts w:ascii="黑体" w:hAnsi="宋体" w:eastAsia="黑体"/>
                <w:color w:val="auto"/>
                <w:sz w:val="24"/>
                <w:highlight w:val="none"/>
              </w:rPr>
            </w:pPr>
          </w:p>
        </w:tc>
      </w:tr>
    </w:tbl>
    <w:p w14:paraId="79710FA7">
      <w:pPr>
        <w:spacing w:line="300" w:lineRule="auto"/>
        <w:ind w:firstLine="3616"/>
        <w:rPr>
          <w:rFonts w:ascii="宋体" w:hAnsi="宋体"/>
          <w:color w:val="auto"/>
          <w:sz w:val="24"/>
          <w:szCs w:val="24"/>
          <w:highlight w:val="none"/>
        </w:rPr>
      </w:pPr>
      <w:r>
        <w:rPr>
          <w:rFonts w:hint="eastAsia" w:ascii="宋体" w:hAnsi="宋体"/>
          <w:color w:val="auto"/>
          <w:sz w:val="24"/>
          <w:szCs w:val="24"/>
          <w:highlight w:val="none"/>
        </w:rPr>
        <w:br w:type="textWrapping"/>
      </w:r>
    </w:p>
    <w:p w14:paraId="25600A18">
      <w:pPr>
        <w:spacing w:line="300" w:lineRule="auto"/>
        <w:ind w:firstLine="480" w:firstLineChars="200"/>
        <w:jc w:val="left"/>
        <w:rPr>
          <w:rFonts w:ascii="黑体" w:hAnsi="宋体" w:eastAsia="黑体"/>
          <w:color w:val="auto"/>
          <w:sz w:val="24"/>
          <w:highlight w:val="none"/>
        </w:rPr>
      </w:pPr>
      <w:r>
        <w:rPr>
          <w:rFonts w:hint="eastAsia" w:ascii="宋体" w:hAnsi="宋体"/>
          <w:color w:val="auto"/>
          <w:sz w:val="24"/>
          <w:szCs w:val="24"/>
          <w:highlight w:val="none"/>
        </w:rPr>
        <w:t>附件2：发包人供应材料设备一览表</w:t>
      </w:r>
      <w:r>
        <w:rPr>
          <w:rFonts w:hint="eastAsia" w:ascii="宋体" w:hAnsi="宋体"/>
          <w:color w:val="auto"/>
          <w:sz w:val="24"/>
          <w:szCs w:val="24"/>
          <w:highlight w:val="none"/>
        </w:rPr>
        <w:br w:type="textWrapping"/>
      </w:r>
    </w:p>
    <w:tbl>
      <w:tblPr>
        <w:tblStyle w:val="24"/>
        <w:tblW w:w="96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
        <w:gridCol w:w="1217"/>
        <w:gridCol w:w="1279"/>
        <w:gridCol w:w="992"/>
        <w:gridCol w:w="992"/>
        <w:gridCol w:w="851"/>
        <w:gridCol w:w="992"/>
        <w:gridCol w:w="981"/>
        <w:gridCol w:w="840"/>
        <w:gridCol w:w="600"/>
      </w:tblGrid>
      <w:tr w14:paraId="080C9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873" w:type="dxa"/>
            <w:tcBorders>
              <w:bottom w:val="single" w:color="auto" w:sz="4" w:space="0"/>
            </w:tcBorders>
            <w:noWrap w:val="0"/>
            <w:vAlign w:val="center"/>
          </w:tcPr>
          <w:p w14:paraId="0D0A06A3">
            <w:pPr>
              <w:spacing w:line="300" w:lineRule="auto"/>
              <w:ind w:left="0" w:leftChars="0" w:firstLine="0" w:firstLineChars="0"/>
              <w:rPr>
                <w:rFonts w:ascii="宋体" w:hAnsi="宋体"/>
                <w:color w:val="auto"/>
                <w:sz w:val="21"/>
                <w:szCs w:val="21"/>
                <w:highlight w:val="none"/>
              </w:rPr>
            </w:pPr>
            <w:r>
              <w:rPr>
                <w:rFonts w:hint="eastAsia" w:ascii="宋体" w:hAnsi="宋体"/>
                <w:color w:val="auto"/>
                <w:sz w:val="21"/>
                <w:szCs w:val="21"/>
                <w:highlight w:val="none"/>
              </w:rPr>
              <w:t>序号</w:t>
            </w:r>
          </w:p>
        </w:tc>
        <w:tc>
          <w:tcPr>
            <w:tcW w:w="1217" w:type="dxa"/>
            <w:tcBorders>
              <w:bottom w:val="single" w:color="auto" w:sz="4" w:space="0"/>
            </w:tcBorders>
            <w:noWrap w:val="0"/>
            <w:vAlign w:val="center"/>
          </w:tcPr>
          <w:p w14:paraId="0958AEA0">
            <w:pPr>
              <w:spacing w:line="300" w:lineRule="auto"/>
              <w:ind w:left="0" w:leftChars="0" w:firstLine="0" w:firstLineChars="0"/>
              <w:rPr>
                <w:rFonts w:ascii="宋体" w:hAnsi="宋体"/>
                <w:color w:val="auto"/>
                <w:sz w:val="21"/>
                <w:szCs w:val="21"/>
                <w:highlight w:val="none"/>
              </w:rPr>
            </w:pPr>
            <w:r>
              <w:rPr>
                <w:rFonts w:hint="eastAsia" w:ascii="宋体" w:hAnsi="宋体"/>
                <w:color w:val="auto"/>
                <w:sz w:val="21"/>
                <w:szCs w:val="21"/>
                <w:highlight w:val="none"/>
              </w:rPr>
              <w:t>材料设备品种</w:t>
            </w:r>
          </w:p>
        </w:tc>
        <w:tc>
          <w:tcPr>
            <w:tcW w:w="1279" w:type="dxa"/>
            <w:tcBorders>
              <w:bottom w:val="single" w:color="auto" w:sz="4" w:space="0"/>
            </w:tcBorders>
            <w:noWrap w:val="0"/>
            <w:vAlign w:val="center"/>
          </w:tcPr>
          <w:p w14:paraId="0C722F12">
            <w:pPr>
              <w:spacing w:line="300" w:lineRule="auto"/>
              <w:ind w:left="0" w:leftChars="0" w:firstLine="0" w:firstLineChars="0"/>
              <w:rPr>
                <w:rFonts w:ascii="宋体" w:hAnsi="宋体"/>
                <w:color w:val="auto"/>
                <w:sz w:val="21"/>
                <w:szCs w:val="21"/>
                <w:highlight w:val="none"/>
              </w:rPr>
            </w:pPr>
            <w:r>
              <w:rPr>
                <w:rFonts w:hint="eastAsia" w:ascii="宋体" w:hAnsi="宋体"/>
                <w:color w:val="auto"/>
                <w:sz w:val="21"/>
                <w:szCs w:val="21"/>
                <w:highlight w:val="none"/>
              </w:rPr>
              <w:t>规格型号</w:t>
            </w:r>
          </w:p>
        </w:tc>
        <w:tc>
          <w:tcPr>
            <w:tcW w:w="992" w:type="dxa"/>
            <w:tcBorders>
              <w:bottom w:val="single" w:color="auto" w:sz="4" w:space="0"/>
            </w:tcBorders>
            <w:noWrap w:val="0"/>
            <w:vAlign w:val="center"/>
          </w:tcPr>
          <w:p w14:paraId="6657DCB9">
            <w:pPr>
              <w:spacing w:line="300" w:lineRule="auto"/>
              <w:ind w:left="0" w:leftChars="0" w:firstLine="0" w:firstLineChars="0"/>
              <w:rPr>
                <w:rFonts w:ascii="宋体" w:hAnsi="宋体"/>
                <w:color w:val="auto"/>
                <w:sz w:val="21"/>
                <w:szCs w:val="21"/>
                <w:highlight w:val="none"/>
              </w:rPr>
            </w:pPr>
            <w:r>
              <w:rPr>
                <w:rFonts w:hint="eastAsia" w:ascii="宋体" w:hAnsi="宋体"/>
                <w:color w:val="auto"/>
                <w:sz w:val="21"/>
                <w:szCs w:val="21"/>
                <w:highlight w:val="none"/>
              </w:rPr>
              <w:t>单位</w:t>
            </w:r>
          </w:p>
        </w:tc>
        <w:tc>
          <w:tcPr>
            <w:tcW w:w="992" w:type="dxa"/>
            <w:tcBorders>
              <w:bottom w:val="single" w:color="auto" w:sz="4" w:space="0"/>
            </w:tcBorders>
            <w:noWrap w:val="0"/>
            <w:vAlign w:val="center"/>
          </w:tcPr>
          <w:p w14:paraId="441974BE">
            <w:pPr>
              <w:spacing w:line="300" w:lineRule="auto"/>
              <w:ind w:left="0" w:leftChars="0" w:firstLine="0" w:firstLineChars="0"/>
              <w:rPr>
                <w:rFonts w:ascii="宋体" w:hAnsi="宋体"/>
                <w:color w:val="auto"/>
                <w:sz w:val="21"/>
                <w:szCs w:val="21"/>
                <w:highlight w:val="none"/>
              </w:rPr>
            </w:pPr>
            <w:r>
              <w:rPr>
                <w:rFonts w:hint="eastAsia" w:ascii="宋体" w:hAnsi="宋体"/>
                <w:color w:val="auto"/>
                <w:sz w:val="21"/>
                <w:szCs w:val="21"/>
                <w:highlight w:val="none"/>
              </w:rPr>
              <w:t>数量</w:t>
            </w:r>
          </w:p>
        </w:tc>
        <w:tc>
          <w:tcPr>
            <w:tcW w:w="851" w:type="dxa"/>
            <w:tcBorders>
              <w:bottom w:val="single" w:color="auto" w:sz="4" w:space="0"/>
            </w:tcBorders>
            <w:noWrap w:val="0"/>
            <w:vAlign w:val="center"/>
          </w:tcPr>
          <w:p w14:paraId="36B08082">
            <w:pPr>
              <w:spacing w:line="300" w:lineRule="auto"/>
              <w:ind w:left="0" w:leftChars="0" w:firstLine="0" w:firstLineChars="0"/>
              <w:rPr>
                <w:rFonts w:ascii="宋体" w:hAnsi="宋体"/>
                <w:color w:val="auto"/>
                <w:sz w:val="21"/>
                <w:szCs w:val="21"/>
                <w:highlight w:val="none"/>
              </w:rPr>
            </w:pPr>
            <w:r>
              <w:rPr>
                <w:rFonts w:hint="eastAsia" w:ascii="宋体" w:hAnsi="宋体"/>
                <w:color w:val="auto"/>
                <w:sz w:val="21"/>
                <w:szCs w:val="21"/>
                <w:highlight w:val="none"/>
              </w:rPr>
              <w:t>单价</w:t>
            </w:r>
          </w:p>
        </w:tc>
        <w:tc>
          <w:tcPr>
            <w:tcW w:w="992" w:type="dxa"/>
            <w:tcBorders>
              <w:bottom w:val="single" w:color="auto" w:sz="4" w:space="0"/>
            </w:tcBorders>
            <w:noWrap w:val="0"/>
            <w:vAlign w:val="center"/>
          </w:tcPr>
          <w:p w14:paraId="1BFACF10">
            <w:pPr>
              <w:spacing w:line="300" w:lineRule="auto"/>
              <w:ind w:left="0" w:leftChars="0" w:firstLine="0" w:firstLineChars="0"/>
              <w:rPr>
                <w:rFonts w:ascii="宋体" w:hAnsi="宋体"/>
                <w:color w:val="auto"/>
                <w:sz w:val="21"/>
                <w:szCs w:val="21"/>
                <w:highlight w:val="none"/>
              </w:rPr>
            </w:pPr>
            <w:r>
              <w:rPr>
                <w:rFonts w:hint="eastAsia" w:ascii="宋体" w:hAnsi="宋体"/>
                <w:color w:val="auto"/>
                <w:sz w:val="21"/>
                <w:szCs w:val="21"/>
                <w:highlight w:val="none"/>
              </w:rPr>
              <w:t>质量等级</w:t>
            </w:r>
          </w:p>
        </w:tc>
        <w:tc>
          <w:tcPr>
            <w:tcW w:w="981" w:type="dxa"/>
            <w:tcBorders>
              <w:bottom w:val="single" w:color="auto" w:sz="4" w:space="0"/>
            </w:tcBorders>
            <w:noWrap w:val="0"/>
            <w:vAlign w:val="center"/>
          </w:tcPr>
          <w:p w14:paraId="22306F38">
            <w:pPr>
              <w:spacing w:line="300" w:lineRule="auto"/>
              <w:ind w:left="0" w:leftChars="0" w:firstLine="0" w:firstLineChars="0"/>
              <w:rPr>
                <w:rFonts w:ascii="宋体" w:hAnsi="宋体"/>
                <w:color w:val="auto"/>
                <w:sz w:val="21"/>
                <w:szCs w:val="21"/>
                <w:highlight w:val="none"/>
              </w:rPr>
            </w:pPr>
            <w:r>
              <w:rPr>
                <w:rFonts w:hint="eastAsia" w:ascii="宋体" w:hAnsi="宋体"/>
                <w:color w:val="auto"/>
                <w:sz w:val="21"/>
                <w:szCs w:val="21"/>
                <w:highlight w:val="none"/>
              </w:rPr>
              <w:t>供应时间</w:t>
            </w:r>
          </w:p>
        </w:tc>
        <w:tc>
          <w:tcPr>
            <w:tcW w:w="840" w:type="dxa"/>
            <w:tcBorders>
              <w:bottom w:val="single" w:color="auto" w:sz="4" w:space="0"/>
            </w:tcBorders>
            <w:noWrap w:val="0"/>
            <w:vAlign w:val="center"/>
          </w:tcPr>
          <w:p w14:paraId="3734EAD4">
            <w:pPr>
              <w:spacing w:line="300" w:lineRule="auto"/>
              <w:ind w:left="0" w:leftChars="0" w:firstLine="0" w:firstLineChars="0"/>
              <w:rPr>
                <w:rFonts w:ascii="宋体" w:hAnsi="宋体"/>
                <w:color w:val="auto"/>
                <w:sz w:val="21"/>
                <w:szCs w:val="21"/>
                <w:highlight w:val="none"/>
              </w:rPr>
            </w:pPr>
            <w:r>
              <w:rPr>
                <w:rFonts w:hint="eastAsia" w:ascii="宋体" w:hAnsi="宋体"/>
                <w:color w:val="auto"/>
                <w:sz w:val="21"/>
                <w:szCs w:val="21"/>
                <w:highlight w:val="none"/>
              </w:rPr>
              <w:t>送达地点</w:t>
            </w:r>
          </w:p>
        </w:tc>
        <w:tc>
          <w:tcPr>
            <w:tcW w:w="600" w:type="dxa"/>
            <w:tcBorders>
              <w:bottom w:val="single" w:color="auto" w:sz="4" w:space="0"/>
            </w:tcBorders>
            <w:noWrap w:val="0"/>
            <w:vAlign w:val="center"/>
          </w:tcPr>
          <w:p w14:paraId="3EA7B71C">
            <w:pPr>
              <w:spacing w:line="300" w:lineRule="auto"/>
              <w:ind w:left="0" w:leftChars="0" w:firstLine="0" w:firstLineChars="0"/>
              <w:rPr>
                <w:rFonts w:ascii="宋体" w:hAnsi="宋体"/>
                <w:color w:val="auto"/>
                <w:sz w:val="21"/>
                <w:szCs w:val="21"/>
                <w:highlight w:val="none"/>
              </w:rPr>
            </w:pPr>
            <w:r>
              <w:rPr>
                <w:rFonts w:hint="eastAsia" w:ascii="宋体" w:hAnsi="宋体"/>
                <w:color w:val="auto"/>
                <w:sz w:val="21"/>
                <w:szCs w:val="21"/>
                <w:highlight w:val="none"/>
              </w:rPr>
              <w:t>注</w:t>
            </w:r>
          </w:p>
        </w:tc>
      </w:tr>
      <w:tr w14:paraId="04B9D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4" w:hRule="atLeast"/>
        </w:trPr>
        <w:tc>
          <w:tcPr>
            <w:tcW w:w="873" w:type="dxa"/>
            <w:noWrap w:val="0"/>
            <w:vAlign w:val="top"/>
          </w:tcPr>
          <w:p w14:paraId="33556291">
            <w:pPr>
              <w:spacing w:line="300" w:lineRule="auto"/>
              <w:rPr>
                <w:rFonts w:ascii="宋体" w:hAnsi="宋体"/>
                <w:color w:val="auto"/>
                <w:highlight w:val="none"/>
              </w:rPr>
            </w:pPr>
          </w:p>
        </w:tc>
        <w:tc>
          <w:tcPr>
            <w:tcW w:w="1217" w:type="dxa"/>
            <w:tcBorders>
              <w:tr2bl w:val="single" w:color="auto" w:sz="4" w:space="0"/>
            </w:tcBorders>
            <w:noWrap w:val="0"/>
            <w:vAlign w:val="top"/>
          </w:tcPr>
          <w:p w14:paraId="16069611">
            <w:pPr>
              <w:spacing w:line="300" w:lineRule="auto"/>
              <w:rPr>
                <w:rFonts w:ascii="宋体" w:hAnsi="宋体"/>
                <w:color w:val="auto"/>
                <w:highlight w:val="none"/>
              </w:rPr>
            </w:pPr>
          </w:p>
        </w:tc>
        <w:tc>
          <w:tcPr>
            <w:tcW w:w="1279" w:type="dxa"/>
            <w:tcBorders>
              <w:tr2bl w:val="single" w:color="auto" w:sz="4" w:space="0"/>
            </w:tcBorders>
            <w:noWrap w:val="0"/>
            <w:vAlign w:val="top"/>
          </w:tcPr>
          <w:p w14:paraId="74EDEA5A">
            <w:pPr>
              <w:spacing w:line="300" w:lineRule="auto"/>
              <w:rPr>
                <w:rFonts w:ascii="宋体" w:hAnsi="宋体"/>
                <w:color w:val="auto"/>
                <w:highlight w:val="none"/>
              </w:rPr>
            </w:pPr>
          </w:p>
        </w:tc>
        <w:tc>
          <w:tcPr>
            <w:tcW w:w="992" w:type="dxa"/>
            <w:noWrap w:val="0"/>
            <w:vAlign w:val="top"/>
          </w:tcPr>
          <w:p w14:paraId="68C72C88">
            <w:pPr>
              <w:spacing w:line="300" w:lineRule="auto"/>
              <w:rPr>
                <w:rFonts w:ascii="宋体" w:hAnsi="宋体"/>
                <w:color w:val="auto"/>
                <w:highlight w:val="none"/>
              </w:rPr>
            </w:pPr>
          </w:p>
        </w:tc>
        <w:tc>
          <w:tcPr>
            <w:tcW w:w="992" w:type="dxa"/>
            <w:tcBorders>
              <w:tr2bl w:val="single" w:color="auto" w:sz="4" w:space="0"/>
            </w:tcBorders>
            <w:noWrap w:val="0"/>
            <w:vAlign w:val="top"/>
          </w:tcPr>
          <w:p w14:paraId="6BC55477">
            <w:pPr>
              <w:spacing w:line="300" w:lineRule="auto"/>
              <w:rPr>
                <w:rFonts w:ascii="宋体" w:hAnsi="宋体"/>
                <w:color w:val="auto"/>
                <w:highlight w:val="none"/>
              </w:rPr>
            </w:pPr>
          </w:p>
        </w:tc>
        <w:tc>
          <w:tcPr>
            <w:tcW w:w="851" w:type="dxa"/>
            <w:noWrap w:val="0"/>
            <w:vAlign w:val="top"/>
          </w:tcPr>
          <w:p w14:paraId="1CD0FEE7">
            <w:pPr>
              <w:spacing w:line="300" w:lineRule="auto"/>
              <w:rPr>
                <w:rFonts w:ascii="宋体" w:hAnsi="宋体"/>
                <w:color w:val="auto"/>
                <w:highlight w:val="none"/>
              </w:rPr>
            </w:pPr>
          </w:p>
        </w:tc>
        <w:tc>
          <w:tcPr>
            <w:tcW w:w="992" w:type="dxa"/>
            <w:noWrap w:val="0"/>
            <w:vAlign w:val="top"/>
          </w:tcPr>
          <w:p w14:paraId="55489378">
            <w:pPr>
              <w:spacing w:line="300" w:lineRule="auto"/>
              <w:rPr>
                <w:rFonts w:ascii="宋体" w:hAnsi="宋体"/>
                <w:color w:val="auto"/>
                <w:highlight w:val="none"/>
              </w:rPr>
            </w:pPr>
          </w:p>
        </w:tc>
        <w:tc>
          <w:tcPr>
            <w:tcW w:w="981" w:type="dxa"/>
            <w:tcBorders>
              <w:tr2bl w:val="single" w:color="auto" w:sz="4" w:space="0"/>
            </w:tcBorders>
            <w:noWrap w:val="0"/>
            <w:vAlign w:val="top"/>
          </w:tcPr>
          <w:p w14:paraId="19558B41">
            <w:pPr>
              <w:spacing w:line="300" w:lineRule="auto"/>
              <w:rPr>
                <w:rFonts w:ascii="宋体" w:hAnsi="宋体"/>
                <w:color w:val="auto"/>
                <w:highlight w:val="none"/>
              </w:rPr>
            </w:pPr>
          </w:p>
        </w:tc>
        <w:tc>
          <w:tcPr>
            <w:tcW w:w="840" w:type="dxa"/>
            <w:tcBorders>
              <w:tr2bl w:val="single" w:color="auto" w:sz="4" w:space="0"/>
            </w:tcBorders>
            <w:noWrap w:val="0"/>
            <w:vAlign w:val="top"/>
          </w:tcPr>
          <w:p w14:paraId="33AEA9EB">
            <w:pPr>
              <w:spacing w:line="300" w:lineRule="auto"/>
              <w:rPr>
                <w:rFonts w:ascii="宋体" w:hAnsi="宋体"/>
                <w:color w:val="auto"/>
                <w:sz w:val="24"/>
                <w:highlight w:val="none"/>
              </w:rPr>
            </w:pPr>
          </w:p>
        </w:tc>
        <w:tc>
          <w:tcPr>
            <w:tcW w:w="600" w:type="dxa"/>
            <w:noWrap w:val="0"/>
            <w:vAlign w:val="top"/>
          </w:tcPr>
          <w:p w14:paraId="5F609D28">
            <w:pPr>
              <w:spacing w:line="300" w:lineRule="auto"/>
              <w:rPr>
                <w:rFonts w:ascii="宋体" w:hAnsi="宋体"/>
                <w:color w:val="auto"/>
                <w:sz w:val="24"/>
                <w:highlight w:val="none"/>
              </w:rPr>
            </w:pPr>
          </w:p>
        </w:tc>
      </w:tr>
      <w:tr w14:paraId="66DE1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73" w:type="dxa"/>
            <w:noWrap w:val="0"/>
            <w:vAlign w:val="center"/>
          </w:tcPr>
          <w:p w14:paraId="52C0171B">
            <w:pPr>
              <w:spacing w:line="300" w:lineRule="auto"/>
              <w:ind w:left="0" w:leftChars="0" w:firstLine="0" w:firstLineChars="0"/>
              <w:jc w:val="both"/>
              <w:rPr>
                <w:rFonts w:ascii="宋体" w:hAnsi="宋体"/>
                <w:color w:val="auto"/>
                <w:highlight w:val="none"/>
              </w:rPr>
            </w:pPr>
            <w:r>
              <w:rPr>
                <w:rFonts w:hint="eastAsia" w:ascii="宋体" w:hAnsi="宋体"/>
                <w:color w:val="auto"/>
                <w:highlight w:val="none"/>
              </w:rPr>
              <w:t>合计</w:t>
            </w:r>
          </w:p>
        </w:tc>
        <w:tc>
          <w:tcPr>
            <w:tcW w:w="1217" w:type="dxa"/>
            <w:noWrap w:val="0"/>
            <w:vAlign w:val="top"/>
          </w:tcPr>
          <w:p w14:paraId="3D7249BA">
            <w:pPr>
              <w:spacing w:line="300" w:lineRule="auto"/>
              <w:rPr>
                <w:rFonts w:ascii="宋体" w:hAnsi="宋体"/>
                <w:color w:val="auto"/>
                <w:highlight w:val="none"/>
              </w:rPr>
            </w:pPr>
          </w:p>
        </w:tc>
        <w:tc>
          <w:tcPr>
            <w:tcW w:w="1279" w:type="dxa"/>
            <w:noWrap w:val="0"/>
            <w:vAlign w:val="top"/>
          </w:tcPr>
          <w:p w14:paraId="79A24FA4">
            <w:pPr>
              <w:spacing w:line="300" w:lineRule="auto"/>
              <w:rPr>
                <w:rFonts w:ascii="宋体" w:hAnsi="宋体"/>
                <w:color w:val="auto"/>
                <w:highlight w:val="none"/>
              </w:rPr>
            </w:pPr>
          </w:p>
        </w:tc>
        <w:tc>
          <w:tcPr>
            <w:tcW w:w="992" w:type="dxa"/>
            <w:noWrap w:val="0"/>
            <w:vAlign w:val="top"/>
          </w:tcPr>
          <w:p w14:paraId="33E56DF3">
            <w:pPr>
              <w:spacing w:line="300" w:lineRule="auto"/>
              <w:rPr>
                <w:rFonts w:ascii="宋体" w:hAnsi="宋体"/>
                <w:color w:val="auto"/>
                <w:highlight w:val="none"/>
              </w:rPr>
            </w:pPr>
          </w:p>
        </w:tc>
        <w:tc>
          <w:tcPr>
            <w:tcW w:w="992" w:type="dxa"/>
            <w:noWrap w:val="0"/>
            <w:vAlign w:val="top"/>
          </w:tcPr>
          <w:p w14:paraId="72A18051">
            <w:pPr>
              <w:spacing w:line="300" w:lineRule="auto"/>
              <w:rPr>
                <w:rFonts w:ascii="宋体" w:hAnsi="宋体"/>
                <w:color w:val="auto"/>
                <w:highlight w:val="none"/>
              </w:rPr>
            </w:pPr>
          </w:p>
        </w:tc>
        <w:tc>
          <w:tcPr>
            <w:tcW w:w="851" w:type="dxa"/>
            <w:noWrap w:val="0"/>
            <w:vAlign w:val="top"/>
          </w:tcPr>
          <w:p w14:paraId="06E97406">
            <w:pPr>
              <w:spacing w:line="300" w:lineRule="auto"/>
              <w:rPr>
                <w:rFonts w:ascii="宋体" w:hAnsi="宋体"/>
                <w:color w:val="auto"/>
                <w:highlight w:val="none"/>
              </w:rPr>
            </w:pPr>
          </w:p>
        </w:tc>
        <w:tc>
          <w:tcPr>
            <w:tcW w:w="992" w:type="dxa"/>
            <w:noWrap w:val="0"/>
            <w:vAlign w:val="top"/>
          </w:tcPr>
          <w:p w14:paraId="634A9158">
            <w:pPr>
              <w:spacing w:line="300" w:lineRule="auto"/>
              <w:rPr>
                <w:rFonts w:ascii="宋体" w:hAnsi="宋体"/>
                <w:color w:val="auto"/>
                <w:highlight w:val="none"/>
              </w:rPr>
            </w:pPr>
          </w:p>
        </w:tc>
        <w:tc>
          <w:tcPr>
            <w:tcW w:w="981" w:type="dxa"/>
            <w:noWrap w:val="0"/>
            <w:vAlign w:val="top"/>
          </w:tcPr>
          <w:p w14:paraId="2F067072">
            <w:pPr>
              <w:spacing w:line="300" w:lineRule="auto"/>
              <w:rPr>
                <w:rFonts w:ascii="宋体" w:hAnsi="宋体"/>
                <w:color w:val="auto"/>
                <w:highlight w:val="none"/>
              </w:rPr>
            </w:pPr>
          </w:p>
        </w:tc>
        <w:tc>
          <w:tcPr>
            <w:tcW w:w="840" w:type="dxa"/>
            <w:noWrap w:val="0"/>
            <w:vAlign w:val="top"/>
          </w:tcPr>
          <w:p w14:paraId="58E92210">
            <w:pPr>
              <w:spacing w:line="300" w:lineRule="auto"/>
              <w:rPr>
                <w:rFonts w:ascii="黑体" w:hAnsi="宋体" w:eastAsia="黑体"/>
                <w:color w:val="auto"/>
                <w:sz w:val="24"/>
                <w:highlight w:val="none"/>
              </w:rPr>
            </w:pPr>
          </w:p>
        </w:tc>
        <w:tc>
          <w:tcPr>
            <w:tcW w:w="600" w:type="dxa"/>
            <w:noWrap w:val="0"/>
            <w:vAlign w:val="top"/>
          </w:tcPr>
          <w:p w14:paraId="096FA458">
            <w:pPr>
              <w:spacing w:line="300" w:lineRule="auto"/>
              <w:rPr>
                <w:rFonts w:ascii="黑体" w:hAnsi="宋体" w:eastAsia="黑体"/>
                <w:color w:val="auto"/>
                <w:sz w:val="24"/>
                <w:highlight w:val="none"/>
              </w:rPr>
            </w:pPr>
          </w:p>
        </w:tc>
      </w:tr>
    </w:tbl>
    <w:p w14:paraId="76415E49">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2346D7A5">
      <w:pPr>
        <w:spacing w:line="300" w:lineRule="auto"/>
        <w:jc w:val="left"/>
        <w:rPr>
          <w:rFonts w:hint="eastAsia" w:ascii="宋体" w:hAnsi="宋体" w:eastAsia="宋体" w:cs="宋体"/>
          <w:color w:val="auto"/>
          <w:sz w:val="28"/>
          <w:szCs w:val="24"/>
          <w:highlight w:val="none"/>
        </w:rPr>
      </w:pPr>
      <w:r>
        <w:rPr>
          <w:rFonts w:hint="eastAsia" w:ascii="宋体" w:hAnsi="宋体" w:eastAsia="宋体" w:cs="宋体"/>
          <w:color w:val="auto"/>
          <w:sz w:val="24"/>
          <w:szCs w:val="24"/>
          <w:highlight w:val="none"/>
        </w:rPr>
        <w:t>附件</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：工程质量保修书</w:t>
      </w:r>
    </w:p>
    <w:p w14:paraId="71E680CB">
      <w:pPr>
        <w:spacing w:line="300" w:lineRule="auto"/>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工程质量保修书</w:t>
      </w:r>
    </w:p>
    <w:p w14:paraId="75A80E4D">
      <w:pPr>
        <w:spacing w:line="30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（示范文本）</w:t>
      </w:r>
    </w:p>
    <w:p w14:paraId="7D8B77FC">
      <w:pPr>
        <w:spacing w:line="300" w:lineRule="auto"/>
        <w:ind w:firstLine="4348"/>
        <w:rPr>
          <w:rFonts w:hint="eastAsia" w:ascii="宋体" w:hAnsi="宋体" w:eastAsia="宋体" w:cs="宋体"/>
          <w:color w:val="auto"/>
          <w:highlight w:val="none"/>
        </w:rPr>
      </w:pPr>
    </w:p>
    <w:p w14:paraId="02170A2E">
      <w:pPr>
        <w:pStyle w:val="22"/>
        <w:spacing w:before="0" w:beforeAutospacing="0" w:after="0" w:afterAutospacing="0" w:line="264" w:lineRule="auto"/>
        <w:ind w:firstLine="480" w:firstLineChars="200"/>
        <w:rPr>
          <w:rFonts w:hint="eastAsia" w:ascii="宋体" w:hAnsi="宋体" w:eastAsia="宋体" w:cs="宋体"/>
          <w:b/>
          <w:color w:val="auto"/>
          <w:highlight w:val="none"/>
          <w:u w:val="single"/>
        </w:rPr>
      </w:pPr>
      <w:r>
        <w:rPr>
          <w:rFonts w:hint="eastAsia" w:ascii="宋体" w:hAnsi="宋体" w:eastAsia="宋体" w:cs="宋体"/>
          <w:color w:val="auto"/>
          <w:highlight w:val="none"/>
        </w:rPr>
        <w:t>发包人（全称）：</w:t>
      </w:r>
      <w:r>
        <w:rPr>
          <w:rFonts w:hint="eastAsia" w:ascii="宋体" w:hAnsi="宋体" w:cs="宋体"/>
          <w:b/>
          <w:bCs/>
          <w:color w:val="auto"/>
          <w:sz w:val="24"/>
          <w:szCs w:val="24"/>
          <w:highlight w:val="none"/>
          <w:u w:val="single"/>
          <w:lang w:val="en-US" w:eastAsia="zh-CN"/>
        </w:rPr>
        <w:t>嘉善县天凝中学</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color w:val="auto"/>
          <w:highlight w:val="none"/>
          <w:u w:val="single"/>
        </w:rPr>
        <w:t xml:space="preserve"> </w:t>
      </w:r>
    </w:p>
    <w:p w14:paraId="44D3116E">
      <w:pPr>
        <w:pStyle w:val="22"/>
        <w:spacing w:before="0" w:beforeAutospacing="0" w:after="0" w:afterAutospacing="0" w:line="264"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承包人（全称）：</w:t>
      </w:r>
      <w:r>
        <w:rPr>
          <w:rFonts w:hint="eastAsia" w:ascii="宋体" w:hAnsi="宋体" w:eastAsia="宋体" w:cs="宋体"/>
          <w:color w:val="auto"/>
          <w:highlight w:val="none"/>
          <w:u w:val="single"/>
        </w:rPr>
        <w:t xml:space="preserve">         </w:t>
      </w:r>
      <w:r>
        <w:rPr>
          <w:rFonts w:hint="eastAsia" w:ascii="宋体" w:hAnsi="宋体" w:eastAsia="宋体" w:cs="宋体"/>
          <w:b/>
          <w:color w:val="auto"/>
          <w:highlight w:val="none"/>
          <w:u w:val="single"/>
          <w:lang w:val="en-US" w:eastAsia="zh-CN"/>
        </w:rPr>
        <w:t xml:space="preserve"> </w:t>
      </w:r>
      <w:r>
        <w:rPr>
          <w:rFonts w:hint="eastAsia" w:ascii="宋体" w:hAnsi="宋体" w:eastAsia="宋体" w:cs="宋体"/>
          <w:color w:val="auto"/>
          <w:highlight w:val="none"/>
          <w:u w:val="single"/>
        </w:rPr>
        <w:t xml:space="preserve">           </w:t>
      </w:r>
    </w:p>
    <w:p w14:paraId="6DD210EE">
      <w:pPr>
        <w:pStyle w:val="22"/>
        <w:spacing w:before="0" w:beforeAutospacing="0" w:after="0" w:afterAutospacing="0" w:line="264" w:lineRule="auto"/>
        <w:rPr>
          <w:rFonts w:hint="eastAsia" w:ascii="宋体" w:hAnsi="宋体" w:eastAsia="宋体" w:cs="宋体"/>
          <w:color w:val="auto"/>
          <w:highlight w:val="none"/>
        </w:rPr>
      </w:pPr>
      <w:r>
        <w:rPr>
          <w:rFonts w:hint="eastAsia" w:ascii="宋体" w:hAnsi="宋体" w:eastAsia="宋体" w:cs="宋体"/>
          <w:color w:val="auto"/>
          <w:highlight w:val="none"/>
        </w:rPr>
        <w:t>　　发包人和承包人根据《中华人民共和国建筑法》和《建设工程质量管理条例》，经协商一致，对</w:t>
      </w:r>
      <w:r>
        <w:rPr>
          <w:rFonts w:hint="eastAsia" w:ascii="宋体" w:hAnsi="宋体" w:cs="宋体"/>
          <w:b/>
          <w:bCs/>
          <w:color w:val="auto"/>
          <w:sz w:val="24"/>
          <w:szCs w:val="24"/>
          <w:highlight w:val="none"/>
          <w:u w:val="single"/>
          <w:lang w:val="en-US" w:eastAsia="zh-CN"/>
        </w:rPr>
        <w:t>嘉善县天凝中学2025年度校舍常规维修</w:t>
      </w:r>
      <w:r>
        <w:rPr>
          <w:rFonts w:hint="eastAsia" w:ascii="宋体" w:hAnsi="宋体" w:eastAsia="宋体" w:cs="宋体"/>
          <w:color w:val="auto"/>
          <w:highlight w:val="none"/>
        </w:rPr>
        <w:t xml:space="preserve">签定工程质量保修书。 </w:t>
      </w:r>
    </w:p>
    <w:p w14:paraId="693FBC90">
      <w:pPr>
        <w:pStyle w:val="22"/>
        <w:spacing w:before="0" w:beforeAutospacing="0" w:after="0" w:afterAutospacing="0" w:line="264"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一、工程质量保修范围和内容 </w:t>
      </w:r>
    </w:p>
    <w:p w14:paraId="1B1E918F">
      <w:pPr>
        <w:pStyle w:val="22"/>
        <w:spacing w:before="0" w:beforeAutospacing="0" w:after="0" w:afterAutospacing="0" w:line="264"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承包人在质量保修期内，按照有关法律规定和合同约定，承担工程质量保修责任。 </w:t>
      </w:r>
    </w:p>
    <w:p w14:paraId="0CB8A4B8">
      <w:pPr>
        <w:pStyle w:val="22"/>
        <w:spacing w:before="0" w:beforeAutospacing="0" w:after="0" w:afterAutospacing="0" w:line="264"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质量保修范围包括</w:t>
      </w:r>
      <w:r>
        <w:rPr>
          <w:rFonts w:hint="eastAsia" w:ascii="宋体" w:hAnsi="宋体" w:cs="宋体"/>
          <w:b/>
          <w:color w:val="auto"/>
          <w:highlight w:val="none"/>
          <w:u w:val="single"/>
          <w:lang w:val="en-US" w:eastAsia="zh-CN"/>
        </w:rPr>
        <w:t>嘉善县天凝中学2025年度校舍常规维修</w:t>
      </w:r>
      <w:r>
        <w:rPr>
          <w:rFonts w:hint="eastAsia" w:ascii="宋体" w:hAnsi="宋体" w:eastAsia="宋体" w:cs="宋体"/>
          <w:color w:val="auto"/>
          <w:highlight w:val="none"/>
        </w:rPr>
        <w:t xml:space="preserve">，以及双方约定的其他项目。具体保修的内容，双方约定如下： </w:t>
      </w:r>
    </w:p>
    <w:p w14:paraId="349E4ECE">
      <w:pPr>
        <w:pStyle w:val="22"/>
        <w:spacing w:before="0" w:beforeAutospacing="0" w:after="0" w:afterAutospacing="0" w:line="264"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 </w:t>
      </w:r>
      <w:r>
        <w:rPr>
          <w:rFonts w:hint="eastAsia" w:ascii="宋体" w:hAnsi="宋体" w:eastAsia="宋体" w:cs="宋体"/>
          <w:b/>
          <w:color w:val="auto"/>
          <w:highlight w:val="none"/>
          <w:u w:val="single"/>
        </w:rPr>
        <w:t>按合同条款中约定的承包范围，按规定进行保修</w:t>
      </w:r>
      <w:r>
        <w:rPr>
          <w:rFonts w:hint="eastAsia" w:ascii="宋体" w:hAnsi="宋体" w:eastAsia="宋体" w:cs="宋体"/>
          <w:color w:val="auto"/>
          <w:highlight w:val="none"/>
        </w:rPr>
        <w:t>。</w:t>
      </w:r>
      <w:r>
        <w:rPr>
          <w:rFonts w:hint="eastAsia" w:ascii="宋体" w:hAnsi="宋体" w:eastAsia="宋体" w:cs="宋体"/>
          <w:color w:val="auto"/>
          <w:szCs w:val="21"/>
          <w:highlight w:val="none"/>
        </w:rPr>
        <w:t xml:space="preserve"> </w:t>
      </w:r>
      <w:r>
        <w:rPr>
          <w:rFonts w:hint="eastAsia" w:ascii="宋体" w:hAnsi="宋体" w:eastAsia="宋体" w:cs="宋体"/>
          <w:color w:val="auto"/>
          <w:highlight w:val="none"/>
        </w:rPr>
        <w:t xml:space="preserve"> </w:t>
      </w:r>
    </w:p>
    <w:p w14:paraId="1CBD7D33">
      <w:pPr>
        <w:pStyle w:val="22"/>
        <w:spacing w:before="0" w:beforeAutospacing="0" w:after="0" w:afterAutospacing="0" w:line="264"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二、质量保修期 </w:t>
      </w:r>
    </w:p>
    <w:p w14:paraId="379C73C9">
      <w:pPr>
        <w:pStyle w:val="22"/>
        <w:spacing w:before="0" w:beforeAutospacing="0" w:after="0" w:afterAutospacing="0" w:line="264"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双方根据《建设工程质量管理条例》及有关规定，工程的质量保修期如下： </w:t>
      </w:r>
    </w:p>
    <w:p w14:paraId="6461D409">
      <w:pPr>
        <w:pStyle w:val="22"/>
        <w:spacing w:before="0" w:beforeAutospacing="0" w:after="0" w:afterAutospacing="0" w:line="264"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⒈地基基础工程和主体结构工程为设计文件规定的工程合理使用年限； </w:t>
      </w:r>
    </w:p>
    <w:p w14:paraId="1DE3DCF8">
      <w:pPr>
        <w:pStyle w:val="22"/>
        <w:spacing w:before="0" w:beforeAutospacing="0" w:after="0" w:afterAutospacing="0" w:line="264"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⒉屋面防水工程、有防水要求的卫生间、房间和外墙面的防渗漏为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5</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年； </w:t>
      </w:r>
    </w:p>
    <w:p w14:paraId="44BDD3B0">
      <w:pPr>
        <w:pStyle w:val="22"/>
        <w:spacing w:before="0" w:beforeAutospacing="0" w:after="0" w:afterAutospacing="0" w:line="264" w:lineRule="auto"/>
        <w:rPr>
          <w:rFonts w:hint="eastAsia" w:ascii="宋体" w:hAnsi="宋体" w:eastAsia="宋体" w:cs="宋体"/>
          <w:color w:val="auto"/>
          <w:highlight w:val="none"/>
        </w:rPr>
      </w:pPr>
      <w:r>
        <w:rPr>
          <w:rFonts w:hint="eastAsia" w:ascii="宋体" w:hAnsi="宋体" w:eastAsia="宋体" w:cs="宋体"/>
          <w:color w:val="auto"/>
          <w:highlight w:val="none"/>
        </w:rPr>
        <w:t>⒊装修工程为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2</w:t>
      </w:r>
      <w:r>
        <w:rPr>
          <w:rFonts w:hint="eastAsia" w:ascii="宋体" w:hAnsi="宋体" w:eastAsia="宋体" w:cs="宋体"/>
          <w:color w:val="auto"/>
          <w:highlight w:val="none"/>
        </w:rPr>
        <w:t xml:space="preserve">年； </w:t>
      </w:r>
    </w:p>
    <w:p w14:paraId="2AAD2720">
      <w:pPr>
        <w:pStyle w:val="22"/>
        <w:spacing w:before="0" w:beforeAutospacing="0" w:after="0" w:afterAutospacing="0" w:line="264" w:lineRule="auto"/>
        <w:rPr>
          <w:rFonts w:hint="eastAsia" w:ascii="宋体" w:hAnsi="宋体" w:eastAsia="宋体" w:cs="宋体"/>
          <w:color w:val="auto"/>
          <w:highlight w:val="none"/>
        </w:rPr>
      </w:pPr>
      <w:r>
        <w:rPr>
          <w:rFonts w:hint="eastAsia" w:ascii="宋体" w:hAnsi="宋体" w:eastAsia="宋体" w:cs="宋体"/>
          <w:color w:val="auto"/>
          <w:highlight w:val="none"/>
        </w:rPr>
        <w:t>⒋电气管线、给排水管道、设备安装工程为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2</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年； </w:t>
      </w:r>
    </w:p>
    <w:p w14:paraId="11093B17">
      <w:pPr>
        <w:pStyle w:val="22"/>
        <w:spacing w:before="0" w:beforeAutospacing="0" w:after="0" w:afterAutospacing="0" w:line="264" w:lineRule="auto"/>
        <w:rPr>
          <w:rFonts w:hint="eastAsia" w:ascii="宋体" w:hAnsi="宋体" w:eastAsia="宋体" w:cs="宋体"/>
          <w:color w:val="auto"/>
          <w:highlight w:val="none"/>
        </w:rPr>
      </w:pPr>
      <w:r>
        <w:rPr>
          <w:rFonts w:hint="eastAsia" w:ascii="宋体" w:hAnsi="宋体" w:eastAsia="宋体" w:cs="宋体"/>
          <w:color w:val="auto"/>
          <w:highlight w:val="none"/>
        </w:rPr>
        <w:t>⒌供热与供冷系统为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2</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个采暖期、供冷期； </w:t>
      </w:r>
    </w:p>
    <w:p w14:paraId="63F972B4">
      <w:pPr>
        <w:pStyle w:val="22"/>
        <w:spacing w:before="0" w:beforeAutospacing="0" w:after="0" w:afterAutospacing="0" w:line="264" w:lineRule="auto"/>
        <w:rPr>
          <w:rFonts w:hint="eastAsia" w:ascii="宋体" w:hAnsi="宋体" w:eastAsia="宋体" w:cs="宋体"/>
          <w:color w:val="auto"/>
          <w:highlight w:val="none"/>
        </w:rPr>
      </w:pPr>
      <w:r>
        <w:rPr>
          <w:rFonts w:hint="eastAsia" w:ascii="宋体" w:hAnsi="宋体" w:eastAsia="宋体" w:cs="宋体"/>
          <w:color w:val="auto"/>
          <w:highlight w:val="none"/>
        </w:rPr>
        <w:t>⒍住宅小区内的给排水设施、道路等配套工程为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2</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年； </w:t>
      </w:r>
    </w:p>
    <w:p w14:paraId="315352C4">
      <w:pPr>
        <w:pStyle w:val="22"/>
        <w:spacing w:before="0" w:beforeAutospacing="0" w:after="0" w:afterAutospacing="0" w:line="264" w:lineRule="auto"/>
        <w:rPr>
          <w:rFonts w:hint="eastAsia" w:ascii="宋体" w:hAnsi="宋体" w:eastAsia="宋体" w:cs="宋体"/>
          <w:b/>
          <w:color w:val="auto"/>
          <w:highlight w:val="none"/>
          <w:u w:val="single"/>
        </w:rPr>
      </w:pPr>
      <w:r>
        <w:rPr>
          <w:rFonts w:hint="eastAsia" w:ascii="宋体" w:hAnsi="宋体" w:eastAsia="宋体" w:cs="宋体"/>
          <w:color w:val="auto"/>
          <w:highlight w:val="none"/>
        </w:rPr>
        <w:t>⒎其他项目保修期限约定如下：</w:t>
      </w:r>
      <w:r>
        <w:rPr>
          <w:rFonts w:hint="eastAsia" w:ascii="宋体" w:hAnsi="宋体" w:eastAsia="宋体" w:cs="宋体"/>
          <w:b/>
          <w:color w:val="auto"/>
          <w:sz w:val="24"/>
          <w:szCs w:val="24"/>
          <w:highlight w:val="none"/>
          <w:u w:val="single"/>
          <w:lang w:eastAsia="zh-CN"/>
        </w:rPr>
        <w:t>有规定的按规定，无规定的至少</w:t>
      </w:r>
      <w:r>
        <w:rPr>
          <w:rFonts w:hint="eastAsia" w:ascii="宋体" w:hAnsi="宋体" w:eastAsia="宋体" w:cs="宋体"/>
          <w:b/>
          <w:color w:val="auto"/>
          <w:sz w:val="24"/>
          <w:szCs w:val="24"/>
          <w:highlight w:val="none"/>
          <w:u w:val="single"/>
          <w:lang w:val="en-US" w:eastAsia="zh-CN"/>
        </w:rPr>
        <w:t>2年</w:t>
      </w:r>
      <w:r>
        <w:rPr>
          <w:rFonts w:hint="eastAsia" w:ascii="宋体" w:hAnsi="宋体" w:eastAsia="宋体" w:cs="宋体"/>
          <w:b/>
          <w:color w:val="auto"/>
          <w:highlight w:val="none"/>
          <w:u w:val="single"/>
        </w:rPr>
        <w:t>。</w:t>
      </w:r>
    </w:p>
    <w:p w14:paraId="50CB821B">
      <w:pPr>
        <w:pStyle w:val="22"/>
        <w:spacing w:before="0" w:beforeAutospacing="0" w:after="0" w:afterAutospacing="0" w:line="264" w:lineRule="auto"/>
        <w:ind w:firstLine="470" w:firstLineChars="196"/>
        <w:rPr>
          <w:rFonts w:hint="eastAsia" w:ascii="宋体" w:hAnsi="宋体" w:eastAsia="宋体" w:cs="宋体"/>
          <w:color w:val="auto"/>
          <w:highlight w:val="none"/>
        </w:rPr>
      </w:pPr>
      <w:r>
        <w:rPr>
          <w:rFonts w:hint="eastAsia" w:ascii="宋体" w:hAnsi="宋体" w:eastAsia="宋体" w:cs="宋体"/>
          <w:color w:val="auto"/>
          <w:highlight w:val="none"/>
        </w:rPr>
        <w:t>质量保修期自工程竣工验收合格之日起计算。</w:t>
      </w:r>
    </w:p>
    <w:p w14:paraId="63ED9A2C">
      <w:pPr>
        <w:spacing w:line="264"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三、缺陷责任期</w:t>
      </w:r>
    </w:p>
    <w:p w14:paraId="302BA288">
      <w:pPr>
        <w:spacing w:line="264"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工程缺陷责任期为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12</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个月，</w:t>
      </w:r>
      <w:r>
        <w:rPr>
          <w:rFonts w:hint="eastAsia" w:ascii="宋体" w:hAnsi="宋体" w:eastAsia="宋体" w:cs="宋体"/>
          <w:color w:val="auto"/>
          <w:kern w:val="0"/>
          <w:sz w:val="24"/>
          <w:szCs w:val="24"/>
          <w:highlight w:val="none"/>
        </w:rPr>
        <w:t>缺陷责任期自工程竣工验收合格之日起计算</w:t>
      </w:r>
      <w:r>
        <w:rPr>
          <w:rFonts w:hint="eastAsia" w:ascii="宋体" w:hAnsi="宋体" w:eastAsia="宋体" w:cs="宋体"/>
          <w:color w:val="auto"/>
          <w:sz w:val="24"/>
          <w:szCs w:val="24"/>
          <w:highlight w:val="none"/>
        </w:rPr>
        <w:t>。单位工程先于全部工程进行验收，单位工程缺陷责任期自单位工程验收合格之日起算。</w:t>
      </w:r>
    </w:p>
    <w:p w14:paraId="2303BB75">
      <w:pPr>
        <w:spacing w:line="264"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缺陷责任期终止后，发包人应退还剩余的质量保证金。</w:t>
      </w:r>
    </w:p>
    <w:p w14:paraId="18258834">
      <w:pPr>
        <w:numPr>
          <w:ilvl w:val="0"/>
          <w:numId w:val="8"/>
        </w:numPr>
        <w:spacing w:line="264"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质</w:t>
      </w:r>
      <w:r>
        <w:rPr>
          <w:rFonts w:hint="eastAsia" w:ascii="宋体" w:hAnsi="宋体" w:eastAsia="宋体" w:cs="宋体"/>
          <w:color w:val="auto"/>
          <w:kern w:val="0"/>
          <w:sz w:val="24"/>
          <w:szCs w:val="24"/>
          <w:highlight w:val="none"/>
        </w:rPr>
        <w:t>量保修责任</w:t>
      </w:r>
    </w:p>
    <w:p w14:paraId="11C480D5">
      <w:pPr>
        <w:pStyle w:val="22"/>
        <w:keepNext w:val="0"/>
        <w:keepLines w:val="0"/>
        <w:pageBreakBefore w:val="0"/>
        <w:kinsoku/>
        <w:wordWrap/>
        <w:overflowPunct/>
        <w:topLinePunct w:val="0"/>
        <w:bidi w:val="0"/>
        <w:spacing w:before="0" w:beforeAutospacing="0" w:after="0" w:afterAutospacing="0" w:line="300" w:lineRule="auto"/>
        <w:ind w:left="0" w:leftChars="0" w:firstLine="480" w:firstLineChars="200"/>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属于保修范围、内容的项目，承包人应当在接到保修通知之日起</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 xml:space="preserve">天内派人保修。承包人不在约定期限内派人保修的，发包人可以委托他人修理。 </w:t>
      </w:r>
    </w:p>
    <w:p w14:paraId="5CBDE15F">
      <w:pPr>
        <w:pStyle w:val="22"/>
        <w:keepNext w:val="0"/>
        <w:keepLines w:val="0"/>
        <w:pageBreakBefore w:val="0"/>
        <w:kinsoku/>
        <w:wordWrap/>
        <w:overflowPunct/>
        <w:topLinePunct w:val="0"/>
        <w:bidi w:val="0"/>
        <w:spacing w:before="0" w:beforeAutospacing="0" w:after="0" w:afterAutospacing="0" w:line="300" w:lineRule="auto"/>
        <w:ind w:left="0" w:leftChars="0"/>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 xml:space="preserve">发生紧急事故需抢修的，承包人在接到事故通知后，应当立即到达事故现场抢修。 </w:t>
      </w:r>
    </w:p>
    <w:p w14:paraId="5239F931">
      <w:pPr>
        <w:pStyle w:val="22"/>
        <w:keepNext w:val="0"/>
        <w:keepLines w:val="0"/>
        <w:pageBreakBefore w:val="0"/>
        <w:kinsoku/>
        <w:wordWrap/>
        <w:overflowPunct/>
        <w:topLinePunct w:val="0"/>
        <w:bidi w:val="0"/>
        <w:spacing w:before="0" w:beforeAutospacing="0" w:after="0" w:afterAutospacing="0" w:line="300" w:lineRule="auto"/>
        <w:ind w:left="0" w:leftChars="0" w:firstLine="480"/>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 xml:space="preserve">对于涉及结构安全的质量问题，应当按照《建设工程质量管理条例》的规定，立即向当地建设行政主管部门和有关部门报告，采取安全防范措施，并由原设计人或者具有相应资质等级的设计人提出保修方案，承包人实施保修。 </w:t>
      </w:r>
    </w:p>
    <w:p w14:paraId="2E20BAF5">
      <w:pPr>
        <w:pStyle w:val="22"/>
        <w:keepNext w:val="0"/>
        <w:keepLines w:val="0"/>
        <w:pageBreakBefore w:val="0"/>
        <w:kinsoku/>
        <w:wordWrap/>
        <w:overflowPunct/>
        <w:topLinePunct w:val="0"/>
        <w:bidi w:val="0"/>
        <w:spacing w:before="0" w:beforeAutospacing="0" w:after="0" w:afterAutospacing="0" w:line="300" w:lineRule="auto"/>
        <w:ind w:left="0" w:leftChars="0" w:firstLine="480"/>
        <w:textAlignment w:val="auto"/>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4、质量保修完成后，由发包人组织验收。</w:t>
      </w:r>
    </w:p>
    <w:p w14:paraId="685B0726">
      <w:pPr>
        <w:spacing w:line="264"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五、保修费用 </w:t>
      </w:r>
    </w:p>
    <w:p w14:paraId="21818751">
      <w:pPr>
        <w:spacing w:line="264"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保修费用由造成质量缺陷的责任方承担。 </w:t>
      </w:r>
    </w:p>
    <w:p w14:paraId="6C8F79F2">
      <w:pPr>
        <w:spacing w:line="264" w:lineRule="auto"/>
        <w:rPr>
          <w:rFonts w:hint="eastAsia" w:ascii="宋体" w:hAnsi="宋体" w:eastAsia="宋体" w:cs="宋体"/>
          <w:b/>
          <w:bCs/>
          <w:color w:val="auto"/>
          <w:kern w:val="0"/>
          <w:sz w:val="24"/>
          <w:szCs w:val="24"/>
          <w:highlight w:val="none"/>
          <w:u w:val="single"/>
        </w:rPr>
      </w:pPr>
      <w:r>
        <w:rPr>
          <w:rFonts w:hint="eastAsia" w:ascii="宋体" w:hAnsi="宋体" w:eastAsia="宋体" w:cs="宋体"/>
          <w:color w:val="auto"/>
          <w:kern w:val="0"/>
          <w:sz w:val="24"/>
          <w:szCs w:val="24"/>
          <w:highlight w:val="none"/>
        </w:rPr>
        <w:t xml:space="preserve"> 六、双方约定的其他工程质量保修事项</w:t>
      </w:r>
      <w:r>
        <w:rPr>
          <w:rFonts w:hint="eastAsia" w:ascii="宋体" w:hAnsi="宋体" w:eastAsia="宋体" w:cs="宋体"/>
          <w:color w:val="auto"/>
          <w:szCs w:val="24"/>
          <w:highlight w:val="none"/>
        </w:rPr>
        <w:t>：</w:t>
      </w:r>
      <w:r>
        <w:rPr>
          <w:rFonts w:hint="eastAsia" w:ascii="宋体" w:hAnsi="宋体" w:eastAsia="宋体" w:cs="宋体"/>
          <w:color w:val="auto"/>
          <w:sz w:val="24"/>
          <w:szCs w:val="24"/>
          <w:highlight w:val="none"/>
          <w:u w:val="single"/>
        </w:rPr>
        <w:t>由于承包方原因造成质量问题一切由承包方负责，并承担费用。</w:t>
      </w:r>
    </w:p>
    <w:p w14:paraId="696BE972">
      <w:pPr>
        <w:spacing w:line="264" w:lineRule="auto"/>
        <w:rPr>
          <w:rFonts w:hint="eastAsia" w:ascii="宋体" w:hAnsi="宋体" w:eastAsia="宋体" w:cs="宋体"/>
          <w:color w:val="auto"/>
          <w:kern w:val="0"/>
          <w:sz w:val="24"/>
          <w:szCs w:val="24"/>
          <w:highlight w:val="none"/>
        </w:rPr>
      </w:pPr>
      <w:r>
        <w:rPr>
          <w:rFonts w:hint="eastAsia" w:ascii="宋体" w:hAnsi="宋体" w:eastAsia="宋体" w:cs="宋体"/>
          <w:color w:val="auto"/>
          <w:highlight w:val="none"/>
        </w:rPr>
        <w:t xml:space="preserve"> </w:t>
      </w:r>
      <w:r>
        <w:rPr>
          <w:rFonts w:hint="eastAsia" w:ascii="宋体" w:hAnsi="宋体" w:eastAsia="宋体" w:cs="宋体"/>
          <w:color w:val="auto"/>
          <w:kern w:val="0"/>
          <w:sz w:val="24"/>
          <w:szCs w:val="24"/>
          <w:highlight w:val="none"/>
        </w:rPr>
        <w:t xml:space="preserve">工程质量保修书由发包人、承包人在工程竣工验收前共同签署，作为施工合同附件，其有效期限至保修期满。 </w:t>
      </w:r>
    </w:p>
    <w:p w14:paraId="57C375F4">
      <w:pPr>
        <w:pStyle w:val="22"/>
        <w:spacing w:beforeAutospacing="0" w:afterAutospacing="0" w:line="264" w:lineRule="auto"/>
        <w:ind w:firstLine="465"/>
        <w:rPr>
          <w:rFonts w:hint="eastAsia" w:ascii="宋体" w:hAnsi="宋体" w:eastAsia="宋体" w:cs="宋体"/>
          <w:color w:val="auto"/>
          <w:highlight w:val="none"/>
        </w:rPr>
      </w:pPr>
    </w:p>
    <w:p w14:paraId="7DB2068B">
      <w:pPr>
        <w:pStyle w:val="22"/>
        <w:spacing w:beforeAutospacing="0" w:afterAutospacing="0" w:line="264" w:lineRule="auto"/>
        <w:ind w:firstLine="465"/>
        <w:rPr>
          <w:rFonts w:hint="eastAsia" w:ascii="宋体" w:hAnsi="宋体" w:eastAsia="宋体" w:cs="宋体"/>
          <w:color w:val="auto"/>
          <w:highlight w:val="none"/>
        </w:rPr>
      </w:pPr>
    </w:p>
    <w:p w14:paraId="4D7DCD91">
      <w:pPr>
        <w:spacing w:line="264"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发包人(公章)：</w:t>
      </w:r>
      <w:r>
        <w:rPr>
          <w:rFonts w:hint="eastAsia" w:ascii="宋体" w:hAnsi="宋体" w:eastAsia="宋体" w:cs="宋体"/>
          <w:color w:val="auto"/>
          <w:sz w:val="24"/>
          <w:szCs w:val="24"/>
          <w:highlight w:val="none"/>
          <w:u w:val="single"/>
        </w:rPr>
        <w:t xml:space="preserve">         </w:t>
      </w:r>
      <w:r>
        <w:rPr>
          <w:rFonts w:hint="eastAsia" w:ascii="宋体" w:hAnsi="宋体" w:eastAsia="宋体" w:cs="宋体"/>
          <w:color w:val="auto"/>
          <w:sz w:val="24"/>
          <w:szCs w:val="24"/>
          <w:highlight w:val="none"/>
        </w:rPr>
        <w:t xml:space="preserve">            承包人(公章)：</w:t>
      </w:r>
      <w:r>
        <w:rPr>
          <w:rFonts w:hint="eastAsia" w:ascii="宋体" w:hAnsi="宋体" w:eastAsia="宋体" w:cs="宋体"/>
          <w:color w:val="auto"/>
          <w:sz w:val="24"/>
          <w:szCs w:val="24"/>
          <w:highlight w:val="none"/>
          <w:u w:val="single"/>
        </w:rPr>
        <w:t xml:space="preserve">           </w:t>
      </w:r>
    </w:p>
    <w:p w14:paraId="2C12FF98">
      <w:pPr>
        <w:spacing w:line="264"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 xml:space="preserve">            地  址：</w:t>
      </w:r>
      <w:r>
        <w:rPr>
          <w:rFonts w:hint="eastAsia" w:ascii="宋体" w:hAnsi="宋体" w:eastAsia="宋体" w:cs="宋体"/>
          <w:color w:val="auto"/>
          <w:sz w:val="24"/>
          <w:szCs w:val="24"/>
          <w:highlight w:val="none"/>
          <w:u w:val="single"/>
        </w:rPr>
        <w:t xml:space="preserve">       </w:t>
      </w:r>
    </w:p>
    <w:p w14:paraId="04CECEBF">
      <w:pPr>
        <w:spacing w:line="264"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法定代表人(签字)：</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法定代表人(签字)：</w:t>
      </w:r>
      <w:r>
        <w:rPr>
          <w:rFonts w:hint="eastAsia" w:ascii="宋体" w:hAnsi="宋体" w:eastAsia="宋体" w:cs="宋体"/>
          <w:color w:val="auto"/>
          <w:sz w:val="24"/>
          <w:szCs w:val="24"/>
          <w:highlight w:val="none"/>
          <w:u w:val="single"/>
        </w:rPr>
        <w:t xml:space="preserve">       </w:t>
      </w:r>
    </w:p>
    <w:p w14:paraId="728EC928">
      <w:pPr>
        <w:spacing w:line="264"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委托代理人(签字)：</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委托代理人(签字)：</w:t>
      </w:r>
      <w:r>
        <w:rPr>
          <w:rFonts w:hint="eastAsia" w:ascii="宋体" w:hAnsi="宋体" w:eastAsia="宋体" w:cs="宋体"/>
          <w:color w:val="auto"/>
          <w:sz w:val="24"/>
          <w:szCs w:val="24"/>
          <w:highlight w:val="none"/>
          <w:u w:val="single"/>
        </w:rPr>
        <w:t xml:space="preserve">       </w:t>
      </w:r>
    </w:p>
    <w:p w14:paraId="0E4A3671">
      <w:pPr>
        <w:spacing w:line="264"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 xml:space="preserve">            电  话：</w:t>
      </w:r>
      <w:r>
        <w:rPr>
          <w:rFonts w:hint="eastAsia" w:ascii="宋体" w:hAnsi="宋体" w:eastAsia="宋体" w:cs="宋体"/>
          <w:color w:val="auto"/>
          <w:sz w:val="24"/>
          <w:szCs w:val="24"/>
          <w:highlight w:val="none"/>
          <w:u w:val="single"/>
        </w:rPr>
        <w:t xml:space="preserve">     </w:t>
      </w:r>
    </w:p>
    <w:p w14:paraId="3AE30428">
      <w:pPr>
        <w:spacing w:line="264"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  真：</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 xml:space="preserve">            传  真：</w:t>
      </w:r>
      <w:r>
        <w:rPr>
          <w:rFonts w:hint="eastAsia" w:ascii="宋体" w:hAnsi="宋体" w:eastAsia="宋体" w:cs="宋体"/>
          <w:color w:val="auto"/>
          <w:sz w:val="24"/>
          <w:szCs w:val="24"/>
          <w:highlight w:val="none"/>
          <w:u w:val="single"/>
        </w:rPr>
        <w:t xml:space="preserve">     </w:t>
      </w:r>
    </w:p>
    <w:p w14:paraId="0D278BE3">
      <w:pPr>
        <w:spacing w:line="264"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 xml:space="preserve">            开户银行：</w:t>
      </w:r>
      <w:r>
        <w:rPr>
          <w:rFonts w:hint="eastAsia" w:ascii="宋体" w:hAnsi="宋体" w:eastAsia="宋体" w:cs="宋体"/>
          <w:color w:val="auto"/>
          <w:sz w:val="24"/>
          <w:szCs w:val="24"/>
          <w:highlight w:val="none"/>
          <w:u w:val="single"/>
        </w:rPr>
        <w:t xml:space="preserve">   </w:t>
      </w:r>
    </w:p>
    <w:p w14:paraId="6C7333AB">
      <w:pPr>
        <w:spacing w:line="264"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  号：</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 xml:space="preserve">             账   号：</w:t>
      </w:r>
      <w:r>
        <w:rPr>
          <w:rFonts w:hint="eastAsia" w:ascii="宋体" w:hAnsi="宋体" w:eastAsia="宋体" w:cs="宋体"/>
          <w:color w:val="auto"/>
          <w:sz w:val="24"/>
          <w:szCs w:val="24"/>
          <w:highlight w:val="none"/>
          <w:u w:val="single"/>
        </w:rPr>
        <w:t xml:space="preserve">     </w:t>
      </w:r>
    </w:p>
    <w:p w14:paraId="7E44E054">
      <w:pPr>
        <w:spacing w:line="300" w:lineRule="auto"/>
        <w:jc w:val="left"/>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邮政编码：</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 xml:space="preserve">            邮政编码：</w:t>
      </w:r>
      <w:r>
        <w:rPr>
          <w:rFonts w:hint="eastAsia" w:ascii="宋体" w:hAnsi="宋体" w:eastAsia="宋体" w:cs="宋体"/>
          <w:color w:val="auto"/>
          <w:sz w:val="24"/>
          <w:szCs w:val="24"/>
          <w:highlight w:val="none"/>
          <w:u w:val="single"/>
        </w:rPr>
        <w:t xml:space="preserve">   </w:t>
      </w:r>
    </w:p>
    <w:p w14:paraId="13A5D1B5">
      <w:pP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br w:type="page"/>
      </w:r>
    </w:p>
    <w:p w14:paraId="12E323B6">
      <w:pPr>
        <w:spacing w:line="440" w:lineRule="exac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附件4：</w:t>
      </w:r>
    </w:p>
    <w:p w14:paraId="03150FD0">
      <w:pPr>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安全生产合同书</w:t>
      </w:r>
    </w:p>
    <w:p w14:paraId="4CDD79D6">
      <w:pPr>
        <w:spacing w:line="300" w:lineRule="auto"/>
        <w:rPr>
          <w:rFonts w:hint="eastAsia" w:ascii="宋体" w:hAnsi="宋体"/>
          <w:b/>
          <w:color w:val="auto"/>
          <w:sz w:val="24"/>
          <w:highlight w:val="none"/>
          <w:u w:val="single"/>
        </w:rPr>
      </w:pPr>
      <w:r>
        <w:rPr>
          <w:rFonts w:hint="eastAsia" w:ascii="宋体" w:hAnsi="宋体"/>
          <w:b/>
          <w:color w:val="auto"/>
          <w:sz w:val="24"/>
          <w:highlight w:val="none"/>
        </w:rPr>
        <w:t>甲方：</w:t>
      </w:r>
      <w:r>
        <w:rPr>
          <w:rFonts w:hint="eastAsia" w:ascii="宋体" w:hAnsi="宋体" w:cs="宋体"/>
          <w:b/>
          <w:bCs/>
          <w:color w:val="auto"/>
          <w:sz w:val="24"/>
          <w:szCs w:val="24"/>
          <w:highlight w:val="none"/>
          <w:u w:val="single"/>
          <w:lang w:val="en-US" w:eastAsia="zh-CN"/>
        </w:rPr>
        <w:t>嘉善县天凝中学</w:t>
      </w:r>
      <w:r>
        <w:rPr>
          <w:rFonts w:hint="eastAsia" w:ascii="宋体" w:hAnsi="宋体"/>
          <w:b/>
          <w:color w:val="auto"/>
          <w:sz w:val="24"/>
          <w:highlight w:val="none"/>
          <w:u w:val="single"/>
        </w:rPr>
        <w:t xml:space="preserve"> </w:t>
      </w:r>
    </w:p>
    <w:p w14:paraId="21A96032">
      <w:pPr>
        <w:spacing w:line="300" w:lineRule="auto"/>
        <w:rPr>
          <w:rFonts w:hint="eastAsia" w:ascii="宋体" w:hAnsi="宋体"/>
          <w:b/>
          <w:color w:val="auto"/>
          <w:sz w:val="24"/>
          <w:highlight w:val="none"/>
          <w:u w:val="single"/>
        </w:rPr>
      </w:pPr>
      <w:r>
        <w:rPr>
          <w:rFonts w:hint="eastAsia" w:ascii="宋体" w:hAnsi="宋体"/>
          <w:b/>
          <w:color w:val="auto"/>
          <w:sz w:val="24"/>
          <w:highlight w:val="none"/>
        </w:rPr>
        <w:t>乙方：</w:t>
      </w:r>
      <w:r>
        <w:rPr>
          <w:rFonts w:hint="eastAsia" w:ascii="宋体" w:hAnsi="宋体"/>
          <w:b/>
          <w:color w:val="auto"/>
          <w:sz w:val="24"/>
          <w:szCs w:val="22"/>
          <w:highlight w:val="none"/>
          <w:u w:val="single"/>
          <w:lang w:eastAsia="zh-CN"/>
        </w:rPr>
        <w:t xml:space="preserve"> </w:t>
      </w:r>
      <w:r>
        <w:rPr>
          <w:rFonts w:hint="eastAsia" w:ascii="宋体" w:hAnsi="宋体"/>
          <w:b/>
          <w:color w:val="auto"/>
          <w:sz w:val="24"/>
          <w:szCs w:val="22"/>
          <w:highlight w:val="none"/>
          <w:u w:val="single"/>
          <w:lang w:val="en-US" w:eastAsia="zh-CN"/>
        </w:rPr>
        <w:t xml:space="preserve">            </w:t>
      </w:r>
      <w:r>
        <w:rPr>
          <w:rFonts w:hint="eastAsia" w:ascii="宋体" w:hAnsi="宋体"/>
          <w:b/>
          <w:color w:val="auto"/>
          <w:sz w:val="24"/>
          <w:highlight w:val="none"/>
          <w:u w:val="single"/>
          <w:lang w:val="en-US" w:eastAsia="zh-CN"/>
        </w:rPr>
        <w:t xml:space="preserve"> </w:t>
      </w:r>
      <w:r>
        <w:rPr>
          <w:rFonts w:hint="eastAsia" w:ascii="宋体" w:hAnsi="宋体"/>
          <w:b/>
          <w:color w:val="auto"/>
          <w:sz w:val="24"/>
          <w:highlight w:val="none"/>
          <w:u w:val="single"/>
        </w:rPr>
        <w:t xml:space="preserve"> </w:t>
      </w:r>
    </w:p>
    <w:p w14:paraId="6FEE799E">
      <w:pPr>
        <w:spacing w:line="300" w:lineRule="auto"/>
        <w:rPr>
          <w:rFonts w:hint="eastAsia" w:ascii="宋体" w:hAnsi="宋体"/>
          <w:b/>
          <w:color w:val="auto"/>
          <w:sz w:val="24"/>
          <w:highlight w:val="none"/>
          <w:u w:val="single"/>
        </w:rPr>
      </w:pPr>
      <w:r>
        <w:rPr>
          <w:rFonts w:hint="eastAsia" w:ascii="宋体" w:hAnsi="宋体"/>
          <w:color w:val="auto"/>
          <w:sz w:val="24"/>
          <w:highlight w:val="none"/>
          <w:lang w:eastAsia="zh-CN"/>
        </w:rPr>
        <w:t>工程</w:t>
      </w:r>
      <w:r>
        <w:rPr>
          <w:rFonts w:hint="eastAsia" w:ascii="宋体" w:hAnsi="宋体"/>
          <w:color w:val="auto"/>
          <w:sz w:val="24"/>
          <w:highlight w:val="none"/>
        </w:rPr>
        <w:t>项目：</w:t>
      </w:r>
      <w:r>
        <w:rPr>
          <w:rFonts w:hint="eastAsia" w:ascii="宋体" w:hAnsi="宋体"/>
          <w:b/>
          <w:color w:val="auto"/>
          <w:sz w:val="24"/>
          <w:szCs w:val="22"/>
          <w:highlight w:val="none"/>
          <w:u w:val="single"/>
          <w:lang w:eastAsia="zh-CN"/>
        </w:rPr>
        <w:t xml:space="preserve"> </w:t>
      </w:r>
      <w:r>
        <w:rPr>
          <w:rFonts w:hint="eastAsia" w:ascii="宋体" w:hAnsi="宋体" w:cs="宋体"/>
          <w:b/>
          <w:bCs/>
          <w:color w:val="auto"/>
          <w:sz w:val="24"/>
          <w:szCs w:val="24"/>
          <w:highlight w:val="none"/>
          <w:u w:val="single"/>
          <w:lang w:val="en-US" w:eastAsia="zh-CN"/>
        </w:rPr>
        <w:t>嘉善县天凝中学2025年度校舍常规维修</w:t>
      </w:r>
    </w:p>
    <w:p w14:paraId="59D7A4A5">
      <w:pPr>
        <w:spacing w:line="300" w:lineRule="auto"/>
        <w:ind w:firstLine="480" w:firstLineChars="200"/>
        <w:rPr>
          <w:rFonts w:hint="eastAsia" w:ascii="宋体" w:hAnsi="宋体" w:cs="宋体"/>
          <w:color w:val="auto"/>
          <w:kern w:val="0"/>
          <w:sz w:val="24"/>
          <w:highlight w:val="none"/>
        </w:rPr>
      </w:pPr>
      <w:r>
        <w:rPr>
          <w:rFonts w:hint="eastAsia" w:ascii="宋体" w:hAnsi="宋体"/>
          <w:color w:val="auto"/>
          <w:sz w:val="24"/>
          <w:highlight w:val="none"/>
        </w:rPr>
        <w:t>为加强合作意识，明确责任，本着“安全第一，预防为主”的目的，让安全隐患消灭在萌芽中.</w:t>
      </w:r>
      <w:r>
        <w:rPr>
          <w:rFonts w:hint="eastAsia" w:ascii="宋体" w:hAnsi="宋体" w:cs="宋体"/>
          <w:color w:val="auto"/>
          <w:kern w:val="0"/>
          <w:sz w:val="24"/>
          <w:highlight w:val="none"/>
        </w:rPr>
        <w:t xml:space="preserve"> </w:t>
      </w:r>
    </w:p>
    <w:p w14:paraId="04C74D22">
      <w:pPr>
        <w:spacing w:line="300" w:lineRule="auto"/>
        <w:ind w:firstLine="480" w:firstLineChars="200"/>
        <w:rPr>
          <w:rFonts w:hint="eastAsia" w:ascii="宋体" w:hAnsi="宋体"/>
          <w:color w:val="auto"/>
          <w:sz w:val="24"/>
          <w:highlight w:val="none"/>
        </w:rPr>
      </w:pPr>
      <w:r>
        <w:rPr>
          <w:rFonts w:hint="eastAsia" w:ascii="宋体" w:hAnsi="宋体"/>
          <w:color w:val="auto"/>
          <w:sz w:val="24"/>
          <w:highlight w:val="none"/>
        </w:rPr>
        <w:t>经甲、乙双方协商，签订如下合同：</w:t>
      </w:r>
    </w:p>
    <w:p w14:paraId="1190A2D2">
      <w:pPr>
        <w:pStyle w:val="21"/>
        <w:spacing w:line="300" w:lineRule="auto"/>
        <w:outlineLvl w:val="0"/>
        <w:rPr>
          <w:rFonts w:hint="eastAsia" w:ascii="宋体" w:hAnsi="宋体"/>
          <w:color w:val="auto"/>
          <w:highlight w:val="none"/>
        </w:rPr>
      </w:pPr>
      <w:bookmarkStart w:id="99" w:name="_Toc25419"/>
      <w:r>
        <w:rPr>
          <w:rFonts w:hint="eastAsia" w:ascii="宋体" w:hAnsi="宋体"/>
          <w:color w:val="auto"/>
          <w:highlight w:val="none"/>
        </w:rPr>
        <w:t>一、</w:t>
      </w:r>
      <w:r>
        <w:rPr>
          <w:rFonts w:ascii="宋体" w:hAnsi="宋体"/>
          <w:color w:val="auto"/>
          <w:highlight w:val="none"/>
        </w:rPr>
        <w:t>甲方安全责任</w:t>
      </w:r>
      <w:bookmarkEnd w:id="99"/>
    </w:p>
    <w:p w14:paraId="469D2DEB">
      <w:pPr>
        <w:pStyle w:val="21"/>
        <w:spacing w:line="300" w:lineRule="auto"/>
        <w:ind w:firstLine="480" w:firstLineChars="200"/>
        <w:rPr>
          <w:rFonts w:hint="eastAsia" w:ascii="宋体" w:hAnsi="宋体"/>
          <w:color w:val="auto"/>
          <w:highlight w:val="none"/>
        </w:rPr>
      </w:pPr>
      <w:r>
        <w:rPr>
          <w:rFonts w:hint="eastAsia" w:ascii="宋体" w:hAnsi="宋体"/>
          <w:color w:val="auto"/>
          <w:highlight w:val="none"/>
        </w:rPr>
        <w:t xml:space="preserve">1、甲方不得对从事建设活动的勘察、设计、施工、工程监理等单位提出不符合建设工程安全生产法律、法规的要求。 </w:t>
      </w:r>
    </w:p>
    <w:p w14:paraId="70637D54">
      <w:pPr>
        <w:pStyle w:val="21"/>
        <w:spacing w:line="300" w:lineRule="auto"/>
        <w:ind w:firstLine="480" w:firstLineChars="200"/>
        <w:rPr>
          <w:rFonts w:hint="eastAsia" w:ascii="宋体" w:hAnsi="宋体"/>
          <w:color w:val="auto"/>
          <w:highlight w:val="none"/>
        </w:rPr>
      </w:pPr>
      <w:r>
        <w:rPr>
          <w:rFonts w:hint="eastAsia" w:ascii="宋体" w:hAnsi="宋体"/>
          <w:color w:val="auto"/>
          <w:highlight w:val="none"/>
        </w:rPr>
        <w:t xml:space="preserve">2、甲方不得暗示或明示乙方使用不符合安全法规要求的机械设备、设施等。 </w:t>
      </w:r>
    </w:p>
    <w:p w14:paraId="08E66D8E">
      <w:pPr>
        <w:pStyle w:val="21"/>
        <w:spacing w:line="300" w:lineRule="auto"/>
        <w:ind w:firstLine="480" w:firstLineChars="200"/>
        <w:rPr>
          <w:rFonts w:hint="eastAsia" w:ascii="宋体" w:hAnsi="宋体"/>
          <w:color w:val="auto"/>
          <w:highlight w:val="none"/>
        </w:rPr>
      </w:pPr>
      <w:r>
        <w:rPr>
          <w:rFonts w:hint="eastAsia" w:ascii="宋体" w:hAnsi="宋体"/>
          <w:color w:val="auto"/>
          <w:highlight w:val="none"/>
        </w:rPr>
        <w:t>3、</w:t>
      </w:r>
      <w:r>
        <w:rPr>
          <w:rFonts w:ascii="宋体" w:hAnsi="宋体"/>
          <w:color w:val="auto"/>
          <w:highlight w:val="none"/>
        </w:rPr>
        <w:t>进场施工作业前对乙方项目负责人进行安全事项交底</w:t>
      </w:r>
      <w:r>
        <w:rPr>
          <w:rFonts w:hint="eastAsia" w:ascii="宋体" w:hAnsi="宋体"/>
          <w:color w:val="auto"/>
          <w:highlight w:val="none"/>
        </w:rPr>
        <w:t>。</w:t>
      </w:r>
    </w:p>
    <w:p w14:paraId="13F9C513">
      <w:pPr>
        <w:pStyle w:val="21"/>
        <w:spacing w:line="300" w:lineRule="auto"/>
        <w:ind w:firstLine="480" w:firstLineChars="200"/>
        <w:rPr>
          <w:rFonts w:hint="eastAsia" w:ascii="宋体" w:hAnsi="宋体"/>
          <w:color w:val="auto"/>
          <w:highlight w:val="none"/>
        </w:rPr>
      </w:pPr>
      <w:r>
        <w:rPr>
          <w:rFonts w:hint="eastAsia" w:ascii="宋体" w:hAnsi="宋体"/>
          <w:color w:val="auto"/>
          <w:highlight w:val="none"/>
        </w:rPr>
        <w:t>4、</w:t>
      </w:r>
      <w:r>
        <w:rPr>
          <w:rFonts w:ascii="宋体" w:hAnsi="宋体"/>
          <w:color w:val="auto"/>
          <w:highlight w:val="none"/>
        </w:rPr>
        <w:t>监督检查乙方的安全施工作业情况，对违法乱纪现象按甲方单位安全检查考核细则规定进行违规执罚。因乙方严重违规施工作业而影响甲方正常生产时，有权停止其施工作业至整改验收合格为止。</w:t>
      </w:r>
    </w:p>
    <w:p w14:paraId="09F3E676">
      <w:pPr>
        <w:pStyle w:val="21"/>
        <w:spacing w:line="300" w:lineRule="auto"/>
        <w:outlineLvl w:val="0"/>
        <w:rPr>
          <w:rFonts w:ascii="宋体" w:hAnsi="宋体"/>
          <w:color w:val="auto"/>
          <w:highlight w:val="none"/>
        </w:rPr>
      </w:pPr>
      <w:bookmarkStart w:id="100" w:name="_Toc8144"/>
      <w:r>
        <w:rPr>
          <w:rFonts w:hint="eastAsia" w:ascii="宋体" w:hAnsi="宋体"/>
          <w:color w:val="auto"/>
          <w:highlight w:val="none"/>
        </w:rPr>
        <w:t>二、</w:t>
      </w:r>
      <w:r>
        <w:rPr>
          <w:rFonts w:ascii="宋体" w:hAnsi="宋体"/>
          <w:color w:val="auto"/>
          <w:highlight w:val="none"/>
        </w:rPr>
        <w:t>乙方安全责任</w:t>
      </w:r>
      <w:bookmarkEnd w:id="100"/>
    </w:p>
    <w:p w14:paraId="4D288D50">
      <w:pPr>
        <w:spacing w:line="300" w:lineRule="auto"/>
        <w:ind w:firstLine="480" w:firstLineChars="200"/>
        <w:rPr>
          <w:rFonts w:hint="eastAsia" w:ascii="宋体" w:hAnsi="宋体"/>
          <w:color w:val="auto"/>
          <w:sz w:val="24"/>
          <w:highlight w:val="none"/>
        </w:rPr>
      </w:pPr>
      <w:r>
        <w:rPr>
          <w:rFonts w:hint="eastAsia" w:ascii="宋体" w:hAnsi="宋体"/>
          <w:color w:val="auto"/>
          <w:sz w:val="24"/>
          <w:highlight w:val="none"/>
        </w:rPr>
        <w:t>1、乙方要根据《施工现场安全管理制度》做好各项安全工作。</w:t>
      </w:r>
    </w:p>
    <w:p w14:paraId="15792B4D">
      <w:pPr>
        <w:spacing w:line="300" w:lineRule="auto"/>
        <w:ind w:firstLine="480" w:firstLineChars="200"/>
        <w:rPr>
          <w:rFonts w:hint="eastAsia" w:ascii="宋体" w:hAnsi="宋体"/>
          <w:color w:val="auto"/>
          <w:sz w:val="24"/>
          <w:highlight w:val="none"/>
        </w:rPr>
      </w:pPr>
      <w:r>
        <w:rPr>
          <w:rFonts w:hint="eastAsia" w:ascii="宋体" w:hAnsi="宋体"/>
          <w:color w:val="auto"/>
          <w:sz w:val="24"/>
          <w:highlight w:val="none"/>
        </w:rPr>
        <w:t>2、乙方的特种作业人员要依照《特种作业人员持证上岗管理制度》做好安全工作。</w:t>
      </w:r>
    </w:p>
    <w:p w14:paraId="413D8E1F">
      <w:pPr>
        <w:spacing w:line="300" w:lineRule="auto"/>
        <w:ind w:firstLine="480" w:firstLineChars="200"/>
        <w:rPr>
          <w:rFonts w:hint="eastAsia" w:ascii="宋体" w:hAnsi="宋体"/>
          <w:color w:val="auto"/>
          <w:sz w:val="24"/>
          <w:highlight w:val="none"/>
        </w:rPr>
      </w:pPr>
      <w:r>
        <w:rPr>
          <w:rFonts w:hint="eastAsia" w:ascii="宋体" w:hAnsi="宋体"/>
          <w:color w:val="auto"/>
          <w:sz w:val="24"/>
          <w:highlight w:val="none"/>
        </w:rPr>
        <w:t>3、施工中，乙方因操作不当人为造成的事故，由乙方负全责。甲方有权制止乙方的违章指挥和违章作业。乙方如不依照甲方提出的各项安全管理制度具体操作，甲方有权终止合同。</w:t>
      </w:r>
    </w:p>
    <w:p w14:paraId="469030F3">
      <w:pPr>
        <w:spacing w:line="300" w:lineRule="auto"/>
        <w:ind w:firstLine="480" w:firstLineChars="200"/>
        <w:rPr>
          <w:rFonts w:hint="eastAsia" w:ascii="宋体" w:hAnsi="宋体"/>
          <w:color w:val="auto"/>
          <w:sz w:val="24"/>
          <w:highlight w:val="none"/>
        </w:rPr>
      </w:pPr>
      <w:r>
        <w:rPr>
          <w:rFonts w:hint="eastAsia" w:ascii="宋体" w:hAnsi="宋体"/>
          <w:color w:val="auto"/>
          <w:sz w:val="24"/>
          <w:highlight w:val="none"/>
        </w:rPr>
        <w:t>4、施工中，如因不可预知或自然灾害发生，乙方负责对现场的紧急救险和处理，保护好现场，并立即启动应急预案。</w:t>
      </w:r>
    </w:p>
    <w:p w14:paraId="09C49295">
      <w:pPr>
        <w:spacing w:line="300" w:lineRule="auto"/>
        <w:ind w:firstLine="480" w:firstLineChars="200"/>
        <w:rPr>
          <w:rFonts w:hint="eastAsia" w:ascii="宋体" w:hAnsi="宋体"/>
          <w:color w:val="auto"/>
          <w:sz w:val="24"/>
          <w:highlight w:val="none"/>
        </w:rPr>
      </w:pPr>
      <w:r>
        <w:rPr>
          <w:rFonts w:hint="eastAsia" w:ascii="宋体" w:hAnsi="宋体"/>
          <w:color w:val="auto"/>
          <w:sz w:val="24"/>
          <w:highlight w:val="none"/>
        </w:rPr>
        <w:t>5、乙方要保证定期开展对员工的安全活动及安全检查工作。</w:t>
      </w:r>
    </w:p>
    <w:p w14:paraId="5147F37F">
      <w:pPr>
        <w:spacing w:line="300" w:lineRule="auto"/>
        <w:ind w:firstLine="480" w:firstLineChars="200"/>
        <w:rPr>
          <w:rFonts w:hint="eastAsia" w:ascii="宋体" w:hAnsi="宋体"/>
          <w:color w:val="auto"/>
          <w:sz w:val="24"/>
          <w:highlight w:val="none"/>
        </w:rPr>
      </w:pPr>
      <w:r>
        <w:rPr>
          <w:rFonts w:hint="eastAsia" w:ascii="宋体" w:hAnsi="宋体"/>
          <w:color w:val="auto"/>
          <w:sz w:val="24"/>
          <w:highlight w:val="none"/>
        </w:rPr>
        <w:t>6、乙方要做好现场工种的安全防护用具工作。</w:t>
      </w:r>
    </w:p>
    <w:p w14:paraId="12873AC6">
      <w:pPr>
        <w:spacing w:line="300" w:lineRule="auto"/>
        <w:ind w:firstLine="480" w:firstLineChars="200"/>
        <w:rPr>
          <w:rFonts w:hint="eastAsia" w:ascii="宋体" w:hAnsi="宋体"/>
          <w:color w:val="auto"/>
          <w:sz w:val="24"/>
          <w:highlight w:val="none"/>
        </w:rPr>
      </w:pPr>
      <w:r>
        <w:rPr>
          <w:rFonts w:hint="eastAsia" w:ascii="宋体" w:hAnsi="宋体"/>
          <w:color w:val="auto"/>
          <w:sz w:val="24"/>
          <w:highlight w:val="none"/>
        </w:rPr>
        <w:t>7、在出现安全隐患时，乙方要及时予以排除。</w:t>
      </w:r>
    </w:p>
    <w:p w14:paraId="7FE2E732">
      <w:pPr>
        <w:spacing w:line="300" w:lineRule="auto"/>
        <w:ind w:firstLine="480" w:firstLineChars="200"/>
        <w:rPr>
          <w:rFonts w:hint="eastAsia" w:ascii="宋体" w:hAnsi="宋体"/>
          <w:color w:val="auto"/>
          <w:sz w:val="24"/>
          <w:highlight w:val="none"/>
        </w:rPr>
      </w:pPr>
      <w:r>
        <w:rPr>
          <w:rFonts w:hint="eastAsia" w:ascii="宋体" w:hAnsi="宋体"/>
          <w:color w:val="auto"/>
          <w:sz w:val="24"/>
          <w:highlight w:val="none"/>
        </w:rPr>
        <w:t xml:space="preserve">8、未尽事宜，双方协商解决。 </w:t>
      </w:r>
    </w:p>
    <w:p w14:paraId="395FDC06">
      <w:pPr>
        <w:spacing w:line="300" w:lineRule="auto"/>
        <w:outlineLvl w:val="0"/>
        <w:rPr>
          <w:rFonts w:hint="eastAsia" w:ascii="宋体" w:hAnsi="宋体"/>
          <w:color w:val="auto"/>
          <w:sz w:val="28"/>
          <w:szCs w:val="28"/>
          <w:highlight w:val="none"/>
        </w:rPr>
      </w:pPr>
      <w:bookmarkStart w:id="101" w:name="_Toc22159"/>
      <w:r>
        <w:rPr>
          <w:rFonts w:hint="eastAsia" w:ascii="宋体" w:hAnsi="宋体"/>
          <w:color w:val="auto"/>
          <w:sz w:val="24"/>
          <w:highlight w:val="none"/>
        </w:rPr>
        <w:t>三、</w:t>
      </w:r>
      <w:r>
        <w:rPr>
          <w:rFonts w:hint="eastAsia" w:ascii="宋体" w:hAnsi="宋体" w:cs="Arial"/>
          <w:color w:val="auto"/>
          <w:kern w:val="0"/>
          <w:sz w:val="24"/>
          <w:highlight w:val="none"/>
        </w:rPr>
        <w:t>本合同一式九份，甲乙双方各持三份、县财政局、财政支付（核算）中心、招标代理机构各持一份</w:t>
      </w:r>
      <w:r>
        <w:rPr>
          <w:rFonts w:hint="eastAsia" w:ascii="宋体" w:hAnsi="宋体"/>
          <w:color w:val="auto"/>
          <w:sz w:val="24"/>
          <w:highlight w:val="none"/>
        </w:rPr>
        <w:t>。签字之日起生效，工程终止后本协议即告终止。</w:t>
      </w:r>
      <w:bookmarkEnd w:id="101"/>
    </w:p>
    <w:p w14:paraId="3D87BDD1">
      <w:pPr>
        <w:spacing w:line="360" w:lineRule="auto"/>
        <w:jc w:val="left"/>
        <w:rPr>
          <w:rFonts w:hint="eastAsia" w:ascii="宋体" w:hAnsi="宋体"/>
          <w:bCs/>
          <w:color w:val="auto"/>
          <w:sz w:val="24"/>
          <w:highlight w:val="none"/>
        </w:rPr>
      </w:pPr>
      <w:r>
        <w:rPr>
          <w:rFonts w:hint="eastAsia" w:ascii="宋体" w:hAnsi="宋体"/>
          <w:bCs/>
          <w:color w:val="auto"/>
          <w:sz w:val="24"/>
          <w:highlight w:val="none"/>
        </w:rPr>
        <w:t>甲方(盖章)：                                乙方(盖章)：</w:t>
      </w:r>
    </w:p>
    <w:p w14:paraId="41533E37">
      <w:pPr>
        <w:spacing w:line="360" w:lineRule="auto"/>
        <w:jc w:val="left"/>
        <w:rPr>
          <w:rFonts w:hint="eastAsia" w:ascii="宋体" w:hAnsi="宋体"/>
          <w:bCs/>
          <w:color w:val="auto"/>
          <w:sz w:val="24"/>
          <w:highlight w:val="none"/>
        </w:rPr>
      </w:pPr>
      <w:r>
        <w:rPr>
          <w:rFonts w:hint="eastAsia" w:ascii="宋体" w:hAnsi="宋体"/>
          <w:bCs/>
          <w:color w:val="auto"/>
          <w:sz w:val="24"/>
          <w:highlight w:val="none"/>
        </w:rPr>
        <w:t>法定代理人：                                法定代理人：</w:t>
      </w:r>
    </w:p>
    <w:p w14:paraId="2E8426F2">
      <w:pPr>
        <w:spacing w:line="360" w:lineRule="auto"/>
        <w:jc w:val="left"/>
        <w:rPr>
          <w:rFonts w:hint="eastAsia" w:ascii="宋体" w:hAnsi="宋体"/>
          <w:bCs/>
          <w:color w:val="auto"/>
          <w:sz w:val="24"/>
          <w:highlight w:val="none"/>
        </w:rPr>
      </w:pPr>
      <w:r>
        <w:rPr>
          <w:rFonts w:hint="eastAsia" w:ascii="宋体" w:hAnsi="宋体"/>
          <w:bCs/>
          <w:color w:val="auto"/>
          <w:sz w:val="24"/>
          <w:highlight w:val="none"/>
        </w:rPr>
        <w:t>电      话：                                电      话：</w:t>
      </w:r>
    </w:p>
    <w:p w14:paraId="4F74CB97">
      <w:pPr>
        <w:spacing w:line="300" w:lineRule="auto"/>
        <w:rPr>
          <w:rFonts w:hint="eastAsia" w:ascii="宋体" w:hAnsi="宋体"/>
          <w:bCs/>
          <w:color w:val="auto"/>
          <w:sz w:val="24"/>
          <w:highlight w:val="none"/>
        </w:rPr>
      </w:pPr>
      <w:r>
        <w:rPr>
          <w:rFonts w:hint="eastAsia" w:ascii="宋体" w:hAnsi="宋体"/>
          <w:bCs/>
          <w:color w:val="auto"/>
          <w:sz w:val="24"/>
          <w:highlight w:val="none"/>
        </w:rPr>
        <w:t>日      期：                                日      期：</w:t>
      </w:r>
    </w:p>
    <w:p w14:paraId="6E52C0B3">
      <w:pPr>
        <w:rPr>
          <w:rFonts w:hint="eastAsia" w:ascii="宋体" w:hAnsi="宋体"/>
          <w:bCs/>
          <w:color w:val="auto"/>
          <w:sz w:val="24"/>
          <w:highlight w:val="none"/>
        </w:rPr>
      </w:pPr>
      <w:r>
        <w:rPr>
          <w:rFonts w:hint="eastAsia" w:ascii="宋体" w:hAnsi="宋体"/>
          <w:bCs/>
          <w:color w:val="auto"/>
          <w:sz w:val="24"/>
          <w:highlight w:val="none"/>
        </w:rPr>
        <w:br w:type="page"/>
      </w:r>
    </w:p>
    <w:p w14:paraId="2C59D82A">
      <w:pPr>
        <w:spacing w:line="440" w:lineRule="exac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附件5：</w:t>
      </w:r>
    </w:p>
    <w:p w14:paraId="44973B50">
      <w:pPr>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廉政合同</w:t>
      </w:r>
    </w:p>
    <w:p w14:paraId="402B98BD">
      <w:pPr>
        <w:spacing w:line="540" w:lineRule="exact"/>
        <w:rPr>
          <w:rFonts w:hint="eastAsia" w:ascii="宋体" w:hAnsi="宋体" w:eastAsia="宋体" w:cs="宋体"/>
          <w:b/>
          <w:color w:val="auto"/>
          <w:kern w:val="0"/>
          <w:sz w:val="24"/>
          <w:highlight w:val="none"/>
          <w:u w:val="single"/>
          <w:lang w:val="en-US"/>
        </w:rPr>
      </w:pPr>
      <w:r>
        <w:rPr>
          <w:rFonts w:hint="eastAsia" w:ascii="宋体" w:hAnsi="宋体" w:eastAsia="宋体" w:cs="宋体"/>
          <w:b/>
          <w:bCs/>
          <w:color w:val="auto"/>
          <w:sz w:val="28"/>
          <w:szCs w:val="28"/>
          <w:highlight w:val="none"/>
        </w:rPr>
        <w:t>甲方：</w:t>
      </w:r>
      <w:r>
        <w:rPr>
          <w:rFonts w:hint="eastAsia" w:ascii="宋体" w:hAnsi="宋体" w:cs="宋体"/>
          <w:b/>
          <w:bCs/>
          <w:color w:val="auto"/>
          <w:sz w:val="24"/>
          <w:szCs w:val="24"/>
          <w:highlight w:val="none"/>
          <w:u w:val="single"/>
          <w:lang w:val="en-US" w:eastAsia="zh-CN"/>
        </w:rPr>
        <w:t>嘉善县天凝中学</w:t>
      </w:r>
      <w:r>
        <w:rPr>
          <w:rFonts w:hint="eastAsia" w:ascii="宋体" w:hAnsi="宋体" w:eastAsia="宋体" w:cs="宋体"/>
          <w:b/>
          <w:bCs/>
          <w:color w:val="auto"/>
          <w:sz w:val="24"/>
          <w:szCs w:val="24"/>
          <w:highlight w:val="none"/>
          <w:u w:val="single"/>
          <w:lang w:val="en-US" w:eastAsia="zh-CN"/>
        </w:rPr>
        <w:t xml:space="preserve"> </w:t>
      </w:r>
    </w:p>
    <w:p w14:paraId="3043EED5">
      <w:pPr>
        <w:spacing w:line="540" w:lineRule="exac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乙方：</w:t>
      </w:r>
      <w:r>
        <w:rPr>
          <w:rFonts w:hint="eastAsia" w:ascii="宋体" w:hAnsi="宋体" w:eastAsia="宋体" w:cs="宋体"/>
          <w:b/>
          <w:color w:val="auto"/>
          <w:sz w:val="24"/>
          <w:szCs w:val="22"/>
          <w:highlight w:val="none"/>
          <w:u w:val="single"/>
          <w:lang w:eastAsia="zh-CN"/>
        </w:rPr>
        <w:t xml:space="preserve"> </w:t>
      </w:r>
      <w:r>
        <w:rPr>
          <w:rFonts w:hint="eastAsia" w:ascii="宋体" w:hAnsi="宋体" w:eastAsia="宋体" w:cs="宋体"/>
          <w:b/>
          <w:color w:val="auto"/>
          <w:sz w:val="24"/>
          <w:szCs w:val="22"/>
          <w:highlight w:val="none"/>
          <w:u w:val="single"/>
          <w:lang w:val="en-US" w:eastAsia="zh-CN"/>
        </w:rPr>
        <w:t xml:space="preserve">             </w:t>
      </w:r>
      <w:r>
        <w:rPr>
          <w:rFonts w:hint="eastAsia" w:ascii="宋体" w:hAnsi="宋体" w:eastAsia="宋体" w:cs="宋体"/>
          <w:b/>
          <w:color w:val="auto"/>
          <w:sz w:val="24"/>
          <w:szCs w:val="22"/>
          <w:highlight w:val="none"/>
          <w:u w:val="single"/>
        </w:rPr>
        <w:t xml:space="preserve"> </w:t>
      </w:r>
      <w:r>
        <w:rPr>
          <w:rFonts w:hint="eastAsia" w:ascii="宋体" w:hAnsi="宋体" w:eastAsia="宋体" w:cs="宋体"/>
          <w:b/>
          <w:color w:val="auto"/>
          <w:sz w:val="24"/>
          <w:szCs w:val="24"/>
          <w:highlight w:val="none"/>
          <w:u w:val="single"/>
        </w:rPr>
        <w:t xml:space="preserve">  </w:t>
      </w:r>
    </w:p>
    <w:p w14:paraId="33FE67B1">
      <w:pPr>
        <w:spacing w:after="312" w:afterLines="100"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32"/>
          <w:szCs w:val="32"/>
          <w:highlight w:val="none"/>
        </w:rPr>
        <w:t xml:space="preserve">   </w:t>
      </w:r>
      <w:r>
        <w:rPr>
          <w:rFonts w:hint="eastAsia" w:ascii="宋体" w:hAnsi="宋体" w:eastAsia="宋体" w:cs="宋体"/>
          <w:color w:val="auto"/>
          <w:sz w:val="24"/>
          <w:szCs w:val="24"/>
          <w:highlight w:val="none"/>
        </w:rPr>
        <w:t>为将强建设工程项目的廉政管理，遏制不正之风和腐败现象的发生，确保工程安全优质按实竣工，经甲乙双方同意，签订廉政合同，作为甲乙双方共同遵守的廉政行为准则，并自觉接受建设主管部门和纪检监察组织的监督。</w:t>
      </w:r>
    </w:p>
    <w:p w14:paraId="228BDE46">
      <w:pPr>
        <w:spacing w:line="360" w:lineRule="auto"/>
        <w:jc w:val="left"/>
        <w:rPr>
          <w:rFonts w:hint="eastAsia" w:ascii="宋体" w:hAnsi="宋体" w:eastAsia="宋体" w:cs="宋体"/>
          <w:b/>
          <w:bCs/>
          <w:color w:val="auto"/>
          <w:sz w:val="28"/>
          <w:szCs w:val="28"/>
          <w:highlight w:val="none"/>
        </w:rPr>
      </w:pPr>
      <w:r>
        <w:rPr>
          <w:rFonts w:hint="eastAsia" w:ascii="宋体" w:hAnsi="宋体" w:eastAsia="宋体" w:cs="宋体"/>
          <w:b/>
          <w:color w:val="auto"/>
          <w:sz w:val="24"/>
          <w:szCs w:val="24"/>
          <w:highlight w:val="none"/>
        </w:rPr>
        <w:t>甲方职责：</w:t>
      </w:r>
    </w:p>
    <w:p w14:paraId="5D0E88E9">
      <w:pPr>
        <w:spacing w:line="360" w:lineRule="auto"/>
        <w:ind w:left="560" w:hanging="560" w:hanging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一、</w:t>
      </w:r>
      <w:r>
        <w:rPr>
          <w:rFonts w:hint="eastAsia" w:ascii="宋体" w:hAnsi="宋体" w:eastAsia="宋体" w:cs="宋体"/>
          <w:color w:val="auto"/>
          <w:sz w:val="24"/>
          <w:szCs w:val="24"/>
          <w:highlight w:val="none"/>
        </w:rPr>
        <w:t>甲方及其工作人员应当自觉遵守国家和省、市有关建设工程承包工作规则以及有关廉政建设的各项规定</w:t>
      </w:r>
      <w:r>
        <w:rPr>
          <w:rFonts w:hint="eastAsia" w:ascii="宋体" w:hAnsi="宋体" w:eastAsia="宋体" w:cs="宋体"/>
          <w:color w:val="auto"/>
          <w:sz w:val="28"/>
          <w:szCs w:val="28"/>
          <w:highlight w:val="none"/>
        </w:rPr>
        <w:t>。</w:t>
      </w:r>
    </w:p>
    <w:p w14:paraId="2B51A269">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8"/>
          <w:szCs w:val="28"/>
          <w:highlight w:val="none"/>
        </w:rPr>
        <w:t>二、</w:t>
      </w:r>
      <w:r>
        <w:rPr>
          <w:rFonts w:hint="eastAsia" w:ascii="宋体" w:hAnsi="宋体" w:eastAsia="宋体" w:cs="宋体"/>
          <w:color w:val="auto"/>
          <w:sz w:val="24"/>
          <w:szCs w:val="24"/>
          <w:highlight w:val="none"/>
        </w:rPr>
        <w:t>甲方及其工作人员不得以任何形式向乙方索要和收受贿赂。</w:t>
      </w:r>
    </w:p>
    <w:p w14:paraId="0FBAAAFD">
      <w:pPr>
        <w:spacing w:line="360" w:lineRule="auto"/>
        <w:ind w:left="480" w:hanging="480" w:hanging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三、甲方及其工作人员应当与乙方保持正常的业务交往，不得接受乙方单位邀请的旅游、宴请、高档消费娱乐活动，不得接受礼金、礼品、礼卡和代价券等，不得在乙方报销任何应当个人支付的费用。</w:t>
      </w:r>
    </w:p>
    <w:p w14:paraId="2AA78F07">
      <w:pPr>
        <w:spacing w:line="360" w:lineRule="auto"/>
        <w:ind w:left="480" w:hanging="480" w:hanging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四、甲方工作人员不得要求或接受乙方为其住房装修、婚丧嫁娶、家属和子女经商、就业、上学以及出国等提供方便。</w:t>
      </w:r>
    </w:p>
    <w:p w14:paraId="48011C14">
      <w:pPr>
        <w:spacing w:line="360" w:lineRule="auto"/>
        <w:ind w:left="480" w:hanging="480" w:hanging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五、工程项目施工过程中，经设计变更认可需要追加工程款时，甲方应严格按有关规定程序办理。</w:t>
      </w:r>
    </w:p>
    <w:p w14:paraId="1AC9BA26">
      <w:pPr>
        <w:spacing w:line="360" w:lineRule="auto"/>
        <w:ind w:left="480" w:hanging="480" w:hanging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六、甲方工作人员不得向乙方介绍家属或亲友从事与甲方工程有关的材料敲诈供应、工程分包等经济活动，不得向乙方有关企业购买工程及装饰材料。</w:t>
      </w:r>
    </w:p>
    <w:p w14:paraId="23B05802">
      <w:pPr>
        <w:spacing w:line="360" w:lineRule="auto"/>
        <w:ind w:left="480" w:hanging="480" w:hanging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七、甲方工作人员在工程项目建设中发现乙方单位有不廉洁行为的应及时采取措施，报告主管领导。</w:t>
      </w:r>
    </w:p>
    <w:p w14:paraId="55B2C5EA">
      <w:pPr>
        <w:spacing w:line="360" w:lineRule="auto"/>
        <w:ind w:left="480" w:hanging="480" w:hangingChars="200"/>
        <w:jc w:val="left"/>
        <w:rPr>
          <w:rFonts w:hint="eastAsia" w:ascii="宋体" w:hAnsi="宋体" w:eastAsia="宋体" w:cs="宋体"/>
          <w:color w:val="auto"/>
          <w:sz w:val="28"/>
          <w:szCs w:val="28"/>
          <w:highlight w:val="none"/>
        </w:rPr>
      </w:pPr>
      <w:r>
        <w:rPr>
          <w:rFonts w:hint="eastAsia" w:ascii="宋体" w:hAnsi="宋体" w:eastAsia="宋体" w:cs="宋体"/>
          <w:color w:val="auto"/>
          <w:sz w:val="24"/>
          <w:szCs w:val="24"/>
          <w:highlight w:val="none"/>
        </w:rPr>
        <w:t>八、甲方及其工作人员如有违反本廉政合同的视情节轻重，由行业主管部门依据有关法规予以处理。触犯刑律的，移送司法机关追究刑事责任。</w:t>
      </w:r>
    </w:p>
    <w:p w14:paraId="4EE7B397">
      <w:pPr>
        <w:spacing w:line="360" w:lineRule="auto"/>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乙方职责：</w:t>
      </w:r>
    </w:p>
    <w:p w14:paraId="73C19291">
      <w:pPr>
        <w:spacing w:line="360" w:lineRule="auto"/>
        <w:ind w:left="480" w:hanging="480" w:hanging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一、乙方及其工作人员应了解甲方单位有关廉政管理方面的各项制度和规定，并自觉遵守执行。</w:t>
      </w:r>
    </w:p>
    <w:p w14:paraId="65099830">
      <w:pPr>
        <w:spacing w:line="360" w:lineRule="auto"/>
        <w:ind w:left="480" w:hanging="480" w:hanging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乙方应当通过正常途径开展业务工作，不得行贿甲方工作人员，不得向甲方工作人员赠送礼品、礼金、礼卡、礼券或为其购置通讯、交通工具、家电、高档办公用品等物品，不得同意报销应当由甲方工作人员个人支付的费用。</w:t>
      </w:r>
    </w:p>
    <w:p w14:paraId="25DC64F6">
      <w:pPr>
        <w:spacing w:line="360" w:lineRule="auto"/>
        <w:ind w:left="480" w:hanging="480" w:hanging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三、乙方不得向甲方工作人员提供住房装修、婚丧嫁娶及其家属、子女经商、就业、上学、出国等提供方便。</w:t>
      </w:r>
    </w:p>
    <w:p w14:paraId="52F0A9C0">
      <w:pPr>
        <w:spacing w:line="360" w:lineRule="auto"/>
        <w:ind w:left="480" w:hanging="480" w:hanging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四、乙方不得为谋取利益擅自与甲方工作人员就工程承包、工程费用、材料和设备供应、工程量变更、工程验收、工程质量问题处理等私下商谈或者达成默契。</w:t>
      </w:r>
    </w:p>
    <w:p w14:paraId="4670F203">
      <w:pPr>
        <w:spacing w:line="360" w:lineRule="auto"/>
        <w:ind w:left="480" w:hanging="480" w:hanging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五、乙方不得以洽谈业务、签订经济合同为借口，邀请甲方工作人员外出旅游和进入营业性高档娱乐场所。</w:t>
      </w:r>
    </w:p>
    <w:p w14:paraId="0D8A3E55">
      <w:pPr>
        <w:spacing w:line="360" w:lineRule="auto"/>
        <w:ind w:left="480" w:hanging="480" w:hanging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六、乙方在工程项目建设中贿赂甲方工作人员，被纪检监察机关或司法机关查处的，甲方有权更换人员，其他处罚按有关规定执行。</w:t>
      </w:r>
    </w:p>
    <w:p w14:paraId="58CB8DB5">
      <w:pPr>
        <w:spacing w:line="360" w:lineRule="auto"/>
        <w:ind w:left="480" w:hanging="480" w:hanging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七、乙方在建设中发现甲方工作人员有不廉洁行为的，及时采取措施加以制止，并告知甲方单位主管领导或建设主管部门和纪检监察机关。</w:t>
      </w:r>
    </w:p>
    <w:p w14:paraId="3EE15518">
      <w:pPr>
        <w:spacing w:line="360" w:lineRule="auto"/>
        <w:ind w:left="480" w:hanging="480" w:hanging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八、乙方及其工作人员如有违反本廉政合同的，视情节轻重，由行业主管部门依据有关法规予以处理，违反纪律的，由纪检监察组织追究纪律责任，触犯刑律的，移送司法机关追究刑事责任。</w:t>
      </w:r>
    </w:p>
    <w:p w14:paraId="58E36362">
      <w:pPr>
        <w:spacing w:line="360" w:lineRule="auto"/>
        <w:ind w:left="533" w:leftChars="22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本廉政合同作为《</w:t>
      </w:r>
      <w:r>
        <w:rPr>
          <w:rFonts w:hint="eastAsia" w:ascii="宋体" w:hAnsi="宋体" w:eastAsia="宋体" w:cs="宋体"/>
          <w:b/>
          <w:color w:val="auto"/>
          <w:sz w:val="24"/>
          <w:szCs w:val="22"/>
          <w:highlight w:val="none"/>
          <w:u w:val="none"/>
          <w:lang w:eastAsia="zh-CN"/>
        </w:rPr>
        <w:t xml:space="preserve"> </w:t>
      </w:r>
      <w:r>
        <w:rPr>
          <w:rFonts w:hint="eastAsia" w:ascii="宋体" w:hAnsi="宋体" w:cs="宋体"/>
          <w:b/>
          <w:bCs/>
          <w:color w:val="auto"/>
          <w:sz w:val="24"/>
          <w:szCs w:val="24"/>
          <w:highlight w:val="none"/>
          <w:u w:val="none"/>
          <w:lang w:val="en-US" w:eastAsia="zh-CN"/>
        </w:rPr>
        <w:t>嘉善县天凝中学2025年度校舍常规维修</w:t>
      </w:r>
      <w:r>
        <w:rPr>
          <w:rFonts w:hint="eastAsia" w:ascii="宋体" w:hAnsi="宋体" w:eastAsia="宋体" w:cs="宋体"/>
          <w:color w:val="auto"/>
          <w:sz w:val="24"/>
          <w:szCs w:val="24"/>
          <w:highlight w:val="none"/>
        </w:rPr>
        <w:t>合同》的附件，</w:t>
      </w:r>
    </w:p>
    <w:p w14:paraId="3755313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与施工合同有同等的法律效力，经双方签署后，立即生效。</w:t>
      </w:r>
    </w:p>
    <w:p w14:paraId="11E2E78E">
      <w:pPr>
        <w:spacing w:line="360" w:lineRule="auto"/>
        <w:ind w:firstLine="48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kern w:val="0"/>
          <w:sz w:val="24"/>
          <w:highlight w:val="none"/>
        </w:rPr>
        <w:t>本合同一式九份，甲乙双方各持三份、县财政局、财政支付（核算）中心、招标代理机构各持一份</w:t>
      </w:r>
      <w:r>
        <w:rPr>
          <w:rFonts w:hint="eastAsia" w:ascii="宋体" w:hAnsi="宋体" w:eastAsia="宋体" w:cs="宋体"/>
          <w:color w:val="auto"/>
          <w:sz w:val="24"/>
          <w:szCs w:val="24"/>
          <w:highlight w:val="none"/>
        </w:rPr>
        <w:t>。</w:t>
      </w:r>
    </w:p>
    <w:p w14:paraId="18CFFAE5">
      <w:pPr>
        <w:spacing w:line="360" w:lineRule="auto"/>
        <w:ind w:firstLine="560" w:firstLineChars="200"/>
        <w:jc w:val="left"/>
        <w:rPr>
          <w:rFonts w:hint="eastAsia" w:ascii="宋体" w:hAnsi="宋体" w:eastAsia="宋体" w:cs="宋体"/>
          <w:color w:val="auto"/>
          <w:sz w:val="28"/>
          <w:szCs w:val="28"/>
          <w:highlight w:val="none"/>
        </w:rPr>
      </w:pPr>
    </w:p>
    <w:p w14:paraId="7B4727E1">
      <w:pPr>
        <w:spacing w:line="360" w:lineRule="auto"/>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甲方(盖章)：                                乙方(盖章)：</w:t>
      </w:r>
    </w:p>
    <w:p w14:paraId="2C1148F5">
      <w:pPr>
        <w:spacing w:line="360" w:lineRule="auto"/>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法定代理人：                                法定代理人：</w:t>
      </w:r>
    </w:p>
    <w:p w14:paraId="7A32F3FE">
      <w:pPr>
        <w:spacing w:line="360" w:lineRule="auto"/>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      址：                                地      址：</w:t>
      </w:r>
    </w:p>
    <w:p w14:paraId="45EF114B">
      <w:pPr>
        <w:spacing w:line="360" w:lineRule="auto"/>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电      话：                                电      话：</w:t>
      </w:r>
    </w:p>
    <w:p w14:paraId="35A55378">
      <w:pPr>
        <w:bidi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日      期：                                日      期：</w:t>
      </w:r>
    </w:p>
    <w:p w14:paraId="7E0C7F55">
      <w:pPr>
        <w:rPr>
          <w:rFonts w:hint="eastAsia" w:ascii="宋体" w:hAnsi="宋体" w:eastAsia="宋体" w:cs="宋体"/>
          <w:bCs/>
          <w:color w:val="auto"/>
          <w:sz w:val="24"/>
          <w:szCs w:val="24"/>
          <w:highlight w:val="none"/>
        </w:rPr>
        <w:sectPr>
          <w:pgSz w:w="11906" w:h="16838"/>
          <w:pgMar w:top="1134" w:right="1417" w:bottom="1134" w:left="1417" w:header="851" w:footer="992" w:gutter="0"/>
          <w:pgNumType w:fmt="decimal"/>
          <w:cols w:space="425" w:num="1"/>
          <w:docGrid w:type="lines" w:linePitch="312" w:charSpace="0"/>
        </w:sectPr>
      </w:pPr>
    </w:p>
    <w:tbl>
      <w:tblPr>
        <w:tblStyle w:val="24"/>
        <w:tblW w:w="0" w:type="auto"/>
        <w:tblInd w:w="93" w:type="dxa"/>
        <w:tblLayout w:type="fixed"/>
        <w:tblCellMar>
          <w:top w:w="0" w:type="dxa"/>
          <w:left w:w="108" w:type="dxa"/>
          <w:bottom w:w="0" w:type="dxa"/>
          <w:right w:w="108" w:type="dxa"/>
        </w:tblCellMar>
      </w:tblPr>
      <w:tblGrid>
        <w:gridCol w:w="3654"/>
        <w:gridCol w:w="3021"/>
        <w:gridCol w:w="1855"/>
        <w:gridCol w:w="1745"/>
        <w:gridCol w:w="2080"/>
        <w:gridCol w:w="2081"/>
      </w:tblGrid>
      <w:tr w14:paraId="20B290C5">
        <w:tblPrEx>
          <w:tblCellMar>
            <w:top w:w="0" w:type="dxa"/>
            <w:left w:w="108" w:type="dxa"/>
            <w:bottom w:w="0" w:type="dxa"/>
            <w:right w:w="108" w:type="dxa"/>
          </w:tblCellMar>
        </w:tblPrEx>
        <w:trPr>
          <w:trHeight w:val="480" w:hRule="atLeast"/>
        </w:trPr>
        <w:tc>
          <w:tcPr>
            <w:tcW w:w="14436" w:type="dxa"/>
            <w:gridSpan w:val="6"/>
            <w:tcBorders>
              <w:top w:val="nil"/>
              <w:left w:val="nil"/>
              <w:bottom w:val="nil"/>
              <w:right w:val="nil"/>
            </w:tcBorders>
            <w:noWrap w:val="0"/>
            <w:vAlign w:val="bottom"/>
          </w:tcPr>
          <w:p w14:paraId="2D58279D">
            <w:pPr>
              <w:widowControl/>
              <w:spacing w:line="30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嘉 善 县 政 府 采 购 商 品 验 收 单</w:t>
            </w:r>
          </w:p>
        </w:tc>
      </w:tr>
      <w:tr w14:paraId="7714F5ED">
        <w:tblPrEx>
          <w:tblCellMar>
            <w:top w:w="0" w:type="dxa"/>
            <w:left w:w="108" w:type="dxa"/>
            <w:bottom w:w="0" w:type="dxa"/>
            <w:right w:w="108" w:type="dxa"/>
          </w:tblCellMar>
        </w:tblPrEx>
        <w:trPr>
          <w:trHeight w:val="285" w:hRule="atLeast"/>
        </w:trPr>
        <w:tc>
          <w:tcPr>
            <w:tcW w:w="3654" w:type="dxa"/>
            <w:tcBorders>
              <w:top w:val="nil"/>
              <w:left w:val="nil"/>
              <w:bottom w:val="nil"/>
              <w:right w:val="nil"/>
            </w:tcBorders>
            <w:noWrap w:val="0"/>
            <w:vAlign w:val="bottom"/>
          </w:tcPr>
          <w:p w14:paraId="564592A4">
            <w:pPr>
              <w:widowControl/>
              <w:spacing w:line="300" w:lineRule="auto"/>
              <w:jc w:val="left"/>
              <w:rPr>
                <w:rFonts w:hint="eastAsia" w:ascii="宋体" w:hAnsi="宋体" w:eastAsia="宋体" w:cs="宋体"/>
                <w:color w:val="auto"/>
                <w:kern w:val="0"/>
                <w:sz w:val="24"/>
                <w:szCs w:val="24"/>
                <w:highlight w:val="none"/>
              </w:rPr>
            </w:pPr>
          </w:p>
        </w:tc>
        <w:tc>
          <w:tcPr>
            <w:tcW w:w="3021" w:type="dxa"/>
            <w:tcBorders>
              <w:top w:val="nil"/>
              <w:left w:val="nil"/>
              <w:bottom w:val="nil"/>
              <w:right w:val="nil"/>
            </w:tcBorders>
            <w:noWrap w:val="0"/>
            <w:vAlign w:val="bottom"/>
          </w:tcPr>
          <w:p w14:paraId="14EB011C">
            <w:pPr>
              <w:widowControl/>
              <w:spacing w:line="300" w:lineRule="auto"/>
              <w:jc w:val="left"/>
              <w:rPr>
                <w:rFonts w:hint="eastAsia" w:ascii="宋体" w:hAnsi="宋体" w:eastAsia="宋体" w:cs="宋体"/>
                <w:color w:val="auto"/>
                <w:kern w:val="0"/>
                <w:sz w:val="24"/>
                <w:szCs w:val="24"/>
                <w:highlight w:val="none"/>
              </w:rPr>
            </w:pPr>
          </w:p>
        </w:tc>
        <w:tc>
          <w:tcPr>
            <w:tcW w:w="1855" w:type="dxa"/>
            <w:tcBorders>
              <w:top w:val="nil"/>
              <w:left w:val="nil"/>
              <w:bottom w:val="nil"/>
              <w:right w:val="nil"/>
            </w:tcBorders>
            <w:noWrap w:val="0"/>
            <w:vAlign w:val="bottom"/>
          </w:tcPr>
          <w:p w14:paraId="79E9531B">
            <w:pPr>
              <w:widowControl/>
              <w:spacing w:line="300" w:lineRule="auto"/>
              <w:jc w:val="left"/>
              <w:rPr>
                <w:rFonts w:hint="eastAsia" w:ascii="宋体" w:hAnsi="宋体" w:eastAsia="宋体" w:cs="宋体"/>
                <w:color w:val="auto"/>
                <w:kern w:val="0"/>
                <w:sz w:val="24"/>
                <w:szCs w:val="24"/>
                <w:highlight w:val="none"/>
              </w:rPr>
            </w:pPr>
          </w:p>
        </w:tc>
        <w:tc>
          <w:tcPr>
            <w:tcW w:w="1745" w:type="dxa"/>
            <w:tcBorders>
              <w:top w:val="nil"/>
              <w:left w:val="nil"/>
              <w:bottom w:val="nil"/>
              <w:right w:val="nil"/>
            </w:tcBorders>
            <w:noWrap w:val="0"/>
            <w:vAlign w:val="bottom"/>
          </w:tcPr>
          <w:p w14:paraId="555EA657">
            <w:pPr>
              <w:widowControl/>
              <w:spacing w:line="300" w:lineRule="auto"/>
              <w:jc w:val="left"/>
              <w:rPr>
                <w:rFonts w:hint="eastAsia" w:ascii="宋体" w:hAnsi="宋体" w:eastAsia="宋体" w:cs="宋体"/>
                <w:color w:val="auto"/>
                <w:kern w:val="0"/>
                <w:sz w:val="24"/>
                <w:szCs w:val="24"/>
                <w:highlight w:val="none"/>
              </w:rPr>
            </w:pPr>
          </w:p>
        </w:tc>
        <w:tc>
          <w:tcPr>
            <w:tcW w:w="2080" w:type="dxa"/>
            <w:tcBorders>
              <w:top w:val="nil"/>
              <w:left w:val="nil"/>
              <w:bottom w:val="nil"/>
              <w:right w:val="nil"/>
            </w:tcBorders>
            <w:noWrap w:val="0"/>
            <w:vAlign w:val="bottom"/>
          </w:tcPr>
          <w:p w14:paraId="14550A32">
            <w:pPr>
              <w:widowControl/>
              <w:spacing w:line="300" w:lineRule="auto"/>
              <w:jc w:val="left"/>
              <w:rPr>
                <w:rFonts w:hint="eastAsia" w:ascii="宋体" w:hAnsi="宋体" w:eastAsia="宋体" w:cs="宋体"/>
                <w:color w:val="auto"/>
                <w:kern w:val="0"/>
                <w:sz w:val="24"/>
                <w:szCs w:val="24"/>
                <w:highlight w:val="none"/>
              </w:rPr>
            </w:pPr>
          </w:p>
        </w:tc>
        <w:tc>
          <w:tcPr>
            <w:tcW w:w="2081" w:type="dxa"/>
            <w:tcBorders>
              <w:top w:val="nil"/>
              <w:left w:val="nil"/>
              <w:bottom w:val="nil"/>
              <w:right w:val="nil"/>
            </w:tcBorders>
            <w:noWrap w:val="0"/>
            <w:vAlign w:val="bottom"/>
          </w:tcPr>
          <w:p w14:paraId="6B193B39">
            <w:pPr>
              <w:widowControl/>
              <w:spacing w:line="300" w:lineRule="auto"/>
              <w:jc w:val="left"/>
              <w:rPr>
                <w:rFonts w:hint="eastAsia" w:ascii="宋体" w:hAnsi="宋体" w:eastAsia="宋体" w:cs="宋体"/>
                <w:color w:val="auto"/>
                <w:kern w:val="0"/>
                <w:sz w:val="24"/>
                <w:szCs w:val="24"/>
                <w:highlight w:val="none"/>
              </w:rPr>
            </w:pPr>
          </w:p>
        </w:tc>
      </w:tr>
      <w:tr w14:paraId="28752958">
        <w:tblPrEx>
          <w:tblCellMar>
            <w:top w:w="0" w:type="dxa"/>
            <w:left w:w="108" w:type="dxa"/>
            <w:bottom w:w="0" w:type="dxa"/>
            <w:right w:w="108" w:type="dxa"/>
          </w:tblCellMar>
        </w:tblPrEx>
        <w:trPr>
          <w:trHeight w:val="330" w:hRule="atLeast"/>
        </w:trPr>
        <w:tc>
          <w:tcPr>
            <w:tcW w:w="3654" w:type="dxa"/>
            <w:tcBorders>
              <w:top w:val="nil"/>
              <w:left w:val="nil"/>
              <w:bottom w:val="nil"/>
              <w:right w:val="nil"/>
            </w:tcBorders>
            <w:noWrap w:val="0"/>
            <w:vAlign w:val="bottom"/>
          </w:tcPr>
          <w:p w14:paraId="3E653E1D">
            <w:pPr>
              <w:widowControl/>
              <w:spacing w:line="30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采购申请编号:</w:t>
            </w:r>
          </w:p>
        </w:tc>
        <w:tc>
          <w:tcPr>
            <w:tcW w:w="3021" w:type="dxa"/>
            <w:tcBorders>
              <w:top w:val="nil"/>
              <w:left w:val="nil"/>
              <w:bottom w:val="nil"/>
              <w:right w:val="nil"/>
            </w:tcBorders>
            <w:noWrap w:val="0"/>
            <w:vAlign w:val="bottom"/>
          </w:tcPr>
          <w:p w14:paraId="7191934C">
            <w:pPr>
              <w:widowControl/>
              <w:spacing w:line="300" w:lineRule="auto"/>
              <w:jc w:val="left"/>
              <w:rPr>
                <w:rFonts w:hint="eastAsia" w:ascii="宋体" w:hAnsi="宋体" w:eastAsia="宋体" w:cs="宋体"/>
                <w:color w:val="auto"/>
                <w:kern w:val="0"/>
                <w:sz w:val="24"/>
                <w:szCs w:val="24"/>
                <w:highlight w:val="none"/>
              </w:rPr>
            </w:pPr>
          </w:p>
        </w:tc>
        <w:tc>
          <w:tcPr>
            <w:tcW w:w="1855" w:type="dxa"/>
            <w:tcBorders>
              <w:top w:val="nil"/>
              <w:left w:val="nil"/>
              <w:bottom w:val="nil"/>
              <w:right w:val="nil"/>
            </w:tcBorders>
            <w:noWrap w:val="0"/>
            <w:vAlign w:val="bottom"/>
          </w:tcPr>
          <w:p w14:paraId="2BCE43FE">
            <w:pPr>
              <w:widowControl/>
              <w:spacing w:line="300" w:lineRule="auto"/>
              <w:jc w:val="left"/>
              <w:rPr>
                <w:rFonts w:hint="eastAsia" w:ascii="宋体" w:hAnsi="宋体" w:eastAsia="宋体" w:cs="宋体"/>
                <w:color w:val="auto"/>
                <w:kern w:val="0"/>
                <w:sz w:val="24"/>
                <w:szCs w:val="24"/>
                <w:highlight w:val="none"/>
              </w:rPr>
            </w:pPr>
          </w:p>
        </w:tc>
        <w:tc>
          <w:tcPr>
            <w:tcW w:w="1745" w:type="dxa"/>
            <w:tcBorders>
              <w:top w:val="nil"/>
              <w:left w:val="nil"/>
              <w:bottom w:val="nil"/>
              <w:right w:val="nil"/>
            </w:tcBorders>
            <w:noWrap w:val="0"/>
            <w:vAlign w:val="bottom"/>
          </w:tcPr>
          <w:p w14:paraId="723704FD">
            <w:pPr>
              <w:widowControl/>
              <w:spacing w:line="300" w:lineRule="auto"/>
              <w:jc w:val="left"/>
              <w:rPr>
                <w:rFonts w:hint="eastAsia" w:ascii="宋体" w:hAnsi="宋体" w:eastAsia="宋体" w:cs="宋体"/>
                <w:color w:val="auto"/>
                <w:kern w:val="0"/>
                <w:sz w:val="24"/>
                <w:szCs w:val="24"/>
                <w:highlight w:val="none"/>
              </w:rPr>
            </w:pPr>
          </w:p>
        </w:tc>
        <w:tc>
          <w:tcPr>
            <w:tcW w:w="2080" w:type="dxa"/>
            <w:tcBorders>
              <w:top w:val="nil"/>
              <w:left w:val="nil"/>
              <w:bottom w:val="nil"/>
              <w:right w:val="nil"/>
            </w:tcBorders>
            <w:noWrap w:val="0"/>
            <w:vAlign w:val="bottom"/>
          </w:tcPr>
          <w:p w14:paraId="7105AEFB">
            <w:pPr>
              <w:widowControl/>
              <w:spacing w:line="30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合同编号:</w:t>
            </w:r>
          </w:p>
        </w:tc>
        <w:tc>
          <w:tcPr>
            <w:tcW w:w="2081" w:type="dxa"/>
            <w:tcBorders>
              <w:top w:val="nil"/>
              <w:left w:val="nil"/>
              <w:bottom w:val="nil"/>
              <w:right w:val="nil"/>
            </w:tcBorders>
            <w:noWrap w:val="0"/>
            <w:vAlign w:val="bottom"/>
          </w:tcPr>
          <w:p w14:paraId="67B0C9B4">
            <w:pPr>
              <w:widowControl/>
              <w:spacing w:line="30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号</w:t>
            </w:r>
          </w:p>
        </w:tc>
      </w:tr>
      <w:tr w14:paraId="61BE6086">
        <w:tblPrEx>
          <w:tblCellMar>
            <w:top w:w="0" w:type="dxa"/>
            <w:left w:w="108" w:type="dxa"/>
            <w:bottom w:w="0" w:type="dxa"/>
            <w:right w:w="108" w:type="dxa"/>
          </w:tblCellMar>
        </w:tblPrEx>
        <w:trPr>
          <w:trHeight w:val="480" w:hRule="atLeast"/>
        </w:trPr>
        <w:tc>
          <w:tcPr>
            <w:tcW w:w="3654" w:type="dxa"/>
            <w:tcBorders>
              <w:top w:val="single" w:color="auto" w:sz="4" w:space="0"/>
              <w:left w:val="single" w:color="auto" w:sz="4" w:space="0"/>
              <w:bottom w:val="single" w:color="auto" w:sz="4" w:space="0"/>
              <w:right w:val="single" w:color="auto" w:sz="4" w:space="0"/>
            </w:tcBorders>
            <w:noWrap w:val="0"/>
            <w:vAlign w:val="center"/>
          </w:tcPr>
          <w:p w14:paraId="5B44A4D1">
            <w:pPr>
              <w:widowControl/>
              <w:spacing w:line="30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采购单位（需方）</w:t>
            </w:r>
          </w:p>
        </w:tc>
        <w:tc>
          <w:tcPr>
            <w:tcW w:w="3021" w:type="dxa"/>
            <w:tcBorders>
              <w:top w:val="single" w:color="auto" w:sz="4" w:space="0"/>
              <w:left w:val="nil"/>
              <w:bottom w:val="single" w:color="auto" w:sz="4" w:space="0"/>
              <w:right w:val="single" w:color="auto" w:sz="4" w:space="0"/>
            </w:tcBorders>
            <w:noWrap w:val="0"/>
            <w:vAlign w:val="center"/>
          </w:tcPr>
          <w:p w14:paraId="5FA394FA">
            <w:pPr>
              <w:widowControl/>
              <w:spacing w:line="30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855" w:type="dxa"/>
            <w:tcBorders>
              <w:top w:val="single" w:color="auto" w:sz="4" w:space="0"/>
              <w:left w:val="nil"/>
              <w:bottom w:val="single" w:color="auto" w:sz="4" w:space="0"/>
              <w:right w:val="single" w:color="auto" w:sz="4" w:space="0"/>
            </w:tcBorders>
            <w:noWrap w:val="0"/>
            <w:vAlign w:val="center"/>
          </w:tcPr>
          <w:p w14:paraId="3031B1D2">
            <w:pPr>
              <w:widowControl/>
              <w:spacing w:line="30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联系人</w:t>
            </w:r>
          </w:p>
        </w:tc>
        <w:tc>
          <w:tcPr>
            <w:tcW w:w="1745" w:type="dxa"/>
            <w:tcBorders>
              <w:top w:val="single" w:color="auto" w:sz="4" w:space="0"/>
              <w:left w:val="nil"/>
              <w:bottom w:val="single" w:color="auto" w:sz="4" w:space="0"/>
              <w:right w:val="single" w:color="auto" w:sz="4" w:space="0"/>
            </w:tcBorders>
            <w:noWrap w:val="0"/>
            <w:vAlign w:val="center"/>
          </w:tcPr>
          <w:p w14:paraId="688C2E36">
            <w:pPr>
              <w:widowControl/>
              <w:spacing w:line="30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080" w:type="dxa"/>
            <w:tcBorders>
              <w:top w:val="single" w:color="auto" w:sz="4" w:space="0"/>
              <w:left w:val="nil"/>
              <w:bottom w:val="single" w:color="auto" w:sz="4" w:space="0"/>
              <w:right w:val="single" w:color="auto" w:sz="4" w:space="0"/>
            </w:tcBorders>
            <w:noWrap w:val="0"/>
            <w:vAlign w:val="center"/>
          </w:tcPr>
          <w:p w14:paraId="34B9A96A">
            <w:pPr>
              <w:widowControl/>
              <w:spacing w:line="30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联系电话</w:t>
            </w:r>
          </w:p>
        </w:tc>
        <w:tc>
          <w:tcPr>
            <w:tcW w:w="2081" w:type="dxa"/>
            <w:tcBorders>
              <w:top w:val="single" w:color="auto" w:sz="4" w:space="0"/>
              <w:left w:val="nil"/>
              <w:bottom w:val="single" w:color="auto" w:sz="4" w:space="0"/>
              <w:right w:val="single" w:color="auto" w:sz="4" w:space="0"/>
            </w:tcBorders>
            <w:noWrap w:val="0"/>
            <w:vAlign w:val="center"/>
          </w:tcPr>
          <w:p w14:paraId="6925749A">
            <w:pPr>
              <w:widowControl/>
              <w:spacing w:line="30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0826527E">
        <w:tblPrEx>
          <w:tblCellMar>
            <w:top w:w="0" w:type="dxa"/>
            <w:left w:w="108" w:type="dxa"/>
            <w:bottom w:w="0" w:type="dxa"/>
            <w:right w:w="108" w:type="dxa"/>
          </w:tblCellMar>
        </w:tblPrEx>
        <w:trPr>
          <w:trHeight w:val="480" w:hRule="atLeast"/>
        </w:trPr>
        <w:tc>
          <w:tcPr>
            <w:tcW w:w="3654" w:type="dxa"/>
            <w:tcBorders>
              <w:top w:val="nil"/>
              <w:left w:val="single" w:color="auto" w:sz="4" w:space="0"/>
              <w:bottom w:val="single" w:color="auto" w:sz="4" w:space="0"/>
              <w:right w:val="single" w:color="auto" w:sz="4" w:space="0"/>
            </w:tcBorders>
            <w:noWrap w:val="0"/>
            <w:vAlign w:val="center"/>
          </w:tcPr>
          <w:p w14:paraId="105C462F">
            <w:pPr>
              <w:widowControl/>
              <w:spacing w:line="30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供应商（供方）</w:t>
            </w:r>
          </w:p>
        </w:tc>
        <w:tc>
          <w:tcPr>
            <w:tcW w:w="3021" w:type="dxa"/>
            <w:tcBorders>
              <w:top w:val="nil"/>
              <w:left w:val="nil"/>
              <w:bottom w:val="single" w:color="auto" w:sz="4" w:space="0"/>
              <w:right w:val="single" w:color="auto" w:sz="4" w:space="0"/>
            </w:tcBorders>
            <w:noWrap w:val="0"/>
            <w:vAlign w:val="center"/>
          </w:tcPr>
          <w:p w14:paraId="1762BF51">
            <w:pPr>
              <w:widowControl/>
              <w:spacing w:line="30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855" w:type="dxa"/>
            <w:tcBorders>
              <w:top w:val="nil"/>
              <w:left w:val="nil"/>
              <w:bottom w:val="single" w:color="auto" w:sz="4" w:space="0"/>
              <w:right w:val="single" w:color="auto" w:sz="4" w:space="0"/>
            </w:tcBorders>
            <w:noWrap w:val="0"/>
            <w:vAlign w:val="center"/>
          </w:tcPr>
          <w:p w14:paraId="62546A59">
            <w:pPr>
              <w:widowControl/>
              <w:spacing w:line="30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联系人</w:t>
            </w:r>
          </w:p>
        </w:tc>
        <w:tc>
          <w:tcPr>
            <w:tcW w:w="1745" w:type="dxa"/>
            <w:tcBorders>
              <w:top w:val="nil"/>
              <w:left w:val="nil"/>
              <w:bottom w:val="single" w:color="auto" w:sz="4" w:space="0"/>
              <w:right w:val="single" w:color="auto" w:sz="4" w:space="0"/>
            </w:tcBorders>
            <w:noWrap w:val="0"/>
            <w:vAlign w:val="center"/>
          </w:tcPr>
          <w:p w14:paraId="1AA1F499">
            <w:pPr>
              <w:widowControl/>
              <w:spacing w:line="30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080" w:type="dxa"/>
            <w:tcBorders>
              <w:top w:val="nil"/>
              <w:left w:val="nil"/>
              <w:bottom w:val="single" w:color="auto" w:sz="4" w:space="0"/>
              <w:right w:val="single" w:color="auto" w:sz="4" w:space="0"/>
            </w:tcBorders>
            <w:noWrap w:val="0"/>
            <w:vAlign w:val="center"/>
          </w:tcPr>
          <w:p w14:paraId="05D3CC95">
            <w:pPr>
              <w:widowControl/>
              <w:spacing w:line="30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联系电话</w:t>
            </w:r>
          </w:p>
        </w:tc>
        <w:tc>
          <w:tcPr>
            <w:tcW w:w="2081" w:type="dxa"/>
            <w:tcBorders>
              <w:top w:val="nil"/>
              <w:left w:val="nil"/>
              <w:bottom w:val="single" w:color="auto" w:sz="4" w:space="0"/>
              <w:right w:val="single" w:color="auto" w:sz="4" w:space="0"/>
            </w:tcBorders>
            <w:noWrap w:val="0"/>
            <w:vAlign w:val="center"/>
          </w:tcPr>
          <w:p w14:paraId="58129F16">
            <w:pPr>
              <w:widowControl/>
              <w:spacing w:line="30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4138DAB4">
        <w:tblPrEx>
          <w:tblCellMar>
            <w:top w:w="0" w:type="dxa"/>
            <w:left w:w="108" w:type="dxa"/>
            <w:bottom w:w="0" w:type="dxa"/>
            <w:right w:w="108" w:type="dxa"/>
          </w:tblCellMar>
        </w:tblPrEx>
        <w:trPr>
          <w:trHeight w:val="435" w:hRule="atLeast"/>
        </w:trPr>
        <w:tc>
          <w:tcPr>
            <w:tcW w:w="3654" w:type="dxa"/>
            <w:tcBorders>
              <w:top w:val="nil"/>
              <w:left w:val="single" w:color="auto" w:sz="4" w:space="0"/>
              <w:bottom w:val="single" w:color="auto" w:sz="4" w:space="0"/>
              <w:right w:val="single" w:color="auto" w:sz="4" w:space="0"/>
            </w:tcBorders>
            <w:noWrap w:val="0"/>
            <w:vAlign w:val="center"/>
          </w:tcPr>
          <w:p w14:paraId="2CB1375A">
            <w:pPr>
              <w:widowControl/>
              <w:spacing w:line="30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商品名称</w:t>
            </w:r>
          </w:p>
        </w:tc>
        <w:tc>
          <w:tcPr>
            <w:tcW w:w="3021" w:type="dxa"/>
            <w:tcBorders>
              <w:top w:val="nil"/>
              <w:left w:val="nil"/>
              <w:bottom w:val="single" w:color="auto" w:sz="4" w:space="0"/>
              <w:right w:val="single" w:color="auto" w:sz="4" w:space="0"/>
            </w:tcBorders>
            <w:noWrap w:val="0"/>
            <w:vAlign w:val="center"/>
          </w:tcPr>
          <w:p w14:paraId="6D38E2E4">
            <w:pPr>
              <w:widowControl/>
              <w:spacing w:line="30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规格型号及要求</w:t>
            </w:r>
          </w:p>
        </w:tc>
        <w:tc>
          <w:tcPr>
            <w:tcW w:w="1855" w:type="dxa"/>
            <w:tcBorders>
              <w:top w:val="nil"/>
              <w:left w:val="nil"/>
              <w:bottom w:val="single" w:color="auto" w:sz="4" w:space="0"/>
              <w:right w:val="single" w:color="auto" w:sz="4" w:space="0"/>
            </w:tcBorders>
            <w:noWrap w:val="0"/>
            <w:vAlign w:val="center"/>
          </w:tcPr>
          <w:p w14:paraId="24B3FB3A">
            <w:pPr>
              <w:widowControl/>
              <w:spacing w:line="30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计量单位</w:t>
            </w:r>
          </w:p>
        </w:tc>
        <w:tc>
          <w:tcPr>
            <w:tcW w:w="1745" w:type="dxa"/>
            <w:tcBorders>
              <w:top w:val="nil"/>
              <w:left w:val="nil"/>
              <w:bottom w:val="single" w:color="auto" w:sz="4" w:space="0"/>
              <w:right w:val="single" w:color="auto" w:sz="4" w:space="0"/>
            </w:tcBorders>
            <w:noWrap w:val="0"/>
            <w:vAlign w:val="center"/>
          </w:tcPr>
          <w:p w14:paraId="65389665">
            <w:pPr>
              <w:widowControl/>
              <w:spacing w:line="30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数     量</w:t>
            </w:r>
          </w:p>
        </w:tc>
        <w:tc>
          <w:tcPr>
            <w:tcW w:w="2080" w:type="dxa"/>
            <w:tcBorders>
              <w:top w:val="nil"/>
              <w:left w:val="nil"/>
              <w:bottom w:val="single" w:color="auto" w:sz="4" w:space="0"/>
              <w:right w:val="single" w:color="auto" w:sz="4" w:space="0"/>
            </w:tcBorders>
            <w:noWrap w:val="0"/>
            <w:vAlign w:val="center"/>
          </w:tcPr>
          <w:p w14:paraId="3EFC0DB5">
            <w:pPr>
              <w:widowControl/>
              <w:spacing w:line="30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单价(元)</w:t>
            </w:r>
          </w:p>
        </w:tc>
        <w:tc>
          <w:tcPr>
            <w:tcW w:w="2081" w:type="dxa"/>
            <w:tcBorders>
              <w:top w:val="nil"/>
              <w:left w:val="nil"/>
              <w:bottom w:val="single" w:color="auto" w:sz="4" w:space="0"/>
              <w:right w:val="single" w:color="auto" w:sz="4" w:space="0"/>
            </w:tcBorders>
            <w:noWrap w:val="0"/>
            <w:vAlign w:val="center"/>
          </w:tcPr>
          <w:p w14:paraId="1BA4D222">
            <w:pPr>
              <w:widowControl/>
              <w:spacing w:line="30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金额 (元)</w:t>
            </w:r>
          </w:p>
        </w:tc>
      </w:tr>
      <w:tr w14:paraId="01F78CCD">
        <w:tblPrEx>
          <w:tblCellMar>
            <w:top w:w="0" w:type="dxa"/>
            <w:left w:w="108" w:type="dxa"/>
            <w:bottom w:w="0" w:type="dxa"/>
            <w:right w:w="108" w:type="dxa"/>
          </w:tblCellMar>
        </w:tblPrEx>
        <w:trPr>
          <w:trHeight w:val="435" w:hRule="atLeast"/>
        </w:trPr>
        <w:tc>
          <w:tcPr>
            <w:tcW w:w="3654" w:type="dxa"/>
            <w:tcBorders>
              <w:top w:val="nil"/>
              <w:left w:val="single" w:color="auto" w:sz="4" w:space="0"/>
              <w:bottom w:val="single" w:color="auto" w:sz="4" w:space="0"/>
              <w:right w:val="single" w:color="auto" w:sz="4" w:space="0"/>
            </w:tcBorders>
            <w:noWrap w:val="0"/>
            <w:vAlign w:val="center"/>
          </w:tcPr>
          <w:p w14:paraId="12CB5D00">
            <w:pPr>
              <w:widowControl/>
              <w:spacing w:line="30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021" w:type="dxa"/>
            <w:tcBorders>
              <w:top w:val="nil"/>
              <w:left w:val="nil"/>
              <w:bottom w:val="single" w:color="auto" w:sz="4" w:space="0"/>
              <w:right w:val="single" w:color="auto" w:sz="4" w:space="0"/>
            </w:tcBorders>
            <w:noWrap w:val="0"/>
            <w:vAlign w:val="center"/>
          </w:tcPr>
          <w:p w14:paraId="345E71FB">
            <w:pPr>
              <w:widowControl/>
              <w:spacing w:line="30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855" w:type="dxa"/>
            <w:tcBorders>
              <w:top w:val="nil"/>
              <w:left w:val="nil"/>
              <w:bottom w:val="single" w:color="auto" w:sz="4" w:space="0"/>
              <w:right w:val="single" w:color="auto" w:sz="4" w:space="0"/>
            </w:tcBorders>
            <w:noWrap w:val="0"/>
            <w:vAlign w:val="center"/>
          </w:tcPr>
          <w:p w14:paraId="50A654B3">
            <w:pPr>
              <w:widowControl/>
              <w:spacing w:line="30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745" w:type="dxa"/>
            <w:tcBorders>
              <w:top w:val="nil"/>
              <w:left w:val="nil"/>
              <w:bottom w:val="single" w:color="auto" w:sz="4" w:space="0"/>
              <w:right w:val="single" w:color="auto" w:sz="4" w:space="0"/>
            </w:tcBorders>
            <w:noWrap w:val="0"/>
            <w:vAlign w:val="center"/>
          </w:tcPr>
          <w:p w14:paraId="5C513ABA">
            <w:pPr>
              <w:widowControl/>
              <w:spacing w:line="30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080" w:type="dxa"/>
            <w:tcBorders>
              <w:top w:val="nil"/>
              <w:left w:val="nil"/>
              <w:bottom w:val="single" w:color="auto" w:sz="4" w:space="0"/>
              <w:right w:val="single" w:color="auto" w:sz="4" w:space="0"/>
            </w:tcBorders>
            <w:noWrap w:val="0"/>
            <w:vAlign w:val="center"/>
          </w:tcPr>
          <w:p w14:paraId="1577F9CE">
            <w:pPr>
              <w:widowControl/>
              <w:spacing w:line="30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081" w:type="dxa"/>
            <w:tcBorders>
              <w:top w:val="nil"/>
              <w:left w:val="nil"/>
              <w:bottom w:val="single" w:color="auto" w:sz="4" w:space="0"/>
              <w:right w:val="single" w:color="auto" w:sz="4" w:space="0"/>
            </w:tcBorders>
            <w:noWrap w:val="0"/>
            <w:vAlign w:val="center"/>
          </w:tcPr>
          <w:p w14:paraId="23FEE4F3">
            <w:pPr>
              <w:widowControl/>
              <w:spacing w:line="30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09C93AD4">
        <w:tblPrEx>
          <w:tblCellMar>
            <w:top w:w="0" w:type="dxa"/>
            <w:left w:w="108" w:type="dxa"/>
            <w:bottom w:w="0" w:type="dxa"/>
            <w:right w:w="108" w:type="dxa"/>
          </w:tblCellMar>
        </w:tblPrEx>
        <w:trPr>
          <w:trHeight w:val="435" w:hRule="atLeast"/>
        </w:trPr>
        <w:tc>
          <w:tcPr>
            <w:tcW w:w="3654" w:type="dxa"/>
            <w:tcBorders>
              <w:top w:val="nil"/>
              <w:left w:val="single" w:color="auto" w:sz="4" w:space="0"/>
              <w:bottom w:val="single" w:color="auto" w:sz="4" w:space="0"/>
              <w:right w:val="single" w:color="auto" w:sz="4" w:space="0"/>
            </w:tcBorders>
            <w:noWrap w:val="0"/>
            <w:vAlign w:val="center"/>
          </w:tcPr>
          <w:p w14:paraId="22D4960D">
            <w:pPr>
              <w:widowControl/>
              <w:spacing w:line="30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021" w:type="dxa"/>
            <w:tcBorders>
              <w:top w:val="nil"/>
              <w:left w:val="nil"/>
              <w:bottom w:val="single" w:color="auto" w:sz="4" w:space="0"/>
              <w:right w:val="single" w:color="auto" w:sz="4" w:space="0"/>
            </w:tcBorders>
            <w:noWrap w:val="0"/>
            <w:vAlign w:val="center"/>
          </w:tcPr>
          <w:p w14:paraId="32804D9F">
            <w:pPr>
              <w:widowControl/>
              <w:spacing w:line="30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855" w:type="dxa"/>
            <w:tcBorders>
              <w:top w:val="nil"/>
              <w:left w:val="nil"/>
              <w:bottom w:val="single" w:color="auto" w:sz="4" w:space="0"/>
              <w:right w:val="single" w:color="auto" w:sz="4" w:space="0"/>
            </w:tcBorders>
            <w:noWrap w:val="0"/>
            <w:vAlign w:val="center"/>
          </w:tcPr>
          <w:p w14:paraId="4C289EFF">
            <w:pPr>
              <w:widowControl/>
              <w:spacing w:line="30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745" w:type="dxa"/>
            <w:tcBorders>
              <w:top w:val="nil"/>
              <w:left w:val="nil"/>
              <w:bottom w:val="single" w:color="auto" w:sz="4" w:space="0"/>
              <w:right w:val="single" w:color="auto" w:sz="4" w:space="0"/>
            </w:tcBorders>
            <w:noWrap w:val="0"/>
            <w:vAlign w:val="center"/>
          </w:tcPr>
          <w:p w14:paraId="4E948805">
            <w:pPr>
              <w:widowControl/>
              <w:spacing w:line="30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080" w:type="dxa"/>
            <w:tcBorders>
              <w:top w:val="nil"/>
              <w:left w:val="nil"/>
              <w:bottom w:val="single" w:color="auto" w:sz="4" w:space="0"/>
              <w:right w:val="single" w:color="auto" w:sz="4" w:space="0"/>
            </w:tcBorders>
            <w:noWrap w:val="0"/>
            <w:vAlign w:val="center"/>
          </w:tcPr>
          <w:p w14:paraId="6D016394">
            <w:pPr>
              <w:widowControl/>
              <w:spacing w:line="30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081" w:type="dxa"/>
            <w:tcBorders>
              <w:top w:val="nil"/>
              <w:left w:val="nil"/>
              <w:bottom w:val="single" w:color="auto" w:sz="4" w:space="0"/>
              <w:right w:val="single" w:color="auto" w:sz="4" w:space="0"/>
            </w:tcBorders>
            <w:noWrap w:val="0"/>
            <w:vAlign w:val="center"/>
          </w:tcPr>
          <w:p w14:paraId="6190ED72">
            <w:pPr>
              <w:widowControl/>
              <w:spacing w:line="30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440EBCDB">
        <w:tblPrEx>
          <w:tblCellMar>
            <w:top w:w="0" w:type="dxa"/>
            <w:left w:w="108" w:type="dxa"/>
            <w:bottom w:w="0" w:type="dxa"/>
            <w:right w:w="108" w:type="dxa"/>
          </w:tblCellMar>
        </w:tblPrEx>
        <w:trPr>
          <w:trHeight w:val="435" w:hRule="atLeast"/>
        </w:trPr>
        <w:tc>
          <w:tcPr>
            <w:tcW w:w="3654" w:type="dxa"/>
            <w:tcBorders>
              <w:top w:val="nil"/>
              <w:left w:val="single" w:color="auto" w:sz="4" w:space="0"/>
              <w:bottom w:val="single" w:color="auto" w:sz="4" w:space="0"/>
              <w:right w:val="single" w:color="auto" w:sz="4" w:space="0"/>
            </w:tcBorders>
            <w:noWrap w:val="0"/>
            <w:vAlign w:val="center"/>
          </w:tcPr>
          <w:p w14:paraId="263C5543">
            <w:pPr>
              <w:widowControl/>
              <w:spacing w:line="30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   计</w:t>
            </w:r>
          </w:p>
        </w:tc>
        <w:tc>
          <w:tcPr>
            <w:tcW w:w="3021" w:type="dxa"/>
            <w:tcBorders>
              <w:top w:val="nil"/>
              <w:left w:val="nil"/>
              <w:bottom w:val="single" w:color="auto" w:sz="4" w:space="0"/>
              <w:right w:val="single" w:color="auto" w:sz="4" w:space="0"/>
            </w:tcBorders>
            <w:noWrap w:val="0"/>
            <w:vAlign w:val="center"/>
          </w:tcPr>
          <w:p w14:paraId="0C56D850">
            <w:pPr>
              <w:widowControl/>
              <w:spacing w:line="30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855" w:type="dxa"/>
            <w:tcBorders>
              <w:top w:val="nil"/>
              <w:left w:val="nil"/>
              <w:bottom w:val="single" w:color="auto" w:sz="4" w:space="0"/>
              <w:right w:val="single" w:color="auto" w:sz="4" w:space="0"/>
            </w:tcBorders>
            <w:noWrap w:val="0"/>
            <w:vAlign w:val="center"/>
          </w:tcPr>
          <w:p w14:paraId="4FA6D702">
            <w:pPr>
              <w:widowControl/>
              <w:spacing w:line="30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745" w:type="dxa"/>
            <w:tcBorders>
              <w:top w:val="nil"/>
              <w:left w:val="nil"/>
              <w:bottom w:val="single" w:color="auto" w:sz="4" w:space="0"/>
              <w:right w:val="single" w:color="auto" w:sz="4" w:space="0"/>
            </w:tcBorders>
            <w:noWrap w:val="0"/>
            <w:vAlign w:val="center"/>
          </w:tcPr>
          <w:p w14:paraId="6DAF6133">
            <w:pPr>
              <w:widowControl/>
              <w:spacing w:line="30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080" w:type="dxa"/>
            <w:tcBorders>
              <w:top w:val="nil"/>
              <w:left w:val="nil"/>
              <w:bottom w:val="single" w:color="auto" w:sz="4" w:space="0"/>
              <w:right w:val="single" w:color="auto" w:sz="4" w:space="0"/>
            </w:tcBorders>
            <w:noWrap w:val="0"/>
            <w:vAlign w:val="center"/>
          </w:tcPr>
          <w:p w14:paraId="7D113B6A">
            <w:pPr>
              <w:widowControl/>
              <w:spacing w:line="30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081" w:type="dxa"/>
            <w:tcBorders>
              <w:top w:val="nil"/>
              <w:left w:val="nil"/>
              <w:bottom w:val="single" w:color="auto" w:sz="4" w:space="0"/>
              <w:right w:val="single" w:color="auto" w:sz="4" w:space="0"/>
            </w:tcBorders>
            <w:noWrap w:val="0"/>
            <w:vAlign w:val="center"/>
          </w:tcPr>
          <w:p w14:paraId="4D3073C8">
            <w:pPr>
              <w:widowControl/>
              <w:spacing w:line="30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54DA5AA5">
        <w:tblPrEx>
          <w:tblCellMar>
            <w:top w:w="0" w:type="dxa"/>
            <w:left w:w="108" w:type="dxa"/>
            <w:bottom w:w="0" w:type="dxa"/>
            <w:right w:w="108" w:type="dxa"/>
          </w:tblCellMar>
        </w:tblPrEx>
        <w:trPr>
          <w:trHeight w:val="480" w:hRule="atLeast"/>
        </w:trPr>
        <w:tc>
          <w:tcPr>
            <w:tcW w:w="14436" w:type="dxa"/>
            <w:gridSpan w:val="6"/>
            <w:tcBorders>
              <w:top w:val="single" w:color="auto" w:sz="4" w:space="0"/>
              <w:left w:val="single" w:color="auto" w:sz="4" w:space="0"/>
              <w:bottom w:val="single" w:color="auto" w:sz="4" w:space="0"/>
              <w:right w:val="single" w:color="000000" w:sz="4" w:space="0"/>
            </w:tcBorders>
            <w:noWrap w:val="0"/>
            <w:vAlign w:val="center"/>
          </w:tcPr>
          <w:p w14:paraId="7F2444A4">
            <w:pPr>
              <w:widowControl/>
              <w:spacing w:line="30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合计人民币(大写):</w:t>
            </w:r>
          </w:p>
        </w:tc>
      </w:tr>
      <w:tr w14:paraId="4128B180">
        <w:tblPrEx>
          <w:tblCellMar>
            <w:top w:w="0" w:type="dxa"/>
            <w:left w:w="108" w:type="dxa"/>
            <w:bottom w:w="0" w:type="dxa"/>
            <w:right w:w="108" w:type="dxa"/>
          </w:tblCellMar>
        </w:tblPrEx>
        <w:trPr>
          <w:trHeight w:val="390" w:hRule="atLeast"/>
        </w:trPr>
        <w:tc>
          <w:tcPr>
            <w:tcW w:w="14436" w:type="dxa"/>
            <w:gridSpan w:val="6"/>
            <w:tcBorders>
              <w:top w:val="single" w:color="auto" w:sz="4" w:space="0"/>
              <w:left w:val="nil"/>
              <w:bottom w:val="nil"/>
              <w:right w:val="nil"/>
            </w:tcBorders>
            <w:noWrap w:val="0"/>
            <w:vAlign w:val="center"/>
          </w:tcPr>
          <w:p w14:paraId="7463E2AB">
            <w:pPr>
              <w:widowControl/>
              <w:spacing w:line="30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详细设备清单见装箱单</w:t>
            </w:r>
          </w:p>
        </w:tc>
      </w:tr>
      <w:tr w14:paraId="1176D005">
        <w:tblPrEx>
          <w:tblCellMar>
            <w:top w:w="0" w:type="dxa"/>
            <w:left w:w="108" w:type="dxa"/>
            <w:bottom w:w="0" w:type="dxa"/>
            <w:right w:w="108" w:type="dxa"/>
          </w:tblCellMar>
        </w:tblPrEx>
        <w:trPr>
          <w:trHeight w:val="405" w:hRule="atLeast"/>
        </w:trPr>
        <w:tc>
          <w:tcPr>
            <w:tcW w:w="8530" w:type="dxa"/>
            <w:gridSpan w:val="3"/>
            <w:tcBorders>
              <w:top w:val="single" w:color="auto" w:sz="4" w:space="0"/>
              <w:left w:val="single" w:color="auto" w:sz="4" w:space="0"/>
              <w:bottom w:val="nil"/>
              <w:right w:val="nil"/>
            </w:tcBorders>
            <w:noWrap w:val="0"/>
            <w:vAlign w:val="bottom"/>
          </w:tcPr>
          <w:p w14:paraId="111A0C1B">
            <w:pPr>
              <w:widowControl/>
              <w:spacing w:line="30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采购单位验收情况:</w:t>
            </w:r>
          </w:p>
        </w:tc>
        <w:tc>
          <w:tcPr>
            <w:tcW w:w="5906" w:type="dxa"/>
            <w:gridSpan w:val="3"/>
            <w:tcBorders>
              <w:top w:val="single" w:color="auto" w:sz="4" w:space="0"/>
              <w:left w:val="single" w:color="auto" w:sz="4" w:space="0"/>
              <w:bottom w:val="nil"/>
              <w:right w:val="single" w:color="000000" w:sz="4" w:space="0"/>
            </w:tcBorders>
            <w:noWrap w:val="0"/>
            <w:vAlign w:val="bottom"/>
          </w:tcPr>
          <w:p w14:paraId="370E55F8">
            <w:pPr>
              <w:widowControl/>
              <w:spacing w:line="30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采购单位付款意见:</w:t>
            </w:r>
          </w:p>
        </w:tc>
      </w:tr>
      <w:tr w14:paraId="0C0B69B3">
        <w:tblPrEx>
          <w:tblCellMar>
            <w:top w:w="0" w:type="dxa"/>
            <w:left w:w="108" w:type="dxa"/>
            <w:bottom w:w="0" w:type="dxa"/>
            <w:right w:w="108" w:type="dxa"/>
          </w:tblCellMar>
        </w:tblPrEx>
        <w:trPr>
          <w:trHeight w:val="1125" w:hRule="atLeast"/>
        </w:trPr>
        <w:tc>
          <w:tcPr>
            <w:tcW w:w="3654" w:type="dxa"/>
            <w:tcBorders>
              <w:top w:val="nil"/>
              <w:left w:val="single" w:color="auto" w:sz="4" w:space="0"/>
              <w:bottom w:val="single" w:color="auto" w:sz="4" w:space="0"/>
              <w:right w:val="nil"/>
            </w:tcBorders>
            <w:noWrap w:val="0"/>
            <w:vAlign w:val="bottom"/>
          </w:tcPr>
          <w:p w14:paraId="1AD94030">
            <w:pPr>
              <w:widowControl/>
              <w:spacing w:line="30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021" w:type="dxa"/>
            <w:tcBorders>
              <w:top w:val="nil"/>
              <w:left w:val="nil"/>
              <w:bottom w:val="single" w:color="auto" w:sz="4" w:space="0"/>
              <w:right w:val="nil"/>
            </w:tcBorders>
            <w:noWrap w:val="0"/>
            <w:vAlign w:val="bottom"/>
          </w:tcPr>
          <w:p w14:paraId="6F37FE7B">
            <w:pPr>
              <w:widowControl/>
              <w:spacing w:line="30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验收人（签字）:</w:t>
            </w:r>
          </w:p>
        </w:tc>
        <w:tc>
          <w:tcPr>
            <w:tcW w:w="1855" w:type="dxa"/>
            <w:tcBorders>
              <w:top w:val="nil"/>
              <w:left w:val="nil"/>
              <w:bottom w:val="single" w:color="auto" w:sz="4" w:space="0"/>
              <w:right w:val="nil"/>
            </w:tcBorders>
            <w:noWrap w:val="0"/>
            <w:vAlign w:val="bottom"/>
          </w:tcPr>
          <w:p w14:paraId="61136566">
            <w:pPr>
              <w:widowControl/>
              <w:spacing w:line="30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5906" w:type="dxa"/>
            <w:gridSpan w:val="3"/>
            <w:tcBorders>
              <w:top w:val="nil"/>
              <w:left w:val="single" w:color="auto" w:sz="4" w:space="0"/>
              <w:bottom w:val="single" w:color="auto" w:sz="4" w:space="0"/>
              <w:right w:val="single" w:color="000000" w:sz="4" w:space="0"/>
            </w:tcBorders>
            <w:noWrap w:val="0"/>
            <w:vAlign w:val="bottom"/>
          </w:tcPr>
          <w:p w14:paraId="7480CE23">
            <w:pPr>
              <w:widowControl/>
              <w:spacing w:line="30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     年    月    日</w:t>
            </w:r>
          </w:p>
        </w:tc>
      </w:tr>
      <w:tr w14:paraId="62AD7D58">
        <w:tblPrEx>
          <w:tblCellMar>
            <w:top w:w="0" w:type="dxa"/>
            <w:left w:w="108" w:type="dxa"/>
            <w:bottom w:w="0" w:type="dxa"/>
            <w:right w:w="108" w:type="dxa"/>
          </w:tblCellMar>
        </w:tblPrEx>
        <w:trPr>
          <w:trHeight w:val="375" w:hRule="atLeast"/>
        </w:trPr>
        <w:tc>
          <w:tcPr>
            <w:tcW w:w="8530" w:type="dxa"/>
            <w:gridSpan w:val="3"/>
            <w:tcBorders>
              <w:top w:val="single" w:color="auto" w:sz="4" w:space="0"/>
              <w:left w:val="single" w:color="auto" w:sz="4" w:space="0"/>
              <w:bottom w:val="nil"/>
              <w:right w:val="single" w:color="000000" w:sz="4" w:space="0"/>
            </w:tcBorders>
            <w:noWrap w:val="0"/>
            <w:vAlign w:val="bottom"/>
          </w:tcPr>
          <w:p w14:paraId="2C6BD847">
            <w:pPr>
              <w:widowControl/>
              <w:spacing w:line="30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供应商(盖章)</w:t>
            </w:r>
          </w:p>
        </w:tc>
        <w:tc>
          <w:tcPr>
            <w:tcW w:w="5906" w:type="dxa"/>
            <w:gridSpan w:val="3"/>
            <w:tcBorders>
              <w:top w:val="single" w:color="auto" w:sz="4" w:space="0"/>
              <w:left w:val="nil"/>
              <w:bottom w:val="nil"/>
              <w:right w:val="single" w:color="000000" w:sz="4" w:space="0"/>
            </w:tcBorders>
            <w:noWrap w:val="0"/>
            <w:vAlign w:val="bottom"/>
          </w:tcPr>
          <w:p w14:paraId="4EA7DB0F">
            <w:pPr>
              <w:widowControl/>
              <w:spacing w:line="30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县公共资源交易中心意见:</w:t>
            </w:r>
          </w:p>
        </w:tc>
      </w:tr>
      <w:tr w14:paraId="43C10B14">
        <w:tblPrEx>
          <w:tblCellMar>
            <w:top w:w="0" w:type="dxa"/>
            <w:left w:w="108" w:type="dxa"/>
            <w:bottom w:w="0" w:type="dxa"/>
            <w:right w:w="108" w:type="dxa"/>
          </w:tblCellMar>
        </w:tblPrEx>
        <w:trPr>
          <w:trHeight w:val="285" w:hRule="atLeast"/>
        </w:trPr>
        <w:tc>
          <w:tcPr>
            <w:tcW w:w="8530" w:type="dxa"/>
            <w:gridSpan w:val="3"/>
            <w:tcBorders>
              <w:top w:val="nil"/>
              <w:left w:val="single" w:color="auto" w:sz="4" w:space="0"/>
              <w:bottom w:val="nil"/>
              <w:right w:val="single" w:color="000000" w:sz="4" w:space="0"/>
            </w:tcBorders>
            <w:noWrap w:val="0"/>
            <w:vAlign w:val="bottom"/>
          </w:tcPr>
          <w:p w14:paraId="02424A23">
            <w:pPr>
              <w:widowControl/>
              <w:spacing w:line="30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经办人（签字）:</w:t>
            </w:r>
          </w:p>
        </w:tc>
        <w:tc>
          <w:tcPr>
            <w:tcW w:w="1745" w:type="dxa"/>
            <w:tcBorders>
              <w:top w:val="nil"/>
              <w:left w:val="nil"/>
              <w:bottom w:val="nil"/>
              <w:right w:val="nil"/>
            </w:tcBorders>
            <w:noWrap w:val="0"/>
            <w:vAlign w:val="bottom"/>
          </w:tcPr>
          <w:p w14:paraId="2C0A5833">
            <w:pPr>
              <w:widowControl/>
              <w:spacing w:line="30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080" w:type="dxa"/>
            <w:tcBorders>
              <w:top w:val="nil"/>
              <w:left w:val="nil"/>
              <w:bottom w:val="nil"/>
              <w:right w:val="nil"/>
            </w:tcBorders>
            <w:noWrap w:val="0"/>
            <w:vAlign w:val="bottom"/>
          </w:tcPr>
          <w:p w14:paraId="186822B3">
            <w:pPr>
              <w:widowControl/>
              <w:spacing w:line="30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(盖章)</w:t>
            </w:r>
          </w:p>
        </w:tc>
        <w:tc>
          <w:tcPr>
            <w:tcW w:w="2081" w:type="dxa"/>
            <w:tcBorders>
              <w:top w:val="nil"/>
              <w:left w:val="nil"/>
              <w:bottom w:val="nil"/>
              <w:right w:val="single" w:color="auto" w:sz="4" w:space="0"/>
            </w:tcBorders>
            <w:noWrap w:val="0"/>
            <w:vAlign w:val="bottom"/>
          </w:tcPr>
          <w:p w14:paraId="5958AC28">
            <w:pPr>
              <w:widowControl/>
              <w:spacing w:line="30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385209E1">
        <w:tblPrEx>
          <w:tblCellMar>
            <w:top w:w="0" w:type="dxa"/>
            <w:left w:w="108" w:type="dxa"/>
            <w:bottom w:w="0" w:type="dxa"/>
            <w:right w:w="108" w:type="dxa"/>
          </w:tblCellMar>
        </w:tblPrEx>
        <w:trPr>
          <w:trHeight w:val="540" w:hRule="atLeast"/>
        </w:trPr>
        <w:tc>
          <w:tcPr>
            <w:tcW w:w="8530" w:type="dxa"/>
            <w:gridSpan w:val="3"/>
            <w:tcBorders>
              <w:top w:val="nil"/>
              <w:left w:val="single" w:color="auto" w:sz="4" w:space="0"/>
              <w:bottom w:val="single" w:color="auto" w:sz="4" w:space="0"/>
              <w:right w:val="single" w:color="000000" w:sz="4" w:space="0"/>
            </w:tcBorders>
            <w:noWrap w:val="0"/>
            <w:vAlign w:val="bottom"/>
          </w:tcPr>
          <w:p w14:paraId="4000E48F">
            <w:pPr>
              <w:widowControl/>
              <w:spacing w:line="30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验收日期:20     年    月    日</w:t>
            </w:r>
          </w:p>
        </w:tc>
        <w:tc>
          <w:tcPr>
            <w:tcW w:w="5906" w:type="dxa"/>
            <w:gridSpan w:val="3"/>
            <w:tcBorders>
              <w:top w:val="nil"/>
              <w:left w:val="nil"/>
              <w:bottom w:val="single" w:color="auto" w:sz="4" w:space="0"/>
              <w:right w:val="single" w:color="000000" w:sz="4" w:space="0"/>
            </w:tcBorders>
            <w:noWrap w:val="0"/>
            <w:vAlign w:val="bottom"/>
          </w:tcPr>
          <w:p w14:paraId="1681531E">
            <w:pPr>
              <w:widowControl/>
              <w:spacing w:line="30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    年    月    日</w:t>
            </w:r>
          </w:p>
        </w:tc>
      </w:tr>
      <w:tr w14:paraId="1DF1212F">
        <w:tblPrEx>
          <w:tblCellMar>
            <w:top w:w="0" w:type="dxa"/>
            <w:left w:w="108" w:type="dxa"/>
            <w:bottom w:w="0" w:type="dxa"/>
            <w:right w:w="108" w:type="dxa"/>
          </w:tblCellMar>
        </w:tblPrEx>
        <w:trPr>
          <w:trHeight w:val="285" w:hRule="atLeast"/>
        </w:trPr>
        <w:tc>
          <w:tcPr>
            <w:tcW w:w="14436" w:type="dxa"/>
            <w:gridSpan w:val="6"/>
            <w:tcBorders>
              <w:top w:val="single" w:color="auto" w:sz="4" w:space="0"/>
              <w:left w:val="nil"/>
              <w:bottom w:val="nil"/>
              <w:right w:val="nil"/>
            </w:tcBorders>
            <w:noWrap w:val="0"/>
            <w:vAlign w:val="bottom"/>
          </w:tcPr>
          <w:p w14:paraId="26964A9F">
            <w:pPr>
              <w:widowControl/>
              <w:spacing w:line="30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注：1、表内各项必须填写完整，根据实际需求可增加或删除行，不得改动格式；</w:t>
            </w:r>
          </w:p>
        </w:tc>
      </w:tr>
      <w:tr w14:paraId="24A0B2B5">
        <w:tblPrEx>
          <w:tblCellMar>
            <w:top w:w="0" w:type="dxa"/>
            <w:left w:w="108" w:type="dxa"/>
            <w:bottom w:w="0" w:type="dxa"/>
            <w:right w:w="108" w:type="dxa"/>
          </w:tblCellMar>
        </w:tblPrEx>
        <w:trPr>
          <w:trHeight w:val="285" w:hRule="atLeast"/>
        </w:trPr>
        <w:tc>
          <w:tcPr>
            <w:tcW w:w="14436" w:type="dxa"/>
            <w:gridSpan w:val="6"/>
            <w:tcBorders>
              <w:top w:val="nil"/>
              <w:left w:val="nil"/>
              <w:bottom w:val="nil"/>
              <w:right w:val="nil"/>
            </w:tcBorders>
            <w:noWrap w:val="0"/>
            <w:vAlign w:val="bottom"/>
          </w:tcPr>
          <w:p w14:paraId="3C28722D">
            <w:pPr>
              <w:widowControl/>
              <w:spacing w:line="30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2、本表一式五份，经供需双方签字盖章后由采购单位、供应商、财政支付（核算）中心、财政局、公共资源交易中心各自留存。</w:t>
            </w:r>
          </w:p>
        </w:tc>
      </w:tr>
    </w:tbl>
    <w:p w14:paraId="212EE063">
      <w:pPr>
        <w:rPr>
          <w:rFonts w:hint="eastAsia" w:ascii="宋体" w:hAnsi="宋体" w:eastAsia="宋体" w:cs="宋体"/>
          <w:bCs/>
          <w:color w:val="auto"/>
          <w:sz w:val="24"/>
          <w:szCs w:val="24"/>
          <w:highlight w:val="none"/>
        </w:rPr>
        <w:sectPr>
          <w:pgSz w:w="16838" w:h="11906" w:orient="landscape"/>
          <w:pgMar w:top="1417" w:right="1134" w:bottom="1417" w:left="1134" w:header="851" w:footer="992" w:gutter="0"/>
          <w:pgNumType w:fmt="decimal"/>
          <w:cols w:space="425" w:num="1"/>
          <w:docGrid w:type="lines" w:linePitch="312" w:charSpace="0"/>
        </w:sectPr>
      </w:pPr>
    </w:p>
    <w:p w14:paraId="0DF9FE66">
      <w:pPr>
        <w:jc w:val="center"/>
        <w:rPr>
          <w:rFonts w:hint="eastAsia" w:ascii="宋体" w:hAnsi="宋体" w:eastAsia="宋体" w:cs="宋体"/>
          <w:b/>
          <w:bCs/>
          <w:color w:val="auto"/>
          <w:sz w:val="24"/>
          <w:highlight w:val="none"/>
        </w:rPr>
      </w:pPr>
    </w:p>
    <w:p w14:paraId="32B64E86">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质疑函范本</w:t>
      </w:r>
    </w:p>
    <w:p w14:paraId="6AA60864">
      <w:pPr>
        <w:adjustRightInd w:val="0"/>
        <w:snapToGrid w:val="0"/>
        <w:spacing w:before="240"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一、质疑供应商基本信息</w:t>
      </w:r>
    </w:p>
    <w:p w14:paraId="3CD993B1">
      <w:pPr>
        <w:adjustRightInd w:val="0"/>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质疑供应商：___________________________________</w:t>
      </w:r>
      <w:r>
        <w:rPr>
          <w:rFonts w:hint="eastAsia" w:ascii="宋体" w:hAnsi="宋体" w:eastAsia="宋体" w:cs="宋体"/>
          <w:color w:val="auto"/>
          <w:sz w:val="24"/>
          <w:highlight w:val="none"/>
          <w:u w:val="dotted"/>
        </w:rPr>
        <w:t xml:space="preserve"> </w:t>
      </w:r>
    </w:p>
    <w:p w14:paraId="0B41E190">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地址：______________________________邮编：____________________</w:t>
      </w:r>
    </w:p>
    <w:p w14:paraId="07E0A055">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联系人：_________________________联系电话：____________________</w:t>
      </w:r>
    </w:p>
    <w:p w14:paraId="0AC9B4AE">
      <w:pPr>
        <w:adjustRightInd w:val="0"/>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授权代表：________________________________________</w:t>
      </w:r>
    </w:p>
    <w:p w14:paraId="322EF91E">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联系电话：________________________________________</w:t>
      </w:r>
    </w:p>
    <w:p w14:paraId="5ECADC73">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地址：____________________邮编：______________________________</w:t>
      </w:r>
    </w:p>
    <w:p w14:paraId="18A279CF">
      <w:pPr>
        <w:adjustRightInd w:val="0"/>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二、质疑项目基本情况</w:t>
      </w:r>
    </w:p>
    <w:p w14:paraId="1120FC70">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质疑项目的名称：________________________________________</w:t>
      </w:r>
    </w:p>
    <w:p w14:paraId="7A701577">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质疑项目的编号：____________________包号：____________________</w:t>
      </w:r>
    </w:p>
    <w:p w14:paraId="62866528">
      <w:pPr>
        <w:adjustRightInd w:val="0"/>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采购人名称：________________________________________</w:t>
      </w:r>
    </w:p>
    <w:p w14:paraId="3F680FDD">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采购文件获取日期：___________________________________</w:t>
      </w:r>
    </w:p>
    <w:p w14:paraId="6731FB32">
      <w:pPr>
        <w:adjustRightInd w:val="0"/>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三、质疑事项具体内容</w:t>
      </w:r>
    </w:p>
    <w:p w14:paraId="593610CE">
      <w:pPr>
        <w:adjustRightInd w:val="0"/>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质疑事项1：________________________________________</w:t>
      </w:r>
    </w:p>
    <w:p w14:paraId="72F9DF58">
      <w:pPr>
        <w:adjustRightInd w:val="0"/>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事实依据：_____________________________________________</w:t>
      </w:r>
    </w:p>
    <w:p w14:paraId="549E4E6D">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_______________________________________________________</w:t>
      </w:r>
    </w:p>
    <w:p w14:paraId="3B61434F">
      <w:pPr>
        <w:adjustRightInd w:val="0"/>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法律依据：_____________________________________________</w:t>
      </w:r>
    </w:p>
    <w:p w14:paraId="43F9C109">
      <w:pPr>
        <w:adjustRightInd w:val="0"/>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_______________________________________________________</w:t>
      </w:r>
    </w:p>
    <w:p w14:paraId="35059586">
      <w:pPr>
        <w:adjustRightInd w:val="0"/>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质疑事项2</w:t>
      </w:r>
    </w:p>
    <w:p w14:paraId="694C33F2">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3B96E947">
      <w:pPr>
        <w:adjustRightInd w:val="0"/>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四、与质疑事项相关的质疑请求</w:t>
      </w:r>
    </w:p>
    <w:p w14:paraId="2210A54C">
      <w:pPr>
        <w:adjustRightInd w:val="0"/>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请求：__________________________________________________</w:t>
      </w:r>
    </w:p>
    <w:p w14:paraId="33C26F6B">
      <w:pP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6561D500">
      <w:pP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68BAB878">
      <w:pPr>
        <w:pStyle w:val="12"/>
        <w:tabs>
          <w:tab w:val="left" w:pos="2472"/>
        </w:tabs>
        <w:snapToGrid w:val="0"/>
        <w:spacing w:beforeLines="0" w:afterLines="0" w:line="240" w:lineRule="auto"/>
        <w:jc w:val="center"/>
        <w:rPr>
          <w:rFonts w:hint="eastAsia" w:ascii="宋体" w:hAnsi="宋体" w:eastAsia="宋体" w:cs="宋体"/>
          <w:color w:val="auto"/>
          <w:sz w:val="30"/>
          <w:szCs w:val="30"/>
          <w:highlight w:val="none"/>
        </w:rPr>
      </w:pPr>
    </w:p>
    <w:p w14:paraId="6F53C6E2">
      <w:pPr>
        <w:pStyle w:val="12"/>
        <w:tabs>
          <w:tab w:val="left" w:pos="2472"/>
        </w:tabs>
        <w:snapToGrid w:val="0"/>
        <w:spacing w:beforeLines="0" w:afterLines="0" w:line="240" w:lineRule="auto"/>
        <w:jc w:val="center"/>
        <w:rPr>
          <w:rFonts w:hint="eastAsia" w:ascii="宋体" w:hAnsi="宋体" w:eastAsia="宋体" w:cs="宋体"/>
          <w:color w:val="auto"/>
          <w:sz w:val="30"/>
          <w:szCs w:val="30"/>
          <w:highlight w:val="none"/>
        </w:rPr>
      </w:pPr>
    </w:p>
    <w:p w14:paraId="5CF5768C">
      <w:pPr>
        <w:pStyle w:val="12"/>
        <w:tabs>
          <w:tab w:val="left" w:pos="2472"/>
        </w:tabs>
        <w:snapToGrid w:val="0"/>
        <w:spacing w:beforeLines="0" w:afterLines="0" w:line="240" w:lineRule="auto"/>
        <w:jc w:val="center"/>
        <w:rPr>
          <w:rFonts w:hint="eastAsia" w:ascii="宋体" w:hAnsi="宋体" w:eastAsia="宋体" w:cs="宋体"/>
          <w:color w:val="auto"/>
          <w:sz w:val="30"/>
          <w:szCs w:val="30"/>
          <w:highlight w:val="none"/>
        </w:rPr>
      </w:pPr>
    </w:p>
    <w:p w14:paraId="4A410338">
      <w:pPr>
        <w:pStyle w:val="12"/>
        <w:tabs>
          <w:tab w:val="left" w:pos="2472"/>
        </w:tabs>
        <w:snapToGrid w:val="0"/>
        <w:spacing w:beforeLines="0" w:afterLines="0" w:line="240" w:lineRule="auto"/>
        <w:jc w:val="center"/>
        <w:rPr>
          <w:rFonts w:hint="eastAsia" w:ascii="宋体" w:hAnsi="宋体" w:eastAsia="宋体" w:cs="宋体"/>
          <w:color w:val="auto"/>
          <w:sz w:val="30"/>
          <w:szCs w:val="30"/>
          <w:highlight w:val="none"/>
        </w:rPr>
      </w:pPr>
    </w:p>
    <w:p w14:paraId="0B725572">
      <w:pPr>
        <w:adjustRightInd w:val="0"/>
        <w:snapToGrid w:val="0"/>
        <w:spacing w:before="240" w:beforeLines="100" w:line="360" w:lineRule="auto"/>
        <w:rPr>
          <w:rFonts w:hint="eastAsia" w:ascii="宋体" w:hAnsi="宋体" w:eastAsia="宋体" w:cs="宋体"/>
          <w:bCs/>
          <w:color w:val="auto"/>
          <w:sz w:val="24"/>
          <w:highlight w:val="none"/>
        </w:rPr>
      </w:pPr>
    </w:p>
    <w:p w14:paraId="446E33BF">
      <w:pPr>
        <w:adjustRightInd w:val="0"/>
        <w:snapToGrid w:val="0"/>
        <w:spacing w:before="240"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质疑函制作说明：</w:t>
      </w:r>
    </w:p>
    <w:p w14:paraId="41049A50">
      <w:pPr>
        <w:adjustRightInd w:val="0"/>
        <w:snapToGrid w:val="0"/>
        <w:spacing w:before="240"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1.供应商提出质疑时，应提交质疑函和必要的证明材料。</w:t>
      </w:r>
    </w:p>
    <w:p w14:paraId="172C4DD3">
      <w:pPr>
        <w:adjustRightInd w:val="0"/>
        <w:snapToGrid w:val="0"/>
        <w:spacing w:before="240"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5C232CD5">
      <w:pPr>
        <w:adjustRightInd w:val="0"/>
        <w:snapToGrid w:val="0"/>
        <w:spacing w:before="240"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3.质疑供应商若对项目的某一分包进行质疑，质疑函中应列明具体分包号。</w:t>
      </w:r>
    </w:p>
    <w:p w14:paraId="216AEE50">
      <w:pPr>
        <w:adjustRightInd w:val="0"/>
        <w:snapToGrid w:val="0"/>
        <w:spacing w:before="240"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4.质疑函的质疑事项应具体、明确，并有必要的事实依据和法律依据。</w:t>
      </w:r>
    </w:p>
    <w:p w14:paraId="78666224">
      <w:pPr>
        <w:adjustRightInd w:val="0"/>
        <w:snapToGrid w:val="0"/>
        <w:spacing w:before="240"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5.质疑函的质疑请求应与质疑事项相关。</w:t>
      </w:r>
    </w:p>
    <w:p w14:paraId="023D4B85">
      <w:pPr>
        <w:rPr>
          <w:rFonts w:hint="eastAsia" w:ascii="宋体" w:hAnsi="宋体" w:eastAsia="宋体" w:cs="宋体"/>
          <w:bCs/>
          <w:color w:val="auto"/>
          <w:sz w:val="24"/>
          <w:szCs w:val="24"/>
          <w:highlight w:val="none"/>
        </w:rPr>
      </w:pPr>
      <w:r>
        <w:rPr>
          <w:rFonts w:hint="eastAsia" w:ascii="宋体" w:hAnsi="宋体" w:eastAsia="宋体" w:cs="宋体"/>
          <w:bCs/>
          <w:color w:val="auto"/>
          <w:sz w:val="24"/>
          <w:highlight w:val="none"/>
        </w:rPr>
        <w:t>6.质疑供应商为自然人的，质疑函应由本人签字；质疑供应商为法人或者其他组织的，质疑函应由法定代表人、主要负责人，或者其授权代表签字或者盖章，并加盖公章。</w:t>
      </w:r>
      <w:r>
        <w:rPr>
          <w:rFonts w:hint="eastAsia" w:ascii="宋体" w:hAnsi="宋体" w:eastAsia="宋体" w:cs="宋体"/>
          <w:bCs/>
          <w:color w:val="auto"/>
          <w:sz w:val="24"/>
          <w:szCs w:val="24"/>
          <w:highlight w:val="none"/>
        </w:rPr>
        <w:br w:type="page"/>
      </w:r>
    </w:p>
    <w:p w14:paraId="09AEC97D">
      <w:pPr>
        <w:jc w:val="center"/>
        <w:rPr>
          <w:rFonts w:hint="eastAsia" w:ascii="宋体" w:hAnsi="宋体" w:eastAsia="宋体" w:cs="宋体"/>
          <w:b/>
          <w:color w:val="auto"/>
          <w:sz w:val="24"/>
          <w:highlight w:val="none"/>
        </w:rPr>
      </w:pPr>
    </w:p>
    <w:p w14:paraId="3B065C2E">
      <w:pPr>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投诉书范本</w:t>
      </w:r>
    </w:p>
    <w:p w14:paraId="46AB871E">
      <w:pPr>
        <w:rPr>
          <w:rFonts w:hint="eastAsia" w:ascii="宋体" w:hAnsi="宋体" w:eastAsia="宋体" w:cs="宋体"/>
          <w:color w:val="auto"/>
          <w:sz w:val="24"/>
          <w:highlight w:val="none"/>
        </w:rPr>
      </w:pPr>
      <w:r>
        <w:rPr>
          <w:rFonts w:hint="eastAsia" w:ascii="宋体" w:hAnsi="宋体" w:eastAsia="宋体" w:cs="宋体"/>
          <w:color w:val="auto"/>
          <w:sz w:val="24"/>
          <w:highlight w:val="none"/>
        </w:rPr>
        <w:t>一、投诉相关主体基本情况</w:t>
      </w:r>
    </w:p>
    <w:p w14:paraId="1D622812">
      <w:pPr>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投诉人：________________________________________________</w:t>
      </w:r>
    </w:p>
    <w:p w14:paraId="37282617">
      <w:pPr>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址：_______________________________邮编：_________</w:t>
      </w:r>
    </w:p>
    <w:p w14:paraId="148FED0F">
      <w:pPr>
        <w:tabs>
          <w:tab w:val="left" w:pos="6510"/>
        </w:tabs>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法定代表人/主要负责人：__________________________ </w:t>
      </w:r>
    </w:p>
    <w:p w14:paraId="1D13B32D">
      <w:pPr>
        <w:tabs>
          <w:tab w:val="left" w:pos="6510"/>
        </w:tabs>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联系电话：_____________________________________________</w:t>
      </w:r>
    </w:p>
    <w:p w14:paraId="2A7DA96A">
      <w:pPr>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授权代表：____________联系电话：________________________</w:t>
      </w:r>
    </w:p>
    <w:p w14:paraId="6D8100E5">
      <w:pPr>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地     址：________________________邮编：________________________</w:t>
      </w:r>
    </w:p>
    <w:p w14:paraId="222CB58E">
      <w:pPr>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被投诉人1：____________________________________________</w:t>
      </w:r>
    </w:p>
    <w:p w14:paraId="51DA6AD3">
      <w:pPr>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址：_____________________________邮编：____________</w:t>
      </w:r>
    </w:p>
    <w:p w14:paraId="38221BB1">
      <w:pPr>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联系人：____________联系电话：____________</w:t>
      </w:r>
    </w:p>
    <w:p w14:paraId="04D80CA1">
      <w:pPr>
        <w:rPr>
          <w:rFonts w:hint="eastAsia" w:ascii="宋体" w:hAnsi="宋体" w:eastAsia="宋体" w:cs="宋体"/>
          <w:color w:val="auto"/>
          <w:sz w:val="24"/>
          <w:highlight w:val="none"/>
        </w:rPr>
      </w:pPr>
      <w:r>
        <w:rPr>
          <w:rFonts w:hint="eastAsia" w:ascii="宋体" w:hAnsi="宋体" w:eastAsia="宋体" w:cs="宋体"/>
          <w:color w:val="auto"/>
          <w:sz w:val="24"/>
          <w:highlight w:val="none"/>
        </w:rPr>
        <w:t>被投诉人2</w:t>
      </w:r>
    </w:p>
    <w:p w14:paraId="4C599365">
      <w:pPr>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0FE517CD">
      <w:pPr>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相关供应商：____________________________________________</w:t>
      </w:r>
    </w:p>
    <w:p w14:paraId="0F6E3B94">
      <w:pPr>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址：________________________________邮编：_________</w:t>
      </w:r>
    </w:p>
    <w:p w14:paraId="79A5B040">
      <w:pPr>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联系人：_________联系电话：________________________________</w:t>
      </w:r>
    </w:p>
    <w:p w14:paraId="47F03B23">
      <w:pPr>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二、投诉项目基本情况</w:t>
      </w:r>
    </w:p>
    <w:p w14:paraId="5DDBAFDD">
      <w:pPr>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采购项目名称：________________________________</w:t>
      </w:r>
    </w:p>
    <w:p w14:paraId="4AC66727">
      <w:pPr>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采购项目编号：________________________包号：____________</w:t>
      </w:r>
    </w:p>
    <w:p w14:paraId="4400C1CC">
      <w:pPr>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采购人名称：_____________________________________________</w:t>
      </w:r>
    </w:p>
    <w:p w14:paraId="71B11D1F">
      <w:pPr>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代理机构名称：__________________________________________</w:t>
      </w:r>
    </w:p>
    <w:p w14:paraId="23169915">
      <w:pPr>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采购文件公告: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公告期限：___________________________</w:t>
      </w:r>
    </w:p>
    <w:p w14:paraId="1552368C">
      <w:pPr>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采购结果公告: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公告期限：___________________________</w:t>
      </w:r>
    </w:p>
    <w:p w14:paraId="2BAD1902">
      <w:pPr>
        <w:rPr>
          <w:rFonts w:hint="eastAsia" w:ascii="宋体" w:hAnsi="宋体" w:eastAsia="宋体" w:cs="宋体"/>
          <w:color w:val="auto"/>
          <w:sz w:val="24"/>
          <w:highlight w:val="none"/>
        </w:rPr>
      </w:pPr>
      <w:r>
        <w:rPr>
          <w:rFonts w:hint="eastAsia" w:ascii="宋体" w:hAnsi="宋体" w:eastAsia="宋体" w:cs="宋体"/>
          <w:color w:val="auto"/>
          <w:sz w:val="24"/>
          <w:highlight w:val="none"/>
        </w:rPr>
        <w:t>三、质疑基本情况</w:t>
      </w:r>
    </w:p>
    <w:p w14:paraId="0A425C5A">
      <w:pPr>
        <w:ind w:firstLine="480" w:firstLineChars="20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投诉人于_____年_____月_____日,向___________________提出质疑，质疑事项为：____________________________________________________________</w:t>
      </w:r>
    </w:p>
    <w:p w14:paraId="01E7D006">
      <w:pPr>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 xml:space="preserve">____________________________________________________________________ </w:t>
      </w:r>
    </w:p>
    <w:p w14:paraId="3B63F654">
      <w:pPr>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采购人/代理机构</w:t>
      </w:r>
      <w:r>
        <w:rPr>
          <w:rFonts w:hint="eastAsia" w:ascii="宋体" w:hAnsi="宋体" w:eastAsia="宋体" w:cs="宋体"/>
          <w:color w:val="auto"/>
          <w:sz w:val="24"/>
          <w:highlight w:val="none"/>
        </w:rPr>
        <w:t>于_____年_____月_____日,就质疑事项作出了答复/没有在法定期限内作出答复。</w:t>
      </w:r>
    </w:p>
    <w:p w14:paraId="4833E134">
      <w:pPr>
        <w:rPr>
          <w:rFonts w:hint="eastAsia" w:ascii="宋体" w:hAnsi="宋体" w:eastAsia="宋体" w:cs="宋体"/>
          <w:color w:val="auto"/>
          <w:sz w:val="24"/>
          <w:highlight w:val="none"/>
        </w:rPr>
      </w:pPr>
      <w:r>
        <w:rPr>
          <w:rFonts w:hint="eastAsia" w:ascii="宋体" w:hAnsi="宋体" w:eastAsia="宋体" w:cs="宋体"/>
          <w:color w:val="auto"/>
          <w:sz w:val="24"/>
          <w:highlight w:val="none"/>
        </w:rPr>
        <w:t>四、投诉事项具体内容</w:t>
      </w:r>
    </w:p>
    <w:p w14:paraId="52DA517E">
      <w:pPr>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投诉事项 1：__________________________________________</w:t>
      </w:r>
    </w:p>
    <w:p w14:paraId="0086E1EA">
      <w:pPr>
        <w:rPr>
          <w:rFonts w:hint="eastAsia" w:ascii="宋体" w:hAnsi="宋体" w:eastAsia="宋体" w:cs="宋体"/>
          <w:color w:val="auto"/>
          <w:sz w:val="24"/>
          <w:highlight w:val="none"/>
        </w:rPr>
      </w:pPr>
      <w:r>
        <w:rPr>
          <w:rFonts w:hint="eastAsia" w:ascii="宋体" w:hAnsi="宋体" w:eastAsia="宋体" w:cs="宋体"/>
          <w:color w:val="auto"/>
          <w:sz w:val="24"/>
          <w:highlight w:val="none"/>
        </w:rPr>
        <w:t>事实依据：____________________________________________</w:t>
      </w:r>
    </w:p>
    <w:p w14:paraId="442F998D">
      <w:pPr>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______________________________________________________</w:t>
      </w:r>
    </w:p>
    <w:p w14:paraId="4AD1E3E3">
      <w:pPr>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法律依据：____________________________________________</w:t>
      </w:r>
    </w:p>
    <w:p w14:paraId="222B776D">
      <w:pPr>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______________________________________________________</w:t>
      </w:r>
    </w:p>
    <w:p w14:paraId="1F4B35A7">
      <w:pPr>
        <w:rPr>
          <w:rFonts w:hint="eastAsia" w:ascii="宋体" w:hAnsi="宋体" w:eastAsia="宋体" w:cs="宋体"/>
          <w:color w:val="auto"/>
          <w:sz w:val="24"/>
          <w:highlight w:val="none"/>
        </w:rPr>
      </w:pPr>
      <w:r>
        <w:rPr>
          <w:rFonts w:hint="eastAsia" w:ascii="宋体" w:hAnsi="宋体" w:eastAsia="宋体" w:cs="宋体"/>
          <w:color w:val="auto"/>
          <w:sz w:val="24"/>
          <w:highlight w:val="none"/>
        </w:rPr>
        <w:t>投诉事项2</w:t>
      </w:r>
    </w:p>
    <w:p w14:paraId="6F8ED03E">
      <w:pPr>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1FFF58B1">
      <w:pPr>
        <w:rPr>
          <w:rFonts w:hint="eastAsia" w:ascii="宋体" w:hAnsi="宋体" w:eastAsia="宋体" w:cs="宋体"/>
          <w:color w:val="auto"/>
          <w:sz w:val="24"/>
          <w:highlight w:val="none"/>
        </w:rPr>
      </w:pPr>
      <w:r>
        <w:rPr>
          <w:rFonts w:hint="eastAsia" w:ascii="宋体" w:hAnsi="宋体" w:eastAsia="宋体" w:cs="宋体"/>
          <w:color w:val="auto"/>
          <w:sz w:val="24"/>
          <w:highlight w:val="none"/>
        </w:rPr>
        <w:t>五、与投诉事项相关的投诉请求</w:t>
      </w:r>
    </w:p>
    <w:p w14:paraId="42699C45">
      <w:pPr>
        <w:rPr>
          <w:rFonts w:hint="eastAsia" w:ascii="宋体" w:hAnsi="宋体" w:eastAsia="宋体" w:cs="宋体"/>
          <w:color w:val="auto"/>
          <w:sz w:val="24"/>
          <w:highlight w:val="none"/>
        </w:rPr>
      </w:pPr>
      <w:r>
        <w:rPr>
          <w:rFonts w:hint="eastAsia" w:ascii="宋体" w:hAnsi="宋体" w:eastAsia="宋体" w:cs="宋体"/>
          <w:color w:val="auto"/>
          <w:sz w:val="24"/>
          <w:highlight w:val="none"/>
        </w:rPr>
        <w:t>请求：___________________________</w:t>
      </w:r>
    </w:p>
    <w:p w14:paraId="6A90C8D2">
      <w:pPr>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w:t>
      </w:r>
    </w:p>
    <w:p w14:paraId="0C001F8B">
      <w:pP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46065116">
      <w:pP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1A7E470D">
      <w:pPr>
        <w:pStyle w:val="12"/>
        <w:tabs>
          <w:tab w:val="left" w:pos="2472"/>
        </w:tabs>
        <w:snapToGrid w:val="0"/>
        <w:spacing w:beforeLines="0" w:afterLines="0" w:line="240" w:lineRule="auto"/>
        <w:jc w:val="center"/>
        <w:rPr>
          <w:rFonts w:hint="eastAsia" w:ascii="宋体" w:hAnsi="宋体" w:eastAsia="宋体" w:cs="宋体"/>
          <w:color w:val="auto"/>
          <w:sz w:val="30"/>
          <w:szCs w:val="30"/>
          <w:highlight w:val="none"/>
        </w:rPr>
      </w:pPr>
    </w:p>
    <w:p w14:paraId="71157403">
      <w:pPr>
        <w:adjustRightInd w:val="0"/>
        <w:snapToGrid w:val="0"/>
        <w:spacing w:before="240"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投诉书制作说明：</w:t>
      </w:r>
    </w:p>
    <w:p w14:paraId="0D944CEC">
      <w:pPr>
        <w:adjustRightInd w:val="0"/>
        <w:snapToGrid w:val="0"/>
        <w:spacing w:before="240"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1.投诉人提起投诉时，应当提交投诉书和必要的证明材料，并按照被投诉人和与投诉事项有关的供应商数量提供投诉书副本。</w:t>
      </w:r>
    </w:p>
    <w:p w14:paraId="154DA678">
      <w:pPr>
        <w:adjustRightInd w:val="0"/>
        <w:snapToGrid w:val="0"/>
        <w:spacing w:before="240"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14:paraId="1E71E9FF">
      <w:pPr>
        <w:adjustRightInd w:val="0"/>
        <w:snapToGrid w:val="0"/>
        <w:spacing w:before="240"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3.投诉人若对项目的某一分包进行投诉，投诉书应列明具体分包号。</w:t>
      </w:r>
    </w:p>
    <w:p w14:paraId="042674B5">
      <w:pPr>
        <w:adjustRightInd w:val="0"/>
        <w:snapToGrid w:val="0"/>
        <w:spacing w:before="240"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4.投诉书应简要列明质疑事项，质疑函、质疑答复等作为附件材料提供。</w:t>
      </w:r>
    </w:p>
    <w:p w14:paraId="05E2305E">
      <w:pPr>
        <w:adjustRightInd w:val="0"/>
        <w:snapToGrid w:val="0"/>
        <w:spacing w:before="240"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5.投诉书的投诉事项应具体、明确，并有必要的事实依据和法律依据。</w:t>
      </w:r>
    </w:p>
    <w:p w14:paraId="3A3B5EE9">
      <w:pPr>
        <w:adjustRightInd w:val="0"/>
        <w:snapToGrid w:val="0"/>
        <w:spacing w:before="240"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6.投诉书的投诉请求应与投诉事项相关。</w:t>
      </w:r>
    </w:p>
    <w:p w14:paraId="17B54139">
      <w:pPr>
        <w:pStyle w:val="12"/>
        <w:wordWrap w:val="0"/>
        <w:snapToGrid w:val="0"/>
        <w:spacing w:before="120" w:after="120" w:line="300" w:lineRule="auto"/>
        <w:ind w:right="48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7.投诉人为自然人的，投诉书应当由本人签字；投诉人为法人或者其他组织的，投诉书应当由法定代表人、主要负责人，或者其授权代表签字或者盖章，并加盖公章。</w:t>
      </w:r>
    </w:p>
    <w:p w14:paraId="7EFA6932">
      <w:pP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br w:type="page"/>
      </w:r>
    </w:p>
    <w:p w14:paraId="3C553FA4">
      <w:pPr>
        <w:pStyle w:val="23"/>
        <w:spacing w:line="300" w:lineRule="auto"/>
        <w:rPr>
          <w:rFonts w:hint="eastAsia" w:ascii="宋体" w:hAnsi="宋体" w:eastAsia="宋体" w:cs="宋体"/>
          <w:color w:val="auto"/>
          <w:highlight w:val="none"/>
        </w:rPr>
      </w:pPr>
      <w:bookmarkStart w:id="102" w:name="_Toc18265"/>
      <w:bookmarkStart w:id="103" w:name="_Toc27759"/>
      <w:r>
        <w:rPr>
          <w:rFonts w:hint="eastAsia" w:ascii="宋体" w:hAnsi="宋体" w:eastAsia="宋体" w:cs="宋体"/>
          <w:color w:val="auto"/>
          <w:highlight w:val="none"/>
        </w:rPr>
        <w:t>第</w:t>
      </w:r>
      <w:r>
        <w:rPr>
          <w:rFonts w:hint="eastAsia" w:ascii="宋体" w:hAnsi="宋体" w:eastAsia="宋体" w:cs="宋体"/>
          <w:color w:val="auto"/>
          <w:highlight w:val="none"/>
          <w:lang w:val="en-US" w:eastAsia="zh-CN"/>
        </w:rPr>
        <w:t>六</w:t>
      </w:r>
      <w:r>
        <w:rPr>
          <w:rFonts w:hint="eastAsia" w:ascii="宋体" w:hAnsi="宋体" w:eastAsia="宋体" w:cs="宋体"/>
          <w:color w:val="auto"/>
          <w:highlight w:val="none"/>
        </w:rPr>
        <w:t>章  磋商响应文件相关格式</w:t>
      </w:r>
      <w:bookmarkEnd w:id="102"/>
      <w:bookmarkEnd w:id="103"/>
    </w:p>
    <w:p w14:paraId="2ED0C099">
      <w:pPr>
        <w:pStyle w:val="12"/>
        <w:snapToGrid w:val="0"/>
        <w:spacing w:beforeLines="0" w:afterLines="0" w:line="300" w:lineRule="auto"/>
        <w:rPr>
          <w:rFonts w:hint="eastAsia" w:ascii="宋体" w:hAnsi="宋体" w:eastAsia="宋体" w:cs="宋体"/>
          <w:b/>
          <w:bCs/>
          <w:color w:val="auto"/>
          <w:sz w:val="10"/>
          <w:szCs w:val="10"/>
          <w:highlight w:val="none"/>
        </w:rPr>
      </w:pPr>
    </w:p>
    <w:p w14:paraId="4E2F8F20">
      <w:pPr>
        <w:pStyle w:val="34"/>
        <w:snapToGrid w:val="0"/>
        <w:spacing w:line="30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一、政府采购活动现场确认声明书</w:t>
      </w:r>
    </w:p>
    <w:p w14:paraId="2FC75CE2">
      <w:pPr>
        <w:pStyle w:val="34"/>
        <w:snapToGrid w:val="0"/>
        <w:spacing w:line="30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w:t>
      </w:r>
      <w:r>
        <w:rPr>
          <w:rFonts w:hint="eastAsia" w:ascii="宋体" w:hAnsi="宋体" w:eastAsia="宋体" w:cs="宋体"/>
          <w:color w:val="auto"/>
          <w:sz w:val="24"/>
          <w:szCs w:val="24"/>
          <w:highlight w:val="none"/>
        </w:rPr>
        <w:t>要求在</w:t>
      </w:r>
      <w:r>
        <w:rPr>
          <w:rFonts w:hint="eastAsia" w:ascii="宋体" w:hAnsi="宋体" w:eastAsia="宋体" w:cs="宋体"/>
          <w:color w:val="auto"/>
          <w:sz w:val="24"/>
          <w:szCs w:val="24"/>
          <w:highlight w:val="none"/>
        </w:rPr>
        <w:t>解密完成后填写完成并将扫描件发送至</w:t>
      </w:r>
      <w:r>
        <w:rPr>
          <w:rFonts w:hint="eastAsia" w:ascii="宋体" w:hAnsi="宋体" w:eastAsia="宋体" w:cs="宋体"/>
          <w:color w:val="auto"/>
          <w:sz w:val="24"/>
          <w:szCs w:val="24"/>
          <w:highlight w:val="none"/>
        </w:rPr>
        <w:t>采购代理机构邮箱（</w:t>
      </w:r>
      <w:r>
        <w:rPr>
          <w:rFonts w:hint="eastAsia" w:hAnsi="宋体" w:eastAsia="宋体" w:cs="宋体"/>
          <w:color w:val="auto"/>
          <w:sz w:val="24"/>
          <w:szCs w:val="24"/>
          <w:highlight w:val="none"/>
          <w:lang w:eastAsia="zh-CN"/>
        </w:rPr>
        <w:t>1090440571</w:t>
      </w:r>
      <w:r>
        <w:rPr>
          <w:rFonts w:hint="eastAsia" w:ascii="宋体" w:hAnsi="宋体" w:eastAsia="宋体" w:cs="宋体"/>
          <w:color w:val="auto"/>
          <w:sz w:val="24"/>
          <w:szCs w:val="24"/>
          <w:highlight w:val="none"/>
        </w:rPr>
        <w:t>@qq.com），不需要制作在投标文件中</w:t>
      </w:r>
      <w:r>
        <w:rPr>
          <w:rFonts w:hint="eastAsia" w:ascii="宋体" w:hAnsi="宋体" w:eastAsia="宋体" w:cs="宋体"/>
          <w:b/>
          <w:color w:val="auto"/>
          <w:sz w:val="24"/>
          <w:szCs w:val="24"/>
          <w:highlight w:val="none"/>
        </w:rPr>
        <w:t>）</w:t>
      </w:r>
    </w:p>
    <w:p w14:paraId="56D4B85D">
      <w:pPr>
        <w:pStyle w:val="34"/>
        <w:snapToGrid w:val="0"/>
        <w:spacing w:line="300" w:lineRule="auto"/>
        <w:rPr>
          <w:rFonts w:hint="eastAsia"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rPr>
        <w:t xml:space="preserve"> </w:t>
      </w:r>
      <w:r>
        <w:rPr>
          <w:rFonts w:hint="eastAsia" w:hAnsi="宋体" w:eastAsia="宋体" w:cs="宋体"/>
          <w:color w:val="auto"/>
          <w:spacing w:val="6"/>
          <w:sz w:val="24"/>
          <w:szCs w:val="24"/>
          <w:highlight w:val="none"/>
          <w:u w:val="single"/>
          <w:lang w:eastAsia="zh-CN"/>
        </w:rPr>
        <w:t>浙江中合工程管理有限公司</w:t>
      </w:r>
      <w:r>
        <w:rPr>
          <w:rFonts w:hint="eastAsia" w:ascii="宋体" w:hAnsi="宋体" w:eastAsia="宋体" w:cs="宋体"/>
          <w:color w:val="auto"/>
          <w:kern w:val="0"/>
          <w:sz w:val="24"/>
          <w:szCs w:val="24"/>
          <w:highlight w:val="none"/>
        </w:rPr>
        <w:t>（采购组织机构名称）：</w:t>
      </w:r>
    </w:p>
    <w:p w14:paraId="2B50D1D7">
      <w:pPr>
        <w:pStyle w:val="12"/>
        <w:snapToGrid w:val="0"/>
        <w:spacing w:beforeLines="0" w:afterLines="0" w:line="300" w:lineRule="auto"/>
        <w:ind w:firstLine="504"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本人经由</w:t>
      </w:r>
      <w:r>
        <w:rPr>
          <w:rFonts w:hint="eastAsia" w:ascii="宋体" w:hAnsi="宋体" w:eastAsia="宋体" w:cs="宋体"/>
          <w:color w:val="auto"/>
          <w:spacing w:val="6"/>
          <w:sz w:val="24"/>
          <w:szCs w:val="24"/>
          <w:highlight w:val="none"/>
          <w:u w:val="single"/>
        </w:rPr>
        <w:t xml:space="preserve">                    （单位）</w:t>
      </w:r>
      <w:r>
        <w:rPr>
          <w:rFonts w:hint="eastAsia" w:ascii="宋体" w:hAnsi="宋体" w:eastAsia="宋体" w:cs="宋体"/>
          <w:color w:val="auto"/>
          <w:spacing w:val="6"/>
          <w:sz w:val="24"/>
          <w:szCs w:val="24"/>
          <w:highlight w:val="none"/>
        </w:rPr>
        <w:t>负责人</w:t>
      </w:r>
      <w:r>
        <w:rPr>
          <w:rFonts w:hint="eastAsia" w:ascii="宋体" w:hAnsi="宋体" w:eastAsia="宋体" w:cs="宋体"/>
          <w:color w:val="auto"/>
          <w:spacing w:val="6"/>
          <w:sz w:val="24"/>
          <w:szCs w:val="24"/>
          <w:highlight w:val="none"/>
          <w:u w:val="single"/>
        </w:rPr>
        <w:t xml:space="preserve">        （姓名）</w:t>
      </w:r>
      <w:r>
        <w:rPr>
          <w:rFonts w:hint="eastAsia" w:ascii="宋体" w:hAnsi="宋体" w:eastAsia="宋体" w:cs="宋体"/>
          <w:color w:val="auto"/>
          <w:spacing w:val="6"/>
          <w:sz w:val="24"/>
          <w:szCs w:val="24"/>
          <w:highlight w:val="none"/>
        </w:rPr>
        <w:t>合法授权参加</w:t>
      </w:r>
      <w:r>
        <w:rPr>
          <w:rFonts w:hint="eastAsia" w:hAnsi="宋体" w:cs="宋体"/>
          <w:b/>
          <w:bCs/>
          <w:color w:val="auto"/>
          <w:sz w:val="24"/>
          <w:szCs w:val="24"/>
          <w:highlight w:val="none"/>
          <w:u w:val="single"/>
          <w:lang w:val="en-US" w:eastAsia="zh-CN"/>
        </w:rPr>
        <w:t>嘉善县天凝中学2025年度校舍常规维修</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pacing w:val="6"/>
          <w:sz w:val="24"/>
          <w:szCs w:val="24"/>
          <w:highlight w:val="none"/>
        </w:rPr>
        <w:t>（编号：</w:t>
      </w:r>
      <w:r>
        <w:rPr>
          <w:rFonts w:hint="eastAsia" w:ascii="宋体" w:hAnsi="宋体" w:eastAsia="宋体" w:cs="宋体"/>
          <w:color w:val="auto"/>
          <w:spacing w:val="6"/>
          <w:sz w:val="24"/>
          <w:szCs w:val="24"/>
          <w:highlight w:val="none"/>
          <w:u w:val="single"/>
        </w:rPr>
        <w:t xml:space="preserve"> </w:t>
      </w:r>
      <w:r>
        <w:rPr>
          <w:rFonts w:hint="eastAsia" w:hAnsi="宋体" w:cs="宋体"/>
          <w:color w:val="auto"/>
          <w:spacing w:val="6"/>
          <w:sz w:val="24"/>
          <w:szCs w:val="24"/>
          <w:highlight w:val="none"/>
          <w:u w:val="single"/>
          <w:lang w:eastAsia="zh-CN"/>
        </w:rPr>
        <w:t>ZHJS（CS)-2025-007</w:t>
      </w:r>
      <w:r>
        <w:rPr>
          <w:rFonts w:hint="eastAsia" w:ascii="宋体" w:hAnsi="宋体" w:eastAsia="宋体" w:cs="宋体"/>
          <w:color w:val="auto"/>
          <w:spacing w:val="6"/>
          <w:sz w:val="24"/>
          <w:szCs w:val="24"/>
          <w:highlight w:val="none"/>
        </w:rPr>
        <w:t xml:space="preserve">）政府采购活动，经与本单位法人代表（负责人）联系确认，现就有关公平竞争事项郑重声明如下： </w:t>
      </w:r>
    </w:p>
    <w:p w14:paraId="3B8504DE">
      <w:pPr>
        <w:pStyle w:val="35"/>
        <w:widowControl/>
        <w:numPr>
          <w:ilvl w:val="0"/>
          <w:numId w:val="9"/>
        </w:numPr>
        <w:snapToGrid w:val="0"/>
        <w:spacing w:line="300" w:lineRule="auto"/>
        <w:ind w:firstLine="453" w:firstLineChars="18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本单位与采购人之间 □不存在利害关系 □存在下列利害关系</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14:paraId="60B756DC">
      <w:pPr>
        <w:pStyle w:val="35"/>
        <w:widowControl/>
        <w:snapToGrid w:val="0"/>
        <w:spacing w:line="30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A.投资关系    B.行政隶属关系    C.业务指导关系</w:t>
      </w:r>
    </w:p>
    <w:p w14:paraId="5906EFEC">
      <w:pPr>
        <w:pStyle w:val="35"/>
        <w:widowControl/>
        <w:snapToGrid w:val="0"/>
        <w:spacing w:line="30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D.其他可能</w:t>
      </w:r>
      <w:r>
        <w:rPr>
          <w:rFonts w:hint="eastAsia" w:ascii="宋体" w:hAnsi="宋体" w:eastAsia="宋体" w:cs="宋体"/>
          <w:color w:val="auto"/>
          <w:sz w:val="24"/>
          <w:szCs w:val="24"/>
          <w:highlight w:val="none"/>
        </w:rPr>
        <w:t>影响采购公正的</w:t>
      </w:r>
      <w:r>
        <w:rPr>
          <w:rFonts w:hint="eastAsia" w:ascii="宋体" w:hAnsi="宋体" w:eastAsia="宋体" w:cs="宋体"/>
          <w:color w:val="auto"/>
          <w:kern w:val="0"/>
          <w:sz w:val="24"/>
          <w:szCs w:val="24"/>
          <w:highlight w:val="none"/>
        </w:rPr>
        <w:t>利害关系</w:t>
      </w:r>
      <w:r>
        <w:rPr>
          <w:rFonts w:hint="eastAsia" w:ascii="宋体" w:hAnsi="宋体" w:eastAsia="宋体" w:cs="宋体"/>
          <w:color w:val="auto"/>
          <w:kern w:val="0"/>
          <w:sz w:val="24"/>
          <w:szCs w:val="24"/>
          <w:highlight w:val="none"/>
          <w:u w:val="single"/>
        </w:rPr>
        <w:t xml:space="preserve">（如有，请如实说明）                 </w:t>
      </w:r>
      <w:r>
        <w:rPr>
          <w:rFonts w:hint="eastAsia" w:ascii="宋体" w:hAnsi="宋体" w:eastAsia="宋体" w:cs="宋体"/>
          <w:color w:val="auto"/>
          <w:kern w:val="0"/>
          <w:sz w:val="24"/>
          <w:szCs w:val="24"/>
          <w:highlight w:val="none"/>
        </w:rPr>
        <w:t>。</w:t>
      </w:r>
    </w:p>
    <w:p w14:paraId="0086BC79">
      <w:pPr>
        <w:pStyle w:val="35"/>
        <w:widowControl/>
        <w:snapToGrid w:val="0"/>
        <w:spacing w:line="300" w:lineRule="auto"/>
        <w:rPr>
          <w:rFonts w:hint="eastAsia" w:ascii="宋体" w:hAnsi="宋体" w:eastAsia="宋体" w:cs="宋体"/>
          <w:color w:val="auto"/>
          <w:kern w:val="0"/>
          <w:sz w:val="24"/>
          <w:szCs w:val="24"/>
          <w:highlight w:val="none"/>
        </w:rPr>
      </w:pPr>
      <w:r>
        <w:rPr>
          <w:rFonts w:hint="eastAsia" w:ascii="宋体" w:hAnsi="宋体" w:eastAsia="宋体" w:cs="宋体"/>
          <w:color w:val="auto"/>
          <w:spacing w:val="6"/>
          <w:sz w:val="24"/>
          <w:szCs w:val="24"/>
          <w:highlight w:val="none"/>
        </w:rPr>
        <w:t xml:space="preserve">  二、</w:t>
      </w:r>
      <w:r>
        <w:rPr>
          <w:rFonts w:hint="eastAsia" w:ascii="宋体" w:hAnsi="宋体" w:eastAsia="宋体" w:cs="宋体"/>
          <w:color w:val="auto"/>
          <w:kern w:val="0"/>
          <w:sz w:val="24"/>
          <w:szCs w:val="24"/>
          <w:highlight w:val="none"/>
        </w:rPr>
        <w:t>现已清楚知道参加本项目采购活动的其他所有供应商名称，本单位 □与其他所有供应商之间均不存在利害关系 □与</w:t>
      </w:r>
      <w:r>
        <w:rPr>
          <w:rFonts w:hint="eastAsia" w:ascii="宋体" w:hAnsi="宋体" w:eastAsia="宋体" w:cs="宋体"/>
          <w:color w:val="auto"/>
          <w:kern w:val="0"/>
          <w:sz w:val="24"/>
          <w:szCs w:val="24"/>
          <w:highlight w:val="none"/>
          <w:u w:val="single"/>
        </w:rPr>
        <w:t xml:space="preserve">               （供应商名称）           </w:t>
      </w:r>
      <w:r>
        <w:rPr>
          <w:rFonts w:hint="eastAsia" w:ascii="宋体" w:hAnsi="宋体" w:eastAsia="宋体" w:cs="宋体"/>
          <w:color w:val="auto"/>
          <w:kern w:val="0"/>
          <w:sz w:val="24"/>
          <w:szCs w:val="24"/>
          <w:highlight w:val="none"/>
        </w:rPr>
        <w:t>之间存在下列利害关系</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14:paraId="0FA7965D">
      <w:pPr>
        <w:pStyle w:val="34"/>
        <w:snapToGrid w:val="0"/>
        <w:spacing w:line="30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A.法定代表人或负责人或实际控制人是同一人</w:t>
      </w:r>
    </w:p>
    <w:p w14:paraId="191093A7">
      <w:pPr>
        <w:pStyle w:val="34"/>
        <w:snapToGrid w:val="0"/>
        <w:spacing w:line="300" w:lineRule="auto"/>
        <w:rPr>
          <w:rFonts w:hint="eastAsia" w:ascii="宋体" w:hAnsi="宋体" w:eastAsia="宋体" w:cs="宋体"/>
          <w:color w:val="auto"/>
          <w:spacing w:val="6"/>
          <w:sz w:val="24"/>
          <w:szCs w:val="24"/>
          <w:highlight w:val="none"/>
        </w:rPr>
      </w:pPr>
      <w:r>
        <w:rPr>
          <w:rFonts w:hint="eastAsia" w:ascii="宋体" w:hAnsi="宋体" w:eastAsia="宋体" w:cs="宋体"/>
          <w:color w:val="auto"/>
          <w:kern w:val="0"/>
          <w:sz w:val="24"/>
          <w:szCs w:val="24"/>
          <w:highlight w:val="none"/>
        </w:rPr>
        <w:t xml:space="preserve">  B.法定代表人或负责人或实际控制人是夫妻关系</w:t>
      </w:r>
    </w:p>
    <w:p w14:paraId="2229B54B">
      <w:pPr>
        <w:pStyle w:val="34"/>
        <w:snapToGrid w:val="0"/>
        <w:spacing w:line="300" w:lineRule="auto"/>
        <w:rPr>
          <w:rFonts w:hint="eastAsia" w:ascii="宋体" w:hAnsi="宋体" w:eastAsia="宋体" w:cs="宋体"/>
          <w:color w:val="auto"/>
          <w:spacing w:val="6"/>
          <w:sz w:val="24"/>
          <w:szCs w:val="24"/>
          <w:highlight w:val="none"/>
        </w:rPr>
      </w:pPr>
      <w:r>
        <w:rPr>
          <w:rFonts w:hint="eastAsia" w:ascii="宋体" w:hAnsi="宋体" w:eastAsia="宋体" w:cs="宋体"/>
          <w:color w:val="auto"/>
          <w:kern w:val="0"/>
          <w:sz w:val="24"/>
          <w:szCs w:val="24"/>
          <w:highlight w:val="none"/>
        </w:rPr>
        <w:t xml:space="preserve">  C.法定代表人或负责人或实际控制人是直系血亲关系</w:t>
      </w:r>
    </w:p>
    <w:p w14:paraId="26B84439">
      <w:pPr>
        <w:pStyle w:val="34"/>
        <w:snapToGrid w:val="0"/>
        <w:spacing w:line="300" w:lineRule="auto"/>
        <w:rPr>
          <w:rFonts w:hint="eastAsia" w:ascii="宋体" w:hAnsi="宋体" w:eastAsia="宋体" w:cs="宋体"/>
          <w:color w:val="auto"/>
          <w:spacing w:val="6"/>
          <w:sz w:val="24"/>
          <w:szCs w:val="24"/>
          <w:highlight w:val="none"/>
        </w:rPr>
      </w:pPr>
      <w:r>
        <w:rPr>
          <w:rFonts w:hint="eastAsia" w:ascii="宋体" w:hAnsi="宋体" w:eastAsia="宋体" w:cs="宋体"/>
          <w:color w:val="auto"/>
          <w:kern w:val="0"/>
          <w:sz w:val="24"/>
          <w:szCs w:val="24"/>
          <w:highlight w:val="none"/>
        </w:rPr>
        <w:t xml:space="preserve">  D.法定代表人或负责人或实际控制人存在三代以内旁系血亲关系</w:t>
      </w:r>
    </w:p>
    <w:p w14:paraId="1AA43843">
      <w:pPr>
        <w:pStyle w:val="34"/>
        <w:snapToGrid w:val="0"/>
        <w:spacing w:line="30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E.法定代表人或负责人或实际控制人存在近姻亲关系</w:t>
      </w:r>
    </w:p>
    <w:p w14:paraId="4DF1B191">
      <w:pPr>
        <w:pStyle w:val="34"/>
        <w:snapToGrid w:val="0"/>
        <w:spacing w:line="30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F.法定代表人或负责人或实际控制人存在股份控制或实际控制关系</w:t>
      </w:r>
    </w:p>
    <w:p w14:paraId="24133F2A">
      <w:pPr>
        <w:pStyle w:val="34"/>
        <w:snapToGrid w:val="0"/>
        <w:spacing w:line="300" w:lineRule="auto"/>
        <w:rPr>
          <w:rFonts w:hint="eastAsia" w:ascii="宋体" w:hAnsi="宋体" w:eastAsia="宋体" w:cs="宋体"/>
          <w:color w:val="auto"/>
          <w:kern w:val="0"/>
          <w:highlight w:val="none"/>
        </w:rPr>
      </w:pPr>
      <w:r>
        <w:rPr>
          <w:rFonts w:hint="eastAsia" w:ascii="宋体" w:hAnsi="宋体" w:eastAsia="宋体" w:cs="宋体"/>
          <w:color w:val="auto"/>
          <w:kern w:val="0"/>
          <w:highlight w:val="none"/>
        </w:rPr>
        <w:t xml:space="preserve"> </w:t>
      </w:r>
      <w:r>
        <w:rPr>
          <w:rFonts w:hint="eastAsia" w:ascii="宋体" w:hAnsi="宋体" w:eastAsia="宋体" w:cs="宋体"/>
          <w:color w:val="auto"/>
          <w:kern w:val="0"/>
          <w:sz w:val="24"/>
          <w:szCs w:val="24"/>
          <w:highlight w:val="none"/>
        </w:rPr>
        <w:t xml:space="preserve"> G.存在共同直接或间接投资设立子公司、联营企业和合营企业情况</w:t>
      </w:r>
    </w:p>
    <w:p w14:paraId="1BC1F685">
      <w:pPr>
        <w:pStyle w:val="34"/>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  H.存在分级代理或代销关系、同一生产制造商关系、</w:t>
      </w:r>
      <w:r>
        <w:rPr>
          <w:rFonts w:hint="eastAsia" w:ascii="宋体" w:hAnsi="宋体" w:eastAsia="宋体" w:cs="宋体"/>
          <w:color w:val="auto"/>
          <w:sz w:val="24"/>
          <w:szCs w:val="24"/>
          <w:highlight w:val="none"/>
        </w:rPr>
        <w:t>管理关系、重要业务（占主营业务收入50%以上）或重要财务往来关系（如融资）等其他实质性控制关系</w:t>
      </w:r>
    </w:p>
    <w:p w14:paraId="135B3427">
      <w:pPr>
        <w:pStyle w:val="34"/>
        <w:snapToGrid w:val="0"/>
        <w:spacing w:line="300" w:lineRule="auto"/>
        <w:rPr>
          <w:rFonts w:hint="eastAsia" w:ascii="宋体" w:hAnsi="宋体" w:eastAsia="宋体" w:cs="宋体"/>
          <w:color w:val="auto"/>
          <w:spacing w:val="6"/>
          <w:sz w:val="24"/>
          <w:szCs w:val="24"/>
          <w:highlight w:val="none"/>
        </w:rPr>
      </w:pPr>
      <w:r>
        <w:rPr>
          <w:rFonts w:hint="eastAsia" w:ascii="宋体" w:hAnsi="宋体" w:eastAsia="宋体" w:cs="宋体"/>
          <w:color w:val="auto"/>
          <w:sz w:val="24"/>
          <w:szCs w:val="24"/>
          <w:highlight w:val="none"/>
        </w:rPr>
        <w:t xml:space="preserve">    I</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其他利害关系情况</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w:t>
      </w:r>
    </w:p>
    <w:p w14:paraId="2175E9DE">
      <w:pPr>
        <w:pStyle w:val="35"/>
        <w:widowControl/>
        <w:numPr>
          <w:ilvl w:val="0"/>
          <w:numId w:val="10"/>
        </w:numPr>
        <w:snapToGrid w:val="0"/>
        <w:spacing w:line="300" w:lineRule="auto"/>
        <w:ind w:firstLine="453" w:firstLineChars="189"/>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现已清楚知道并</w:t>
      </w:r>
      <w:r>
        <w:rPr>
          <w:rFonts w:hint="eastAsia" w:ascii="宋体" w:hAnsi="宋体" w:eastAsia="宋体" w:cs="宋体"/>
          <w:color w:val="auto"/>
          <w:kern w:val="0"/>
          <w:sz w:val="24"/>
          <w:szCs w:val="24"/>
          <w:highlight w:val="none"/>
        </w:rPr>
        <w:t>严格遵守政府采购法律法规和现场纪律。</w:t>
      </w:r>
    </w:p>
    <w:p w14:paraId="2F7FCE28">
      <w:pPr>
        <w:pStyle w:val="35"/>
        <w:widowControl/>
        <w:numPr>
          <w:ilvl w:val="0"/>
          <w:numId w:val="10"/>
        </w:numPr>
        <w:snapToGrid w:val="0"/>
        <w:spacing w:line="300" w:lineRule="auto"/>
        <w:ind w:firstLine="453" w:firstLineChars="18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我发现</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供应商之间存在或可能存在上述第二条第</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项利害关系。</w:t>
      </w:r>
    </w:p>
    <w:p w14:paraId="360A8172">
      <w:pPr>
        <w:pStyle w:val="34"/>
        <w:snapToGrid w:val="0"/>
        <w:spacing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74675E24">
      <w:pPr>
        <w:pStyle w:val="34"/>
        <w:snapToGrid w:val="0"/>
        <w:spacing w:line="300" w:lineRule="auto"/>
        <w:ind w:firstLine="3480" w:firstLineChars="14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法定代表人或授权代表（</w:t>
      </w:r>
      <w:r>
        <w:rPr>
          <w:rFonts w:hint="eastAsia" w:ascii="宋体" w:hAnsi="宋体" w:eastAsia="宋体" w:cs="宋体"/>
          <w:color w:val="auto"/>
          <w:sz w:val="24"/>
          <w:szCs w:val="24"/>
          <w:highlight w:val="none"/>
        </w:rPr>
        <w:t>签字</w:t>
      </w:r>
      <w:r>
        <w:rPr>
          <w:rFonts w:hint="eastAsia" w:ascii="宋体" w:hAnsi="宋体" w:eastAsia="宋体" w:cs="宋体"/>
          <w:color w:val="auto"/>
          <w:sz w:val="24"/>
          <w:szCs w:val="24"/>
          <w:highlight w:val="none"/>
          <w:lang w:val="en-US" w:eastAsia="zh-CN"/>
        </w:rPr>
        <w:t>或盖章）</w:t>
      </w:r>
      <w:r>
        <w:rPr>
          <w:rFonts w:hint="eastAsia" w:ascii="宋体" w:hAnsi="宋体" w:eastAsia="宋体" w:cs="宋体"/>
          <w:color w:val="auto"/>
          <w:sz w:val="24"/>
          <w:szCs w:val="24"/>
          <w:highlight w:val="none"/>
        </w:rPr>
        <w:t>:</w:t>
      </w:r>
    </w:p>
    <w:p w14:paraId="5E07C4FC">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cs="宋体"/>
          <w:color w:val="auto"/>
          <w:sz w:val="24"/>
          <w:szCs w:val="24"/>
          <w:highlight w:val="none"/>
          <w:lang w:eastAsia="zh-CN"/>
        </w:rPr>
        <w:t>2025年</w:t>
      </w:r>
      <w:r>
        <w:rPr>
          <w:rFonts w:hint="eastAsia" w:ascii="宋体" w:hAnsi="宋体" w:eastAsia="宋体" w:cs="宋体"/>
          <w:color w:val="auto"/>
          <w:sz w:val="24"/>
          <w:szCs w:val="24"/>
          <w:highlight w:val="none"/>
        </w:rPr>
        <w:t xml:space="preserve">  月  日</w:t>
      </w:r>
    </w:p>
    <w:p w14:paraId="3B9D973A">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6E899CB4">
      <w:pPr>
        <w:snapToGrid w:val="0"/>
        <w:spacing w:before="100" w:beforeAutospacing="1" w:after="100" w:afterAutospacing="1" w:line="276"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二、磋商响应文件封面格式</w:t>
      </w:r>
    </w:p>
    <w:p w14:paraId="79A475FE">
      <w:pPr>
        <w:snapToGrid w:val="0"/>
        <w:spacing w:before="100" w:beforeAutospacing="1" w:after="100" w:afterAutospacing="1" w:line="276" w:lineRule="auto"/>
        <w:ind w:left="480"/>
        <w:jc w:val="center"/>
        <w:rPr>
          <w:rFonts w:hint="eastAsia" w:ascii="宋体" w:hAnsi="宋体" w:eastAsia="宋体" w:cs="宋体"/>
          <w:b/>
          <w:bCs/>
          <w:color w:val="auto"/>
          <w:sz w:val="32"/>
          <w:szCs w:val="32"/>
          <w:highlight w:val="none"/>
        </w:rPr>
      </w:pPr>
    </w:p>
    <w:p w14:paraId="0C5D76FF">
      <w:pPr>
        <w:snapToGrid w:val="0"/>
        <w:spacing w:before="100" w:beforeAutospacing="1" w:after="100" w:afterAutospacing="1" w:line="276" w:lineRule="auto"/>
        <w:ind w:firstLine="482" w:firstLineChars="20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highlight w:val="none"/>
        </w:rPr>
        <w:t xml:space="preserve">                                     </w:t>
      </w:r>
    </w:p>
    <w:p w14:paraId="36711CB9">
      <w:pPr>
        <w:snapToGrid w:val="0"/>
        <w:spacing w:before="100" w:beforeAutospacing="1" w:after="100" w:afterAutospacing="1" w:line="276" w:lineRule="auto"/>
        <w:ind w:firstLine="480" w:firstLineChars="200"/>
        <w:rPr>
          <w:rFonts w:hint="eastAsia" w:ascii="宋体" w:hAnsi="宋体" w:eastAsia="宋体" w:cs="宋体"/>
          <w:color w:val="auto"/>
          <w:sz w:val="24"/>
          <w:szCs w:val="24"/>
          <w:highlight w:val="none"/>
        </w:rPr>
      </w:pPr>
    </w:p>
    <w:p w14:paraId="5D7EC402">
      <w:pPr>
        <w:snapToGrid w:val="0"/>
        <w:spacing w:before="100" w:beforeAutospacing="1" w:after="100" w:afterAutospacing="1" w:line="276" w:lineRule="auto"/>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p>
    <w:p w14:paraId="0176B005">
      <w:pPr>
        <w:snapToGrid w:val="0"/>
        <w:spacing w:before="100" w:beforeAutospacing="1" w:after="100" w:afterAutospacing="1" w:line="276" w:lineRule="auto"/>
        <w:ind w:firstLine="480" w:firstLineChars="20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资格文件/商务技术文件/报价文件</w:t>
      </w:r>
    </w:p>
    <w:p w14:paraId="7C3E4217">
      <w:pPr>
        <w:snapToGrid w:val="0"/>
        <w:spacing w:before="100" w:beforeAutospacing="1" w:after="100" w:afterAutospacing="1" w:line="276" w:lineRule="auto"/>
        <w:ind w:firstLine="480" w:firstLineChars="200"/>
        <w:rPr>
          <w:rFonts w:hint="eastAsia" w:ascii="宋体" w:hAnsi="宋体" w:eastAsia="宋体" w:cs="宋体"/>
          <w:color w:val="auto"/>
          <w:sz w:val="24"/>
          <w:szCs w:val="24"/>
          <w:highlight w:val="none"/>
        </w:rPr>
      </w:pPr>
    </w:p>
    <w:p w14:paraId="5D3BBA28">
      <w:pPr>
        <w:snapToGrid w:val="0"/>
        <w:spacing w:before="100" w:beforeAutospacing="1" w:after="100" w:afterAutospacing="1" w:line="276"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项目名称：</w:t>
      </w:r>
      <w:r>
        <w:rPr>
          <w:rFonts w:hint="eastAsia" w:ascii="宋体" w:hAnsi="宋体" w:cs="宋体"/>
          <w:color w:val="auto"/>
          <w:sz w:val="24"/>
          <w:szCs w:val="24"/>
          <w:highlight w:val="none"/>
          <w:u w:val="none"/>
          <w:lang w:val="en-US" w:eastAsia="zh-CN"/>
        </w:rPr>
        <w:t>嘉善县天凝中学2025年度校舍常规维修</w:t>
      </w:r>
      <w:r>
        <w:rPr>
          <w:rFonts w:hint="eastAsia" w:ascii="宋体" w:hAnsi="宋体" w:eastAsia="宋体" w:cs="宋体"/>
          <w:color w:val="auto"/>
          <w:sz w:val="24"/>
          <w:szCs w:val="24"/>
          <w:highlight w:val="none"/>
          <w:lang w:val="en-US" w:eastAsia="zh-CN"/>
        </w:rPr>
        <w:t xml:space="preserve"> </w:t>
      </w:r>
    </w:p>
    <w:p w14:paraId="292BA852">
      <w:pPr>
        <w:snapToGrid w:val="0"/>
        <w:spacing w:before="100" w:beforeAutospacing="1" w:after="100" w:afterAutospacing="1" w:line="276"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项目编号：</w:t>
      </w:r>
      <w:r>
        <w:rPr>
          <w:rFonts w:hint="eastAsia" w:ascii="宋体" w:hAnsi="宋体" w:cs="宋体"/>
          <w:color w:val="auto"/>
          <w:sz w:val="24"/>
          <w:szCs w:val="24"/>
          <w:highlight w:val="none"/>
          <w:lang w:eastAsia="zh-CN"/>
        </w:rPr>
        <w:t>ZHJS（CS)-2025-007</w:t>
      </w:r>
    </w:p>
    <w:p w14:paraId="7F58C6D8">
      <w:pPr>
        <w:snapToGrid w:val="0"/>
        <w:spacing w:before="100" w:beforeAutospacing="1" w:after="100" w:afterAutospacing="1" w:line="27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供应商名称：（盖章）</w:t>
      </w:r>
    </w:p>
    <w:p w14:paraId="03B45F81">
      <w:pPr>
        <w:snapToGrid w:val="0"/>
        <w:spacing w:before="100" w:beforeAutospacing="1" w:after="100" w:afterAutospacing="1" w:line="27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供应商地址：</w:t>
      </w:r>
    </w:p>
    <w:p w14:paraId="5324352F">
      <w:pPr>
        <w:pStyle w:val="9"/>
        <w:snapToGrid w:val="0"/>
        <w:spacing w:before="100" w:beforeAutospacing="1" w:after="100" w:afterAutospacing="1" w:line="276" w:lineRule="auto"/>
        <w:ind w:firstLine="480" w:firstLineChars="200"/>
        <w:rPr>
          <w:rFonts w:hint="eastAsia" w:ascii="宋体" w:hAnsi="宋体" w:eastAsia="宋体" w:cs="宋体"/>
          <w:color w:val="auto"/>
          <w:sz w:val="24"/>
          <w:szCs w:val="24"/>
          <w:highlight w:val="none"/>
        </w:rPr>
      </w:pPr>
    </w:p>
    <w:p w14:paraId="78FA8AB7">
      <w:pPr>
        <w:pStyle w:val="9"/>
        <w:snapToGrid w:val="0"/>
        <w:spacing w:before="100" w:beforeAutospacing="1" w:after="100" w:afterAutospacing="1" w:line="276" w:lineRule="auto"/>
        <w:ind w:firstLine="720" w:firstLineChars="200"/>
        <w:rPr>
          <w:rFonts w:hint="eastAsia" w:ascii="宋体" w:hAnsi="宋体" w:eastAsia="宋体" w:cs="宋体"/>
          <w:color w:val="auto"/>
          <w:sz w:val="36"/>
          <w:szCs w:val="36"/>
          <w:highlight w:val="none"/>
        </w:rPr>
      </w:pPr>
    </w:p>
    <w:p w14:paraId="5C1A5A86">
      <w:pPr>
        <w:snapToGrid w:val="0"/>
        <w:spacing w:before="100" w:beforeAutospacing="1" w:after="100" w:afterAutospacing="1" w:line="27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年  月  日</w:t>
      </w:r>
    </w:p>
    <w:p w14:paraId="766A91FC">
      <w:pPr>
        <w:snapToGrid w:val="0"/>
        <w:spacing w:line="360" w:lineRule="auto"/>
        <w:ind w:right="480"/>
        <w:jc w:val="center"/>
        <w:rPr>
          <w:rFonts w:hint="eastAsia" w:ascii="宋体" w:hAnsi="宋体" w:cs="宋体"/>
          <w:b/>
          <w:color w:val="auto"/>
          <w:kern w:val="0"/>
          <w:szCs w:val="21"/>
          <w:highlight w:val="none"/>
        </w:rPr>
      </w:pPr>
      <w:r>
        <w:rPr>
          <w:rFonts w:hint="eastAsia" w:ascii="宋体" w:hAnsi="宋体" w:eastAsia="宋体" w:cs="宋体"/>
          <w:color w:val="auto"/>
          <w:sz w:val="24"/>
          <w:szCs w:val="24"/>
          <w:highlight w:val="none"/>
        </w:rPr>
        <w:br w:type="page"/>
      </w:r>
      <w:r>
        <w:rPr>
          <w:rFonts w:hint="eastAsia" w:ascii="宋体" w:hAnsi="宋体" w:eastAsia="宋体" w:cs="宋体"/>
          <w:b/>
          <w:bCs/>
          <w:color w:val="auto"/>
          <w:sz w:val="32"/>
          <w:szCs w:val="32"/>
          <w:highlight w:val="none"/>
        </w:rPr>
        <w:t>三、</w:t>
      </w:r>
      <w:r>
        <w:rPr>
          <w:rFonts w:hint="eastAsia" w:ascii="宋体" w:hAnsi="宋体" w:cs="宋体"/>
          <w:b/>
          <w:color w:val="auto"/>
          <w:kern w:val="0"/>
          <w:sz w:val="32"/>
          <w:szCs w:val="32"/>
          <w:highlight w:val="none"/>
        </w:rPr>
        <w:t>符合参加政府采购活动应当具备的一般条件的承诺函</w:t>
      </w:r>
    </w:p>
    <w:p w14:paraId="4FCD7C77">
      <w:pPr>
        <w:snapToGrid w:val="0"/>
        <w:spacing w:line="360" w:lineRule="auto"/>
        <w:rPr>
          <w:rFonts w:hint="eastAsia" w:ascii="宋体" w:hAnsi="宋体" w:cs="宋体"/>
          <w:color w:val="auto"/>
          <w:sz w:val="24"/>
          <w:szCs w:val="24"/>
          <w:highlight w:val="none"/>
        </w:rPr>
      </w:pPr>
    </w:p>
    <w:p w14:paraId="5370F88E">
      <w:pPr>
        <w:snapToGrid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w:t>
      </w:r>
    </w:p>
    <w:p w14:paraId="4524D5FA">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我方参与</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【项目编号：</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】政府采购活动，郑重承诺：</w:t>
      </w:r>
    </w:p>
    <w:p w14:paraId="355EC146">
      <w:pPr>
        <w:snapToGrid w:val="0"/>
        <w:spacing w:line="360" w:lineRule="auto"/>
        <w:ind w:firstLine="360" w:firstLineChars="150"/>
        <w:rPr>
          <w:rFonts w:hint="eastAsia" w:ascii="宋体" w:hAnsi="宋体" w:cs="宋体"/>
          <w:color w:val="auto"/>
          <w:sz w:val="24"/>
          <w:szCs w:val="24"/>
          <w:highlight w:val="none"/>
        </w:rPr>
      </w:pPr>
      <w:r>
        <w:rPr>
          <w:rFonts w:hint="eastAsia" w:ascii="宋体" w:hAnsi="宋体" w:cs="宋体"/>
          <w:color w:val="auto"/>
          <w:sz w:val="24"/>
          <w:szCs w:val="24"/>
          <w:highlight w:val="none"/>
        </w:rPr>
        <w:t>（一）具备《中华人民共和国政府采购法》第二十二条规定的条件：</w:t>
      </w:r>
    </w:p>
    <w:p w14:paraId="04F545E3">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1.具有独立承担民事责任的能力；</w:t>
      </w:r>
    </w:p>
    <w:p w14:paraId="687C30C9">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2.具有良好的商业信誉和健全的财务会计制度； </w:t>
      </w:r>
    </w:p>
    <w:p w14:paraId="20D8D63E">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3.具有履行合同所必需的设备和专业技术能力；</w:t>
      </w:r>
    </w:p>
    <w:p w14:paraId="4AEF2210">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4.有依法缴纳税收和社会保障资金的良好记录；</w:t>
      </w:r>
    </w:p>
    <w:p w14:paraId="2B1E07F1">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5.参加政府采购活动前三年内，在经营活动中没有重大违法记录；</w:t>
      </w:r>
    </w:p>
    <w:p w14:paraId="3DD934A2">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6.具有法律、行政法规规定的其他条件。</w:t>
      </w:r>
    </w:p>
    <w:p w14:paraId="27D651A9">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（二）未被信用中国（www.creditchina.gov.cn)、中国政府采购网（www.ccgp.gov.cn）列入失信被执行人、重大税收违法案件当事人名单、政府采购严重违法失信行为记录名单。</w:t>
      </w:r>
    </w:p>
    <w:p w14:paraId="49B52488">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（三）不存在以下情况：</w:t>
      </w:r>
    </w:p>
    <w:p w14:paraId="6DF8A618">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1.单位负责人为同一人或者存在直接控股、管理关系的不同供应商参加同一合同项下的政府采购活动的；</w:t>
      </w:r>
    </w:p>
    <w:p w14:paraId="10EB6868">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2.为采购项目提供整体设计、规范编制或者项目管理、监理、检测等服务后再参加该采购项目的其他采购活动的。</w:t>
      </w:r>
    </w:p>
    <w:p w14:paraId="016ACB98">
      <w:pPr>
        <w:pStyle w:val="38"/>
        <w:snapToGrid w:val="0"/>
        <w:ind w:firstLine="4809" w:firstLineChars="2004"/>
        <w:jc w:val="right"/>
        <w:rPr>
          <w:rFonts w:ascii="宋体" w:eastAsia="宋体"/>
          <w:bCs/>
          <w:color w:val="auto"/>
          <w:sz w:val="24"/>
          <w:szCs w:val="24"/>
          <w:highlight w:val="none"/>
        </w:rPr>
      </w:pPr>
    </w:p>
    <w:p w14:paraId="6DB3A8A8">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szCs w:val="24"/>
          <w:highlight w:val="none"/>
        </w:rPr>
        <w:t>（盖章）</w:t>
      </w:r>
      <w:r>
        <w:rPr>
          <w:rFonts w:hint="eastAsia" w:ascii="宋体" w:hAnsi="宋体" w:cs="宋体"/>
          <w:color w:val="auto"/>
          <w:sz w:val="24"/>
          <w:highlight w:val="none"/>
        </w:rPr>
        <w:t>：</w:t>
      </w:r>
      <w:r>
        <w:rPr>
          <w:rFonts w:hint="eastAsia" w:ascii="宋体" w:hAnsi="宋体" w:cs="宋体"/>
          <w:color w:val="auto"/>
          <w:sz w:val="24"/>
          <w:szCs w:val="24"/>
          <w:highlight w:val="none"/>
        </w:rPr>
        <w:t>_________________</w:t>
      </w:r>
    </w:p>
    <w:p w14:paraId="775BF77D">
      <w:pPr>
        <w:pStyle w:val="4"/>
        <w:keepNext w:val="0"/>
        <w:keepLines w:val="0"/>
        <w:pageBreakBefore w:val="0"/>
        <w:widowControl w:val="0"/>
        <w:kinsoku/>
        <w:wordWrap/>
        <w:overflowPunct/>
        <w:topLinePunct w:val="0"/>
        <w:autoSpaceDE/>
        <w:autoSpaceDN/>
        <w:bidi w:val="0"/>
        <w:adjustRightInd/>
        <w:snapToGrid/>
        <w:spacing w:line="300" w:lineRule="auto"/>
        <w:ind w:left="0" w:leftChars="0" w:firstLine="480" w:firstLineChars="200"/>
        <w:textAlignment w:val="auto"/>
        <w:rPr>
          <w:rFonts w:hint="eastAsia" w:ascii="宋体" w:hAnsi="宋体" w:eastAsia="宋体" w:cs="宋体"/>
          <w:b/>
          <w:bCs/>
          <w:color w:val="auto"/>
          <w:kern w:val="2"/>
          <w:sz w:val="24"/>
          <w:szCs w:val="24"/>
          <w:highlight w:val="none"/>
          <w:lang w:val="en-US" w:eastAsia="zh-CN" w:bidi="ar-SA"/>
        </w:rPr>
        <w:sectPr>
          <w:pgSz w:w="11906" w:h="16838"/>
          <w:pgMar w:top="1418" w:right="1077" w:bottom="1418" w:left="1077" w:header="851" w:footer="851" w:gutter="340"/>
          <w:pgBorders>
            <w:top w:val="none" w:sz="0" w:space="0"/>
            <w:left w:val="none" w:sz="0" w:space="0"/>
            <w:bottom w:val="none" w:sz="0" w:space="0"/>
            <w:right w:val="none" w:sz="0" w:space="0"/>
          </w:pgBorders>
          <w:pgNumType w:fmt="decimal"/>
          <w:cols w:space="720" w:num="1"/>
          <w:docGrid w:linePitch="381" w:charSpace="0"/>
        </w:sect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日期：</w:t>
      </w:r>
      <w:r>
        <w:rPr>
          <w:rFonts w:hint="eastAsia" w:ascii="宋体" w:hAnsi="宋体" w:cs="宋体"/>
          <w:color w:val="auto"/>
          <w:sz w:val="24"/>
          <w:szCs w:val="24"/>
          <w:highlight w:val="none"/>
        </w:rPr>
        <w:t>____</w:t>
      </w:r>
      <w:r>
        <w:rPr>
          <w:rFonts w:hint="eastAsia" w:ascii="宋体" w:hAnsi="宋体" w:cs="宋体"/>
          <w:color w:val="auto"/>
          <w:sz w:val="24"/>
          <w:highlight w:val="none"/>
        </w:rPr>
        <w:t>年</w:t>
      </w:r>
      <w:r>
        <w:rPr>
          <w:rFonts w:hint="eastAsia" w:ascii="宋体" w:hAnsi="宋体" w:cs="宋体"/>
          <w:color w:val="auto"/>
          <w:sz w:val="24"/>
          <w:szCs w:val="24"/>
          <w:highlight w:val="none"/>
        </w:rPr>
        <w:t>____</w:t>
      </w:r>
      <w:r>
        <w:rPr>
          <w:rFonts w:hint="eastAsia" w:ascii="宋体" w:hAnsi="宋体" w:cs="宋体"/>
          <w:color w:val="auto"/>
          <w:sz w:val="24"/>
          <w:highlight w:val="none"/>
        </w:rPr>
        <w:t>月</w:t>
      </w:r>
      <w:r>
        <w:rPr>
          <w:rFonts w:hint="eastAsia" w:ascii="宋体" w:hAnsi="宋体" w:cs="宋体"/>
          <w:color w:val="auto"/>
          <w:sz w:val="24"/>
          <w:szCs w:val="24"/>
          <w:highlight w:val="none"/>
        </w:rPr>
        <w:t>____</w:t>
      </w:r>
      <w:r>
        <w:rPr>
          <w:rFonts w:hint="eastAsia" w:ascii="宋体" w:hAnsi="宋体" w:cs="宋体"/>
          <w:color w:val="auto"/>
          <w:sz w:val="24"/>
          <w:highlight w:val="none"/>
        </w:rPr>
        <w:t>日</w:t>
      </w:r>
    </w:p>
    <w:p w14:paraId="294191A6">
      <w:pPr>
        <w:spacing w:line="300" w:lineRule="auto"/>
        <w:ind w:firstLine="643" w:firstLineChars="20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val="en-US" w:eastAsia="zh-CN"/>
        </w:rPr>
        <w:t>四</w:t>
      </w:r>
      <w:r>
        <w:rPr>
          <w:rFonts w:hint="eastAsia" w:ascii="宋体" w:hAnsi="宋体" w:eastAsia="宋体" w:cs="宋体"/>
          <w:b/>
          <w:bCs/>
          <w:color w:val="auto"/>
          <w:sz w:val="32"/>
          <w:szCs w:val="32"/>
          <w:highlight w:val="none"/>
        </w:rPr>
        <w:t>、中小企业声明函（</w:t>
      </w:r>
      <w:r>
        <w:rPr>
          <w:rFonts w:hint="eastAsia" w:ascii="宋体" w:hAnsi="宋体" w:eastAsia="宋体" w:cs="宋体"/>
          <w:b/>
          <w:bCs/>
          <w:color w:val="auto"/>
          <w:sz w:val="32"/>
          <w:szCs w:val="32"/>
          <w:highlight w:val="none"/>
          <w:lang w:val="en-US" w:eastAsia="zh-CN"/>
        </w:rPr>
        <w:t>工程</w:t>
      </w:r>
      <w:r>
        <w:rPr>
          <w:rFonts w:hint="eastAsia" w:ascii="宋体" w:hAnsi="宋体" w:eastAsia="宋体" w:cs="宋体"/>
          <w:b/>
          <w:bCs/>
          <w:color w:val="auto"/>
          <w:sz w:val="32"/>
          <w:szCs w:val="32"/>
          <w:highlight w:val="none"/>
        </w:rPr>
        <w:t>）格式</w:t>
      </w:r>
    </w:p>
    <w:p w14:paraId="0FA27BA1">
      <w:pPr>
        <w:spacing w:line="300" w:lineRule="auto"/>
        <w:ind w:firstLine="315" w:firstLineChars="98"/>
        <w:jc w:val="center"/>
        <w:rPr>
          <w:rFonts w:hint="eastAsia" w:ascii="宋体" w:hAnsi="宋体" w:eastAsia="宋体" w:cs="宋体"/>
          <w:b/>
          <w:bCs/>
          <w:color w:val="auto"/>
          <w:sz w:val="32"/>
          <w:szCs w:val="32"/>
          <w:highlight w:val="none"/>
        </w:rPr>
      </w:pPr>
    </w:p>
    <w:p w14:paraId="28888C33">
      <w:pPr>
        <w:spacing w:line="300" w:lineRule="auto"/>
        <w:ind w:firstLine="315" w:firstLineChars="98"/>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中小企业声明函（</w:t>
      </w:r>
      <w:r>
        <w:rPr>
          <w:rFonts w:hint="eastAsia" w:ascii="宋体" w:hAnsi="宋体" w:eastAsia="宋体" w:cs="宋体"/>
          <w:b/>
          <w:bCs/>
          <w:color w:val="auto"/>
          <w:sz w:val="32"/>
          <w:szCs w:val="32"/>
          <w:highlight w:val="none"/>
          <w:lang w:val="en-US" w:eastAsia="zh-CN"/>
        </w:rPr>
        <w:t>工程</w:t>
      </w:r>
      <w:r>
        <w:rPr>
          <w:rFonts w:hint="eastAsia" w:ascii="宋体" w:hAnsi="宋体" w:eastAsia="宋体" w:cs="宋体"/>
          <w:b/>
          <w:bCs/>
          <w:color w:val="auto"/>
          <w:sz w:val="32"/>
          <w:szCs w:val="32"/>
          <w:highlight w:val="none"/>
        </w:rPr>
        <w:t>）</w:t>
      </w:r>
    </w:p>
    <w:p w14:paraId="378F15F5">
      <w:pPr>
        <w:keepNext w:val="0"/>
        <w:keepLines w:val="0"/>
        <w:pageBreakBefore w:val="0"/>
        <w:kinsoku/>
        <w:wordWrap/>
        <w:overflowPunct/>
        <w:topLinePunct w:val="0"/>
        <w:bidi w:val="0"/>
        <w:adjustRightInd/>
        <w:snapToGrid/>
        <w:spacing w:line="360" w:lineRule="auto"/>
        <w:ind w:firstLine="482" w:firstLineChars="200"/>
        <w:jc w:val="center"/>
        <w:textAlignment w:val="auto"/>
        <w:rPr>
          <w:rFonts w:hint="eastAsia" w:ascii="宋体" w:hAnsi="宋体" w:eastAsia="宋体" w:cs="宋体"/>
          <w:b/>
          <w:bCs/>
          <w:color w:val="auto"/>
          <w:sz w:val="24"/>
          <w:szCs w:val="24"/>
          <w:highlight w:val="none"/>
        </w:rPr>
      </w:pPr>
    </w:p>
    <w:p w14:paraId="119AAED1">
      <w:pPr>
        <w:keepNext w:val="0"/>
        <w:keepLines w:val="0"/>
        <w:pageBreakBefore w:val="0"/>
        <w:widowControl/>
        <w:suppressLineNumbers w:val="0"/>
        <w:kinsoku/>
        <w:wordWrap/>
        <w:overflowPunct/>
        <w:topLinePunct w:val="0"/>
        <w:bidi w:val="0"/>
        <w:adjustRightInd/>
        <w:snapToGrid/>
        <w:spacing w:line="300" w:lineRule="auto"/>
        <w:ind w:firstLine="480" w:firstLineChars="20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本公司郑重声明，根据《政府采购促进中小企业发展管理办法》（财库﹝2020﹞46 号）的规定，本公司参加</w:t>
      </w:r>
      <w:r>
        <w:rPr>
          <w:rFonts w:hint="eastAsia" w:ascii="宋体" w:hAnsi="宋体" w:eastAsia="宋体" w:cs="宋体"/>
          <w:color w:val="auto"/>
          <w:kern w:val="0"/>
          <w:sz w:val="24"/>
          <w:szCs w:val="24"/>
          <w:highlight w:val="none"/>
          <w:u w:val="single"/>
          <w:lang w:val="en-US" w:eastAsia="zh-CN" w:bidi="ar-SA"/>
        </w:rPr>
        <w:t>（单位名称）</w:t>
      </w:r>
      <w:r>
        <w:rPr>
          <w:rFonts w:hint="eastAsia" w:ascii="宋体" w:hAnsi="宋体" w:eastAsia="宋体" w:cs="宋体"/>
          <w:color w:val="auto"/>
          <w:kern w:val="0"/>
          <w:sz w:val="24"/>
          <w:szCs w:val="24"/>
          <w:highlight w:val="none"/>
          <w:lang w:val="en-US" w:eastAsia="zh-CN" w:bidi="ar-SA"/>
        </w:rPr>
        <w:t>的</w:t>
      </w:r>
      <w:r>
        <w:rPr>
          <w:rFonts w:hint="eastAsia" w:ascii="宋体" w:hAnsi="宋体" w:eastAsia="宋体" w:cs="宋体"/>
          <w:color w:val="auto"/>
          <w:kern w:val="0"/>
          <w:sz w:val="24"/>
          <w:szCs w:val="24"/>
          <w:highlight w:val="none"/>
          <w:u w:val="single"/>
          <w:lang w:val="en-US" w:eastAsia="zh-CN" w:bidi="ar-SA"/>
        </w:rPr>
        <w:t>（项目名称）</w:t>
      </w:r>
      <w:r>
        <w:rPr>
          <w:rFonts w:hint="eastAsia" w:ascii="宋体" w:hAnsi="宋体" w:eastAsia="宋体" w:cs="宋体"/>
          <w:color w:val="auto"/>
          <w:kern w:val="0"/>
          <w:sz w:val="24"/>
          <w:szCs w:val="24"/>
          <w:highlight w:val="none"/>
          <w:lang w:val="en-US" w:eastAsia="zh-CN" w:bidi="ar-SA"/>
        </w:rPr>
        <w:t>采购活动，工程的施工单位全部为符合政策要求的中小企业。企业的具体情况如下：</w:t>
      </w:r>
    </w:p>
    <w:p w14:paraId="582544FE">
      <w:pPr>
        <w:keepNext w:val="0"/>
        <w:keepLines w:val="0"/>
        <w:pageBreakBefore w:val="0"/>
        <w:widowControl/>
        <w:suppressLineNumbers w:val="0"/>
        <w:kinsoku/>
        <w:wordWrap/>
        <w:overflowPunct/>
        <w:topLinePunct w:val="0"/>
        <w:bidi w:val="0"/>
        <w:adjustRightInd/>
        <w:snapToGrid/>
        <w:spacing w:line="300" w:lineRule="auto"/>
        <w:ind w:firstLine="480" w:firstLineChars="20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u w:val="single"/>
          <w:lang w:val="en-US" w:eastAsia="zh-CN" w:bidi="ar-SA"/>
        </w:rPr>
        <w:t>（</w:t>
      </w:r>
      <w:r>
        <w:rPr>
          <w:rFonts w:hint="eastAsia" w:ascii="宋体" w:hAnsi="宋体" w:cs="宋体"/>
          <w:color w:val="auto"/>
          <w:sz w:val="24"/>
          <w:szCs w:val="24"/>
          <w:highlight w:val="none"/>
          <w:u w:val="single"/>
          <w:lang w:val="en-US" w:eastAsia="zh-CN"/>
        </w:rPr>
        <w:t>嘉善县天凝中学2025年度校舍常规维修</w:t>
      </w:r>
      <w:r>
        <w:rPr>
          <w:rFonts w:hint="eastAsia" w:ascii="宋体" w:hAnsi="宋体" w:eastAsia="宋体" w:cs="宋体"/>
          <w:color w:val="auto"/>
          <w:kern w:val="0"/>
          <w:sz w:val="24"/>
          <w:szCs w:val="24"/>
          <w:highlight w:val="none"/>
          <w:u w:val="single"/>
          <w:lang w:val="en-US" w:eastAsia="zh-CN" w:bidi="ar-SA"/>
        </w:rPr>
        <w:t>，</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lang w:val="en-US" w:eastAsia="zh-CN"/>
        </w:rPr>
        <w:t>建筑业</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lang w:val="en-US" w:eastAsia="zh-CN" w:bidi="ar-SA"/>
        </w:rPr>
        <w:t xml:space="preserve">； </w:t>
      </w:r>
      <w:r>
        <w:rPr>
          <w:rFonts w:hint="eastAsia" w:ascii="宋体" w:hAnsi="宋体" w:eastAsia="宋体" w:cs="宋体"/>
          <w:color w:val="auto"/>
          <w:sz w:val="24"/>
          <w:szCs w:val="24"/>
          <w:highlight w:val="none"/>
        </w:rPr>
        <w:t>承建（承接）企业为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w:t>
      </w:r>
      <w:r>
        <w:rPr>
          <w:rFonts w:hint="eastAsia" w:ascii="宋体" w:hAnsi="宋体" w:eastAsia="宋体" w:cs="宋体"/>
          <w:color w:val="auto"/>
          <w:sz w:val="24"/>
          <w:szCs w:val="24"/>
          <w:highlight w:val="none"/>
          <w:vertAlign w:val="superscript"/>
        </w:rPr>
        <w:fldChar w:fldCharType="begin"/>
      </w:r>
      <w:r>
        <w:rPr>
          <w:rFonts w:hint="eastAsia" w:ascii="宋体" w:hAnsi="宋体" w:eastAsia="宋体" w:cs="宋体"/>
          <w:color w:val="auto"/>
          <w:sz w:val="24"/>
          <w:szCs w:val="24"/>
          <w:highlight w:val="none"/>
          <w:vertAlign w:val="superscript"/>
        </w:rPr>
        <w:instrText xml:space="preserve"> HYPERLINK \l "_bookmark1" </w:instrText>
      </w:r>
      <w:r>
        <w:rPr>
          <w:rFonts w:hint="eastAsia" w:ascii="宋体" w:hAnsi="宋体" w:eastAsia="宋体" w:cs="宋体"/>
          <w:color w:val="auto"/>
          <w:sz w:val="24"/>
          <w:szCs w:val="24"/>
          <w:highlight w:val="none"/>
          <w:vertAlign w:val="superscript"/>
        </w:rPr>
        <w:fldChar w:fldCharType="separate"/>
      </w:r>
      <w:r>
        <w:rPr>
          <w:rFonts w:hint="eastAsia" w:ascii="宋体" w:hAnsi="宋体" w:eastAsia="宋体" w:cs="宋体"/>
          <w:color w:val="auto"/>
          <w:sz w:val="24"/>
          <w:szCs w:val="24"/>
          <w:highlight w:val="none"/>
          <w:vertAlign w:val="superscript"/>
        </w:rPr>
        <w:t>1</w:t>
      </w:r>
      <w:r>
        <w:rPr>
          <w:rFonts w:hint="eastAsia" w:ascii="宋体" w:hAnsi="宋体" w:eastAsia="宋体" w:cs="宋体"/>
          <w:color w:val="auto"/>
          <w:sz w:val="24"/>
          <w:szCs w:val="24"/>
          <w:highlight w:val="none"/>
          <w:vertAlign w:val="superscript"/>
        </w:rPr>
        <w:fldChar w:fldCharType="end"/>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 xml:space="preserve"> （中型企业/小型企业/微型企业</w:t>
      </w:r>
      <w:r>
        <w:rPr>
          <w:rFonts w:hint="eastAsia" w:ascii="宋体" w:hAnsi="宋体" w:eastAsia="宋体" w:cs="宋体"/>
          <w:color w:val="auto"/>
          <w:sz w:val="24"/>
          <w:szCs w:val="24"/>
          <w:highlight w:val="none"/>
        </w:rPr>
        <w:t>）。</w:t>
      </w:r>
    </w:p>
    <w:p w14:paraId="4A4FECBE">
      <w:pPr>
        <w:pStyle w:val="3"/>
        <w:keepNext w:val="0"/>
        <w:keepLines w:val="0"/>
        <w:pageBreakBefore w:val="0"/>
        <w:kinsoku/>
        <w:wordWrap/>
        <w:overflowPunct/>
        <w:topLinePunct w:val="0"/>
        <w:autoSpaceDE w:val="0"/>
        <w:autoSpaceDN w:val="0"/>
        <w:bidi w:val="0"/>
        <w:adjustRightInd/>
        <w:snapToGrid/>
        <w:spacing w:before="108" w:line="300" w:lineRule="auto"/>
        <w:ind w:right="-54"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以上企业，不属于大企业的分支机构，不存在控股股东为大企业的情形，也不存在与大企业的负责人为同一人的情形。</w:t>
      </w:r>
    </w:p>
    <w:p w14:paraId="3C874369">
      <w:pPr>
        <w:pStyle w:val="3"/>
        <w:keepNext w:val="0"/>
        <w:keepLines w:val="0"/>
        <w:pageBreakBefore w:val="0"/>
        <w:kinsoku/>
        <w:wordWrap/>
        <w:overflowPunct/>
        <w:topLinePunct w:val="0"/>
        <w:autoSpaceDE w:val="0"/>
        <w:autoSpaceDN w:val="0"/>
        <w:bidi w:val="0"/>
        <w:adjustRightInd/>
        <w:snapToGrid/>
        <w:spacing w:line="300" w:lineRule="auto"/>
        <w:ind w:right="-54"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本企业对上述声明内容的真实性负责。如有虚假，将依法承担相应责任。</w:t>
      </w:r>
    </w:p>
    <w:p w14:paraId="3DA2EA37">
      <w:pPr>
        <w:pStyle w:val="3"/>
        <w:keepNext w:val="0"/>
        <w:keepLines w:val="0"/>
        <w:pageBreakBefore w:val="0"/>
        <w:widowControl w:val="0"/>
        <w:kinsoku/>
        <w:wordWrap/>
        <w:overflowPunct/>
        <w:topLinePunct w:val="0"/>
        <w:autoSpaceDE w:val="0"/>
        <w:autoSpaceDN w:val="0"/>
        <w:bidi w:val="0"/>
        <w:adjustRightInd/>
        <w:snapToGrid/>
        <w:spacing w:line="360" w:lineRule="auto"/>
        <w:ind w:right="-54" w:firstLine="480"/>
        <w:textAlignment w:val="auto"/>
        <w:rPr>
          <w:rFonts w:hint="eastAsia" w:ascii="宋体" w:hAnsi="宋体" w:eastAsia="宋体" w:cs="宋体"/>
          <w:color w:val="auto"/>
          <w:highlight w:val="none"/>
        </w:rPr>
      </w:pPr>
    </w:p>
    <w:p w14:paraId="45201030">
      <w:pPr>
        <w:pStyle w:val="3"/>
        <w:keepNext w:val="0"/>
        <w:keepLines w:val="0"/>
        <w:pageBreakBefore w:val="0"/>
        <w:widowControl w:val="0"/>
        <w:kinsoku/>
        <w:wordWrap/>
        <w:overflowPunct/>
        <w:topLinePunct w:val="0"/>
        <w:autoSpaceDE w:val="0"/>
        <w:autoSpaceDN w:val="0"/>
        <w:bidi w:val="0"/>
        <w:adjustRightInd/>
        <w:snapToGrid/>
        <w:spacing w:before="29" w:line="360" w:lineRule="auto"/>
        <w:ind w:left="4060" w:right="-54" w:firstLine="473"/>
        <w:textAlignment w:val="auto"/>
        <w:rPr>
          <w:rFonts w:hint="eastAsia" w:ascii="宋体" w:hAnsi="宋体" w:eastAsia="宋体" w:cs="宋体"/>
          <w:color w:val="auto"/>
          <w:w w:val="99"/>
          <w:highlight w:val="none"/>
        </w:rPr>
      </w:pPr>
    </w:p>
    <w:p w14:paraId="44E9DEE0">
      <w:pPr>
        <w:pStyle w:val="3"/>
        <w:keepNext w:val="0"/>
        <w:keepLines w:val="0"/>
        <w:pageBreakBefore w:val="0"/>
        <w:widowControl w:val="0"/>
        <w:kinsoku/>
        <w:wordWrap/>
        <w:overflowPunct/>
        <w:topLinePunct w:val="0"/>
        <w:autoSpaceDE w:val="0"/>
        <w:autoSpaceDN w:val="0"/>
        <w:bidi w:val="0"/>
        <w:adjustRightInd/>
        <w:snapToGrid/>
        <w:spacing w:before="29" w:line="360" w:lineRule="auto"/>
        <w:ind w:left="4060" w:right="-54" w:firstLine="473"/>
        <w:textAlignment w:val="auto"/>
        <w:rPr>
          <w:rFonts w:hint="eastAsia" w:ascii="宋体" w:hAnsi="宋体" w:eastAsia="宋体" w:cs="宋体"/>
          <w:color w:val="auto"/>
          <w:w w:val="99"/>
          <w:highlight w:val="none"/>
        </w:rPr>
      </w:pPr>
    </w:p>
    <w:p w14:paraId="49152080">
      <w:pPr>
        <w:pStyle w:val="3"/>
        <w:keepNext w:val="0"/>
        <w:keepLines w:val="0"/>
        <w:pageBreakBefore w:val="0"/>
        <w:widowControl w:val="0"/>
        <w:kinsoku/>
        <w:wordWrap/>
        <w:overflowPunct/>
        <w:topLinePunct w:val="0"/>
        <w:autoSpaceDE w:val="0"/>
        <w:autoSpaceDN w:val="0"/>
        <w:bidi w:val="0"/>
        <w:adjustRightInd/>
        <w:snapToGrid/>
        <w:spacing w:before="29" w:line="360" w:lineRule="auto"/>
        <w:ind w:left="4060" w:right="-54" w:firstLine="480"/>
        <w:textAlignment w:val="auto"/>
        <w:rPr>
          <w:rFonts w:hint="eastAsia" w:ascii="宋体" w:hAnsi="宋体" w:eastAsia="宋体" w:cs="宋体"/>
          <w:color w:val="auto"/>
          <w:w w:val="99"/>
          <w:highlight w:val="none"/>
        </w:rPr>
      </w:pPr>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szCs w:val="24"/>
          <w:highlight w:val="none"/>
        </w:rPr>
        <w:t>（盖章）</w:t>
      </w:r>
      <w:r>
        <w:rPr>
          <w:rFonts w:hint="eastAsia" w:ascii="宋体" w:hAnsi="宋体" w:eastAsia="宋体" w:cs="宋体"/>
          <w:color w:val="auto"/>
          <w:highlight w:val="none"/>
        </w:rPr>
        <w:t>：___________</w:t>
      </w:r>
    </w:p>
    <w:p w14:paraId="310EF087">
      <w:pPr>
        <w:pStyle w:val="3"/>
        <w:keepNext w:val="0"/>
        <w:keepLines w:val="0"/>
        <w:pageBreakBefore w:val="0"/>
        <w:widowControl w:val="0"/>
        <w:kinsoku/>
        <w:wordWrap/>
        <w:overflowPunct/>
        <w:topLinePunct w:val="0"/>
        <w:autoSpaceDE w:val="0"/>
        <w:autoSpaceDN w:val="0"/>
        <w:bidi w:val="0"/>
        <w:adjustRightInd/>
        <w:snapToGrid/>
        <w:spacing w:before="29" w:line="360" w:lineRule="auto"/>
        <w:ind w:left="4060" w:right="-54"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日期：___________</w:t>
      </w:r>
    </w:p>
    <w:p w14:paraId="6A27F354">
      <w:pPr>
        <w:spacing w:line="300" w:lineRule="auto"/>
        <w:ind w:firstLine="236" w:firstLineChars="98"/>
        <w:jc w:val="center"/>
        <w:rPr>
          <w:rFonts w:hint="eastAsia" w:ascii="宋体" w:hAnsi="宋体" w:eastAsia="宋体" w:cs="宋体"/>
          <w:b/>
          <w:bCs/>
          <w:color w:val="auto"/>
          <w:szCs w:val="24"/>
          <w:highlight w:val="none"/>
        </w:rPr>
      </w:pPr>
    </w:p>
    <w:p w14:paraId="3FDB0743">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从业人员、营业收入、资产总额填报上一年度数据，无上一年度数据的新成立企业可不填报。</w:t>
      </w:r>
    </w:p>
    <w:p w14:paraId="331D5E5D">
      <w:pPr>
        <w:spacing w:line="300" w:lineRule="auto"/>
        <w:ind w:firstLine="482"/>
        <w:jc w:val="left"/>
        <w:rPr>
          <w:rFonts w:hint="eastAsia" w:ascii="宋体" w:hAnsi="宋体" w:eastAsia="宋体" w:cs="宋体"/>
          <w:b/>
          <w:bCs/>
          <w:color w:val="auto"/>
          <w:sz w:val="24"/>
          <w:szCs w:val="24"/>
          <w:highlight w:val="none"/>
          <w:lang w:eastAsia="zh-CN"/>
        </w:rPr>
      </w:pPr>
      <w:r>
        <w:rPr>
          <w:rFonts w:hint="eastAsia" w:ascii="宋体" w:hAnsi="宋体" w:cs="宋体"/>
          <w:b/>
          <w:bCs/>
          <w:color w:val="auto"/>
          <w:sz w:val="24"/>
          <w:szCs w:val="24"/>
          <w:highlight w:val="none"/>
        </w:rPr>
        <w:t>2.本采购标的对应的所属行业：</w:t>
      </w:r>
      <w:r>
        <w:rPr>
          <w:rFonts w:hint="eastAsia" w:ascii="宋体" w:hAnsi="宋体" w:cs="宋体"/>
          <w:b/>
          <w:bCs/>
          <w:color w:val="auto"/>
          <w:sz w:val="24"/>
          <w:szCs w:val="24"/>
          <w:highlight w:val="none"/>
          <w:lang w:val="en-US" w:eastAsia="zh-CN"/>
        </w:rPr>
        <w:t>建筑业</w:t>
      </w:r>
    </w:p>
    <w:p w14:paraId="63659057">
      <w:pPr>
        <w:keepNext w:val="0"/>
        <w:keepLines w:val="0"/>
        <w:pageBreakBefore w:val="0"/>
        <w:widowControl w:val="0"/>
        <w:kinsoku/>
        <w:wordWrap/>
        <w:overflowPunct/>
        <w:topLinePunct w:val="0"/>
        <w:autoSpaceDE/>
        <w:autoSpaceDN/>
        <w:bidi w:val="0"/>
        <w:adjustRightInd/>
        <w:snapToGrid/>
        <w:spacing w:line="300" w:lineRule="auto"/>
        <w:ind w:firstLine="482" w:firstLineChars="20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201C0B1F">
      <w:pPr>
        <w:keepNext w:val="0"/>
        <w:keepLines w:val="0"/>
        <w:pageBreakBefore w:val="0"/>
        <w:widowControl w:val="0"/>
        <w:kinsoku/>
        <w:wordWrap/>
        <w:overflowPunct/>
        <w:topLinePunct w:val="0"/>
        <w:autoSpaceDE/>
        <w:autoSpaceDN/>
        <w:bidi w:val="0"/>
        <w:adjustRightInd/>
        <w:snapToGrid/>
        <w:spacing w:line="300" w:lineRule="auto"/>
        <w:ind w:firstLine="482" w:firstLineChars="20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3.符合《关于促进残疾人就业政府采购政策的通知》（财库〔2017〕141号）规定的条件并提供《残疾人福利性单位声明函》的残疾人福利性单位视同小型、微型企业；</w:t>
      </w:r>
    </w:p>
    <w:p w14:paraId="47239337">
      <w:pP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4.根据《关于政府采购支持监狱企业发展有关问题的通知》（财库[2014]68号）的规定，投标人提供由省级以上监狱管理局、戒毒管理局（含新疆生产建设兵团）出具的属于监狱企业证明文件的，视同为小型和微型企业。</w:t>
      </w:r>
      <w:r>
        <w:rPr>
          <w:rFonts w:hint="eastAsia" w:ascii="宋体" w:hAnsi="宋体" w:eastAsia="宋体" w:cs="宋体"/>
          <w:b/>
          <w:bCs/>
          <w:color w:val="auto"/>
          <w:sz w:val="24"/>
          <w:szCs w:val="24"/>
          <w:highlight w:val="none"/>
          <w:lang w:val="en-US" w:eastAsia="zh-CN"/>
        </w:rPr>
        <w:br w:type="page"/>
      </w:r>
    </w:p>
    <w:p w14:paraId="662AB297">
      <w:pPr>
        <w:spacing w:line="300" w:lineRule="auto"/>
        <w:ind w:firstLine="315" w:firstLineChars="98"/>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val="en-US" w:eastAsia="zh-CN"/>
        </w:rPr>
        <w:t>五</w:t>
      </w:r>
      <w:r>
        <w:rPr>
          <w:rFonts w:hint="eastAsia" w:ascii="宋体" w:hAnsi="宋体" w:eastAsia="宋体" w:cs="宋体"/>
          <w:b/>
          <w:bCs/>
          <w:color w:val="auto"/>
          <w:sz w:val="32"/>
          <w:szCs w:val="32"/>
          <w:highlight w:val="none"/>
        </w:rPr>
        <w:t>、残疾人福利性单位声明函格式</w:t>
      </w:r>
    </w:p>
    <w:p w14:paraId="400729C4">
      <w:pPr>
        <w:spacing w:line="300" w:lineRule="auto"/>
        <w:ind w:firstLine="315" w:firstLineChars="98"/>
        <w:jc w:val="center"/>
        <w:rPr>
          <w:rFonts w:hint="eastAsia" w:ascii="宋体" w:hAnsi="宋体" w:eastAsia="宋体" w:cs="宋体"/>
          <w:b/>
          <w:bCs/>
          <w:color w:val="auto"/>
          <w:sz w:val="32"/>
          <w:szCs w:val="32"/>
          <w:highlight w:val="none"/>
        </w:rPr>
      </w:pPr>
    </w:p>
    <w:p w14:paraId="5086F02D">
      <w:pPr>
        <w:spacing w:line="300" w:lineRule="auto"/>
        <w:ind w:firstLine="315" w:firstLineChars="98"/>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残疾人福利性单位声明函</w:t>
      </w:r>
    </w:p>
    <w:p w14:paraId="01ECCAA0">
      <w:pPr>
        <w:spacing w:line="300" w:lineRule="auto"/>
        <w:ind w:firstLine="480"/>
        <w:jc w:val="center"/>
        <w:rPr>
          <w:rFonts w:hint="eastAsia" w:ascii="宋体" w:hAnsi="宋体" w:eastAsia="宋体" w:cs="宋体"/>
          <w:color w:val="auto"/>
          <w:szCs w:val="24"/>
          <w:highlight w:val="none"/>
        </w:rPr>
      </w:pPr>
      <w:r>
        <w:rPr>
          <w:rFonts w:hint="eastAsia" w:ascii="宋体" w:hAnsi="宋体" w:eastAsia="宋体" w:cs="宋体"/>
          <w:b/>
          <w:color w:val="auto"/>
          <w:sz w:val="24"/>
          <w:highlight w:val="none"/>
        </w:rPr>
        <w:t>【非残疾人福利性单位不用提供】</w:t>
      </w:r>
    </w:p>
    <w:p w14:paraId="4745AE59">
      <w:pPr>
        <w:spacing w:line="300" w:lineRule="auto"/>
        <w:ind w:firstLine="480"/>
        <w:rPr>
          <w:rFonts w:hint="eastAsia" w:ascii="宋体" w:hAnsi="宋体" w:eastAsia="宋体" w:cs="宋体"/>
          <w:color w:val="auto"/>
          <w:szCs w:val="24"/>
          <w:highlight w:val="none"/>
        </w:rPr>
      </w:pPr>
    </w:p>
    <w:p w14:paraId="1D406730">
      <w:pPr>
        <w:spacing w:line="30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70CFF93">
      <w:pPr>
        <w:spacing w:line="30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本单位对上述声明的真实性负责。如有虚假，将依法承担相应责任。</w:t>
      </w:r>
    </w:p>
    <w:p w14:paraId="250246CD">
      <w:pPr>
        <w:pStyle w:val="12"/>
        <w:snapToGrid w:val="0"/>
        <w:spacing w:before="24" w:beforeLines="10" w:after="24" w:afterLines="10"/>
        <w:ind w:right="480" w:firstLine="420"/>
        <w:jc w:val="right"/>
        <w:rPr>
          <w:rFonts w:hint="eastAsia" w:ascii="宋体" w:hAnsi="宋体" w:eastAsia="宋体" w:cs="宋体"/>
          <w:color w:val="auto"/>
          <w:sz w:val="24"/>
          <w:szCs w:val="24"/>
          <w:highlight w:val="none"/>
        </w:rPr>
      </w:pPr>
    </w:p>
    <w:p w14:paraId="0CF0B45B">
      <w:pPr>
        <w:pStyle w:val="12"/>
        <w:snapToGrid w:val="0"/>
        <w:spacing w:before="24" w:beforeLines="10" w:after="24" w:afterLines="10"/>
        <w:ind w:right="480" w:firstLine="420"/>
        <w:jc w:val="right"/>
        <w:rPr>
          <w:rFonts w:hint="eastAsia" w:ascii="宋体" w:hAnsi="宋体" w:eastAsia="宋体" w:cs="宋体"/>
          <w:color w:val="auto"/>
          <w:sz w:val="24"/>
          <w:szCs w:val="24"/>
          <w:highlight w:val="none"/>
        </w:rPr>
      </w:pPr>
    </w:p>
    <w:p w14:paraId="7D957F96">
      <w:pPr>
        <w:pStyle w:val="12"/>
        <w:snapToGrid w:val="0"/>
        <w:spacing w:before="24" w:beforeLines="10" w:after="24" w:afterLines="10"/>
        <w:ind w:right="480" w:firstLine="420"/>
        <w:jc w:val="right"/>
        <w:rPr>
          <w:rFonts w:hint="eastAsia" w:ascii="宋体" w:hAnsi="宋体" w:eastAsia="宋体" w:cs="宋体"/>
          <w:color w:val="auto"/>
          <w:sz w:val="24"/>
          <w:szCs w:val="24"/>
          <w:highlight w:val="none"/>
        </w:rPr>
      </w:pPr>
    </w:p>
    <w:p w14:paraId="3C20BA0D">
      <w:pPr>
        <w:spacing w:line="300" w:lineRule="auto"/>
        <w:ind w:firstLine="3600" w:firstLineChars="15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法定代表人或授权代表（</w:t>
      </w:r>
      <w:r>
        <w:rPr>
          <w:rFonts w:hint="eastAsia" w:ascii="宋体" w:hAnsi="宋体" w:eastAsia="宋体" w:cs="宋体"/>
          <w:color w:val="auto"/>
          <w:sz w:val="24"/>
          <w:szCs w:val="24"/>
          <w:highlight w:val="none"/>
        </w:rPr>
        <w:t>签字</w:t>
      </w:r>
      <w:r>
        <w:rPr>
          <w:rFonts w:hint="eastAsia" w:ascii="宋体" w:hAnsi="宋体" w:eastAsia="宋体" w:cs="宋体"/>
          <w:color w:val="auto"/>
          <w:sz w:val="24"/>
          <w:szCs w:val="24"/>
          <w:highlight w:val="none"/>
          <w:lang w:val="en-US" w:eastAsia="zh-CN"/>
        </w:rPr>
        <w:t>或盖章）</w:t>
      </w:r>
      <w:r>
        <w:rPr>
          <w:rFonts w:hint="eastAsia" w:ascii="宋体" w:hAnsi="宋体" w:eastAsia="宋体" w:cs="宋体"/>
          <w:color w:val="auto"/>
          <w:spacing w:val="20"/>
          <w:sz w:val="24"/>
          <w:szCs w:val="24"/>
          <w:highlight w:val="none"/>
        </w:rPr>
        <w:t>：</w:t>
      </w:r>
      <w:r>
        <w:rPr>
          <w:rFonts w:hint="eastAsia" w:ascii="宋体" w:hAnsi="宋体" w:eastAsia="宋体" w:cs="宋体"/>
          <w:color w:val="auto"/>
          <w:sz w:val="24"/>
          <w:szCs w:val="24"/>
          <w:highlight w:val="none"/>
        </w:rPr>
        <w:t>___________</w:t>
      </w:r>
      <w:r>
        <w:rPr>
          <w:rFonts w:hint="eastAsia" w:ascii="宋体" w:hAnsi="宋体" w:eastAsia="宋体" w:cs="宋体"/>
          <w:color w:val="auto"/>
          <w:spacing w:val="20"/>
          <w:sz w:val="24"/>
          <w:szCs w:val="24"/>
          <w:highlight w:val="none"/>
          <w:u w:val="single"/>
        </w:rPr>
        <w:t xml:space="preserve">      </w:t>
      </w:r>
      <w:r>
        <w:rPr>
          <w:rFonts w:hint="eastAsia" w:ascii="宋体" w:hAnsi="宋体" w:eastAsia="宋体" w:cs="宋体"/>
          <w:color w:val="auto"/>
          <w:sz w:val="24"/>
          <w:szCs w:val="24"/>
          <w:highlight w:val="none"/>
          <w:u w:val="single"/>
        </w:rPr>
        <w:t xml:space="preserve"> </w:t>
      </w:r>
    </w:p>
    <w:p w14:paraId="39FA3F91">
      <w:pPr>
        <w:spacing w:line="300" w:lineRule="auto"/>
        <w:ind w:firstLine="5280" w:firstLineChars="2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szCs w:val="24"/>
          <w:highlight w:val="none"/>
        </w:rPr>
        <w:t>（盖章）</w:t>
      </w:r>
      <w:r>
        <w:rPr>
          <w:rFonts w:hint="eastAsia" w:ascii="宋体" w:hAnsi="宋体" w:eastAsia="宋体" w:cs="宋体"/>
          <w:color w:val="auto"/>
          <w:sz w:val="24"/>
          <w:szCs w:val="24"/>
          <w:highlight w:val="none"/>
        </w:rPr>
        <w:t>：_________________</w:t>
      </w:r>
    </w:p>
    <w:p w14:paraId="751F6EE3">
      <w:pPr>
        <w:spacing w:line="30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日    期：_____年____月____日</w:t>
      </w:r>
    </w:p>
    <w:p w14:paraId="3F5C64ED">
      <w:pPr>
        <w:spacing w:line="300" w:lineRule="auto"/>
        <w:ind w:firstLine="315" w:firstLineChars="98"/>
        <w:jc w:val="center"/>
        <w:rPr>
          <w:rFonts w:hint="eastAsia" w:ascii="宋体" w:hAnsi="宋体" w:eastAsia="宋体" w:cs="宋体"/>
          <w:b/>
          <w:bCs/>
          <w:color w:val="auto"/>
          <w:sz w:val="32"/>
          <w:szCs w:val="32"/>
          <w:highlight w:val="none"/>
          <w:lang w:val="en-US" w:eastAsia="zh-CN"/>
        </w:rPr>
      </w:pPr>
    </w:p>
    <w:p w14:paraId="503041AE">
      <w:pPr>
        <w:spacing w:line="300" w:lineRule="auto"/>
        <w:ind w:firstLine="315" w:firstLineChars="98"/>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val="en-US" w:eastAsia="zh-CN"/>
        </w:rPr>
        <w:t>六、</w:t>
      </w:r>
      <w:r>
        <w:rPr>
          <w:rFonts w:hint="eastAsia" w:ascii="宋体" w:hAnsi="宋体" w:eastAsia="宋体" w:cs="宋体"/>
          <w:b/>
          <w:bCs/>
          <w:color w:val="auto"/>
          <w:sz w:val="32"/>
          <w:szCs w:val="32"/>
          <w:highlight w:val="none"/>
        </w:rPr>
        <w:t>监狱和戒毒企业证明材料</w:t>
      </w:r>
    </w:p>
    <w:p w14:paraId="6965EFBF">
      <w:pPr>
        <w:spacing w:before="107"/>
        <w:ind w:left="604" w:right="668"/>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【非监狱企业不用提供】</w:t>
      </w:r>
    </w:p>
    <w:p w14:paraId="067C7AB8">
      <w:pPr>
        <w:snapToGrid w:val="0"/>
        <w:spacing w:line="48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监狱和戒毒企业参加投标时应提供由省级以上监狱管理局、戒毒管理局（含新疆生产建设兵团）出具的属于监狱企业的证明文件。</w:t>
      </w:r>
    </w:p>
    <w:p w14:paraId="2428E53A">
      <w:pP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br w:type="page"/>
      </w:r>
    </w:p>
    <w:p w14:paraId="793504D6">
      <w:pPr>
        <w:snapToGrid w:val="0"/>
        <w:spacing w:before="100" w:beforeAutospacing="1" w:after="100" w:afterAutospacing="1" w:line="276" w:lineRule="auto"/>
        <w:jc w:val="center"/>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lang w:val="en-US" w:eastAsia="zh-CN"/>
        </w:rPr>
        <w:t>七</w:t>
      </w:r>
      <w:r>
        <w:rPr>
          <w:rFonts w:hint="eastAsia" w:ascii="宋体" w:hAnsi="宋体" w:eastAsia="宋体" w:cs="宋体"/>
          <w:b/>
          <w:bCs/>
          <w:color w:val="auto"/>
          <w:sz w:val="32"/>
          <w:szCs w:val="32"/>
          <w:highlight w:val="none"/>
        </w:rPr>
        <w:t>、磋商声明书格式</w:t>
      </w:r>
    </w:p>
    <w:p w14:paraId="24D140C2">
      <w:pPr>
        <w:snapToGrid w:val="0"/>
        <w:spacing w:before="100" w:beforeAutospacing="1" w:after="100" w:afterAutospacing="1" w:line="276" w:lineRule="auto"/>
        <w:ind w:firstLine="602" w:firstLineChars="200"/>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磋商声明书</w:t>
      </w:r>
    </w:p>
    <w:p w14:paraId="55E73008">
      <w:pPr>
        <w:snapToGrid w:val="0"/>
        <w:spacing w:before="100" w:beforeAutospacing="1" w:after="100" w:afterAutospacing="1" w:line="27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（代理机构名称）：</w:t>
      </w:r>
    </w:p>
    <w:p w14:paraId="6AA6E7F4">
      <w:pPr>
        <w:snapToGrid w:val="0"/>
        <w:spacing w:line="27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（供应商名称）系中华人民共和国合法企业，经营地址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26C674AE">
      <w:pPr>
        <w:snapToGrid w:val="0"/>
        <w:spacing w:line="27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（姓名）系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（供应商名称）的法定代表人，我方愿意参加贵方组织的</w:t>
      </w:r>
      <w:r>
        <w:rPr>
          <w:rFonts w:hint="eastAsia" w:ascii="宋体" w:hAnsi="宋体" w:eastAsia="宋体" w:cs="宋体"/>
          <w:b/>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嘉善县天凝中学2025年度校舍常规维修</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项目的磋商，为便于贵方公正、择优地确定成交单位及其服务，我方就本次磋商有关事项郑重声明如下：</w:t>
      </w:r>
    </w:p>
    <w:p w14:paraId="38AC9030">
      <w:pPr>
        <w:snapToGrid w:val="0"/>
        <w:spacing w:line="27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1.我方向贵方提交的所有响应文件、资料都是准确的和真实的；</w:t>
      </w:r>
    </w:p>
    <w:p w14:paraId="26B30F0E">
      <w:pPr>
        <w:snapToGrid w:val="0"/>
        <w:spacing w:line="27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2.我方不是采购人的附属机构；在获知本项目采购信息后，与采购人聘请的为此项目提供咨询服务的公司及其附属机构没有任何联系。</w:t>
      </w:r>
    </w:p>
    <w:p w14:paraId="39A2DF60">
      <w:pPr>
        <w:snapToGrid w:val="0"/>
        <w:spacing w:line="27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3.我方此次向贵方提供的服务名称为：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377D6090">
      <w:pPr>
        <w:snapToGrid w:val="0"/>
        <w:spacing w:line="27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4.我方诚意提请贵方关注：有关该项目的重大决策和事项有：</w:t>
      </w:r>
    </w:p>
    <w:p w14:paraId="57079A94">
      <w:pPr>
        <w:snapToGrid w:val="0"/>
        <w:spacing w:line="276"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　　　　　　　　　　　　　　　　　　　　　　　　　　　</w:t>
      </w:r>
    </w:p>
    <w:p w14:paraId="0CB64B0C">
      <w:pPr>
        <w:snapToGrid w:val="0"/>
        <w:spacing w:line="27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w:t>
      </w:r>
    </w:p>
    <w:p w14:paraId="1E3D9D02">
      <w:pPr>
        <w:snapToGrid w:val="0"/>
        <w:spacing w:line="27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5.我方最近三年内的被公开披露或查处的违法违规行为有：</w:t>
      </w:r>
      <w:r>
        <w:rPr>
          <w:rFonts w:hint="eastAsia" w:ascii="宋体" w:hAnsi="宋体" w:eastAsia="宋体" w:cs="宋体"/>
          <w:color w:val="auto"/>
          <w:sz w:val="24"/>
          <w:highlight w:val="none"/>
        </w:rPr>
        <w:t>（若有，请如实填写；若无，请作出“参加政府采购活动前三年内，在经营活动中没有重大违法记录”的承诺）</w:t>
      </w:r>
    </w:p>
    <w:p w14:paraId="0588AFD1">
      <w:pPr>
        <w:snapToGrid w:val="0"/>
        <w:spacing w:line="276"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　　　　　　　　　　　　　　　　　　　　　　　　　　　</w:t>
      </w:r>
    </w:p>
    <w:p w14:paraId="2A4055B5">
      <w:pPr>
        <w:snapToGrid w:val="0"/>
        <w:spacing w:line="276"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　　　　　　　　　　　　　　　　　　　　　　　　　　　</w:t>
      </w:r>
    </w:p>
    <w:p w14:paraId="2B2B5747">
      <w:pPr>
        <w:snapToGrid w:val="0"/>
        <w:spacing w:line="27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6.以上事项如有虚假或隐瞒，我方愿意承担一切后果和责任。</w:t>
      </w:r>
    </w:p>
    <w:p w14:paraId="1F7E16FB">
      <w:pPr>
        <w:pStyle w:val="36"/>
        <w:snapToGrid w:val="0"/>
        <w:spacing w:before="100" w:beforeAutospacing="1" w:after="100" w:afterAutospacing="1" w:line="276" w:lineRule="auto"/>
        <w:ind w:firstLine="480" w:firstLineChars="200"/>
        <w:rPr>
          <w:rFonts w:hint="eastAsia" w:ascii="宋体" w:hAnsi="宋体" w:eastAsia="宋体" w:cs="宋体"/>
          <w:color w:val="auto"/>
          <w:highlight w:val="none"/>
        </w:rPr>
      </w:pPr>
    </w:p>
    <w:p w14:paraId="152A921C">
      <w:pPr>
        <w:snapToGrid w:val="0"/>
        <w:spacing w:before="100" w:beforeAutospacing="1" w:after="100" w:afterAutospacing="1" w:line="276" w:lineRule="auto"/>
        <w:ind w:firstLine="720" w:firstLineChars="3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rPr>
        <w:t>签字</w:t>
      </w:r>
      <w:r>
        <w:rPr>
          <w:rFonts w:hint="eastAsia" w:ascii="宋体" w:hAnsi="宋体" w:eastAsia="宋体" w:cs="宋体"/>
          <w:color w:val="auto"/>
          <w:sz w:val="24"/>
          <w:szCs w:val="24"/>
          <w:highlight w:val="none"/>
        </w:rPr>
        <w:t>或盖章）</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p>
    <w:p w14:paraId="6A43246D">
      <w:pPr>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szCs w:val="24"/>
          <w:highlight w:val="none"/>
        </w:rPr>
        <w:t>（盖章）：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年    月    日</w:t>
      </w:r>
    </w:p>
    <w:p w14:paraId="3FE36FBF">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788A1E6D">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val="en-US" w:eastAsia="zh-CN"/>
        </w:rPr>
        <w:t>八</w:t>
      </w:r>
      <w:r>
        <w:rPr>
          <w:rFonts w:hint="eastAsia" w:ascii="宋体" w:hAnsi="宋体" w:eastAsia="宋体" w:cs="宋体"/>
          <w:b/>
          <w:bCs/>
          <w:color w:val="auto"/>
          <w:sz w:val="32"/>
          <w:szCs w:val="32"/>
          <w:highlight w:val="none"/>
        </w:rPr>
        <w:t>、诚信承诺书格式</w:t>
      </w:r>
    </w:p>
    <w:p w14:paraId="13534AD0">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诚信承诺书</w:t>
      </w:r>
    </w:p>
    <w:p w14:paraId="5BDECDE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（采购人或采购组织机构） </w:t>
      </w:r>
      <w:r>
        <w:rPr>
          <w:rFonts w:hint="eastAsia" w:ascii="宋体" w:hAnsi="宋体" w:eastAsia="宋体" w:cs="宋体"/>
          <w:color w:val="auto"/>
          <w:sz w:val="24"/>
          <w:highlight w:val="none"/>
        </w:rPr>
        <w:t>：</w:t>
      </w:r>
    </w:p>
    <w:p w14:paraId="17A4EE2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我方在参加贵单位的 </w:t>
      </w:r>
      <w:r>
        <w:rPr>
          <w:rFonts w:hint="eastAsia" w:ascii="宋体" w:hAnsi="宋体" w:eastAsia="宋体" w:cs="宋体"/>
          <w:b/>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嘉善县天凝中学2025年度校舍常规维修</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single"/>
          <w:lang w:val="en-US" w:eastAsia="zh-CN"/>
        </w:rPr>
        <w:t xml:space="preserve">  </w:t>
      </w:r>
      <w:r>
        <w:rPr>
          <w:rFonts w:hint="eastAsia" w:ascii="宋体" w:hAnsi="宋体" w:eastAsia="宋体" w:cs="宋体"/>
          <w:color w:val="auto"/>
          <w:sz w:val="24"/>
          <w:highlight w:val="none"/>
        </w:rPr>
        <w:t>政府采购项目的磋商活动中，郑重承诺如下：</w:t>
      </w:r>
    </w:p>
    <w:p w14:paraId="6D4A9E4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1.我方申报的所有资料都是真实、准确、完整的；</w:t>
      </w:r>
    </w:p>
    <w:p w14:paraId="496984F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2.我方无资质挂靠情形，保证不参与串标、围标及抬标；</w:t>
      </w:r>
    </w:p>
    <w:p w14:paraId="569F7E1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3.我方未处于被各级行政主管部门做出停止市场行为处罚的期限内；</w:t>
      </w:r>
    </w:p>
    <w:p w14:paraId="5D0A27C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4.我方参加本项目政府采购活动前3年内在经营活动中没有重大违法记录、没有受到行政处罚、行政处理（含通报）或记入不良行为；</w:t>
      </w:r>
    </w:p>
    <w:p w14:paraId="658423D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5.我方法人代表、主要负责人所在的公司在近三年内没有违法违规行为；</w:t>
      </w:r>
    </w:p>
    <w:p w14:paraId="7D6699D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6.若我方中标，将严格按照规定及时与采购人签订合同；</w:t>
      </w:r>
    </w:p>
    <w:p w14:paraId="3FC4D9E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7.若我方中标，将严格按照磋商文件要求及响应文件承诺的报价、质量、工期、响应方案、项目负责人等内容组织实施；</w:t>
      </w:r>
    </w:p>
    <w:p w14:paraId="31AC130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若违反上述承诺，隐瞒、提供虚假资料或不按磋商文件要求组织实施或参与串标、抬标及围标等行为，被贵方发现或被他人举报查实，无条件接受采购人、行政监管部门作出的取消投标资格、中标资格、解除合同、拒绝后续政府采购投标、不良行为记录等的处罚。对造成的损失，任何法律和经济责任完全由我方负责。</w:t>
      </w:r>
    </w:p>
    <w:p w14:paraId="17761A0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特此承诺。</w:t>
      </w:r>
    </w:p>
    <w:p w14:paraId="5A7D8F7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szCs w:val="24"/>
          <w:highlight w:val="none"/>
        </w:rPr>
        <w:t>（盖章）</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p>
    <w:p w14:paraId="01704F3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lang w:val="en-US" w:eastAsia="zh-CN"/>
        </w:rPr>
        <w:t>法定代表人或授权代表（</w:t>
      </w:r>
      <w:r>
        <w:rPr>
          <w:rFonts w:hint="eastAsia" w:ascii="宋体" w:hAnsi="宋体" w:eastAsia="宋体" w:cs="宋体"/>
          <w:color w:val="auto"/>
          <w:sz w:val="24"/>
          <w:szCs w:val="24"/>
          <w:highlight w:val="none"/>
        </w:rPr>
        <w:t>签字</w:t>
      </w:r>
      <w:r>
        <w:rPr>
          <w:rFonts w:hint="eastAsia" w:ascii="宋体" w:hAnsi="宋体" w:eastAsia="宋体" w:cs="宋体"/>
          <w:color w:val="auto"/>
          <w:sz w:val="24"/>
          <w:szCs w:val="24"/>
          <w:highlight w:val="none"/>
          <w:lang w:val="en-US" w:eastAsia="zh-CN"/>
        </w:rPr>
        <w:t>或盖章）</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p>
    <w:p w14:paraId="7C5C1FB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3B77D97C">
      <w:pP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14:paraId="15F61462">
      <w:pPr>
        <w:snapToGrid w:val="0"/>
        <w:spacing w:before="100" w:beforeAutospacing="1" w:after="100" w:afterAutospacing="1" w:line="276" w:lineRule="auto"/>
        <w:ind w:firstLine="643" w:firstLineChars="20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val="en-US" w:eastAsia="zh-CN"/>
        </w:rPr>
        <w:t>九</w:t>
      </w:r>
      <w:r>
        <w:rPr>
          <w:rFonts w:hint="eastAsia" w:ascii="宋体" w:hAnsi="宋体" w:eastAsia="宋体" w:cs="宋体"/>
          <w:b/>
          <w:bCs/>
          <w:color w:val="auto"/>
          <w:sz w:val="32"/>
          <w:szCs w:val="32"/>
          <w:highlight w:val="none"/>
        </w:rPr>
        <w:t>、法定代表人授权委托书格式</w:t>
      </w:r>
    </w:p>
    <w:p w14:paraId="21E9B53E">
      <w:pPr>
        <w:snapToGrid w:val="0"/>
        <w:spacing w:before="100" w:beforeAutospacing="1" w:after="100" w:afterAutospacing="1" w:line="276" w:lineRule="auto"/>
        <w:ind w:firstLine="602" w:firstLineChars="200"/>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法定代表人授权委托书</w:t>
      </w:r>
    </w:p>
    <w:p w14:paraId="1A9E8DCE">
      <w:pPr>
        <w:snapToGrid w:val="0"/>
        <w:spacing w:before="100" w:beforeAutospacing="1" w:after="100" w:afterAutospacing="1" w:line="276" w:lineRule="auto"/>
        <w:ind w:firstLine="480" w:firstLineChars="200"/>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（采购单位名称）</w:t>
      </w:r>
      <w:r>
        <w:rPr>
          <w:rFonts w:hint="eastAsia" w:ascii="宋体" w:hAnsi="宋体" w:eastAsia="宋体" w:cs="宋体"/>
          <w:b/>
          <w:bCs/>
          <w:color w:val="auto"/>
          <w:sz w:val="24"/>
          <w:szCs w:val="24"/>
          <w:highlight w:val="none"/>
        </w:rPr>
        <w:t xml:space="preserve"> </w:t>
      </w:r>
      <w:r>
        <w:rPr>
          <w:rFonts w:hint="eastAsia" w:ascii="宋体" w:hAnsi="宋体" w:eastAsia="宋体" w:cs="宋体"/>
          <w:color w:val="auto"/>
          <w:sz w:val="24"/>
          <w:szCs w:val="24"/>
          <w:highlight w:val="none"/>
        </w:rPr>
        <w:t>：</w:t>
      </w:r>
    </w:p>
    <w:p w14:paraId="4234466C">
      <w:pPr>
        <w:snapToGrid w:val="0"/>
        <w:spacing w:before="100" w:beforeAutospacing="1" w:after="100" w:afterAutospacing="1" w:line="27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我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（姓名）系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（供应商名称）的法定代表人，现授权委托本单位在职职工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（姓名）以我方的名义参加</w:t>
      </w:r>
      <w:r>
        <w:rPr>
          <w:rFonts w:hint="eastAsia" w:ascii="宋体" w:hAnsi="宋体" w:eastAsia="宋体" w:cs="宋体"/>
          <w:b/>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嘉善县天凝中学2025年度校舍常规维修</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政府采购项目的磋商活动，并代表我方全权办理针对上述项目的磋商、开标、评标、签约等具体事务和签署相关文件。</w:t>
      </w:r>
    </w:p>
    <w:p w14:paraId="1C2D1D27">
      <w:pPr>
        <w:snapToGrid w:val="0"/>
        <w:spacing w:line="27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我方对被授权人的签名负全部责任。</w:t>
      </w:r>
    </w:p>
    <w:p w14:paraId="204EA456">
      <w:pPr>
        <w:snapToGrid w:val="0"/>
        <w:spacing w:line="27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在撤销授权的书面通知以前，本授权书一直有效。被授权人在授权书有效期内签署的所有文件不因授权的撤销而失效。</w:t>
      </w:r>
    </w:p>
    <w:p w14:paraId="43398AD4">
      <w:pPr>
        <w:snapToGrid w:val="0"/>
        <w:spacing w:line="27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被授权人无转委托权，特此委托。</w:t>
      </w:r>
    </w:p>
    <w:p w14:paraId="1B459C1B">
      <w:pPr>
        <w:snapToGrid w:val="0"/>
        <w:spacing w:before="100" w:beforeAutospacing="1" w:after="100" w:afterAutospacing="1" w:line="276" w:lineRule="auto"/>
        <w:ind w:firstLine="480" w:firstLineChars="200"/>
        <w:rPr>
          <w:rFonts w:hint="eastAsia" w:ascii="宋体" w:hAnsi="宋体" w:eastAsia="宋体" w:cs="宋体"/>
          <w:color w:val="auto"/>
          <w:sz w:val="24"/>
          <w:szCs w:val="24"/>
          <w:highlight w:val="none"/>
        </w:rPr>
      </w:pPr>
    </w:p>
    <w:p w14:paraId="172BE2AF">
      <w:pPr>
        <w:snapToGrid w:val="0"/>
        <w:spacing w:before="100" w:beforeAutospacing="1" w:after="100" w:afterAutospacing="1" w:line="276"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被授权人（</w:t>
      </w:r>
      <w:r>
        <w:rPr>
          <w:rFonts w:hint="eastAsia" w:ascii="宋体" w:hAnsi="宋体" w:cs="宋体"/>
          <w:color w:val="auto"/>
          <w:sz w:val="24"/>
          <w:szCs w:val="24"/>
          <w:highlight w:val="none"/>
        </w:rPr>
        <w:t>签字</w:t>
      </w:r>
      <w:r>
        <w:rPr>
          <w:rFonts w:hint="eastAsia" w:ascii="宋体" w:hAnsi="宋体" w:eastAsia="宋体" w:cs="宋体"/>
          <w:color w:val="auto"/>
          <w:sz w:val="24"/>
          <w:szCs w:val="24"/>
          <w:highlight w:val="none"/>
        </w:rPr>
        <w:t>或盖章）：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法定代表人（</w:t>
      </w:r>
      <w:r>
        <w:rPr>
          <w:rFonts w:hint="eastAsia" w:ascii="宋体" w:hAnsi="宋体" w:cs="宋体"/>
          <w:color w:val="auto"/>
          <w:sz w:val="24"/>
          <w:szCs w:val="24"/>
          <w:highlight w:val="none"/>
        </w:rPr>
        <w:t>签字</w:t>
      </w:r>
      <w:r>
        <w:rPr>
          <w:rFonts w:hint="eastAsia" w:ascii="宋体" w:hAnsi="宋体" w:eastAsia="宋体" w:cs="宋体"/>
          <w:color w:val="auto"/>
          <w:sz w:val="24"/>
          <w:szCs w:val="24"/>
          <w:highlight w:val="none"/>
        </w:rPr>
        <w:t>或盖章）：</w:t>
      </w:r>
      <w:r>
        <w:rPr>
          <w:rFonts w:hint="eastAsia" w:ascii="宋体" w:hAnsi="宋体" w:eastAsia="宋体" w:cs="宋体"/>
          <w:color w:val="auto"/>
          <w:sz w:val="24"/>
          <w:szCs w:val="24"/>
          <w:highlight w:val="none"/>
          <w:u w:val="single"/>
        </w:rPr>
        <w:t xml:space="preserve">          </w:t>
      </w:r>
    </w:p>
    <w:p w14:paraId="1DCBDF2E">
      <w:pPr>
        <w:snapToGrid w:val="0"/>
        <w:spacing w:before="100" w:beforeAutospacing="1" w:after="100" w:afterAutospacing="1" w:line="27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职务：</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职务：</w:t>
      </w:r>
      <w:r>
        <w:rPr>
          <w:rFonts w:hint="eastAsia" w:ascii="宋体" w:hAnsi="宋体" w:eastAsia="宋体" w:cs="宋体"/>
          <w:color w:val="auto"/>
          <w:sz w:val="24"/>
          <w:szCs w:val="24"/>
          <w:highlight w:val="none"/>
          <w:u w:val="single"/>
        </w:rPr>
        <w:t xml:space="preserve">           </w:t>
      </w:r>
    </w:p>
    <w:p w14:paraId="35691B3B">
      <w:pPr>
        <w:snapToGrid w:val="0"/>
        <w:spacing w:before="100" w:beforeAutospacing="1" w:after="100" w:afterAutospacing="1" w:line="27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被授权人身份证号码：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02CDC0A2">
      <w:pPr>
        <w:snapToGrid w:val="0"/>
        <w:spacing w:before="100" w:beforeAutospacing="1" w:after="100" w:afterAutospacing="1" w:line="276" w:lineRule="auto"/>
        <w:ind w:right="960"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szCs w:val="24"/>
          <w:highlight w:val="none"/>
        </w:rPr>
        <w:t>（盖章）</w:t>
      </w:r>
      <w:r>
        <w:rPr>
          <w:rFonts w:hint="eastAsia" w:ascii="宋体" w:hAnsi="宋体" w:eastAsia="宋体" w:cs="宋体"/>
          <w:color w:val="auto"/>
          <w:sz w:val="24"/>
          <w:szCs w:val="24"/>
          <w:highlight w:val="none"/>
        </w:rPr>
        <w:t>：</w:t>
      </w:r>
    </w:p>
    <w:p w14:paraId="4589DD7D">
      <w:pPr>
        <w:snapToGrid w:val="0"/>
        <w:spacing w:before="100" w:beforeAutospacing="1" w:after="100" w:afterAutospacing="1" w:line="27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年    月    日</w:t>
      </w:r>
    </w:p>
    <w:tbl>
      <w:tblPr>
        <w:tblStyle w:val="24"/>
        <w:tblpPr w:leftFromText="180" w:rightFromText="180" w:vertAnchor="text" w:tblpX="199" w:tblpY="1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0"/>
      </w:tblGrid>
      <w:tr w14:paraId="3A30D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9" w:hRule="atLeast"/>
        </w:trPr>
        <w:tc>
          <w:tcPr>
            <w:tcW w:w="6720" w:type="dxa"/>
            <w:noWrap w:val="0"/>
            <w:vAlign w:val="top"/>
          </w:tcPr>
          <w:p w14:paraId="1B7482F4">
            <w:pPr>
              <w:spacing w:line="300" w:lineRule="auto"/>
              <w:rPr>
                <w:rFonts w:hint="eastAsia" w:ascii="宋体" w:hAnsi="宋体" w:eastAsia="宋体" w:cs="宋体"/>
                <w:b/>
                <w:bCs/>
                <w:color w:val="auto"/>
                <w:sz w:val="44"/>
                <w:szCs w:val="44"/>
                <w:highlight w:val="none"/>
              </w:rPr>
            </w:pPr>
          </w:p>
          <w:p w14:paraId="4DF5BE8F">
            <w:pPr>
              <w:spacing w:line="300" w:lineRule="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被授权人身份证复印件（双面复印）</w:t>
            </w:r>
          </w:p>
        </w:tc>
      </w:tr>
    </w:tbl>
    <w:p w14:paraId="76E44DE2">
      <w:pP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br w:type="page"/>
      </w:r>
    </w:p>
    <w:p w14:paraId="401CDCCA">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十</w:t>
      </w:r>
      <w:r>
        <w:rPr>
          <w:rFonts w:hint="eastAsia" w:ascii="宋体" w:hAnsi="宋体" w:eastAsia="宋体" w:cs="宋体"/>
          <w:b/>
          <w:color w:val="auto"/>
          <w:sz w:val="32"/>
          <w:szCs w:val="32"/>
          <w:highlight w:val="none"/>
        </w:rPr>
        <w:t>、供应商基本情况表格式</w:t>
      </w:r>
    </w:p>
    <w:p w14:paraId="1FDD7A30">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供应商基本情况表</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2"/>
        <w:gridCol w:w="2118"/>
        <w:gridCol w:w="1980"/>
        <w:gridCol w:w="720"/>
        <w:gridCol w:w="720"/>
        <w:gridCol w:w="801"/>
      </w:tblGrid>
      <w:tr w14:paraId="2412C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noWrap w:val="0"/>
            <w:vAlign w:val="center"/>
          </w:tcPr>
          <w:p w14:paraId="6E38B631">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w:t>
            </w:r>
          </w:p>
        </w:tc>
        <w:tc>
          <w:tcPr>
            <w:tcW w:w="6339" w:type="dxa"/>
            <w:gridSpan w:val="5"/>
            <w:noWrap w:val="0"/>
            <w:vAlign w:val="center"/>
          </w:tcPr>
          <w:p w14:paraId="63FE14AA">
            <w:pPr>
              <w:spacing w:line="360" w:lineRule="auto"/>
              <w:ind w:firstLine="480" w:firstLineChars="200"/>
              <w:rPr>
                <w:rFonts w:hint="eastAsia" w:ascii="宋体" w:hAnsi="宋体" w:eastAsia="宋体" w:cs="宋体"/>
                <w:color w:val="auto"/>
                <w:sz w:val="24"/>
                <w:highlight w:val="none"/>
              </w:rPr>
            </w:pPr>
          </w:p>
        </w:tc>
      </w:tr>
      <w:tr w14:paraId="08A17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noWrap w:val="0"/>
            <w:vAlign w:val="center"/>
          </w:tcPr>
          <w:p w14:paraId="115EC934">
            <w:pPr>
              <w:spacing w:line="360" w:lineRule="auto"/>
              <w:ind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p>
        </w:tc>
        <w:tc>
          <w:tcPr>
            <w:tcW w:w="6339" w:type="dxa"/>
            <w:gridSpan w:val="5"/>
            <w:noWrap w:val="0"/>
            <w:vAlign w:val="center"/>
          </w:tcPr>
          <w:p w14:paraId="702C903B">
            <w:pPr>
              <w:spacing w:line="360" w:lineRule="auto"/>
              <w:ind w:firstLine="480" w:firstLineChars="200"/>
              <w:rPr>
                <w:rFonts w:hint="eastAsia" w:ascii="宋体" w:hAnsi="宋体" w:eastAsia="宋体" w:cs="宋体"/>
                <w:color w:val="auto"/>
                <w:sz w:val="24"/>
                <w:highlight w:val="none"/>
              </w:rPr>
            </w:pPr>
          </w:p>
        </w:tc>
      </w:tr>
      <w:tr w14:paraId="4857C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jc w:val="center"/>
        </w:trPr>
        <w:tc>
          <w:tcPr>
            <w:tcW w:w="2202" w:type="dxa"/>
            <w:noWrap w:val="0"/>
            <w:vAlign w:val="center"/>
          </w:tcPr>
          <w:p w14:paraId="20D044F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经营范围</w:t>
            </w:r>
          </w:p>
        </w:tc>
        <w:tc>
          <w:tcPr>
            <w:tcW w:w="2118" w:type="dxa"/>
            <w:noWrap w:val="0"/>
            <w:vAlign w:val="center"/>
          </w:tcPr>
          <w:p w14:paraId="1EA29476">
            <w:pPr>
              <w:spacing w:line="360" w:lineRule="auto"/>
              <w:ind w:firstLine="480" w:firstLineChars="200"/>
              <w:rPr>
                <w:rFonts w:hint="eastAsia" w:ascii="宋体" w:hAnsi="宋体" w:eastAsia="宋体" w:cs="宋体"/>
                <w:color w:val="auto"/>
                <w:sz w:val="24"/>
                <w:highlight w:val="none"/>
              </w:rPr>
            </w:pPr>
          </w:p>
        </w:tc>
        <w:tc>
          <w:tcPr>
            <w:tcW w:w="1980" w:type="dxa"/>
            <w:noWrap w:val="0"/>
            <w:vAlign w:val="center"/>
          </w:tcPr>
          <w:p w14:paraId="04B0EA6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企业类型</w:t>
            </w:r>
          </w:p>
        </w:tc>
        <w:tc>
          <w:tcPr>
            <w:tcW w:w="2241" w:type="dxa"/>
            <w:gridSpan w:val="3"/>
            <w:noWrap w:val="0"/>
            <w:vAlign w:val="center"/>
          </w:tcPr>
          <w:p w14:paraId="0666384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（大型、中型、小型、微型）</w:t>
            </w:r>
          </w:p>
        </w:tc>
      </w:tr>
      <w:tr w14:paraId="56602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noWrap w:val="0"/>
            <w:vAlign w:val="center"/>
          </w:tcPr>
          <w:p w14:paraId="185E09F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成立时间</w:t>
            </w:r>
          </w:p>
        </w:tc>
        <w:tc>
          <w:tcPr>
            <w:tcW w:w="2118" w:type="dxa"/>
            <w:noWrap w:val="0"/>
            <w:vAlign w:val="center"/>
          </w:tcPr>
          <w:p w14:paraId="3F0A550C">
            <w:pPr>
              <w:spacing w:line="360" w:lineRule="auto"/>
              <w:ind w:firstLine="480" w:firstLineChars="200"/>
              <w:rPr>
                <w:rFonts w:hint="eastAsia" w:ascii="宋体" w:hAnsi="宋体" w:eastAsia="宋体" w:cs="宋体"/>
                <w:color w:val="auto"/>
                <w:sz w:val="24"/>
                <w:highlight w:val="none"/>
              </w:rPr>
            </w:pPr>
          </w:p>
        </w:tc>
        <w:tc>
          <w:tcPr>
            <w:tcW w:w="1980" w:type="dxa"/>
            <w:noWrap w:val="0"/>
            <w:vAlign w:val="center"/>
          </w:tcPr>
          <w:p w14:paraId="1B93C05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经济性质</w:t>
            </w:r>
          </w:p>
        </w:tc>
        <w:tc>
          <w:tcPr>
            <w:tcW w:w="2241" w:type="dxa"/>
            <w:gridSpan w:val="3"/>
            <w:noWrap w:val="0"/>
            <w:vAlign w:val="center"/>
          </w:tcPr>
          <w:p w14:paraId="1CE285B4">
            <w:pPr>
              <w:spacing w:line="360" w:lineRule="auto"/>
              <w:ind w:firstLine="480" w:firstLineChars="200"/>
              <w:rPr>
                <w:rFonts w:hint="eastAsia" w:ascii="宋体" w:hAnsi="宋体" w:eastAsia="宋体" w:cs="宋体"/>
                <w:color w:val="auto"/>
                <w:sz w:val="24"/>
                <w:highlight w:val="none"/>
              </w:rPr>
            </w:pPr>
          </w:p>
        </w:tc>
      </w:tr>
      <w:tr w14:paraId="764AC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noWrap w:val="0"/>
            <w:vAlign w:val="center"/>
          </w:tcPr>
          <w:p w14:paraId="2EC713C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w:t>
            </w:r>
          </w:p>
        </w:tc>
        <w:tc>
          <w:tcPr>
            <w:tcW w:w="2118" w:type="dxa"/>
            <w:noWrap w:val="0"/>
            <w:vAlign w:val="center"/>
          </w:tcPr>
          <w:p w14:paraId="27A78EEC">
            <w:pPr>
              <w:spacing w:line="360" w:lineRule="auto"/>
              <w:ind w:firstLine="480" w:firstLineChars="200"/>
              <w:rPr>
                <w:rFonts w:hint="eastAsia" w:ascii="宋体" w:hAnsi="宋体" w:eastAsia="宋体" w:cs="宋体"/>
                <w:color w:val="auto"/>
                <w:sz w:val="24"/>
                <w:highlight w:val="none"/>
              </w:rPr>
            </w:pPr>
          </w:p>
        </w:tc>
        <w:tc>
          <w:tcPr>
            <w:tcW w:w="1980" w:type="dxa"/>
            <w:noWrap w:val="0"/>
            <w:vAlign w:val="center"/>
          </w:tcPr>
          <w:p w14:paraId="0ECA757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p>
        </w:tc>
        <w:tc>
          <w:tcPr>
            <w:tcW w:w="2241" w:type="dxa"/>
            <w:gridSpan w:val="3"/>
            <w:noWrap w:val="0"/>
            <w:vAlign w:val="center"/>
          </w:tcPr>
          <w:p w14:paraId="587A80DF">
            <w:pPr>
              <w:spacing w:line="360" w:lineRule="auto"/>
              <w:ind w:firstLine="480" w:firstLineChars="200"/>
              <w:rPr>
                <w:rFonts w:hint="eastAsia" w:ascii="宋体" w:hAnsi="宋体" w:eastAsia="宋体" w:cs="宋体"/>
                <w:color w:val="auto"/>
                <w:sz w:val="24"/>
                <w:highlight w:val="none"/>
              </w:rPr>
            </w:pPr>
          </w:p>
        </w:tc>
      </w:tr>
      <w:tr w14:paraId="0C10E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Merge w:val="restart"/>
            <w:noWrap w:val="0"/>
            <w:vAlign w:val="center"/>
          </w:tcPr>
          <w:p w14:paraId="2F7DD83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注册资本</w:t>
            </w:r>
          </w:p>
        </w:tc>
        <w:tc>
          <w:tcPr>
            <w:tcW w:w="2118" w:type="dxa"/>
            <w:vMerge w:val="restart"/>
            <w:noWrap w:val="0"/>
            <w:vAlign w:val="center"/>
          </w:tcPr>
          <w:p w14:paraId="1D2B2F4F">
            <w:pPr>
              <w:spacing w:line="360" w:lineRule="auto"/>
              <w:ind w:firstLine="480" w:firstLineChars="200"/>
              <w:rPr>
                <w:rFonts w:hint="eastAsia" w:ascii="宋体" w:hAnsi="宋体" w:eastAsia="宋体" w:cs="宋体"/>
                <w:color w:val="auto"/>
                <w:sz w:val="24"/>
                <w:highlight w:val="none"/>
              </w:rPr>
            </w:pPr>
          </w:p>
        </w:tc>
        <w:tc>
          <w:tcPr>
            <w:tcW w:w="1980" w:type="dxa"/>
            <w:vMerge w:val="restart"/>
            <w:noWrap w:val="0"/>
            <w:vAlign w:val="center"/>
          </w:tcPr>
          <w:p w14:paraId="327CFFE0">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技术人员数</w:t>
            </w:r>
          </w:p>
        </w:tc>
        <w:tc>
          <w:tcPr>
            <w:tcW w:w="720" w:type="dxa"/>
            <w:noWrap w:val="0"/>
            <w:vAlign w:val="center"/>
          </w:tcPr>
          <w:p w14:paraId="6835C5D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高级</w:t>
            </w:r>
          </w:p>
        </w:tc>
        <w:tc>
          <w:tcPr>
            <w:tcW w:w="720" w:type="dxa"/>
            <w:noWrap w:val="0"/>
            <w:vAlign w:val="center"/>
          </w:tcPr>
          <w:p w14:paraId="46143C2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中级</w:t>
            </w:r>
          </w:p>
        </w:tc>
        <w:tc>
          <w:tcPr>
            <w:tcW w:w="801" w:type="dxa"/>
            <w:noWrap w:val="0"/>
            <w:vAlign w:val="center"/>
          </w:tcPr>
          <w:p w14:paraId="1A86515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初级</w:t>
            </w:r>
          </w:p>
        </w:tc>
      </w:tr>
      <w:tr w14:paraId="688DE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Merge w:val="continue"/>
            <w:noWrap w:val="0"/>
            <w:vAlign w:val="center"/>
          </w:tcPr>
          <w:p w14:paraId="189FC4E3">
            <w:pPr>
              <w:spacing w:line="360" w:lineRule="auto"/>
              <w:ind w:firstLine="480" w:firstLineChars="200"/>
              <w:rPr>
                <w:rFonts w:hint="eastAsia" w:ascii="宋体" w:hAnsi="宋体" w:eastAsia="宋体" w:cs="宋体"/>
                <w:color w:val="auto"/>
                <w:sz w:val="24"/>
                <w:highlight w:val="none"/>
              </w:rPr>
            </w:pPr>
          </w:p>
        </w:tc>
        <w:tc>
          <w:tcPr>
            <w:tcW w:w="2118" w:type="dxa"/>
            <w:vMerge w:val="continue"/>
            <w:noWrap w:val="0"/>
            <w:vAlign w:val="center"/>
          </w:tcPr>
          <w:p w14:paraId="20A00F98">
            <w:pPr>
              <w:spacing w:line="360" w:lineRule="auto"/>
              <w:ind w:firstLine="480" w:firstLineChars="200"/>
              <w:rPr>
                <w:rFonts w:hint="eastAsia" w:ascii="宋体" w:hAnsi="宋体" w:eastAsia="宋体" w:cs="宋体"/>
                <w:color w:val="auto"/>
                <w:sz w:val="24"/>
                <w:highlight w:val="none"/>
              </w:rPr>
            </w:pPr>
          </w:p>
        </w:tc>
        <w:tc>
          <w:tcPr>
            <w:tcW w:w="1980" w:type="dxa"/>
            <w:vMerge w:val="continue"/>
            <w:noWrap w:val="0"/>
            <w:vAlign w:val="center"/>
          </w:tcPr>
          <w:p w14:paraId="757B1E65">
            <w:pPr>
              <w:spacing w:line="360" w:lineRule="auto"/>
              <w:ind w:firstLine="480" w:firstLineChars="200"/>
              <w:rPr>
                <w:rFonts w:hint="eastAsia" w:ascii="宋体" w:hAnsi="宋体" w:eastAsia="宋体" w:cs="宋体"/>
                <w:color w:val="auto"/>
                <w:sz w:val="24"/>
                <w:highlight w:val="none"/>
              </w:rPr>
            </w:pPr>
          </w:p>
        </w:tc>
        <w:tc>
          <w:tcPr>
            <w:tcW w:w="720" w:type="dxa"/>
            <w:noWrap w:val="0"/>
            <w:vAlign w:val="center"/>
          </w:tcPr>
          <w:p w14:paraId="51E75D7F">
            <w:pPr>
              <w:spacing w:line="360" w:lineRule="auto"/>
              <w:ind w:firstLine="480" w:firstLineChars="200"/>
              <w:rPr>
                <w:rFonts w:hint="eastAsia" w:ascii="宋体" w:hAnsi="宋体" w:eastAsia="宋体" w:cs="宋体"/>
                <w:color w:val="auto"/>
                <w:sz w:val="24"/>
                <w:highlight w:val="none"/>
              </w:rPr>
            </w:pPr>
          </w:p>
        </w:tc>
        <w:tc>
          <w:tcPr>
            <w:tcW w:w="720" w:type="dxa"/>
            <w:noWrap w:val="0"/>
            <w:vAlign w:val="center"/>
          </w:tcPr>
          <w:p w14:paraId="42712DB0">
            <w:pPr>
              <w:spacing w:line="360" w:lineRule="auto"/>
              <w:ind w:firstLine="480" w:firstLineChars="200"/>
              <w:rPr>
                <w:rFonts w:hint="eastAsia" w:ascii="宋体" w:hAnsi="宋体" w:eastAsia="宋体" w:cs="宋体"/>
                <w:color w:val="auto"/>
                <w:sz w:val="24"/>
                <w:highlight w:val="none"/>
              </w:rPr>
            </w:pPr>
          </w:p>
        </w:tc>
        <w:tc>
          <w:tcPr>
            <w:tcW w:w="801" w:type="dxa"/>
            <w:noWrap w:val="0"/>
            <w:vAlign w:val="center"/>
          </w:tcPr>
          <w:p w14:paraId="11715E47">
            <w:pPr>
              <w:spacing w:line="360" w:lineRule="auto"/>
              <w:ind w:firstLine="480" w:firstLineChars="200"/>
              <w:rPr>
                <w:rFonts w:hint="eastAsia" w:ascii="宋体" w:hAnsi="宋体" w:eastAsia="宋体" w:cs="宋体"/>
                <w:color w:val="auto"/>
                <w:sz w:val="24"/>
                <w:highlight w:val="none"/>
              </w:rPr>
            </w:pPr>
          </w:p>
        </w:tc>
      </w:tr>
      <w:tr w14:paraId="75586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noWrap w:val="0"/>
            <w:vAlign w:val="center"/>
          </w:tcPr>
          <w:p w14:paraId="420BCE3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资产总额</w:t>
            </w:r>
          </w:p>
        </w:tc>
        <w:tc>
          <w:tcPr>
            <w:tcW w:w="2118" w:type="dxa"/>
            <w:noWrap w:val="0"/>
            <w:vAlign w:val="center"/>
          </w:tcPr>
          <w:p w14:paraId="534BB3AF">
            <w:pPr>
              <w:spacing w:line="360" w:lineRule="auto"/>
              <w:ind w:firstLine="480" w:firstLineChars="200"/>
              <w:rPr>
                <w:rFonts w:hint="eastAsia" w:ascii="宋体" w:hAnsi="宋体" w:eastAsia="宋体" w:cs="宋体"/>
                <w:color w:val="auto"/>
                <w:sz w:val="24"/>
                <w:highlight w:val="none"/>
              </w:rPr>
            </w:pPr>
          </w:p>
        </w:tc>
        <w:tc>
          <w:tcPr>
            <w:tcW w:w="1980" w:type="dxa"/>
            <w:noWrap w:val="0"/>
            <w:vAlign w:val="center"/>
          </w:tcPr>
          <w:p w14:paraId="36533DA5">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所有者权益</w:t>
            </w:r>
          </w:p>
        </w:tc>
        <w:tc>
          <w:tcPr>
            <w:tcW w:w="2241" w:type="dxa"/>
            <w:gridSpan w:val="3"/>
            <w:noWrap w:val="0"/>
            <w:vAlign w:val="center"/>
          </w:tcPr>
          <w:p w14:paraId="04EC47C3">
            <w:pPr>
              <w:spacing w:line="360" w:lineRule="auto"/>
              <w:ind w:firstLine="480" w:firstLineChars="200"/>
              <w:rPr>
                <w:rFonts w:hint="eastAsia" w:ascii="宋体" w:hAnsi="宋体" w:eastAsia="宋体" w:cs="宋体"/>
                <w:color w:val="auto"/>
                <w:sz w:val="24"/>
                <w:highlight w:val="none"/>
              </w:rPr>
            </w:pPr>
          </w:p>
        </w:tc>
      </w:tr>
      <w:tr w14:paraId="59E6E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noWrap w:val="0"/>
            <w:vAlign w:val="center"/>
          </w:tcPr>
          <w:p w14:paraId="04302E52">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是否依法纳税</w:t>
            </w:r>
          </w:p>
        </w:tc>
        <w:tc>
          <w:tcPr>
            <w:tcW w:w="2118" w:type="dxa"/>
            <w:noWrap w:val="0"/>
            <w:vAlign w:val="center"/>
          </w:tcPr>
          <w:p w14:paraId="6A0A3683">
            <w:pPr>
              <w:spacing w:line="360" w:lineRule="auto"/>
              <w:ind w:firstLine="480" w:firstLineChars="200"/>
              <w:rPr>
                <w:rFonts w:hint="eastAsia" w:ascii="宋体" w:hAnsi="宋体" w:eastAsia="宋体" w:cs="宋体"/>
                <w:color w:val="auto"/>
                <w:sz w:val="24"/>
                <w:highlight w:val="none"/>
              </w:rPr>
            </w:pPr>
          </w:p>
        </w:tc>
        <w:tc>
          <w:tcPr>
            <w:tcW w:w="1980" w:type="dxa"/>
            <w:noWrap w:val="0"/>
            <w:vAlign w:val="center"/>
          </w:tcPr>
          <w:p w14:paraId="0E2DB188">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是否参加社保</w:t>
            </w:r>
          </w:p>
        </w:tc>
        <w:tc>
          <w:tcPr>
            <w:tcW w:w="2241" w:type="dxa"/>
            <w:gridSpan w:val="3"/>
            <w:noWrap w:val="0"/>
            <w:vAlign w:val="center"/>
          </w:tcPr>
          <w:p w14:paraId="16BAE692">
            <w:pPr>
              <w:spacing w:line="360" w:lineRule="auto"/>
              <w:ind w:firstLine="480" w:firstLineChars="200"/>
              <w:rPr>
                <w:rFonts w:hint="eastAsia" w:ascii="宋体" w:hAnsi="宋体" w:eastAsia="宋体" w:cs="宋体"/>
                <w:color w:val="auto"/>
                <w:sz w:val="24"/>
                <w:highlight w:val="none"/>
              </w:rPr>
            </w:pPr>
          </w:p>
        </w:tc>
      </w:tr>
      <w:tr w14:paraId="7C721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4" w:hRule="atLeast"/>
          <w:jc w:val="center"/>
        </w:trPr>
        <w:tc>
          <w:tcPr>
            <w:tcW w:w="2202" w:type="dxa"/>
            <w:noWrap w:val="0"/>
            <w:vAlign w:val="center"/>
          </w:tcPr>
          <w:p w14:paraId="5B0D64C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本地化服务机构情况</w:t>
            </w:r>
          </w:p>
        </w:tc>
        <w:tc>
          <w:tcPr>
            <w:tcW w:w="6339" w:type="dxa"/>
            <w:gridSpan w:val="5"/>
            <w:noWrap w:val="0"/>
            <w:vAlign w:val="center"/>
          </w:tcPr>
          <w:p w14:paraId="2407ED5E">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本地化服务机构名称：</w:t>
            </w:r>
          </w:p>
          <w:p w14:paraId="51ED1CD6">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p>
          <w:p w14:paraId="7DA27EDD">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人员状况：</w:t>
            </w:r>
          </w:p>
          <w:p w14:paraId="51292D11">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联系方式：</w:t>
            </w:r>
          </w:p>
          <w:p w14:paraId="573D4B5B">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（可另附纸说明）</w:t>
            </w:r>
          </w:p>
        </w:tc>
      </w:tr>
    </w:tbl>
    <w:p w14:paraId="18DDE3CC">
      <w:pPr>
        <w:spacing w:line="360" w:lineRule="auto"/>
        <w:ind w:firstLine="480" w:firstLineChars="200"/>
        <w:jc w:val="left"/>
        <w:rPr>
          <w:rFonts w:hint="eastAsia" w:ascii="宋体" w:hAnsi="宋体" w:eastAsia="宋体" w:cs="宋体"/>
          <w:color w:val="auto"/>
          <w:sz w:val="24"/>
          <w:highlight w:val="none"/>
          <w:lang w:eastAsia="zh-CN"/>
        </w:rPr>
      </w:pPr>
    </w:p>
    <w:p w14:paraId="5047061B">
      <w:pPr>
        <w:spacing w:line="360" w:lineRule="auto"/>
        <w:ind w:firstLine="3360" w:firstLineChars="1400"/>
        <w:contextualSpacing/>
        <w:rPr>
          <w:rFonts w:hint="eastAsia" w:ascii="宋体" w:hAnsi="宋体" w:eastAsia="宋体" w:cs="宋体"/>
          <w:color w:val="auto"/>
          <w:sz w:val="24"/>
          <w:szCs w:val="24"/>
          <w:highlight w:val="none"/>
        </w:rPr>
      </w:pPr>
    </w:p>
    <w:p w14:paraId="56C4BF16">
      <w:pPr>
        <w:spacing w:line="300" w:lineRule="auto"/>
        <w:ind w:firstLine="2400" w:firstLineChars="1000"/>
        <w:rPr>
          <w:rFonts w:hint="eastAsia" w:ascii="宋体" w:hAnsi="宋体" w:eastAsia="宋体" w:cs="宋体"/>
          <w:color w:val="auto"/>
          <w:szCs w:val="24"/>
          <w:highlight w:val="none"/>
        </w:rPr>
      </w:pPr>
      <w:r>
        <w:rPr>
          <w:rFonts w:hint="eastAsia" w:ascii="宋体" w:hAnsi="宋体" w:eastAsia="宋体" w:cs="宋体"/>
          <w:color w:val="auto"/>
          <w:sz w:val="24"/>
          <w:szCs w:val="24"/>
          <w:highlight w:val="none"/>
          <w:lang w:val="en-US" w:eastAsia="zh-CN"/>
        </w:rPr>
        <w:t>法定代表人或授权代表（</w:t>
      </w:r>
      <w:r>
        <w:rPr>
          <w:rFonts w:hint="eastAsia" w:ascii="宋体" w:hAnsi="宋体" w:eastAsia="宋体" w:cs="宋体"/>
          <w:color w:val="auto"/>
          <w:sz w:val="24"/>
          <w:szCs w:val="24"/>
          <w:highlight w:val="none"/>
        </w:rPr>
        <w:t>签字</w:t>
      </w:r>
      <w:r>
        <w:rPr>
          <w:rFonts w:hint="eastAsia" w:ascii="宋体" w:hAnsi="宋体" w:eastAsia="宋体" w:cs="宋体"/>
          <w:color w:val="auto"/>
          <w:sz w:val="24"/>
          <w:szCs w:val="24"/>
          <w:highlight w:val="none"/>
          <w:lang w:val="en-US" w:eastAsia="zh-CN"/>
        </w:rPr>
        <w:t>或盖章）：</w:t>
      </w:r>
      <w:r>
        <w:rPr>
          <w:rFonts w:hint="eastAsia" w:ascii="宋体" w:hAnsi="宋体" w:eastAsia="宋体" w:cs="宋体"/>
          <w:color w:val="auto"/>
          <w:szCs w:val="24"/>
          <w:highlight w:val="none"/>
        </w:rPr>
        <w:t>________________</w:t>
      </w:r>
    </w:p>
    <w:p w14:paraId="5F0D2B9C">
      <w:pPr>
        <w:spacing w:line="300" w:lineRule="auto"/>
        <w:ind w:firstLine="4800" w:firstLineChars="2000"/>
        <w:rPr>
          <w:rFonts w:hint="eastAsia" w:ascii="宋体" w:hAnsi="宋体" w:eastAsia="宋体" w:cs="宋体"/>
          <w:i w:val="0"/>
          <w:iCs w:val="0"/>
          <w:color w:val="auto"/>
          <w:sz w:val="24"/>
          <w:szCs w:val="24"/>
          <w:highlight w:val="none"/>
          <w:u w:val="single"/>
          <w:lang w:val="en-US" w:eastAsia="zh-CN"/>
        </w:rPr>
      </w:pPr>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szCs w:val="24"/>
          <w:highlight w:val="none"/>
        </w:rPr>
        <w:t>（盖章）：</w:t>
      </w:r>
      <w:r>
        <w:rPr>
          <w:rFonts w:hint="eastAsia" w:ascii="宋体" w:hAnsi="宋体" w:eastAsia="宋体" w:cs="宋体"/>
          <w:i w:val="0"/>
          <w:iCs w:val="0"/>
          <w:color w:val="auto"/>
          <w:sz w:val="24"/>
          <w:szCs w:val="24"/>
          <w:highlight w:val="none"/>
          <w:u w:val="single"/>
          <w:lang w:val="en-US" w:eastAsia="zh-CN"/>
        </w:rPr>
        <w:t xml:space="preserve">               </w:t>
      </w:r>
    </w:p>
    <w:p w14:paraId="6B850B76">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日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期：_____年____月____日</w:t>
      </w:r>
    </w:p>
    <w:p w14:paraId="22D83CE3">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445A16F1">
      <w:pPr>
        <w:snapToGrid w:val="0"/>
        <w:spacing w:before="100" w:beforeAutospacing="1" w:after="100" w:afterAutospacing="1" w:line="360" w:lineRule="exact"/>
        <w:ind w:firstLine="0" w:firstLineChars="0"/>
        <w:jc w:val="center"/>
        <w:rPr>
          <w:rFonts w:hint="eastAsia" w:ascii="宋体" w:hAnsi="宋体" w:eastAsia="宋体" w:cs="宋体"/>
          <w:b/>
          <w:bCs/>
          <w:color w:val="auto"/>
          <w:sz w:val="32"/>
          <w:szCs w:val="32"/>
          <w:highlight w:val="none"/>
        </w:rPr>
      </w:pPr>
      <w:r>
        <w:rPr>
          <w:rFonts w:hint="eastAsia" w:ascii="宋体" w:hAnsi="宋体" w:eastAsia="宋体" w:cs="宋体"/>
          <w:b/>
          <w:color w:val="auto"/>
          <w:sz w:val="32"/>
          <w:szCs w:val="32"/>
          <w:highlight w:val="none"/>
          <w:lang w:val="en-US" w:eastAsia="zh-CN"/>
        </w:rPr>
        <w:t>十一</w:t>
      </w:r>
      <w:r>
        <w:rPr>
          <w:rFonts w:hint="eastAsia" w:ascii="宋体" w:hAnsi="宋体" w:eastAsia="宋体" w:cs="宋体"/>
          <w:b/>
          <w:color w:val="auto"/>
          <w:sz w:val="32"/>
          <w:szCs w:val="32"/>
          <w:highlight w:val="none"/>
        </w:rPr>
        <w:t>、项目负责人简历表格式</w:t>
      </w:r>
    </w:p>
    <w:p w14:paraId="37EE7B9F">
      <w:pPr>
        <w:snapToGrid w:val="0"/>
        <w:spacing w:before="100" w:beforeAutospacing="1" w:after="100" w:afterAutospacing="1" w:line="276" w:lineRule="auto"/>
        <w:ind w:firstLine="0" w:firstLineChars="0"/>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项目负责人简历表</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179"/>
        <w:gridCol w:w="1625"/>
        <w:gridCol w:w="1093"/>
        <w:gridCol w:w="342"/>
        <w:gridCol w:w="899"/>
        <w:gridCol w:w="1524"/>
        <w:gridCol w:w="273"/>
        <w:gridCol w:w="1870"/>
      </w:tblGrid>
      <w:tr w14:paraId="0EA15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9" w:type="dxa"/>
            <w:noWrap w:val="0"/>
            <w:vAlign w:val="center"/>
          </w:tcPr>
          <w:p w14:paraId="4D9EB7C9">
            <w:pPr>
              <w:spacing w:line="30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1804" w:type="dxa"/>
            <w:gridSpan w:val="2"/>
            <w:noWrap w:val="0"/>
            <w:vAlign w:val="center"/>
          </w:tcPr>
          <w:p w14:paraId="5F8BC055">
            <w:pPr>
              <w:spacing w:line="300" w:lineRule="auto"/>
              <w:ind w:firstLine="0" w:firstLineChars="0"/>
              <w:jc w:val="center"/>
              <w:rPr>
                <w:rFonts w:hint="eastAsia" w:ascii="宋体" w:hAnsi="宋体" w:eastAsia="宋体" w:cs="宋体"/>
                <w:color w:val="auto"/>
                <w:sz w:val="24"/>
                <w:szCs w:val="24"/>
                <w:highlight w:val="none"/>
              </w:rPr>
            </w:pPr>
          </w:p>
        </w:tc>
        <w:tc>
          <w:tcPr>
            <w:tcW w:w="1093" w:type="dxa"/>
            <w:noWrap w:val="0"/>
            <w:vAlign w:val="center"/>
          </w:tcPr>
          <w:p w14:paraId="35FBB3A5">
            <w:pPr>
              <w:spacing w:line="30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年龄</w:t>
            </w:r>
          </w:p>
        </w:tc>
        <w:tc>
          <w:tcPr>
            <w:tcW w:w="1241" w:type="dxa"/>
            <w:gridSpan w:val="2"/>
            <w:noWrap w:val="0"/>
            <w:vAlign w:val="center"/>
          </w:tcPr>
          <w:p w14:paraId="2ABD7FD0">
            <w:pPr>
              <w:spacing w:line="300" w:lineRule="auto"/>
              <w:ind w:firstLine="0" w:firstLineChars="0"/>
              <w:jc w:val="center"/>
              <w:rPr>
                <w:rFonts w:hint="eastAsia" w:ascii="宋体" w:hAnsi="宋体" w:eastAsia="宋体" w:cs="宋体"/>
                <w:color w:val="auto"/>
                <w:sz w:val="24"/>
                <w:szCs w:val="24"/>
                <w:highlight w:val="none"/>
              </w:rPr>
            </w:pPr>
          </w:p>
        </w:tc>
        <w:tc>
          <w:tcPr>
            <w:tcW w:w="1524" w:type="dxa"/>
            <w:noWrap w:val="0"/>
            <w:vAlign w:val="center"/>
          </w:tcPr>
          <w:p w14:paraId="21F3777D">
            <w:pPr>
              <w:spacing w:line="30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专业</w:t>
            </w:r>
          </w:p>
        </w:tc>
        <w:tc>
          <w:tcPr>
            <w:tcW w:w="2143" w:type="dxa"/>
            <w:gridSpan w:val="2"/>
            <w:noWrap w:val="0"/>
            <w:vAlign w:val="center"/>
          </w:tcPr>
          <w:p w14:paraId="299785BC">
            <w:pPr>
              <w:spacing w:line="300" w:lineRule="auto"/>
              <w:ind w:firstLine="0" w:firstLineChars="0"/>
              <w:jc w:val="center"/>
              <w:rPr>
                <w:rFonts w:hint="eastAsia" w:ascii="宋体" w:hAnsi="宋体" w:eastAsia="宋体" w:cs="宋体"/>
                <w:color w:val="auto"/>
                <w:sz w:val="24"/>
                <w:szCs w:val="24"/>
                <w:highlight w:val="none"/>
              </w:rPr>
            </w:pPr>
          </w:p>
        </w:tc>
      </w:tr>
      <w:tr w14:paraId="05CCB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1189" w:type="dxa"/>
            <w:noWrap w:val="0"/>
            <w:vAlign w:val="center"/>
          </w:tcPr>
          <w:p w14:paraId="0E01942F">
            <w:pPr>
              <w:spacing w:line="30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职称</w:t>
            </w:r>
          </w:p>
        </w:tc>
        <w:tc>
          <w:tcPr>
            <w:tcW w:w="1804" w:type="dxa"/>
            <w:gridSpan w:val="2"/>
            <w:noWrap w:val="0"/>
            <w:vAlign w:val="center"/>
          </w:tcPr>
          <w:p w14:paraId="21003AC3">
            <w:pPr>
              <w:spacing w:line="300" w:lineRule="auto"/>
              <w:ind w:firstLine="0" w:firstLineChars="0"/>
              <w:jc w:val="center"/>
              <w:rPr>
                <w:rFonts w:hint="eastAsia" w:ascii="宋体" w:hAnsi="宋体" w:eastAsia="宋体" w:cs="宋体"/>
                <w:color w:val="auto"/>
                <w:sz w:val="24"/>
                <w:szCs w:val="24"/>
                <w:highlight w:val="none"/>
              </w:rPr>
            </w:pPr>
          </w:p>
        </w:tc>
        <w:tc>
          <w:tcPr>
            <w:tcW w:w="1093" w:type="dxa"/>
            <w:noWrap w:val="0"/>
            <w:vAlign w:val="center"/>
          </w:tcPr>
          <w:p w14:paraId="6F9EC3B1">
            <w:pPr>
              <w:spacing w:line="30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职务</w:t>
            </w:r>
          </w:p>
        </w:tc>
        <w:tc>
          <w:tcPr>
            <w:tcW w:w="1241" w:type="dxa"/>
            <w:gridSpan w:val="2"/>
            <w:noWrap w:val="0"/>
            <w:vAlign w:val="center"/>
          </w:tcPr>
          <w:p w14:paraId="52CFBD9F">
            <w:pPr>
              <w:spacing w:line="300" w:lineRule="auto"/>
              <w:ind w:firstLine="0" w:firstLineChars="0"/>
              <w:jc w:val="center"/>
              <w:rPr>
                <w:rFonts w:hint="eastAsia" w:ascii="宋体" w:hAnsi="宋体" w:eastAsia="宋体" w:cs="宋体"/>
                <w:color w:val="auto"/>
                <w:sz w:val="24"/>
                <w:szCs w:val="24"/>
                <w:highlight w:val="none"/>
              </w:rPr>
            </w:pPr>
          </w:p>
        </w:tc>
        <w:tc>
          <w:tcPr>
            <w:tcW w:w="1524" w:type="dxa"/>
            <w:noWrap w:val="0"/>
            <w:vAlign w:val="center"/>
          </w:tcPr>
          <w:p w14:paraId="4FCDFE34">
            <w:pPr>
              <w:spacing w:line="30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拟在本项目</w:t>
            </w:r>
          </w:p>
          <w:p w14:paraId="24809046">
            <w:pPr>
              <w:spacing w:line="30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担任职务</w:t>
            </w:r>
          </w:p>
        </w:tc>
        <w:tc>
          <w:tcPr>
            <w:tcW w:w="2143" w:type="dxa"/>
            <w:gridSpan w:val="2"/>
            <w:noWrap w:val="0"/>
            <w:vAlign w:val="center"/>
          </w:tcPr>
          <w:p w14:paraId="0A6167D0">
            <w:pPr>
              <w:spacing w:line="300" w:lineRule="auto"/>
              <w:ind w:firstLine="0" w:firstLineChars="0"/>
              <w:jc w:val="center"/>
              <w:rPr>
                <w:rFonts w:hint="eastAsia" w:ascii="宋体" w:hAnsi="宋体" w:eastAsia="宋体" w:cs="宋体"/>
                <w:color w:val="auto"/>
                <w:sz w:val="24"/>
                <w:szCs w:val="24"/>
                <w:highlight w:val="none"/>
              </w:rPr>
            </w:pPr>
          </w:p>
        </w:tc>
      </w:tr>
      <w:tr w14:paraId="45275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89" w:type="dxa"/>
            <w:noWrap w:val="0"/>
            <w:vAlign w:val="center"/>
          </w:tcPr>
          <w:p w14:paraId="46818111">
            <w:pPr>
              <w:spacing w:line="30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注册资质</w:t>
            </w:r>
          </w:p>
        </w:tc>
        <w:tc>
          <w:tcPr>
            <w:tcW w:w="4138" w:type="dxa"/>
            <w:gridSpan w:val="5"/>
            <w:noWrap w:val="0"/>
            <w:vAlign w:val="center"/>
          </w:tcPr>
          <w:p w14:paraId="53B1AE3E">
            <w:pPr>
              <w:spacing w:line="300" w:lineRule="auto"/>
              <w:ind w:firstLine="0" w:firstLineChars="0"/>
              <w:jc w:val="center"/>
              <w:rPr>
                <w:rFonts w:hint="eastAsia" w:ascii="宋体" w:hAnsi="宋体" w:eastAsia="宋体" w:cs="宋体"/>
                <w:color w:val="auto"/>
                <w:sz w:val="24"/>
                <w:szCs w:val="24"/>
                <w:highlight w:val="none"/>
              </w:rPr>
            </w:pPr>
          </w:p>
        </w:tc>
        <w:tc>
          <w:tcPr>
            <w:tcW w:w="1524" w:type="dxa"/>
            <w:noWrap w:val="0"/>
            <w:vAlign w:val="center"/>
          </w:tcPr>
          <w:p w14:paraId="6C59AA28">
            <w:pPr>
              <w:spacing w:line="30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证书编号</w:t>
            </w:r>
          </w:p>
        </w:tc>
        <w:tc>
          <w:tcPr>
            <w:tcW w:w="2143" w:type="dxa"/>
            <w:gridSpan w:val="2"/>
            <w:noWrap w:val="0"/>
            <w:vAlign w:val="center"/>
          </w:tcPr>
          <w:p w14:paraId="4AC456E5">
            <w:pPr>
              <w:spacing w:line="300" w:lineRule="auto"/>
              <w:ind w:firstLine="0" w:firstLineChars="0"/>
              <w:jc w:val="center"/>
              <w:rPr>
                <w:rFonts w:hint="eastAsia" w:ascii="宋体" w:hAnsi="宋体" w:eastAsia="宋体" w:cs="宋体"/>
                <w:color w:val="auto"/>
                <w:sz w:val="24"/>
                <w:szCs w:val="24"/>
                <w:highlight w:val="none"/>
              </w:rPr>
            </w:pPr>
          </w:p>
        </w:tc>
      </w:tr>
      <w:tr w14:paraId="221CF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94" w:type="dxa"/>
            <w:gridSpan w:val="9"/>
            <w:noWrap w:val="0"/>
            <w:vAlign w:val="top"/>
          </w:tcPr>
          <w:p w14:paraId="3C971CFC">
            <w:pPr>
              <w:spacing w:line="30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    历</w:t>
            </w:r>
          </w:p>
        </w:tc>
      </w:tr>
      <w:tr w14:paraId="47CFA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gridSpan w:val="2"/>
            <w:noWrap w:val="0"/>
            <w:vAlign w:val="center"/>
          </w:tcPr>
          <w:p w14:paraId="37E9E182">
            <w:pPr>
              <w:spacing w:line="30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委托单位</w:t>
            </w:r>
          </w:p>
        </w:tc>
        <w:tc>
          <w:tcPr>
            <w:tcW w:w="1625" w:type="dxa"/>
            <w:noWrap w:val="0"/>
            <w:vAlign w:val="center"/>
          </w:tcPr>
          <w:p w14:paraId="5C8D6149">
            <w:pPr>
              <w:spacing w:line="30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参加过的</w:t>
            </w:r>
          </w:p>
          <w:p w14:paraId="687F83D7">
            <w:pPr>
              <w:spacing w:line="30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1435" w:type="dxa"/>
            <w:gridSpan w:val="2"/>
            <w:noWrap w:val="0"/>
            <w:vAlign w:val="center"/>
          </w:tcPr>
          <w:p w14:paraId="06050B04">
            <w:pPr>
              <w:spacing w:line="30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担任何职</w:t>
            </w:r>
          </w:p>
        </w:tc>
        <w:tc>
          <w:tcPr>
            <w:tcW w:w="2696" w:type="dxa"/>
            <w:gridSpan w:val="3"/>
            <w:noWrap w:val="0"/>
            <w:vAlign w:val="center"/>
          </w:tcPr>
          <w:p w14:paraId="0BEC67A2">
            <w:pPr>
              <w:spacing w:line="30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规模及结构类型</w:t>
            </w:r>
          </w:p>
        </w:tc>
        <w:tc>
          <w:tcPr>
            <w:tcW w:w="1870" w:type="dxa"/>
            <w:noWrap w:val="0"/>
            <w:vAlign w:val="center"/>
          </w:tcPr>
          <w:p w14:paraId="77B7C461">
            <w:pPr>
              <w:spacing w:line="30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  果</w:t>
            </w:r>
          </w:p>
          <w:p w14:paraId="5260668C">
            <w:pPr>
              <w:spacing w:line="30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（获奖情况）</w:t>
            </w:r>
          </w:p>
        </w:tc>
      </w:tr>
      <w:tr w14:paraId="6666F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noWrap w:val="0"/>
            <w:vAlign w:val="center"/>
          </w:tcPr>
          <w:p w14:paraId="1559B6B6">
            <w:pPr>
              <w:tabs>
                <w:tab w:val="left" w:pos="360"/>
                <w:tab w:val="left" w:pos="1800"/>
              </w:tabs>
              <w:spacing w:line="300" w:lineRule="auto"/>
              <w:ind w:firstLine="0" w:firstLineChars="0"/>
              <w:rPr>
                <w:rFonts w:hint="eastAsia" w:ascii="宋体" w:hAnsi="宋体" w:eastAsia="宋体" w:cs="宋体"/>
                <w:color w:val="auto"/>
                <w:highlight w:val="none"/>
              </w:rPr>
            </w:pPr>
          </w:p>
        </w:tc>
        <w:tc>
          <w:tcPr>
            <w:tcW w:w="1625" w:type="dxa"/>
            <w:noWrap w:val="0"/>
            <w:vAlign w:val="center"/>
          </w:tcPr>
          <w:p w14:paraId="079AD3CC">
            <w:pPr>
              <w:tabs>
                <w:tab w:val="left" w:pos="360"/>
                <w:tab w:val="left" w:pos="1800"/>
              </w:tabs>
              <w:spacing w:line="300" w:lineRule="auto"/>
              <w:ind w:firstLine="0" w:firstLineChars="0"/>
              <w:jc w:val="center"/>
              <w:rPr>
                <w:rFonts w:hint="eastAsia" w:ascii="宋体" w:hAnsi="宋体" w:eastAsia="宋体" w:cs="宋体"/>
                <w:color w:val="auto"/>
                <w:highlight w:val="none"/>
              </w:rPr>
            </w:pPr>
          </w:p>
        </w:tc>
        <w:tc>
          <w:tcPr>
            <w:tcW w:w="1435" w:type="dxa"/>
            <w:gridSpan w:val="2"/>
            <w:noWrap w:val="0"/>
            <w:vAlign w:val="center"/>
          </w:tcPr>
          <w:p w14:paraId="0975BC72">
            <w:pPr>
              <w:tabs>
                <w:tab w:val="left" w:pos="360"/>
                <w:tab w:val="left" w:pos="1800"/>
              </w:tabs>
              <w:spacing w:line="300" w:lineRule="auto"/>
              <w:ind w:firstLine="0" w:firstLineChars="0"/>
              <w:jc w:val="center"/>
              <w:rPr>
                <w:rFonts w:hint="eastAsia" w:ascii="宋体" w:hAnsi="宋体" w:eastAsia="宋体" w:cs="宋体"/>
                <w:color w:val="auto"/>
                <w:highlight w:val="none"/>
              </w:rPr>
            </w:pPr>
          </w:p>
        </w:tc>
        <w:tc>
          <w:tcPr>
            <w:tcW w:w="2696" w:type="dxa"/>
            <w:gridSpan w:val="3"/>
            <w:noWrap w:val="0"/>
            <w:vAlign w:val="center"/>
          </w:tcPr>
          <w:p w14:paraId="79CC54F5">
            <w:pPr>
              <w:tabs>
                <w:tab w:val="left" w:pos="360"/>
                <w:tab w:val="left" w:pos="1800"/>
              </w:tabs>
              <w:spacing w:line="300" w:lineRule="auto"/>
              <w:ind w:firstLine="0" w:firstLineChars="0"/>
              <w:jc w:val="center"/>
              <w:rPr>
                <w:rFonts w:hint="eastAsia" w:ascii="宋体" w:hAnsi="宋体" w:eastAsia="宋体" w:cs="宋体"/>
                <w:color w:val="auto"/>
                <w:highlight w:val="none"/>
              </w:rPr>
            </w:pPr>
          </w:p>
        </w:tc>
        <w:tc>
          <w:tcPr>
            <w:tcW w:w="1870" w:type="dxa"/>
            <w:noWrap w:val="0"/>
            <w:vAlign w:val="center"/>
          </w:tcPr>
          <w:p w14:paraId="78406722">
            <w:pPr>
              <w:tabs>
                <w:tab w:val="left" w:pos="360"/>
                <w:tab w:val="left" w:pos="1800"/>
              </w:tabs>
              <w:spacing w:line="300" w:lineRule="auto"/>
              <w:ind w:firstLine="0" w:firstLineChars="0"/>
              <w:jc w:val="center"/>
              <w:rPr>
                <w:rFonts w:hint="eastAsia" w:ascii="宋体" w:hAnsi="宋体" w:eastAsia="宋体" w:cs="宋体"/>
                <w:color w:val="auto"/>
                <w:highlight w:val="none"/>
              </w:rPr>
            </w:pPr>
          </w:p>
        </w:tc>
      </w:tr>
      <w:tr w14:paraId="4DD7A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noWrap w:val="0"/>
            <w:vAlign w:val="center"/>
          </w:tcPr>
          <w:p w14:paraId="2D301ED9">
            <w:pPr>
              <w:tabs>
                <w:tab w:val="left" w:pos="360"/>
                <w:tab w:val="left" w:pos="1800"/>
              </w:tabs>
              <w:spacing w:line="300" w:lineRule="auto"/>
              <w:ind w:firstLine="0" w:firstLineChars="0"/>
              <w:rPr>
                <w:rFonts w:hint="eastAsia" w:ascii="宋体" w:hAnsi="宋体" w:eastAsia="宋体" w:cs="宋体"/>
                <w:color w:val="auto"/>
                <w:highlight w:val="none"/>
              </w:rPr>
            </w:pPr>
          </w:p>
        </w:tc>
        <w:tc>
          <w:tcPr>
            <w:tcW w:w="1625" w:type="dxa"/>
            <w:noWrap w:val="0"/>
            <w:vAlign w:val="center"/>
          </w:tcPr>
          <w:p w14:paraId="2542BA13">
            <w:pPr>
              <w:tabs>
                <w:tab w:val="left" w:pos="360"/>
                <w:tab w:val="left" w:pos="1800"/>
              </w:tabs>
              <w:spacing w:line="300" w:lineRule="auto"/>
              <w:ind w:firstLine="0" w:firstLineChars="0"/>
              <w:jc w:val="center"/>
              <w:rPr>
                <w:rFonts w:hint="eastAsia" w:ascii="宋体" w:hAnsi="宋体" w:eastAsia="宋体" w:cs="宋体"/>
                <w:color w:val="auto"/>
                <w:highlight w:val="none"/>
              </w:rPr>
            </w:pPr>
          </w:p>
        </w:tc>
        <w:tc>
          <w:tcPr>
            <w:tcW w:w="1435" w:type="dxa"/>
            <w:gridSpan w:val="2"/>
            <w:noWrap w:val="0"/>
            <w:vAlign w:val="center"/>
          </w:tcPr>
          <w:p w14:paraId="38766895">
            <w:pPr>
              <w:tabs>
                <w:tab w:val="left" w:pos="360"/>
                <w:tab w:val="left" w:pos="1800"/>
              </w:tabs>
              <w:spacing w:line="300" w:lineRule="auto"/>
              <w:ind w:firstLine="0" w:firstLineChars="0"/>
              <w:jc w:val="center"/>
              <w:rPr>
                <w:rFonts w:hint="eastAsia" w:ascii="宋体" w:hAnsi="宋体" w:eastAsia="宋体" w:cs="宋体"/>
                <w:color w:val="auto"/>
                <w:highlight w:val="none"/>
              </w:rPr>
            </w:pPr>
          </w:p>
        </w:tc>
        <w:tc>
          <w:tcPr>
            <w:tcW w:w="2696" w:type="dxa"/>
            <w:gridSpan w:val="3"/>
            <w:noWrap w:val="0"/>
            <w:vAlign w:val="center"/>
          </w:tcPr>
          <w:p w14:paraId="100D9C4C">
            <w:pPr>
              <w:tabs>
                <w:tab w:val="left" w:pos="360"/>
                <w:tab w:val="left" w:pos="1800"/>
              </w:tabs>
              <w:spacing w:line="300" w:lineRule="auto"/>
              <w:ind w:firstLine="0" w:firstLineChars="0"/>
              <w:jc w:val="center"/>
              <w:rPr>
                <w:rFonts w:hint="eastAsia" w:ascii="宋体" w:hAnsi="宋体" w:eastAsia="宋体" w:cs="宋体"/>
                <w:color w:val="auto"/>
                <w:highlight w:val="none"/>
              </w:rPr>
            </w:pPr>
          </w:p>
        </w:tc>
        <w:tc>
          <w:tcPr>
            <w:tcW w:w="1870" w:type="dxa"/>
            <w:noWrap w:val="0"/>
            <w:vAlign w:val="center"/>
          </w:tcPr>
          <w:p w14:paraId="26404EE5">
            <w:pPr>
              <w:tabs>
                <w:tab w:val="left" w:pos="360"/>
                <w:tab w:val="left" w:pos="1800"/>
              </w:tabs>
              <w:spacing w:line="300" w:lineRule="auto"/>
              <w:ind w:firstLine="0" w:firstLineChars="0"/>
              <w:jc w:val="center"/>
              <w:rPr>
                <w:rFonts w:hint="eastAsia" w:ascii="宋体" w:hAnsi="宋体" w:eastAsia="宋体" w:cs="宋体"/>
                <w:color w:val="auto"/>
                <w:highlight w:val="none"/>
              </w:rPr>
            </w:pPr>
          </w:p>
        </w:tc>
      </w:tr>
      <w:tr w14:paraId="38BAA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noWrap w:val="0"/>
            <w:vAlign w:val="center"/>
          </w:tcPr>
          <w:p w14:paraId="620815BB">
            <w:pPr>
              <w:tabs>
                <w:tab w:val="left" w:pos="360"/>
                <w:tab w:val="left" w:pos="1800"/>
              </w:tabs>
              <w:spacing w:line="300" w:lineRule="auto"/>
              <w:ind w:firstLine="0" w:firstLineChars="0"/>
              <w:rPr>
                <w:rFonts w:hint="eastAsia" w:ascii="宋体" w:hAnsi="宋体" w:eastAsia="宋体" w:cs="宋体"/>
                <w:color w:val="auto"/>
                <w:highlight w:val="none"/>
              </w:rPr>
            </w:pPr>
          </w:p>
        </w:tc>
        <w:tc>
          <w:tcPr>
            <w:tcW w:w="1625" w:type="dxa"/>
            <w:noWrap w:val="0"/>
            <w:vAlign w:val="center"/>
          </w:tcPr>
          <w:p w14:paraId="2F39E7AD">
            <w:pPr>
              <w:tabs>
                <w:tab w:val="left" w:pos="360"/>
                <w:tab w:val="left" w:pos="1800"/>
              </w:tabs>
              <w:spacing w:line="300" w:lineRule="auto"/>
              <w:ind w:firstLine="0" w:firstLineChars="0"/>
              <w:jc w:val="center"/>
              <w:rPr>
                <w:rFonts w:hint="eastAsia" w:ascii="宋体" w:hAnsi="宋体" w:eastAsia="宋体" w:cs="宋体"/>
                <w:color w:val="auto"/>
                <w:highlight w:val="none"/>
              </w:rPr>
            </w:pPr>
          </w:p>
        </w:tc>
        <w:tc>
          <w:tcPr>
            <w:tcW w:w="1435" w:type="dxa"/>
            <w:gridSpan w:val="2"/>
            <w:noWrap w:val="0"/>
            <w:vAlign w:val="center"/>
          </w:tcPr>
          <w:p w14:paraId="586A2FEF">
            <w:pPr>
              <w:tabs>
                <w:tab w:val="left" w:pos="360"/>
                <w:tab w:val="left" w:pos="1800"/>
              </w:tabs>
              <w:spacing w:line="300" w:lineRule="auto"/>
              <w:ind w:firstLine="0" w:firstLineChars="0"/>
              <w:jc w:val="center"/>
              <w:rPr>
                <w:rFonts w:hint="eastAsia" w:ascii="宋体" w:hAnsi="宋体" w:eastAsia="宋体" w:cs="宋体"/>
                <w:color w:val="auto"/>
                <w:highlight w:val="none"/>
              </w:rPr>
            </w:pPr>
          </w:p>
        </w:tc>
        <w:tc>
          <w:tcPr>
            <w:tcW w:w="2696" w:type="dxa"/>
            <w:gridSpan w:val="3"/>
            <w:noWrap w:val="0"/>
            <w:vAlign w:val="center"/>
          </w:tcPr>
          <w:p w14:paraId="27D38F85">
            <w:pPr>
              <w:tabs>
                <w:tab w:val="left" w:pos="360"/>
                <w:tab w:val="left" w:pos="1800"/>
              </w:tabs>
              <w:spacing w:line="300" w:lineRule="auto"/>
              <w:ind w:firstLine="0" w:firstLineChars="0"/>
              <w:jc w:val="center"/>
              <w:rPr>
                <w:rFonts w:hint="eastAsia" w:ascii="宋体" w:hAnsi="宋体" w:eastAsia="宋体" w:cs="宋体"/>
                <w:color w:val="auto"/>
                <w:highlight w:val="none"/>
              </w:rPr>
            </w:pPr>
          </w:p>
        </w:tc>
        <w:tc>
          <w:tcPr>
            <w:tcW w:w="1870" w:type="dxa"/>
            <w:noWrap w:val="0"/>
            <w:vAlign w:val="center"/>
          </w:tcPr>
          <w:p w14:paraId="5760C860">
            <w:pPr>
              <w:tabs>
                <w:tab w:val="left" w:pos="360"/>
                <w:tab w:val="left" w:pos="1800"/>
              </w:tabs>
              <w:spacing w:line="300" w:lineRule="auto"/>
              <w:ind w:firstLine="0" w:firstLineChars="0"/>
              <w:jc w:val="center"/>
              <w:rPr>
                <w:rFonts w:hint="eastAsia" w:ascii="宋体" w:hAnsi="宋体" w:eastAsia="宋体" w:cs="宋体"/>
                <w:color w:val="auto"/>
                <w:highlight w:val="none"/>
              </w:rPr>
            </w:pPr>
          </w:p>
        </w:tc>
      </w:tr>
      <w:tr w14:paraId="25E51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noWrap w:val="0"/>
            <w:vAlign w:val="center"/>
          </w:tcPr>
          <w:p w14:paraId="3EC5B97C">
            <w:pPr>
              <w:tabs>
                <w:tab w:val="left" w:pos="360"/>
                <w:tab w:val="left" w:pos="1800"/>
              </w:tabs>
              <w:spacing w:line="300" w:lineRule="auto"/>
              <w:ind w:firstLine="0" w:firstLineChars="0"/>
              <w:rPr>
                <w:rFonts w:hint="eastAsia" w:ascii="宋体" w:hAnsi="宋体" w:eastAsia="宋体" w:cs="宋体"/>
                <w:color w:val="auto"/>
                <w:highlight w:val="none"/>
              </w:rPr>
            </w:pPr>
          </w:p>
        </w:tc>
        <w:tc>
          <w:tcPr>
            <w:tcW w:w="1625" w:type="dxa"/>
            <w:noWrap w:val="0"/>
            <w:vAlign w:val="center"/>
          </w:tcPr>
          <w:p w14:paraId="68ADD095">
            <w:pPr>
              <w:tabs>
                <w:tab w:val="left" w:pos="360"/>
                <w:tab w:val="left" w:pos="1800"/>
              </w:tabs>
              <w:spacing w:line="300" w:lineRule="auto"/>
              <w:ind w:firstLine="0" w:firstLineChars="0"/>
              <w:jc w:val="center"/>
              <w:rPr>
                <w:rFonts w:hint="eastAsia" w:ascii="宋体" w:hAnsi="宋体" w:eastAsia="宋体" w:cs="宋体"/>
                <w:color w:val="auto"/>
                <w:highlight w:val="none"/>
              </w:rPr>
            </w:pPr>
          </w:p>
        </w:tc>
        <w:tc>
          <w:tcPr>
            <w:tcW w:w="1435" w:type="dxa"/>
            <w:gridSpan w:val="2"/>
            <w:noWrap w:val="0"/>
            <w:vAlign w:val="center"/>
          </w:tcPr>
          <w:p w14:paraId="41BCC4AA">
            <w:pPr>
              <w:tabs>
                <w:tab w:val="left" w:pos="360"/>
                <w:tab w:val="left" w:pos="1800"/>
              </w:tabs>
              <w:spacing w:line="300" w:lineRule="auto"/>
              <w:ind w:firstLine="0" w:firstLineChars="0"/>
              <w:jc w:val="center"/>
              <w:rPr>
                <w:rFonts w:hint="eastAsia" w:ascii="宋体" w:hAnsi="宋体" w:eastAsia="宋体" w:cs="宋体"/>
                <w:color w:val="auto"/>
                <w:highlight w:val="none"/>
              </w:rPr>
            </w:pPr>
          </w:p>
        </w:tc>
        <w:tc>
          <w:tcPr>
            <w:tcW w:w="2696" w:type="dxa"/>
            <w:gridSpan w:val="3"/>
            <w:noWrap w:val="0"/>
            <w:vAlign w:val="center"/>
          </w:tcPr>
          <w:p w14:paraId="740DE367">
            <w:pPr>
              <w:tabs>
                <w:tab w:val="left" w:pos="360"/>
                <w:tab w:val="left" w:pos="1800"/>
              </w:tabs>
              <w:spacing w:line="300" w:lineRule="auto"/>
              <w:ind w:firstLine="0" w:firstLineChars="0"/>
              <w:jc w:val="center"/>
              <w:rPr>
                <w:rFonts w:hint="eastAsia" w:ascii="宋体" w:hAnsi="宋体" w:eastAsia="宋体" w:cs="宋体"/>
                <w:color w:val="auto"/>
                <w:highlight w:val="none"/>
              </w:rPr>
            </w:pPr>
          </w:p>
        </w:tc>
        <w:tc>
          <w:tcPr>
            <w:tcW w:w="1870" w:type="dxa"/>
            <w:noWrap w:val="0"/>
            <w:vAlign w:val="center"/>
          </w:tcPr>
          <w:p w14:paraId="12D58CC8">
            <w:pPr>
              <w:tabs>
                <w:tab w:val="left" w:pos="360"/>
                <w:tab w:val="left" w:pos="1800"/>
              </w:tabs>
              <w:spacing w:line="300" w:lineRule="auto"/>
              <w:ind w:firstLine="0" w:firstLineChars="0"/>
              <w:jc w:val="center"/>
              <w:rPr>
                <w:rFonts w:hint="eastAsia" w:ascii="宋体" w:hAnsi="宋体" w:eastAsia="宋体" w:cs="宋体"/>
                <w:color w:val="auto"/>
                <w:highlight w:val="none"/>
              </w:rPr>
            </w:pPr>
          </w:p>
        </w:tc>
      </w:tr>
      <w:tr w14:paraId="4CE57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noWrap w:val="0"/>
            <w:vAlign w:val="center"/>
          </w:tcPr>
          <w:p w14:paraId="7D87E30C">
            <w:pPr>
              <w:tabs>
                <w:tab w:val="left" w:pos="360"/>
                <w:tab w:val="left" w:pos="1800"/>
              </w:tabs>
              <w:spacing w:line="300" w:lineRule="auto"/>
              <w:ind w:firstLine="0" w:firstLineChars="0"/>
              <w:rPr>
                <w:rFonts w:hint="eastAsia" w:ascii="宋体" w:hAnsi="宋体" w:eastAsia="宋体" w:cs="宋体"/>
                <w:color w:val="auto"/>
                <w:highlight w:val="none"/>
              </w:rPr>
            </w:pPr>
          </w:p>
        </w:tc>
        <w:tc>
          <w:tcPr>
            <w:tcW w:w="1625" w:type="dxa"/>
            <w:noWrap w:val="0"/>
            <w:vAlign w:val="center"/>
          </w:tcPr>
          <w:p w14:paraId="0C8AA165">
            <w:pPr>
              <w:tabs>
                <w:tab w:val="left" w:pos="360"/>
                <w:tab w:val="left" w:pos="1800"/>
              </w:tabs>
              <w:spacing w:line="300" w:lineRule="auto"/>
              <w:ind w:firstLine="0" w:firstLineChars="0"/>
              <w:jc w:val="center"/>
              <w:rPr>
                <w:rFonts w:hint="eastAsia" w:ascii="宋体" w:hAnsi="宋体" w:eastAsia="宋体" w:cs="宋体"/>
                <w:color w:val="auto"/>
                <w:highlight w:val="none"/>
              </w:rPr>
            </w:pPr>
          </w:p>
        </w:tc>
        <w:tc>
          <w:tcPr>
            <w:tcW w:w="1435" w:type="dxa"/>
            <w:gridSpan w:val="2"/>
            <w:noWrap w:val="0"/>
            <w:vAlign w:val="center"/>
          </w:tcPr>
          <w:p w14:paraId="20FD1E4A">
            <w:pPr>
              <w:tabs>
                <w:tab w:val="left" w:pos="360"/>
                <w:tab w:val="left" w:pos="1800"/>
              </w:tabs>
              <w:spacing w:line="300" w:lineRule="auto"/>
              <w:ind w:firstLine="0" w:firstLineChars="0"/>
              <w:jc w:val="center"/>
              <w:rPr>
                <w:rFonts w:hint="eastAsia" w:ascii="宋体" w:hAnsi="宋体" w:eastAsia="宋体" w:cs="宋体"/>
                <w:color w:val="auto"/>
                <w:highlight w:val="none"/>
              </w:rPr>
            </w:pPr>
          </w:p>
        </w:tc>
        <w:tc>
          <w:tcPr>
            <w:tcW w:w="2696" w:type="dxa"/>
            <w:gridSpan w:val="3"/>
            <w:noWrap w:val="0"/>
            <w:vAlign w:val="center"/>
          </w:tcPr>
          <w:p w14:paraId="5AF120D7">
            <w:pPr>
              <w:tabs>
                <w:tab w:val="left" w:pos="360"/>
                <w:tab w:val="left" w:pos="1800"/>
              </w:tabs>
              <w:spacing w:line="300" w:lineRule="auto"/>
              <w:ind w:firstLine="0" w:firstLineChars="0"/>
              <w:jc w:val="center"/>
              <w:rPr>
                <w:rFonts w:hint="eastAsia" w:ascii="宋体" w:hAnsi="宋体" w:eastAsia="宋体" w:cs="宋体"/>
                <w:color w:val="auto"/>
                <w:highlight w:val="none"/>
              </w:rPr>
            </w:pPr>
          </w:p>
        </w:tc>
        <w:tc>
          <w:tcPr>
            <w:tcW w:w="1870" w:type="dxa"/>
            <w:noWrap w:val="0"/>
            <w:vAlign w:val="center"/>
          </w:tcPr>
          <w:p w14:paraId="692F23D1">
            <w:pPr>
              <w:tabs>
                <w:tab w:val="left" w:pos="360"/>
                <w:tab w:val="left" w:pos="1800"/>
              </w:tabs>
              <w:spacing w:line="300" w:lineRule="auto"/>
              <w:ind w:firstLine="0" w:firstLineChars="0"/>
              <w:jc w:val="center"/>
              <w:rPr>
                <w:rFonts w:hint="eastAsia" w:ascii="宋体" w:hAnsi="宋体" w:eastAsia="宋体" w:cs="宋体"/>
                <w:color w:val="auto"/>
                <w:highlight w:val="none"/>
              </w:rPr>
            </w:pPr>
          </w:p>
        </w:tc>
      </w:tr>
      <w:tr w14:paraId="0D80D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noWrap w:val="0"/>
            <w:vAlign w:val="center"/>
          </w:tcPr>
          <w:p w14:paraId="24F1435E">
            <w:pPr>
              <w:tabs>
                <w:tab w:val="left" w:pos="360"/>
                <w:tab w:val="left" w:pos="1800"/>
              </w:tabs>
              <w:spacing w:line="300" w:lineRule="auto"/>
              <w:ind w:firstLine="0" w:firstLineChars="0"/>
              <w:rPr>
                <w:rFonts w:hint="eastAsia" w:ascii="宋体" w:hAnsi="宋体" w:eastAsia="宋体" w:cs="宋体"/>
                <w:color w:val="auto"/>
                <w:highlight w:val="none"/>
              </w:rPr>
            </w:pPr>
          </w:p>
        </w:tc>
        <w:tc>
          <w:tcPr>
            <w:tcW w:w="1625" w:type="dxa"/>
            <w:noWrap w:val="0"/>
            <w:vAlign w:val="center"/>
          </w:tcPr>
          <w:p w14:paraId="07D6EF6B">
            <w:pPr>
              <w:tabs>
                <w:tab w:val="left" w:pos="360"/>
                <w:tab w:val="left" w:pos="1800"/>
              </w:tabs>
              <w:spacing w:line="300" w:lineRule="auto"/>
              <w:ind w:firstLine="0" w:firstLineChars="0"/>
              <w:jc w:val="center"/>
              <w:rPr>
                <w:rFonts w:hint="eastAsia" w:ascii="宋体" w:hAnsi="宋体" w:eastAsia="宋体" w:cs="宋体"/>
                <w:color w:val="auto"/>
                <w:highlight w:val="none"/>
              </w:rPr>
            </w:pPr>
          </w:p>
        </w:tc>
        <w:tc>
          <w:tcPr>
            <w:tcW w:w="1435" w:type="dxa"/>
            <w:gridSpan w:val="2"/>
            <w:noWrap w:val="0"/>
            <w:vAlign w:val="center"/>
          </w:tcPr>
          <w:p w14:paraId="0D0C1893">
            <w:pPr>
              <w:tabs>
                <w:tab w:val="left" w:pos="360"/>
                <w:tab w:val="left" w:pos="1800"/>
              </w:tabs>
              <w:spacing w:line="300" w:lineRule="auto"/>
              <w:ind w:firstLine="0" w:firstLineChars="0"/>
              <w:jc w:val="center"/>
              <w:rPr>
                <w:rFonts w:hint="eastAsia" w:ascii="宋体" w:hAnsi="宋体" w:eastAsia="宋体" w:cs="宋体"/>
                <w:color w:val="auto"/>
                <w:highlight w:val="none"/>
              </w:rPr>
            </w:pPr>
          </w:p>
        </w:tc>
        <w:tc>
          <w:tcPr>
            <w:tcW w:w="2696" w:type="dxa"/>
            <w:gridSpan w:val="3"/>
            <w:noWrap w:val="0"/>
            <w:vAlign w:val="center"/>
          </w:tcPr>
          <w:p w14:paraId="4AE0CDA1">
            <w:pPr>
              <w:tabs>
                <w:tab w:val="left" w:pos="360"/>
                <w:tab w:val="left" w:pos="1800"/>
              </w:tabs>
              <w:spacing w:line="300" w:lineRule="auto"/>
              <w:ind w:firstLine="0" w:firstLineChars="0"/>
              <w:jc w:val="center"/>
              <w:rPr>
                <w:rFonts w:hint="eastAsia" w:ascii="宋体" w:hAnsi="宋体" w:eastAsia="宋体" w:cs="宋体"/>
                <w:color w:val="auto"/>
                <w:highlight w:val="none"/>
              </w:rPr>
            </w:pPr>
          </w:p>
        </w:tc>
        <w:tc>
          <w:tcPr>
            <w:tcW w:w="1870" w:type="dxa"/>
            <w:noWrap w:val="0"/>
            <w:vAlign w:val="center"/>
          </w:tcPr>
          <w:p w14:paraId="224C252A">
            <w:pPr>
              <w:tabs>
                <w:tab w:val="left" w:pos="360"/>
                <w:tab w:val="left" w:pos="1800"/>
              </w:tabs>
              <w:spacing w:line="300" w:lineRule="auto"/>
              <w:ind w:firstLine="0" w:firstLineChars="0"/>
              <w:jc w:val="center"/>
              <w:rPr>
                <w:rFonts w:hint="eastAsia" w:ascii="宋体" w:hAnsi="宋体" w:eastAsia="宋体" w:cs="宋体"/>
                <w:color w:val="auto"/>
                <w:highlight w:val="none"/>
              </w:rPr>
            </w:pPr>
          </w:p>
        </w:tc>
      </w:tr>
      <w:tr w14:paraId="1224E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noWrap w:val="0"/>
            <w:vAlign w:val="center"/>
          </w:tcPr>
          <w:p w14:paraId="2765E2BB">
            <w:pPr>
              <w:tabs>
                <w:tab w:val="left" w:pos="360"/>
                <w:tab w:val="left" w:pos="1800"/>
              </w:tabs>
              <w:spacing w:line="300" w:lineRule="auto"/>
              <w:ind w:firstLine="0" w:firstLineChars="0"/>
              <w:rPr>
                <w:rFonts w:hint="eastAsia" w:ascii="宋体" w:hAnsi="宋体" w:eastAsia="宋体" w:cs="宋体"/>
                <w:color w:val="auto"/>
                <w:highlight w:val="none"/>
              </w:rPr>
            </w:pPr>
          </w:p>
        </w:tc>
        <w:tc>
          <w:tcPr>
            <w:tcW w:w="1625" w:type="dxa"/>
            <w:noWrap w:val="0"/>
            <w:vAlign w:val="center"/>
          </w:tcPr>
          <w:p w14:paraId="64332B0A">
            <w:pPr>
              <w:tabs>
                <w:tab w:val="left" w:pos="360"/>
                <w:tab w:val="left" w:pos="1800"/>
              </w:tabs>
              <w:spacing w:line="300" w:lineRule="auto"/>
              <w:ind w:firstLine="0" w:firstLineChars="0"/>
              <w:jc w:val="center"/>
              <w:rPr>
                <w:rFonts w:hint="eastAsia" w:ascii="宋体" w:hAnsi="宋体" w:eastAsia="宋体" w:cs="宋体"/>
                <w:color w:val="auto"/>
                <w:highlight w:val="none"/>
              </w:rPr>
            </w:pPr>
          </w:p>
        </w:tc>
        <w:tc>
          <w:tcPr>
            <w:tcW w:w="1435" w:type="dxa"/>
            <w:gridSpan w:val="2"/>
            <w:noWrap w:val="0"/>
            <w:vAlign w:val="center"/>
          </w:tcPr>
          <w:p w14:paraId="553E4042">
            <w:pPr>
              <w:tabs>
                <w:tab w:val="left" w:pos="360"/>
                <w:tab w:val="left" w:pos="1800"/>
              </w:tabs>
              <w:spacing w:line="300" w:lineRule="auto"/>
              <w:ind w:firstLine="0" w:firstLineChars="0"/>
              <w:jc w:val="center"/>
              <w:rPr>
                <w:rFonts w:hint="eastAsia" w:ascii="宋体" w:hAnsi="宋体" w:eastAsia="宋体" w:cs="宋体"/>
                <w:color w:val="auto"/>
                <w:highlight w:val="none"/>
              </w:rPr>
            </w:pPr>
          </w:p>
        </w:tc>
        <w:tc>
          <w:tcPr>
            <w:tcW w:w="2696" w:type="dxa"/>
            <w:gridSpan w:val="3"/>
            <w:noWrap w:val="0"/>
            <w:vAlign w:val="center"/>
          </w:tcPr>
          <w:p w14:paraId="5ECABF0D">
            <w:pPr>
              <w:tabs>
                <w:tab w:val="left" w:pos="360"/>
                <w:tab w:val="left" w:pos="1800"/>
              </w:tabs>
              <w:spacing w:line="300" w:lineRule="auto"/>
              <w:ind w:firstLine="0" w:firstLineChars="0"/>
              <w:jc w:val="center"/>
              <w:rPr>
                <w:rFonts w:hint="eastAsia" w:ascii="宋体" w:hAnsi="宋体" w:eastAsia="宋体" w:cs="宋体"/>
                <w:color w:val="auto"/>
                <w:highlight w:val="none"/>
              </w:rPr>
            </w:pPr>
          </w:p>
        </w:tc>
        <w:tc>
          <w:tcPr>
            <w:tcW w:w="1870" w:type="dxa"/>
            <w:noWrap w:val="0"/>
            <w:vAlign w:val="center"/>
          </w:tcPr>
          <w:p w14:paraId="4BB3519A">
            <w:pPr>
              <w:tabs>
                <w:tab w:val="left" w:pos="360"/>
                <w:tab w:val="left" w:pos="1800"/>
              </w:tabs>
              <w:spacing w:line="300" w:lineRule="auto"/>
              <w:ind w:firstLine="0" w:firstLineChars="0"/>
              <w:jc w:val="center"/>
              <w:rPr>
                <w:rFonts w:hint="eastAsia" w:ascii="宋体" w:hAnsi="宋体" w:eastAsia="宋体" w:cs="宋体"/>
                <w:color w:val="auto"/>
                <w:highlight w:val="none"/>
              </w:rPr>
            </w:pPr>
          </w:p>
        </w:tc>
      </w:tr>
      <w:tr w14:paraId="2455D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noWrap w:val="0"/>
            <w:vAlign w:val="center"/>
          </w:tcPr>
          <w:p w14:paraId="6F9BE9C8">
            <w:pPr>
              <w:tabs>
                <w:tab w:val="left" w:pos="360"/>
                <w:tab w:val="left" w:pos="1800"/>
              </w:tabs>
              <w:spacing w:line="300" w:lineRule="auto"/>
              <w:ind w:firstLine="0" w:firstLineChars="0"/>
              <w:rPr>
                <w:rFonts w:hint="eastAsia" w:ascii="宋体" w:hAnsi="宋体" w:eastAsia="宋体" w:cs="宋体"/>
                <w:color w:val="auto"/>
                <w:highlight w:val="none"/>
              </w:rPr>
            </w:pPr>
          </w:p>
        </w:tc>
        <w:tc>
          <w:tcPr>
            <w:tcW w:w="1625" w:type="dxa"/>
            <w:noWrap w:val="0"/>
            <w:vAlign w:val="center"/>
          </w:tcPr>
          <w:p w14:paraId="6D10AA80">
            <w:pPr>
              <w:tabs>
                <w:tab w:val="left" w:pos="360"/>
                <w:tab w:val="left" w:pos="1800"/>
              </w:tabs>
              <w:spacing w:line="300" w:lineRule="auto"/>
              <w:ind w:firstLine="0" w:firstLineChars="0"/>
              <w:jc w:val="center"/>
              <w:rPr>
                <w:rFonts w:hint="eastAsia" w:ascii="宋体" w:hAnsi="宋体" w:eastAsia="宋体" w:cs="宋体"/>
                <w:color w:val="auto"/>
                <w:highlight w:val="none"/>
              </w:rPr>
            </w:pPr>
          </w:p>
        </w:tc>
        <w:tc>
          <w:tcPr>
            <w:tcW w:w="1435" w:type="dxa"/>
            <w:gridSpan w:val="2"/>
            <w:noWrap w:val="0"/>
            <w:vAlign w:val="center"/>
          </w:tcPr>
          <w:p w14:paraId="3C22978A">
            <w:pPr>
              <w:tabs>
                <w:tab w:val="left" w:pos="360"/>
                <w:tab w:val="left" w:pos="1800"/>
              </w:tabs>
              <w:spacing w:line="300" w:lineRule="auto"/>
              <w:ind w:firstLine="0" w:firstLineChars="0"/>
              <w:jc w:val="center"/>
              <w:rPr>
                <w:rFonts w:hint="eastAsia" w:ascii="宋体" w:hAnsi="宋体" w:eastAsia="宋体" w:cs="宋体"/>
                <w:color w:val="auto"/>
                <w:highlight w:val="none"/>
              </w:rPr>
            </w:pPr>
          </w:p>
        </w:tc>
        <w:tc>
          <w:tcPr>
            <w:tcW w:w="2696" w:type="dxa"/>
            <w:gridSpan w:val="3"/>
            <w:noWrap w:val="0"/>
            <w:vAlign w:val="center"/>
          </w:tcPr>
          <w:p w14:paraId="6352EAA3">
            <w:pPr>
              <w:tabs>
                <w:tab w:val="left" w:pos="360"/>
                <w:tab w:val="left" w:pos="1800"/>
              </w:tabs>
              <w:spacing w:line="300" w:lineRule="auto"/>
              <w:ind w:firstLine="0" w:firstLineChars="0"/>
              <w:jc w:val="center"/>
              <w:rPr>
                <w:rFonts w:hint="eastAsia" w:ascii="宋体" w:hAnsi="宋体" w:eastAsia="宋体" w:cs="宋体"/>
                <w:color w:val="auto"/>
                <w:highlight w:val="none"/>
              </w:rPr>
            </w:pPr>
          </w:p>
        </w:tc>
        <w:tc>
          <w:tcPr>
            <w:tcW w:w="1870" w:type="dxa"/>
            <w:noWrap w:val="0"/>
            <w:vAlign w:val="center"/>
          </w:tcPr>
          <w:p w14:paraId="7EC7E26B">
            <w:pPr>
              <w:tabs>
                <w:tab w:val="left" w:pos="360"/>
                <w:tab w:val="left" w:pos="1800"/>
              </w:tabs>
              <w:spacing w:line="300" w:lineRule="auto"/>
              <w:ind w:firstLine="0" w:firstLineChars="0"/>
              <w:jc w:val="center"/>
              <w:rPr>
                <w:rFonts w:hint="eastAsia" w:ascii="宋体" w:hAnsi="宋体" w:eastAsia="宋体" w:cs="宋体"/>
                <w:color w:val="auto"/>
                <w:highlight w:val="none"/>
              </w:rPr>
            </w:pPr>
          </w:p>
        </w:tc>
      </w:tr>
      <w:tr w14:paraId="1CCDE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noWrap w:val="0"/>
            <w:vAlign w:val="center"/>
          </w:tcPr>
          <w:p w14:paraId="62FA1A9F">
            <w:pPr>
              <w:tabs>
                <w:tab w:val="left" w:pos="360"/>
                <w:tab w:val="left" w:pos="1800"/>
              </w:tabs>
              <w:spacing w:line="300" w:lineRule="auto"/>
              <w:ind w:firstLine="0" w:firstLineChars="0"/>
              <w:rPr>
                <w:rFonts w:hint="eastAsia" w:ascii="宋体" w:hAnsi="宋体" w:eastAsia="宋体" w:cs="宋体"/>
                <w:color w:val="auto"/>
                <w:highlight w:val="none"/>
              </w:rPr>
            </w:pPr>
          </w:p>
        </w:tc>
        <w:tc>
          <w:tcPr>
            <w:tcW w:w="1625" w:type="dxa"/>
            <w:noWrap w:val="0"/>
            <w:vAlign w:val="center"/>
          </w:tcPr>
          <w:p w14:paraId="057A91A6">
            <w:pPr>
              <w:tabs>
                <w:tab w:val="left" w:pos="360"/>
                <w:tab w:val="left" w:pos="1800"/>
              </w:tabs>
              <w:spacing w:line="300" w:lineRule="auto"/>
              <w:ind w:firstLine="0" w:firstLineChars="0"/>
              <w:jc w:val="center"/>
              <w:rPr>
                <w:rFonts w:hint="eastAsia" w:ascii="宋体" w:hAnsi="宋体" w:eastAsia="宋体" w:cs="宋体"/>
                <w:color w:val="auto"/>
                <w:highlight w:val="none"/>
              </w:rPr>
            </w:pPr>
          </w:p>
        </w:tc>
        <w:tc>
          <w:tcPr>
            <w:tcW w:w="1435" w:type="dxa"/>
            <w:gridSpan w:val="2"/>
            <w:noWrap w:val="0"/>
            <w:vAlign w:val="center"/>
          </w:tcPr>
          <w:p w14:paraId="1DA41D43">
            <w:pPr>
              <w:tabs>
                <w:tab w:val="left" w:pos="360"/>
                <w:tab w:val="left" w:pos="1800"/>
              </w:tabs>
              <w:spacing w:line="300" w:lineRule="auto"/>
              <w:ind w:firstLine="0" w:firstLineChars="0"/>
              <w:jc w:val="center"/>
              <w:rPr>
                <w:rFonts w:hint="eastAsia" w:ascii="宋体" w:hAnsi="宋体" w:eastAsia="宋体" w:cs="宋体"/>
                <w:color w:val="auto"/>
                <w:highlight w:val="none"/>
              </w:rPr>
            </w:pPr>
          </w:p>
        </w:tc>
        <w:tc>
          <w:tcPr>
            <w:tcW w:w="2696" w:type="dxa"/>
            <w:gridSpan w:val="3"/>
            <w:noWrap w:val="0"/>
            <w:vAlign w:val="center"/>
          </w:tcPr>
          <w:p w14:paraId="1A6C2545">
            <w:pPr>
              <w:tabs>
                <w:tab w:val="left" w:pos="360"/>
                <w:tab w:val="left" w:pos="1800"/>
              </w:tabs>
              <w:spacing w:line="300" w:lineRule="auto"/>
              <w:ind w:firstLine="0" w:firstLineChars="0"/>
              <w:jc w:val="center"/>
              <w:rPr>
                <w:rFonts w:hint="eastAsia" w:ascii="宋体" w:hAnsi="宋体" w:eastAsia="宋体" w:cs="宋体"/>
                <w:color w:val="auto"/>
                <w:highlight w:val="none"/>
              </w:rPr>
            </w:pPr>
          </w:p>
        </w:tc>
        <w:tc>
          <w:tcPr>
            <w:tcW w:w="1870" w:type="dxa"/>
            <w:noWrap w:val="0"/>
            <w:vAlign w:val="center"/>
          </w:tcPr>
          <w:p w14:paraId="7F5059B2">
            <w:pPr>
              <w:tabs>
                <w:tab w:val="left" w:pos="360"/>
                <w:tab w:val="left" w:pos="1800"/>
              </w:tabs>
              <w:spacing w:line="300" w:lineRule="auto"/>
              <w:ind w:firstLine="0" w:firstLineChars="0"/>
              <w:jc w:val="center"/>
              <w:rPr>
                <w:rFonts w:hint="eastAsia" w:ascii="宋体" w:hAnsi="宋体" w:eastAsia="宋体" w:cs="宋体"/>
                <w:color w:val="auto"/>
                <w:highlight w:val="none"/>
              </w:rPr>
            </w:pPr>
          </w:p>
        </w:tc>
      </w:tr>
      <w:tr w14:paraId="10378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noWrap w:val="0"/>
            <w:vAlign w:val="center"/>
          </w:tcPr>
          <w:p w14:paraId="4E12C065">
            <w:pPr>
              <w:tabs>
                <w:tab w:val="left" w:pos="360"/>
                <w:tab w:val="left" w:pos="1800"/>
              </w:tabs>
              <w:spacing w:line="300" w:lineRule="auto"/>
              <w:ind w:firstLine="0" w:firstLineChars="0"/>
              <w:rPr>
                <w:rFonts w:hint="eastAsia" w:ascii="宋体" w:hAnsi="宋体" w:eastAsia="宋体" w:cs="宋体"/>
                <w:color w:val="auto"/>
                <w:highlight w:val="none"/>
              </w:rPr>
            </w:pPr>
          </w:p>
        </w:tc>
        <w:tc>
          <w:tcPr>
            <w:tcW w:w="1625" w:type="dxa"/>
            <w:noWrap w:val="0"/>
            <w:vAlign w:val="center"/>
          </w:tcPr>
          <w:p w14:paraId="24A08FA7">
            <w:pPr>
              <w:tabs>
                <w:tab w:val="left" w:pos="360"/>
                <w:tab w:val="left" w:pos="1800"/>
              </w:tabs>
              <w:spacing w:line="300" w:lineRule="auto"/>
              <w:ind w:firstLine="0" w:firstLineChars="0"/>
              <w:jc w:val="center"/>
              <w:rPr>
                <w:rFonts w:hint="eastAsia" w:ascii="宋体" w:hAnsi="宋体" w:eastAsia="宋体" w:cs="宋体"/>
                <w:color w:val="auto"/>
                <w:highlight w:val="none"/>
              </w:rPr>
            </w:pPr>
          </w:p>
        </w:tc>
        <w:tc>
          <w:tcPr>
            <w:tcW w:w="1435" w:type="dxa"/>
            <w:gridSpan w:val="2"/>
            <w:noWrap w:val="0"/>
            <w:vAlign w:val="center"/>
          </w:tcPr>
          <w:p w14:paraId="28F43822">
            <w:pPr>
              <w:tabs>
                <w:tab w:val="left" w:pos="360"/>
                <w:tab w:val="left" w:pos="1800"/>
              </w:tabs>
              <w:spacing w:line="300" w:lineRule="auto"/>
              <w:ind w:firstLine="0" w:firstLineChars="0"/>
              <w:jc w:val="center"/>
              <w:rPr>
                <w:rFonts w:hint="eastAsia" w:ascii="宋体" w:hAnsi="宋体" w:eastAsia="宋体" w:cs="宋体"/>
                <w:color w:val="auto"/>
                <w:highlight w:val="none"/>
              </w:rPr>
            </w:pPr>
          </w:p>
        </w:tc>
        <w:tc>
          <w:tcPr>
            <w:tcW w:w="2696" w:type="dxa"/>
            <w:gridSpan w:val="3"/>
            <w:noWrap w:val="0"/>
            <w:vAlign w:val="center"/>
          </w:tcPr>
          <w:p w14:paraId="2A4EDB06">
            <w:pPr>
              <w:tabs>
                <w:tab w:val="left" w:pos="360"/>
                <w:tab w:val="left" w:pos="1800"/>
              </w:tabs>
              <w:spacing w:line="300" w:lineRule="auto"/>
              <w:ind w:firstLine="0" w:firstLineChars="0"/>
              <w:jc w:val="center"/>
              <w:rPr>
                <w:rFonts w:hint="eastAsia" w:ascii="宋体" w:hAnsi="宋体" w:eastAsia="宋体" w:cs="宋体"/>
                <w:color w:val="auto"/>
                <w:highlight w:val="none"/>
              </w:rPr>
            </w:pPr>
          </w:p>
        </w:tc>
        <w:tc>
          <w:tcPr>
            <w:tcW w:w="1870" w:type="dxa"/>
            <w:noWrap w:val="0"/>
            <w:vAlign w:val="center"/>
          </w:tcPr>
          <w:p w14:paraId="33D5D188">
            <w:pPr>
              <w:tabs>
                <w:tab w:val="left" w:pos="360"/>
                <w:tab w:val="left" w:pos="1800"/>
              </w:tabs>
              <w:spacing w:line="300" w:lineRule="auto"/>
              <w:ind w:firstLine="0" w:firstLineChars="0"/>
              <w:jc w:val="center"/>
              <w:rPr>
                <w:rFonts w:hint="eastAsia" w:ascii="宋体" w:hAnsi="宋体" w:eastAsia="宋体" w:cs="宋体"/>
                <w:color w:val="auto"/>
                <w:highlight w:val="none"/>
              </w:rPr>
            </w:pPr>
          </w:p>
        </w:tc>
      </w:tr>
    </w:tbl>
    <w:p w14:paraId="1ECAA49C">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left="0" w:leftChars="0" w:firstLine="210" w:firstLineChars="1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各投标人必须如实填写此表格，并提供其人员的相关证书</w:t>
      </w:r>
      <w:r>
        <w:rPr>
          <w:rFonts w:hint="eastAsia" w:ascii="宋体" w:hAnsi="宋体" w:eastAsia="宋体" w:cs="宋体"/>
          <w:color w:val="auto"/>
          <w:sz w:val="21"/>
          <w:szCs w:val="21"/>
          <w:highlight w:val="none"/>
        </w:rPr>
        <w:t>扫描件并加盖公章。</w:t>
      </w:r>
    </w:p>
    <w:p w14:paraId="30A19DEB">
      <w:pPr>
        <w:tabs>
          <w:tab w:val="left" w:pos="1418"/>
        </w:tabs>
        <w:rPr>
          <w:rFonts w:hint="eastAsia" w:ascii="宋体" w:hAnsi="宋体" w:eastAsia="宋体" w:cs="宋体"/>
          <w:color w:val="auto"/>
          <w:sz w:val="24"/>
          <w:szCs w:val="24"/>
          <w:highlight w:val="none"/>
        </w:rPr>
      </w:pPr>
    </w:p>
    <w:p w14:paraId="352A93A3">
      <w:pPr>
        <w:spacing w:line="300" w:lineRule="auto"/>
        <w:ind w:firstLine="3600" w:firstLineChars="15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法定代表人或授权代表（</w:t>
      </w:r>
      <w:r>
        <w:rPr>
          <w:rFonts w:hint="eastAsia" w:ascii="宋体" w:hAnsi="宋体" w:eastAsia="宋体" w:cs="宋体"/>
          <w:color w:val="auto"/>
          <w:sz w:val="24"/>
          <w:szCs w:val="24"/>
          <w:highlight w:val="none"/>
        </w:rPr>
        <w:t>签字</w:t>
      </w:r>
      <w:r>
        <w:rPr>
          <w:rFonts w:hint="eastAsia" w:ascii="宋体" w:hAnsi="宋体" w:eastAsia="宋体" w:cs="宋体"/>
          <w:color w:val="auto"/>
          <w:sz w:val="24"/>
          <w:szCs w:val="24"/>
          <w:highlight w:val="none"/>
          <w:lang w:val="en-US" w:eastAsia="zh-CN"/>
        </w:rPr>
        <w:t>或盖章）</w:t>
      </w:r>
      <w:r>
        <w:rPr>
          <w:rFonts w:hint="eastAsia" w:ascii="宋体" w:hAnsi="宋体" w:eastAsia="宋体" w:cs="宋体"/>
          <w:color w:val="auto"/>
          <w:spacing w:val="20"/>
          <w:sz w:val="24"/>
          <w:szCs w:val="24"/>
          <w:highlight w:val="none"/>
        </w:rPr>
        <w:t>：</w:t>
      </w:r>
      <w:r>
        <w:rPr>
          <w:rFonts w:hint="eastAsia" w:ascii="宋体" w:hAnsi="宋体" w:eastAsia="宋体" w:cs="宋体"/>
          <w:color w:val="auto"/>
          <w:sz w:val="24"/>
          <w:szCs w:val="24"/>
          <w:highlight w:val="none"/>
        </w:rPr>
        <w:t>___________</w:t>
      </w:r>
      <w:r>
        <w:rPr>
          <w:rFonts w:hint="eastAsia" w:ascii="宋体" w:hAnsi="宋体" w:eastAsia="宋体" w:cs="宋体"/>
          <w:color w:val="auto"/>
          <w:spacing w:val="20"/>
          <w:sz w:val="24"/>
          <w:szCs w:val="24"/>
          <w:highlight w:val="none"/>
          <w:u w:val="single"/>
        </w:rPr>
        <w:t xml:space="preserve">      </w:t>
      </w:r>
      <w:r>
        <w:rPr>
          <w:rFonts w:hint="eastAsia" w:ascii="宋体" w:hAnsi="宋体" w:eastAsia="宋体" w:cs="宋体"/>
          <w:color w:val="auto"/>
          <w:sz w:val="24"/>
          <w:szCs w:val="24"/>
          <w:highlight w:val="none"/>
          <w:u w:val="single"/>
        </w:rPr>
        <w:t xml:space="preserve"> </w:t>
      </w:r>
    </w:p>
    <w:p w14:paraId="4A231AAC">
      <w:pPr>
        <w:spacing w:line="300" w:lineRule="auto"/>
        <w:ind w:firstLine="5280" w:firstLineChars="2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szCs w:val="24"/>
          <w:highlight w:val="none"/>
        </w:rPr>
        <w:t>（盖章）：_________________</w:t>
      </w:r>
    </w:p>
    <w:p w14:paraId="47021895">
      <w:pPr>
        <w:pStyle w:val="6"/>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color w:val="auto"/>
          <w:sz w:val="24"/>
          <w:szCs w:val="24"/>
          <w:highlight w:val="none"/>
        </w:rPr>
        <w:t xml:space="preserve">                                     </w:t>
      </w:r>
      <w:r>
        <w:rPr>
          <w:rFonts w:hint="eastAsia" w:ascii="宋体" w:hAnsi="宋体" w:eastAsia="宋体" w:cs="宋体"/>
          <w:b w:val="0"/>
          <w:color w:val="auto"/>
          <w:kern w:val="2"/>
          <w:sz w:val="24"/>
          <w:szCs w:val="24"/>
          <w:highlight w:val="none"/>
          <w:lang w:val="en-US" w:eastAsia="zh-CN" w:bidi="ar-SA"/>
        </w:rPr>
        <w:t xml:space="preserve">    </w:t>
      </w:r>
      <w:bookmarkStart w:id="104" w:name="_Toc2503"/>
      <w:r>
        <w:rPr>
          <w:rFonts w:hint="eastAsia" w:ascii="宋体" w:hAnsi="宋体" w:eastAsia="宋体" w:cs="宋体"/>
          <w:b w:val="0"/>
          <w:color w:val="auto"/>
          <w:kern w:val="2"/>
          <w:sz w:val="24"/>
          <w:szCs w:val="24"/>
          <w:highlight w:val="none"/>
          <w:lang w:val="en-US" w:eastAsia="zh-CN" w:bidi="ar-SA"/>
        </w:rPr>
        <w:t>日    期：_____年____月____日</w:t>
      </w:r>
      <w:bookmarkEnd w:id="104"/>
    </w:p>
    <w:p w14:paraId="3C314295">
      <w:pPr>
        <w:rPr>
          <w:rFonts w:hint="eastAsia" w:ascii="宋体" w:hAnsi="宋体" w:eastAsia="宋体" w:cs="宋体"/>
          <w:color w:val="auto"/>
          <w:sz w:val="24"/>
          <w:szCs w:val="24"/>
          <w:highlight w:val="none"/>
        </w:rPr>
      </w:pPr>
      <w:r>
        <w:rPr>
          <w:rFonts w:hint="eastAsia" w:ascii="宋体" w:hAnsi="宋体" w:eastAsia="宋体" w:cs="宋体"/>
          <w:b w:val="0"/>
          <w:color w:val="auto"/>
          <w:kern w:val="2"/>
          <w:sz w:val="24"/>
          <w:szCs w:val="24"/>
          <w:highlight w:val="none"/>
          <w:lang w:val="en-US" w:eastAsia="zh-CN" w:bidi="ar-SA"/>
        </w:rPr>
        <w:br w:type="page"/>
      </w:r>
    </w:p>
    <w:p w14:paraId="2FDAD45B">
      <w:pPr>
        <w:ind w:firstLine="48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十</w:t>
      </w:r>
      <w:r>
        <w:rPr>
          <w:rFonts w:hint="eastAsia" w:ascii="宋体" w:hAnsi="宋体" w:cs="宋体"/>
          <w:b/>
          <w:color w:val="auto"/>
          <w:sz w:val="32"/>
          <w:szCs w:val="32"/>
          <w:highlight w:val="none"/>
          <w:lang w:val="en-US" w:eastAsia="zh-CN"/>
        </w:rPr>
        <w:t>二</w:t>
      </w:r>
      <w:r>
        <w:rPr>
          <w:rFonts w:hint="eastAsia" w:ascii="宋体" w:hAnsi="宋体" w:eastAsia="宋体" w:cs="宋体"/>
          <w:b/>
          <w:color w:val="auto"/>
          <w:sz w:val="32"/>
          <w:szCs w:val="32"/>
          <w:highlight w:val="none"/>
        </w:rPr>
        <w:t>、拟投入施工现场的主要管理人员情况</w:t>
      </w:r>
      <w:r>
        <w:rPr>
          <w:rFonts w:hint="eastAsia" w:ascii="宋体" w:hAnsi="宋体" w:eastAsia="宋体" w:cs="宋体"/>
          <w:b/>
          <w:color w:val="auto"/>
          <w:sz w:val="32"/>
          <w:szCs w:val="32"/>
          <w:highlight w:val="none"/>
          <w:lang w:val="en-US" w:eastAsia="zh-CN"/>
        </w:rPr>
        <w:t>表</w:t>
      </w:r>
      <w:r>
        <w:rPr>
          <w:rFonts w:hint="eastAsia" w:ascii="宋体" w:hAnsi="宋体" w:eastAsia="宋体" w:cs="宋体"/>
          <w:b/>
          <w:color w:val="auto"/>
          <w:sz w:val="32"/>
          <w:szCs w:val="32"/>
          <w:highlight w:val="none"/>
        </w:rPr>
        <w:t>格式</w:t>
      </w:r>
    </w:p>
    <w:p w14:paraId="2C057043">
      <w:pPr>
        <w:ind w:firstLine="480"/>
        <w:jc w:val="center"/>
        <w:rPr>
          <w:rFonts w:hint="eastAsia" w:ascii="宋体" w:hAnsi="宋体" w:eastAsia="宋体" w:cs="宋体"/>
          <w:b/>
          <w:color w:val="auto"/>
          <w:sz w:val="32"/>
          <w:szCs w:val="32"/>
          <w:highlight w:val="none"/>
        </w:rPr>
      </w:pPr>
    </w:p>
    <w:p w14:paraId="5832B03A">
      <w:pPr>
        <w:ind w:firstLine="0" w:firstLineChars="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拟投入施工现场的主要管理人员情况</w:t>
      </w:r>
      <w:r>
        <w:rPr>
          <w:rFonts w:hint="eastAsia" w:ascii="宋体" w:hAnsi="宋体" w:eastAsia="宋体" w:cs="宋体"/>
          <w:b/>
          <w:color w:val="auto"/>
          <w:sz w:val="32"/>
          <w:szCs w:val="32"/>
          <w:highlight w:val="none"/>
          <w:lang w:val="en-US" w:eastAsia="zh-CN"/>
        </w:rPr>
        <w:t>表</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759"/>
        <w:gridCol w:w="758"/>
        <w:gridCol w:w="2587"/>
        <w:gridCol w:w="885"/>
        <w:gridCol w:w="1905"/>
        <w:gridCol w:w="1420"/>
      </w:tblGrid>
      <w:tr w14:paraId="66F50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704" w:type="dxa"/>
            <w:noWrap w:val="0"/>
            <w:vAlign w:val="center"/>
          </w:tcPr>
          <w:p w14:paraId="6FD944BA">
            <w:pPr>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759" w:type="dxa"/>
            <w:noWrap w:val="0"/>
            <w:vAlign w:val="center"/>
          </w:tcPr>
          <w:p w14:paraId="0CD0A2EA">
            <w:pPr>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758" w:type="dxa"/>
            <w:noWrap w:val="0"/>
            <w:vAlign w:val="center"/>
          </w:tcPr>
          <w:p w14:paraId="4603BF5D">
            <w:pPr>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职位</w:t>
            </w:r>
          </w:p>
        </w:tc>
        <w:tc>
          <w:tcPr>
            <w:tcW w:w="2587" w:type="dxa"/>
            <w:noWrap w:val="0"/>
            <w:vAlign w:val="center"/>
          </w:tcPr>
          <w:p w14:paraId="083D671E">
            <w:pPr>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学历、职称、资格证书</w:t>
            </w:r>
          </w:p>
        </w:tc>
        <w:tc>
          <w:tcPr>
            <w:tcW w:w="885" w:type="dxa"/>
            <w:noWrap w:val="0"/>
            <w:vAlign w:val="center"/>
          </w:tcPr>
          <w:p w14:paraId="69D74F0D">
            <w:pPr>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专业</w:t>
            </w:r>
          </w:p>
        </w:tc>
        <w:tc>
          <w:tcPr>
            <w:tcW w:w="1905" w:type="dxa"/>
            <w:noWrap w:val="0"/>
            <w:vAlign w:val="center"/>
          </w:tcPr>
          <w:p w14:paraId="2A60659D">
            <w:pPr>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从事本工作时间</w:t>
            </w:r>
          </w:p>
        </w:tc>
        <w:tc>
          <w:tcPr>
            <w:tcW w:w="1420" w:type="dxa"/>
            <w:noWrap w:val="0"/>
            <w:vAlign w:val="top"/>
          </w:tcPr>
          <w:p w14:paraId="6DCEE219">
            <w:pPr>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在本项目中担任的工作</w:t>
            </w:r>
          </w:p>
        </w:tc>
      </w:tr>
      <w:tr w14:paraId="6F041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704" w:type="dxa"/>
            <w:noWrap w:val="0"/>
            <w:vAlign w:val="top"/>
          </w:tcPr>
          <w:p w14:paraId="00705D64">
            <w:pPr>
              <w:adjustRightInd w:val="0"/>
              <w:spacing w:before="120" w:beforeLines="50"/>
              <w:ind w:firstLine="480"/>
              <w:jc w:val="center"/>
              <w:textAlignment w:val="baseline"/>
              <w:rPr>
                <w:rFonts w:hint="eastAsia" w:ascii="宋体" w:hAnsi="宋体" w:eastAsia="宋体" w:cs="宋体"/>
                <w:color w:val="auto"/>
                <w:sz w:val="24"/>
                <w:szCs w:val="24"/>
                <w:highlight w:val="none"/>
              </w:rPr>
            </w:pPr>
          </w:p>
        </w:tc>
        <w:tc>
          <w:tcPr>
            <w:tcW w:w="759" w:type="dxa"/>
            <w:noWrap w:val="0"/>
            <w:vAlign w:val="top"/>
          </w:tcPr>
          <w:p w14:paraId="281F9B69">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758" w:type="dxa"/>
            <w:noWrap w:val="0"/>
            <w:vAlign w:val="top"/>
          </w:tcPr>
          <w:p w14:paraId="0E8D0100">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2587" w:type="dxa"/>
            <w:noWrap w:val="0"/>
            <w:vAlign w:val="top"/>
          </w:tcPr>
          <w:p w14:paraId="7ECB9486">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885" w:type="dxa"/>
            <w:noWrap w:val="0"/>
            <w:vAlign w:val="top"/>
          </w:tcPr>
          <w:p w14:paraId="3125E365">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1905" w:type="dxa"/>
            <w:noWrap w:val="0"/>
            <w:vAlign w:val="top"/>
          </w:tcPr>
          <w:p w14:paraId="4EE1C33E">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1420" w:type="dxa"/>
            <w:noWrap w:val="0"/>
            <w:vAlign w:val="top"/>
          </w:tcPr>
          <w:p w14:paraId="5DCC5AA1">
            <w:pPr>
              <w:adjustRightInd w:val="0"/>
              <w:spacing w:before="120" w:beforeLines="50"/>
              <w:ind w:firstLine="480"/>
              <w:textAlignment w:val="baseline"/>
              <w:rPr>
                <w:rFonts w:hint="eastAsia" w:ascii="宋体" w:hAnsi="宋体" w:eastAsia="宋体" w:cs="宋体"/>
                <w:color w:val="auto"/>
                <w:sz w:val="24"/>
                <w:szCs w:val="24"/>
                <w:highlight w:val="none"/>
              </w:rPr>
            </w:pPr>
          </w:p>
        </w:tc>
      </w:tr>
      <w:tr w14:paraId="6F69E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704" w:type="dxa"/>
            <w:noWrap w:val="0"/>
            <w:vAlign w:val="top"/>
          </w:tcPr>
          <w:p w14:paraId="7319EFFE">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759" w:type="dxa"/>
            <w:noWrap w:val="0"/>
            <w:vAlign w:val="top"/>
          </w:tcPr>
          <w:p w14:paraId="6595BA87">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758" w:type="dxa"/>
            <w:noWrap w:val="0"/>
            <w:vAlign w:val="top"/>
          </w:tcPr>
          <w:p w14:paraId="5A37D73C">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2587" w:type="dxa"/>
            <w:noWrap w:val="0"/>
            <w:vAlign w:val="top"/>
          </w:tcPr>
          <w:p w14:paraId="7D208335">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885" w:type="dxa"/>
            <w:noWrap w:val="0"/>
            <w:vAlign w:val="top"/>
          </w:tcPr>
          <w:p w14:paraId="779FE67E">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1905" w:type="dxa"/>
            <w:noWrap w:val="0"/>
            <w:vAlign w:val="top"/>
          </w:tcPr>
          <w:p w14:paraId="4584D7D6">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1420" w:type="dxa"/>
            <w:noWrap w:val="0"/>
            <w:vAlign w:val="top"/>
          </w:tcPr>
          <w:p w14:paraId="6462A0E2">
            <w:pPr>
              <w:adjustRightInd w:val="0"/>
              <w:spacing w:before="120" w:beforeLines="50"/>
              <w:ind w:firstLine="480"/>
              <w:textAlignment w:val="baseline"/>
              <w:rPr>
                <w:rFonts w:hint="eastAsia" w:ascii="宋体" w:hAnsi="宋体" w:eastAsia="宋体" w:cs="宋体"/>
                <w:color w:val="auto"/>
                <w:sz w:val="24"/>
                <w:szCs w:val="24"/>
                <w:highlight w:val="none"/>
              </w:rPr>
            </w:pPr>
          </w:p>
        </w:tc>
      </w:tr>
      <w:tr w14:paraId="76C37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704" w:type="dxa"/>
            <w:noWrap w:val="0"/>
            <w:vAlign w:val="top"/>
          </w:tcPr>
          <w:p w14:paraId="58E3D600">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759" w:type="dxa"/>
            <w:noWrap w:val="0"/>
            <w:vAlign w:val="top"/>
          </w:tcPr>
          <w:p w14:paraId="0CCB80F5">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758" w:type="dxa"/>
            <w:noWrap w:val="0"/>
            <w:vAlign w:val="top"/>
          </w:tcPr>
          <w:p w14:paraId="4373FA78">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2587" w:type="dxa"/>
            <w:noWrap w:val="0"/>
            <w:vAlign w:val="top"/>
          </w:tcPr>
          <w:p w14:paraId="609F64EA">
            <w:pPr>
              <w:pStyle w:val="13"/>
              <w:adjustRightInd w:val="0"/>
              <w:spacing w:before="120" w:beforeLines="50"/>
              <w:ind w:left="5250" w:leftChars="0" w:firstLine="480"/>
              <w:textAlignment w:val="baseline"/>
              <w:rPr>
                <w:rFonts w:hint="eastAsia" w:ascii="宋体" w:hAnsi="宋体" w:eastAsia="宋体" w:cs="宋体"/>
                <w:color w:val="auto"/>
                <w:kern w:val="2"/>
                <w:sz w:val="24"/>
                <w:szCs w:val="24"/>
                <w:highlight w:val="none"/>
              </w:rPr>
            </w:pPr>
          </w:p>
        </w:tc>
        <w:tc>
          <w:tcPr>
            <w:tcW w:w="885" w:type="dxa"/>
            <w:noWrap w:val="0"/>
            <w:vAlign w:val="top"/>
          </w:tcPr>
          <w:p w14:paraId="713FE72D">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1905" w:type="dxa"/>
            <w:noWrap w:val="0"/>
            <w:vAlign w:val="top"/>
          </w:tcPr>
          <w:p w14:paraId="56C2E0D3">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1420" w:type="dxa"/>
            <w:noWrap w:val="0"/>
            <w:vAlign w:val="top"/>
          </w:tcPr>
          <w:p w14:paraId="02381ED6">
            <w:pPr>
              <w:adjustRightInd w:val="0"/>
              <w:spacing w:before="120" w:beforeLines="50"/>
              <w:ind w:firstLine="480"/>
              <w:textAlignment w:val="baseline"/>
              <w:rPr>
                <w:rFonts w:hint="eastAsia" w:ascii="宋体" w:hAnsi="宋体" w:eastAsia="宋体" w:cs="宋体"/>
                <w:color w:val="auto"/>
                <w:sz w:val="24"/>
                <w:szCs w:val="24"/>
                <w:highlight w:val="none"/>
              </w:rPr>
            </w:pPr>
          </w:p>
        </w:tc>
      </w:tr>
      <w:tr w14:paraId="22977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704" w:type="dxa"/>
            <w:noWrap w:val="0"/>
            <w:vAlign w:val="top"/>
          </w:tcPr>
          <w:p w14:paraId="0C365FC2">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759" w:type="dxa"/>
            <w:noWrap w:val="0"/>
            <w:vAlign w:val="top"/>
          </w:tcPr>
          <w:p w14:paraId="0F8DC96D">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758" w:type="dxa"/>
            <w:noWrap w:val="0"/>
            <w:vAlign w:val="top"/>
          </w:tcPr>
          <w:p w14:paraId="11FD0F64">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2587" w:type="dxa"/>
            <w:noWrap w:val="0"/>
            <w:vAlign w:val="top"/>
          </w:tcPr>
          <w:p w14:paraId="4C8C7BB3">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885" w:type="dxa"/>
            <w:noWrap w:val="0"/>
            <w:vAlign w:val="top"/>
          </w:tcPr>
          <w:p w14:paraId="797D3C86">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1905" w:type="dxa"/>
            <w:noWrap w:val="0"/>
            <w:vAlign w:val="top"/>
          </w:tcPr>
          <w:p w14:paraId="6F0B6C2C">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1420" w:type="dxa"/>
            <w:noWrap w:val="0"/>
            <w:vAlign w:val="top"/>
          </w:tcPr>
          <w:p w14:paraId="343D799E">
            <w:pPr>
              <w:adjustRightInd w:val="0"/>
              <w:spacing w:before="120" w:beforeLines="50"/>
              <w:ind w:firstLine="480"/>
              <w:textAlignment w:val="baseline"/>
              <w:rPr>
                <w:rFonts w:hint="eastAsia" w:ascii="宋体" w:hAnsi="宋体" w:eastAsia="宋体" w:cs="宋体"/>
                <w:color w:val="auto"/>
                <w:sz w:val="24"/>
                <w:szCs w:val="24"/>
                <w:highlight w:val="none"/>
              </w:rPr>
            </w:pPr>
          </w:p>
        </w:tc>
      </w:tr>
      <w:tr w14:paraId="415BA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704" w:type="dxa"/>
            <w:noWrap w:val="0"/>
            <w:vAlign w:val="top"/>
          </w:tcPr>
          <w:p w14:paraId="553C19C3">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759" w:type="dxa"/>
            <w:noWrap w:val="0"/>
            <w:vAlign w:val="top"/>
          </w:tcPr>
          <w:p w14:paraId="47861028">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758" w:type="dxa"/>
            <w:noWrap w:val="0"/>
            <w:vAlign w:val="top"/>
          </w:tcPr>
          <w:p w14:paraId="6C0654B8">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2587" w:type="dxa"/>
            <w:noWrap w:val="0"/>
            <w:vAlign w:val="top"/>
          </w:tcPr>
          <w:p w14:paraId="447FB694">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885" w:type="dxa"/>
            <w:noWrap w:val="0"/>
            <w:vAlign w:val="top"/>
          </w:tcPr>
          <w:p w14:paraId="63E4FD9D">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1905" w:type="dxa"/>
            <w:noWrap w:val="0"/>
            <w:vAlign w:val="top"/>
          </w:tcPr>
          <w:p w14:paraId="4F7261FF">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1420" w:type="dxa"/>
            <w:noWrap w:val="0"/>
            <w:vAlign w:val="top"/>
          </w:tcPr>
          <w:p w14:paraId="56ABF3E9">
            <w:pPr>
              <w:adjustRightInd w:val="0"/>
              <w:spacing w:before="120" w:beforeLines="50"/>
              <w:ind w:firstLine="480"/>
              <w:textAlignment w:val="baseline"/>
              <w:rPr>
                <w:rFonts w:hint="eastAsia" w:ascii="宋体" w:hAnsi="宋体" w:eastAsia="宋体" w:cs="宋体"/>
                <w:color w:val="auto"/>
                <w:sz w:val="24"/>
                <w:szCs w:val="24"/>
                <w:highlight w:val="none"/>
              </w:rPr>
            </w:pPr>
          </w:p>
        </w:tc>
      </w:tr>
      <w:tr w14:paraId="5EB1B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704" w:type="dxa"/>
            <w:noWrap w:val="0"/>
            <w:vAlign w:val="top"/>
          </w:tcPr>
          <w:p w14:paraId="38D6DBDD">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759" w:type="dxa"/>
            <w:noWrap w:val="0"/>
            <w:vAlign w:val="top"/>
          </w:tcPr>
          <w:p w14:paraId="798C0CA3">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758" w:type="dxa"/>
            <w:noWrap w:val="0"/>
            <w:vAlign w:val="top"/>
          </w:tcPr>
          <w:p w14:paraId="492ADFFB">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2587" w:type="dxa"/>
            <w:noWrap w:val="0"/>
            <w:vAlign w:val="top"/>
          </w:tcPr>
          <w:p w14:paraId="23CB46CA">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885" w:type="dxa"/>
            <w:noWrap w:val="0"/>
            <w:vAlign w:val="top"/>
          </w:tcPr>
          <w:p w14:paraId="7DF925A7">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1905" w:type="dxa"/>
            <w:noWrap w:val="0"/>
            <w:vAlign w:val="top"/>
          </w:tcPr>
          <w:p w14:paraId="407C11BA">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1420" w:type="dxa"/>
            <w:noWrap w:val="0"/>
            <w:vAlign w:val="top"/>
          </w:tcPr>
          <w:p w14:paraId="009C2D7D">
            <w:pPr>
              <w:adjustRightInd w:val="0"/>
              <w:spacing w:before="120" w:beforeLines="50"/>
              <w:ind w:firstLine="480"/>
              <w:textAlignment w:val="baseline"/>
              <w:rPr>
                <w:rFonts w:hint="eastAsia" w:ascii="宋体" w:hAnsi="宋体" w:eastAsia="宋体" w:cs="宋体"/>
                <w:color w:val="auto"/>
                <w:sz w:val="24"/>
                <w:szCs w:val="24"/>
                <w:highlight w:val="none"/>
              </w:rPr>
            </w:pPr>
          </w:p>
        </w:tc>
      </w:tr>
      <w:tr w14:paraId="4DC3B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704" w:type="dxa"/>
            <w:noWrap w:val="0"/>
            <w:vAlign w:val="top"/>
          </w:tcPr>
          <w:p w14:paraId="2AEA3914">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759" w:type="dxa"/>
            <w:noWrap w:val="0"/>
            <w:vAlign w:val="top"/>
          </w:tcPr>
          <w:p w14:paraId="02E7437B">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758" w:type="dxa"/>
            <w:noWrap w:val="0"/>
            <w:vAlign w:val="top"/>
          </w:tcPr>
          <w:p w14:paraId="3EFEFFCB">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2587" w:type="dxa"/>
            <w:noWrap w:val="0"/>
            <w:vAlign w:val="top"/>
          </w:tcPr>
          <w:p w14:paraId="43A2EBE6">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885" w:type="dxa"/>
            <w:noWrap w:val="0"/>
            <w:vAlign w:val="top"/>
          </w:tcPr>
          <w:p w14:paraId="01C426B1">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1905" w:type="dxa"/>
            <w:noWrap w:val="0"/>
            <w:vAlign w:val="top"/>
          </w:tcPr>
          <w:p w14:paraId="6497B88E">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1420" w:type="dxa"/>
            <w:noWrap w:val="0"/>
            <w:vAlign w:val="top"/>
          </w:tcPr>
          <w:p w14:paraId="4941712B">
            <w:pPr>
              <w:adjustRightInd w:val="0"/>
              <w:spacing w:before="120" w:beforeLines="50"/>
              <w:ind w:firstLine="480"/>
              <w:textAlignment w:val="baseline"/>
              <w:rPr>
                <w:rFonts w:hint="eastAsia" w:ascii="宋体" w:hAnsi="宋体" w:eastAsia="宋体" w:cs="宋体"/>
                <w:color w:val="auto"/>
                <w:sz w:val="24"/>
                <w:szCs w:val="24"/>
                <w:highlight w:val="none"/>
              </w:rPr>
            </w:pPr>
          </w:p>
        </w:tc>
      </w:tr>
      <w:tr w14:paraId="76DAA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704" w:type="dxa"/>
            <w:noWrap w:val="0"/>
            <w:vAlign w:val="top"/>
          </w:tcPr>
          <w:p w14:paraId="10F3E526">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759" w:type="dxa"/>
            <w:noWrap w:val="0"/>
            <w:vAlign w:val="top"/>
          </w:tcPr>
          <w:p w14:paraId="605517EB">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758" w:type="dxa"/>
            <w:noWrap w:val="0"/>
            <w:vAlign w:val="top"/>
          </w:tcPr>
          <w:p w14:paraId="6AB1C376">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2587" w:type="dxa"/>
            <w:noWrap w:val="0"/>
            <w:vAlign w:val="top"/>
          </w:tcPr>
          <w:p w14:paraId="5E1FB73D">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885" w:type="dxa"/>
            <w:noWrap w:val="0"/>
            <w:vAlign w:val="top"/>
          </w:tcPr>
          <w:p w14:paraId="5D70A52E">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1905" w:type="dxa"/>
            <w:noWrap w:val="0"/>
            <w:vAlign w:val="top"/>
          </w:tcPr>
          <w:p w14:paraId="5410F03F">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1420" w:type="dxa"/>
            <w:noWrap w:val="0"/>
            <w:vAlign w:val="top"/>
          </w:tcPr>
          <w:p w14:paraId="50B7C456">
            <w:pPr>
              <w:adjustRightInd w:val="0"/>
              <w:spacing w:before="120" w:beforeLines="50"/>
              <w:ind w:firstLine="480"/>
              <w:textAlignment w:val="baseline"/>
              <w:rPr>
                <w:rFonts w:hint="eastAsia" w:ascii="宋体" w:hAnsi="宋体" w:eastAsia="宋体" w:cs="宋体"/>
                <w:color w:val="auto"/>
                <w:sz w:val="24"/>
                <w:szCs w:val="24"/>
                <w:highlight w:val="none"/>
              </w:rPr>
            </w:pPr>
          </w:p>
        </w:tc>
      </w:tr>
      <w:tr w14:paraId="3B2C7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704" w:type="dxa"/>
            <w:noWrap w:val="0"/>
            <w:vAlign w:val="top"/>
          </w:tcPr>
          <w:p w14:paraId="61850D8B">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759" w:type="dxa"/>
            <w:noWrap w:val="0"/>
            <w:vAlign w:val="top"/>
          </w:tcPr>
          <w:p w14:paraId="243469B8">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758" w:type="dxa"/>
            <w:noWrap w:val="0"/>
            <w:vAlign w:val="top"/>
          </w:tcPr>
          <w:p w14:paraId="7DF628EE">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2587" w:type="dxa"/>
            <w:noWrap w:val="0"/>
            <w:vAlign w:val="top"/>
          </w:tcPr>
          <w:p w14:paraId="30144563">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885" w:type="dxa"/>
            <w:noWrap w:val="0"/>
            <w:vAlign w:val="top"/>
          </w:tcPr>
          <w:p w14:paraId="01859620">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1905" w:type="dxa"/>
            <w:noWrap w:val="0"/>
            <w:vAlign w:val="top"/>
          </w:tcPr>
          <w:p w14:paraId="444A6E57">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1420" w:type="dxa"/>
            <w:noWrap w:val="0"/>
            <w:vAlign w:val="top"/>
          </w:tcPr>
          <w:p w14:paraId="64EE1B8C">
            <w:pPr>
              <w:adjustRightInd w:val="0"/>
              <w:spacing w:before="120" w:beforeLines="50"/>
              <w:ind w:firstLine="480"/>
              <w:textAlignment w:val="baseline"/>
              <w:rPr>
                <w:rFonts w:hint="eastAsia" w:ascii="宋体" w:hAnsi="宋体" w:eastAsia="宋体" w:cs="宋体"/>
                <w:color w:val="auto"/>
                <w:sz w:val="24"/>
                <w:szCs w:val="24"/>
                <w:highlight w:val="none"/>
              </w:rPr>
            </w:pPr>
          </w:p>
        </w:tc>
      </w:tr>
      <w:tr w14:paraId="6AC5E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704" w:type="dxa"/>
            <w:noWrap w:val="0"/>
            <w:vAlign w:val="top"/>
          </w:tcPr>
          <w:p w14:paraId="1EB704D7">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759" w:type="dxa"/>
            <w:noWrap w:val="0"/>
            <w:vAlign w:val="top"/>
          </w:tcPr>
          <w:p w14:paraId="6448C439">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758" w:type="dxa"/>
            <w:noWrap w:val="0"/>
            <w:vAlign w:val="top"/>
          </w:tcPr>
          <w:p w14:paraId="33B40EF9">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2587" w:type="dxa"/>
            <w:noWrap w:val="0"/>
            <w:vAlign w:val="top"/>
          </w:tcPr>
          <w:p w14:paraId="390A001F">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885" w:type="dxa"/>
            <w:noWrap w:val="0"/>
            <w:vAlign w:val="top"/>
          </w:tcPr>
          <w:p w14:paraId="1E93432E">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1905" w:type="dxa"/>
            <w:noWrap w:val="0"/>
            <w:vAlign w:val="top"/>
          </w:tcPr>
          <w:p w14:paraId="2B569DB5">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1420" w:type="dxa"/>
            <w:noWrap w:val="0"/>
            <w:vAlign w:val="top"/>
          </w:tcPr>
          <w:p w14:paraId="6B8A77EC">
            <w:pPr>
              <w:adjustRightInd w:val="0"/>
              <w:spacing w:before="120" w:beforeLines="50"/>
              <w:ind w:firstLine="480"/>
              <w:textAlignment w:val="baseline"/>
              <w:rPr>
                <w:rFonts w:hint="eastAsia" w:ascii="宋体" w:hAnsi="宋体" w:eastAsia="宋体" w:cs="宋体"/>
                <w:color w:val="auto"/>
                <w:sz w:val="24"/>
                <w:szCs w:val="24"/>
                <w:highlight w:val="none"/>
              </w:rPr>
            </w:pPr>
          </w:p>
        </w:tc>
      </w:tr>
      <w:tr w14:paraId="6856B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704" w:type="dxa"/>
            <w:noWrap w:val="0"/>
            <w:vAlign w:val="top"/>
          </w:tcPr>
          <w:p w14:paraId="190B7570">
            <w:pPr>
              <w:adjustRightInd w:val="0"/>
              <w:spacing w:before="120" w:beforeLines="50"/>
              <w:ind w:firstLine="480"/>
              <w:jc w:val="center"/>
              <w:textAlignment w:val="baseline"/>
              <w:rPr>
                <w:rFonts w:hint="eastAsia" w:ascii="宋体" w:hAnsi="宋体" w:eastAsia="宋体" w:cs="宋体"/>
                <w:color w:val="auto"/>
                <w:sz w:val="24"/>
                <w:szCs w:val="24"/>
                <w:highlight w:val="none"/>
              </w:rPr>
            </w:pPr>
          </w:p>
        </w:tc>
        <w:tc>
          <w:tcPr>
            <w:tcW w:w="759" w:type="dxa"/>
            <w:noWrap w:val="0"/>
            <w:vAlign w:val="top"/>
          </w:tcPr>
          <w:p w14:paraId="0EA2ED57">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758" w:type="dxa"/>
            <w:noWrap w:val="0"/>
            <w:vAlign w:val="top"/>
          </w:tcPr>
          <w:p w14:paraId="2613254F">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2587" w:type="dxa"/>
            <w:noWrap w:val="0"/>
            <w:vAlign w:val="top"/>
          </w:tcPr>
          <w:p w14:paraId="71FBBF5E">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885" w:type="dxa"/>
            <w:noWrap w:val="0"/>
            <w:vAlign w:val="top"/>
          </w:tcPr>
          <w:p w14:paraId="708BF788">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1905" w:type="dxa"/>
            <w:noWrap w:val="0"/>
            <w:vAlign w:val="top"/>
          </w:tcPr>
          <w:p w14:paraId="006613C2">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1420" w:type="dxa"/>
            <w:noWrap w:val="0"/>
            <w:vAlign w:val="top"/>
          </w:tcPr>
          <w:p w14:paraId="6DBB5274">
            <w:pPr>
              <w:adjustRightInd w:val="0"/>
              <w:spacing w:before="120" w:beforeLines="50"/>
              <w:ind w:firstLine="480"/>
              <w:textAlignment w:val="baseline"/>
              <w:rPr>
                <w:rFonts w:hint="eastAsia" w:ascii="宋体" w:hAnsi="宋体" w:eastAsia="宋体" w:cs="宋体"/>
                <w:color w:val="auto"/>
                <w:sz w:val="24"/>
                <w:szCs w:val="24"/>
                <w:highlight w:val="none"/>
              </w:rPr>
            </w:pPr>
          </w:p>
        </w:tc>
      </w:tr>
      <w:tr w14:paraId="6A7DC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704" w:type="dxa"/>
            <w:noWrap w:val="0"/>
            <w:vAlign w:val="top"/>
          </w:tcPr>
          <w:p w14:paraId="762BEC8E">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759" w:type="dxa"/>
            <w:noWrap w:val="0"/>
            <w:vAlign w:val="top"/>
          </w:tcPr>
          <w:p w14:paraId="15F8CAF0">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758" w:type="dxa"/>
            <w:noWrap w:val="0"/>
            <w:vAlign w:val="top"/>
          </w:tcPr>
          <w:p w14:paraId="602BF6FB">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2587" w:type="dxa"/>
            <w:noWrap w:val="0"/>
            <w:vAlign w:val="top"/>
          </w:tcPr>
          <w:p w14:paraId="40A5856C">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885" w:type="dxa"/>
            <w:noWrap w:val="0"/>
            <w:vAlign w:val="top"/>
          </w:tcPr>
          <w:p w14:paraId="57072C4B">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1905" w:type="dxa"/>
            <w:noWrap w:val="0"/>
            <w:vAlign w:val="top"/>
          </w:tcPr>
          <w:p w14:paraId="15AFE557">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1420" w:type="dxa"/>
            <w:noWrap w:val="0"/>
            <w:vAlign w:val="top"/>
          </w:tcPr>
          <w:p w14:paraId="6D542BA4">
            <w:pPr>
              <w:adjustRightInd w:val="0"/>
              <w:spacing w:before="120" w:beforeLines="50"/>
              <w:ind w:firstLine="480"/>
              <w:textAlignment w:val="baseline"/>
              <w:rPr>
                <w:rFonts w:hint="eastAsia" w:ascii="宋体" w:hAnsi="宋体" w:eastAsia="宋体" w:cs="宋体"/>
                <w:color w:val="auto"/>
                <w:sz w:val="24"/>
                <w:szCs w:val="24"/>
                <w:highlight w:val="none"/>
              </w:rPr>
            </w:pPr>
          </w:p>
        </w:tc>
      </w:tr>
    </w:tbl>
    <w:p w14:paraId="37477175">
      <w:pPr>
        <w:snapToGrid w:val="0"/>
        <w:spacing w:before="100" w:beforeAutospacing="1" w:after="100" w:afterAutospacing="1" w:line="360" w:lineRule="exact"/>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 各投标人必须如实填写此表格。</w:t>
      </w:r>
    </w:p>
    <w:p w14:paraId="642C813F">
      <w:pPr>
        <w:tabs>
          <w:tab w:val="left" w:pos="1418"/>
        </w:tabs>
        <w:ind w:firstLine="480"/>
        <w:rPr>
          <w:rFonts w:hint="eastAsia" w:ascii="宋体" w:hAnsi="宋体" w:eastAsia="宋体" w:cs="宋体"/>
          <w:color w:val="auto"/>
          <w:sz w:val="24"/>
          <w:szCs w:val="24"/>
          <w:highlight w:val="none"/>
        </w:rPr>
      </w:pPr>
    </w:p>
    <w:p w14:paraId="2E9408FA">
      <w:pPr>
        <w:tabs>
          <w:tab w:val="left" w:pos="1418"/>
        </w:tabs>
        <w:ind w:firstLine="480"/>
        <w:rPr>
          <w:rFonts w:hint="eastAsia" w:ascii="宋体" w:hAnsi="宋体" w:eastAsia="宋体" w:cs="宋体"/>
          <w:color w:val="auto"/>
          <w:sz w:val="24"/>
          <w:szCs w:val="24"/>
          <w:highlight w:val="none"/>
        </w:rPr>
      </w:pPr>
    </w:p>
    <w:p w14:paraId="31E716BB">
      <w:pPr>
        <w:spacing w:line="300" w:lineRule="auto"/>
        <w:ind w:firstLine="3600" w:firstLineChars="15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法定代表人或授权代表（</w:t>
      </w:r>
      <w:r>
        <w:rPr>
          <w:rFonts w:hint="eastAsia" w:ascii="宋体" w:hAnsi="宋体" w:eastAsia="宋体" w:cs="宋体"/>
          <w:color w:val="auto"/>
          <w:sz w:val="24"/>
          <w:szCs w:val="24"/>
          <w:highlight w:val="none"/>
        </w:rPr>
        <w:t>签字</w:t>
      </w:r>
      <w:r>
        <w:rPr>
          <w:rFonts w:hint="eastAsia" w:ascii="宋体" w:hAnsi="宋体" w:eastAsia="宋体" w:cs="宋体"/>
          <w:color w:val="auto"/>
          <w:sz w:val="24"/>
          <w:szCs w:val="24"/>
          <w:highlight w:val="none"/>
          <w:lang w:val="en-US" w:eastAsia="zh-CN"/>
        </w:rPr>
        <w:t>或盖章）</w:t>
      </w:r>
      <w:r>
        <w:rPr>
          <w:rFonts w:hint="eastAsia" w:ascii="宋体" w:hAnsi="宋体" w:eastAsia="宋体" w:cs="宋体"/>
          <w:color w:val="auto"/>
          <w:spacing w:val="20"/>
          <w:sz w:val="24"/>
          <w:szCs w:val="24"/>
          <w:highlight w:val="none"/>
        </w:rPr>
        <w:t>：</w:t>
      </w:r>
      <w:r>
        <w:rPr>
          <w:rFonts w:hint="eastAsia" w:ascii="宋体" w:hAnsi="宋体" w:eastAsia="宋体" w:cs="宋体"/>
          <w:color w:val="auto"/>
          <w:sz w:val="24"/>
          <w:szCs w:val="24"/>
          <w:highlight w:val="none"/>
        </w:rPr>
        <w:t>___________</w:t>
      </w:r>
      <w:r>
        <w:rPr>
          <w:rFonts w:hint="eastAsia" w:ascii="宋体" w:hAnsi="宋体" w:eastAsia="宋体" w:cs="宋体"/>
          <w:color w:val="auto"/>
          <w:spacing w:val="20"/>
          <w:sz w:val="24"/>
          <w:szCs w:val="24"/>
          <w:highlight w:val="none"/>
          <w:u w:val="single"/>
        </w:rPr>
        <w:t xml:space="preserve">      </w:t>
      </w:r>
      <w:r>
        <w:rPr>
          <w:rFonts w:hint="eastAsia" w:ascii="宋体" w:hAnsi="宋体" w:eastAsia="宋体" w:cs="宋体"/>
          <w:color w:val="auto"/>
          <w:sz w:val="24"/>
          <w:szCs w:val="24"/>
          <w:highlight w:val="none"/>
          <w:u w:val="single"/>
        </w:rPr>
        <w:t xml:space="preserve"> </w:t>
      </w:r>
    </w:p>
    <w:p w14:paraId="335985FA">
      <w:pPr>
        <w:spacing w:line="300" w:lineRule="auto"/>
        <w:ind w:firstLine="5280" w:firstLineChars="2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szCs w:val="24"/>
          <w:highlight w:val="none"/>
        </w:rPr>
        <w:t>（盖章）：_________________</w:t>
      </w:r>
    </w:p>
    <w:p w14:paraId="65525D71">
      <w:pPr>
        <w:pStyle w:val="6"/>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color w:val="auto"/>
          <w:sz w:val="24"/>
          <w:szCs w:val="24"/>
          <w:highlight w:val="none"/>
        </w:rPr>
        <w:t xml:space="preserve">                                    </w:t>
      </w:r>
      <w:r>
        <w:rPr>
          <w:rFonts w:hint="eastAsia" w:ascii="宋体" w:hAnsi="宋体" w:eastAsia="宋体" w:cs="宋体"/>
          <w:b w:val="0"/>
          <w:color w:val="auto"/>
          <w:kern w:val="2"/>
          <w:sz w:val="24"/>
          <w:szCs w:val="24"/>
          <w:highlight w:val="none"/>
          <w:lang w:val="en-US" w:eastAsia="zh-CN" w:bidi="ar-SA"/>
        </w:rPr>
        <w:t xml:space="preserve">      </w:t>
      </w:r>
      <w:bookmarkStart w:id="105" w:name="_Toc21633"/>
      <w:r>
        <w:rPr>
          <w:rFonts w:hint="eastAsia" w:ascii="宋体" w:hAnsi="宋体" w:eastAsia="宋体" w:cs="宋体"/>
          <w:b w:val="0"/>
          <w:color w:val="auto"/>
          <w:kern w:val="2"/>
          <w:sz w:val="24"/>
          <w:szCs w:val="24"/>
          <w:highlight w:val="none"/>
          <w:lang w:val="en-US" w:eastAsia="zh-CN" w:bidi="ar-SA"/>
        </w:rPr>
        <w:t>日    期：_____年____月____日</w:t>
      </w:r>
      <w:bookmarkEnd w:id="105"/>
    </w:p>
    <w:p w14:paraId="62DA9317">
      <w:pPr>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br w:type="page"/>
      </w:r>
    </w:p>
    <w:p w14:paraId="5A673F59">
      <w:pPr>
        <w:snapToGrid w:val="0"/>
        <w:spacing w:before="100" w:beforeAutospacing="1" w:after="100" w:afterAutospacing="1" w:line="276" w:lineRule="auto"/>
        <w:ind w:firstLine="643" w:firstLineChars="20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十</w:t>
      </w:r>
      <w:r>
        <w:rPr>
          <w:rFonts w:hint="eastAsia" w:ascii="宋体" w:hAnsi="宋体" w:cs="宋体"/>
          <w:b/>
          <w:bCs/>
          <w:color w:val="auto"/>
          <w:sz w:val="32"/>
          <w:szCs w:val="32"/>
          <w:highlight w:val="none"/>
          <w:lang w:val="en-US" w:eastAsia="zh-CN"/>
        </w:rPr>
        <w:t>三</w:t>
      </w:r>
      <w:r>
        <w:rPr>
          <w:rFonts w:hint="eastAsia" w:ascii="宋体" w:hAnsi="宋体" w:eastAsia="宋体" w:cs="宋体"/>
          <w:b/>
          <w:bCs/>
          <w:color w:val="auto"/>
          <w:sz w:val="32"/>
          <w:szCs w:val="32"/>
          <w:highlight w:val="none"/>
        </w:rPr>
        <w:t>、磋商函格式</w:t>
      </w:r>
    </w:p>
    <w:p w14:paraId="1807DCD2">
      <w:pPr>
        <w:snapToGrid w:val="0"/>
        <w:spacing w:before="100" w:beforeAutospacing="1" w:after="100" w:afterAutospacing="1" w:line="276" w:lineRule="auto"/>
        <w:ind w:firstLine="602" w:firstLineChars="200"/>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磋 商 函</w:t>
      </w:r>
    </w:p>
    <w:p w14:paraId="295A74BD">
      <w:pPr>
        <w:keepNext w:val="0"/>
        <w:keepLines w:val="0"/>
        <w:pageBreakBefore w:val="0"/>
        <w:widowControl w:val="0"/>
        <w:kinsoku/>
        <w:wordWrap/>
        <w:overflowPunct/>
        <w:topLinePunct w:val="0"/>
        <w:autoSpaceDE/>
        <w:autoSpaceDN/>
        <w:bidi w:val="0"/>
        <w:adjustRightInd/>
        <w:snapToGrid w:val="0"/>
        <w:spacing w:before="100" w:beforeAutospacing="1" w:after="100" w:afterAutospacing="1"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（代理机构名称）：</w:t>
      </w:r>
    </w:p>
    <w:p w14:paraId="370CC9A2">
      <w:pPr>
        <w:keepNext w:val="0"/>
        <w:keepLines w:val="0"/>
        <w:pageBreakBefore w:val="0"/>
        <w:widowControl w:val="0"/>
        <w:kinsoku/>
        <w:wordWrap/>
        <w:overflowPunct/>
        <w:topLinePunct w:val="0"/>
        <w:autoSpaceDE/>
        <w:autoSpaceDN/>
        <w:bidi w:val="0"/>
        <w:adjustRightInd/>
        <w:snapToGrid w:val="0"/>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根据贵方为</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嘉善县天凝中学2025年度校舍常规维修</w:t>
      </w:r>
      <w:r>
        <w:rPr>
          <w:rFonts w:hint="eastAsia" w:ascii="宋体" w:hAnsi="宋体" w:eastAsia="宋体" w:cs="宋体"/>
          <w:color w:val="auto"/>
          <w:sz w:val="24"/>
          <w:szCs w:val="24"/>
          <w:highlight w:val="none"/>
        </w:rPr>
        <w:t>项目的磋商公告</w:t>
      </w:r>
    </w:p>
    <w:p w14:paraId="34FD7B13">
      <w:pPr>
        <w:keepNext w:val="0"/>
        <w:keepLines w:val="0"/>
        <w:pageBreakBefore w:val="0"/>
        <w:widowControl w:val="0"/>
        <w:kinsoku/>
        <w:wordWrap/>
        <w:overflowPunct/>
        <w:topLinePunct w:val="0"/>
        <w:autoSpaceDE/>
        <w:autoSpaceDN/>
        <w:bidi w:val="0"/>
        <w:adjustRightInd/>
        <w:snapToGrid w:val="0"/>
        <w:spacing w:line="300" w:lineRule="auto"/>
        <w:ind w:left="0" w:leftChars="0" w:firstLine="0" w:firstLineChars="0"/>
        <w:textAlignment w:val="auto"/>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），签字代表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（全名）经正式授权并代表供应商</w:t>
      </w:r>
      <w:r>
        <w:rPr>
          <w:rFonts w:hint="eastAsia" w:ascii="宋体" w:hAnsi="宋体" w:cs="宋体"/>
          <w:color w:val="auto"/>
          <w:sz w:val="24"/>
          <w:szCs w:val="24"/>
          <w:highlight w:val="none"/>
          <w:lang w:val="en-US" w:eastAsia="zh-CN"/>
        </w:rPr>
        <w:t xml:space="preserve">  </w:t>
      </w:r>
    </w:p>
    <w:p w14:paraId="5B5CE9B9">
      <w:pPr>
        <w:keepNext w:val="0"/>
        <w:keepLines w:val="0"/>
        <w:pageBreakBefore w:val="0"/>
        <w:widowControl w:val="0"/>
        <w:kinsoku/>
        <w:wordWrap/>
        <w:overflowPunct/>
        <w:topLinePunct w:val="0"/>
        <w:autoSpaceDE/>
        <w:autoSpaceDN/>
        <w:bidi w:val="0"/>
        <w:adjustRightInd/>
        <w:snapToGrid w:val="0"/>
        <w:spacing w:line="300" w:lineRule="auto"/>
        <w:ind w:left="0" w:leftChars="0" w:firstLine="0" w:firstLineChars="0"/>
        <w:textAlignment w:val="auto"/>
        <w:rPr>
          <w:rFonts w:hint="eastAsia" w:ascii="宋体" w:hAnsi="宋体" w:eastAsia="宋体" w:cs="宋体"/>
          <w:color w:val="auto"/>
          <w:szCs w:val="24"/>
          <w:highlight w:val="none"/>
          <w:lang w:eastAsia="zh-CN"/>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（供应商名称）提交响应文件。</w:t>
      </w:r>
      <w:r>
        <w:rPr>
          <w:rFonts w:hint="eastAsia" w:ascii="宋体" w:hAnsi="宋体" w:eastAsia="宋体" w:cs="宋体"/>
          <w:color w:val="auto"/>
          <w:sz w:val="24"/>
          <w:highlight w:val="none"/>
        </w:rPr>
        <w:t>我方愿以</w:t>
      </w:r>
      <w:r>
        <w:rPr>
          <w:rFonts w:hint="eastAsia" w:ascii="宋体" w:hAnsi="宋体" w:eastAsia="宋体" w:cs="宋体"/>
          <w:color w:val="auto"/>
          <w:sz w:val="24"/>
          <w:highlight w:val="none"/>
          <w:lang w:val="en-US" w:eastAsia="zh-CN"/>
        </w:rPr>
        <w:t>报价一览表中</w:t>
      </w:r>
      <w:r>
        <w:rPr>
          <w:rFonts w:hint="eastAsia" w:ascii="宋体" w:hAnsi="宋体" w:eastAsia="宋体" w:cs="宋体"/>
          <w:color w:val="auto"/>
          <w:sz w:val="24"/>
          <w:highlight w:val="none"/>
        </w:rPr>
        <w:t>的投标报价并由</w:t>
      </w:r>
      <w:r>
        <w:rPr>
          <w:rFonts w:hint="eastAsia" w:ascii="宋体" w:hAnsi="宋体" w:eastAsia="宋体" w:cs="宋体"/>
          <w:b/>
          <w:color w:val="auto"/>
          <w:sz w:val="24"/>
          <w:highlight w:val="none"/>
          <w:lang w:eastAsia="zh-CN"/>
        </w:rPr>
        <w:t>项目负责人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按上述合同条款、工程建设标准的条件要求承包上述工程的施工、竣工，并承担任何质量缺陷保修责任</w:t>
      </w:r>
      <w:r>
        <w:rPr>
          <w:rFonts w:hint="eastAsia" w:ascii="宋体" w:hAnsi="宋体" w:eastAsia="宋体" w:cs="宋体"/>
          <w:color w:val="auto"/>
          <w:sz w:val="24"/>
          <w:highlight w:val="none"/>
          <w:lang w:eastAsia="zh-CN"/>
        </w:rPr>
        <w:t>。</w:t>
      </w:r>
    </w:p>
    <w:p w14:paraId="1F85C496">
      <w:pPr>
        <w:keepNext w:val="0"/>
        <w:keepLines w:val="0"/>
        <w:pageBreakBefore w:val="0"/>
        <w:widowControl w:val="0"/>
        <w:kinsoku/>
        <w:wordWrap/>
        <w:overflowPunct/>
        <w:topLinePunct w:val="0"/>
        <w:autoSpaceDE/>
        <w:autoSpaceDN/>
        <w:bidi w:val="0"/>
        <w:adjustRightInd/>
        <w:snapToGrid w:val="0"/>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据此函，签字代表宣布同意如下：</w:t>
      </w:r>
    </w:p>
    <w:p w14:paraId="549DDDA4">
      <w:pPr>
        <w:keepNext w:val="0"/>
        <w:keepLines w:val="0"/>
        <w:pageBreakBefore w:val="0"/>
        <w:widowControl w:val="0"/>
        <w:kinsoku/>
        <w:wordWrap/>
        <w:overflowPunct/>
        <w:topLinePunct w:val="0"/>
        <w:autoSpaceDE/>
        <w:autoSpaceDN/>
        <w:bidi w:val="0"/>
        <w:adjustRightInd/>
        <w:snapToGrid w:val="0"/>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1.我放已详细审查全部“竞争性磋商文件”，包括修改文件（如有的话）以及全部参考资料和有关附件，已经了解我方对于磋商文件、采购过程、采购结果有依法进行询问、质疑、投诉的权利及相关渠道和要求。</w:t>
      </w:r>
    </w:p>
    <w:p w14:paraId="3DF7050B">
      <w:pPr>
        <w:keepNext w:val="0"/>
        <w:keepLines w:val="0"/>
        <w:pageBreakBefore w:val="0"/>
        <w:widowControl w:val="0"/>
        <w:kinsoku/>
        <w:wordWrap/>
        <w:overflowPunct/>
        <w:topLinePunct w:val="0"/>
        <w:autoSpaceDE/>
        <w:autoSpaceDN/>
        <w:bidi w:val="0"/>
        <w:adjustRightInd/>
        <w:snapToGrid w:val="0"/>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2.供应商在磋商之前已经与贵方进行了充分的沟通，完全理解并接受磋商文件的各项规定和要求，对磋商文件的合理性、合法性不再有异议。</w:t>
      </w:r>
    </w:p>
    <w:p w14:paraId="68D59712">
      <w:pPr>
        <w:pStyle w:val="2"/>
        <w:keepNext w:val="0"/>
        <w:keepLines w:val="0"/>
        <w:pageBreakBefore w:val="0"/>
        <w:widowControl w:val="0"/>
        <w:kinsoku/>
        <w:wordWrap/>
        <w:overflowPunct/>
        <w:topLinePunct w:val="0"/>
        <w:autoSpaceDE/>
        <w:autoSpaceDN/>
        <w:bidi w:val="0"/>
        <w:adjustRightInd/>
        <w:spacing w:after="0" w:line="30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3.一旦我方中标，我方在接到你方发出的中标通知书之日起</w:t>
      </w:r>
      <w:r>
        <w:rPr>
          <w:rFonts w:hint="eastAsia" w:ascii="宋体" w:hAnsi="宋体" w:cs="宋体"/>
          <w:b w:val="0"/>
          <w:bCs w:val="0"/>
          <w:color w:val="auto"/>
          <w:kern w:val="2"/>
          <w:sz w:val="24"/>
          <w:szCs w:val="24"/>
          <w:highlight w:val="none"/>
          <w:u w:val="single"/>
          <w:lang w:val="en-US" w:eastAsia="zh-CN" w:bidi="ar-SA"/>
        </w:rPr>
        <w:t>30</w:t>
      </w:r>
      <w:r>
        <w:rPr>
          <w:rFonts w:hint="eastAsia" w:ascii="宋体" w:hAnsi="宋体" w:eastAsia="宋体" w:cs="宋体"/>
          <w:b w:val="0"/>
          <w:bCs w:val="0"/>
          <w:color w:val="auto"/>
          <w:kern w:val="2"/>
          <w:sz w:val="24"/>
          <w:szCs w:val="24"/>
          <w:highlight w:val="none"/>
          <w:lang w:val="en-US" w:eastAsia="zh-CN" w:bidi="ar-SA"/>
        </w:rPr>
        <w:t>天内，按成交通知书、</w:t>
      </w:r>
      <w:r>
        <w:rPr>
          <w:rFonts w:hint="eastAsia" w:ascii="宋体" w:hAnsi="宋体" w:eastAsia="宋体" w:cs="宋体"/>
          <w:color w:val="auto"/>
          <w:sz w:val="24"/>
          <w:szCs w:val="24"/>
          <w:highlight w:val="none"/>
        </w:rPr>
        <w:t>竞争性磋商文件</w:t>
      </w:r>
      <w:r>
        <w:rPr>
          <w:rFonts w:hint="eastAsia" w:ascii="宋体" w:hAnsi="宋体" w:eastAsia="宋体" w:cs="宋体"/>
          <w:b w:val="0"/>
          <w:bCs w:val="0"/>
          <w:color w:val="auto"/>
          <w:kern w:val="2"/>
          <w:sz w:val="24"/>
          <w:szCs w:val="24"/>
          <w:highlight w:val="none"/>
          <w:lang w:val="en-US" w:eastAsia="zh-CN" w:bidi="ar-SA"/>
        </w:rPr>
        <w:t>和本投标书的约定与你方签订施工承包合同，并</w:t>
      </w:r>
      <w:r>
        <w:rPr>
          <w:rFonts w:hint="eastAsia" w:ascii="宋体" w:hAnsi="宋体" w:cs="宋体"/>
          <w:b w:val="0"/>
          <w:bCs w:val="0"/>
          <w:color w:val="auto"/>
          <w:kern w:val="2"/>
          <w:sz w:val="24"/>
          <w:szCs w:val="24"/>
          <w:highlight w:val="none"/>
          <w:lang w:val="en-US" w:eastAsia="zh-CN" w:bidi="ar-SA"/>
        </w:rPr>
        <w:t>在项目实施前向招标人</w:t>
      </w:r>
      <w:r>
        <w:rPr>
          <w:rFonts w:hint="eastAsia" w:ascii="宋体" w:hAnsi="宋体" w:eastAsia="宋体" w:cs="宋体"/>
          <w:b w:val="0"/>
          <w:bCs w:val="0"/>
          <w:color w:val="auto"/>
          <w:kern w:val="2"/>
          <w:sz w:val="24"/>
          <w:szCs w:val="24"/>
          <w:highlight w:val="none"/>
          <w:lang w:val="en-US" w:eastAsia="zh-CN" w:bidi="ar-SA"/>
        </w:rPr>
        <w:t>递交投标报价的</w:t>
      </w:r>
      <w:r>
        <w:rPr>
          <w:rFonts w:hint="eastAsia" w:ascii="宋体" w:hAnsi="宋体" w:cs="宋体"/>
          <w:b w:val="0"/>
          <w:bCs w:val="0"/>
          <w:color w:val="auto"/>
          <w:kern w:val="2"/>
          <w:sz w:val="24"/>
          <w:szCs w:val="24"/>
          <w:highlight w:val="none"/>
          <w:u w:val="single"/>
          <w:lang w:val="en-US" w:eastAsia="zh-CN" w:bidi="ar-SA"/>
        </w:rPr>
        <w:t>1</w:t>
      </w:r>
      <w:r>
        <w:rPr>
          <w:rFonts w:hint="eastAsia" w:ascii="宋体" w:hAnsi="宋体" w:eastAsia="宋体" w:cs="宋体"/>
          <w:b w:val="0"/>
          <w:bCs w:val="0"/>
          <w:color w:val="auto"/>
          <w:kern w:val="2"/>
          <w:sz w:val="24"/>
          <w:szCs w:val="24"/>
          <w:highlight w:val="none"/>
          <w:u w:val="single"/>
          <w:lang w:val="en-US" w:eastAsia="zh-CN" w:bidi="ar-SA"/>
        </w:rPr>
        <w:t>%</w:t>
      </w:r>
      <w:r>
        <w:rPr>
          <w:rFonts w:hint="eastAsia" w:ascii="宋体" w:hAnsi="宋体" w:eastAsia="宋体" w:cs="宋体"/>
          <w:b w:val="0"/>
          <w:bCs w:val="0"/>
          <w:color w:val="auto"/>
          <w:kern w:val="2"/>
          <w:sz w:val="24"/>
          <w:szCs w:val="24"/>
          <w:highlight w:val="none"/>
          <w:lang w:val="en-US" w:eastAsia="zh-CN" w:bidi="ar-SA"/>
        </w:rPr>
        <w:t>的履约保证金，履行规定的一切责任和义务。</w:t>
      </w:r>
    </w:p>
    <w:p w14:paraId="5D9FAE3D">
      <w:pPr>
        <w:keepNext w:val="0"/>
        <w:keepLines w:val="0"/>
        <w:pageBreakBefore w:val="0"/>
        <w:widowControl w:val="0"/>
        <w:kinsoku/>
        <w:wordWrap/>
        <w:overflowPunct/>
        <w:topLinePunct w:val="0"/>
        <w:autoSpaceDE/>
        <w:autoSpaceDN/>
        <w:bidi w:val="0"/>
        <w:adjustRightInd/>
        <w:snapToGrid w:val="0"/>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rPr>
        <w:t>本</w:t>
      </w:r>
      <w:r>
        <w:rPr>
          <w:rFonts w:hint="eastAsia" w:ascii="宋体" w:hAnsi="宋体" w:cs="宋体"/>
          <w:color w:val="auto"/>
          <w:sz w:val="24"/>
          <w:szCs w:val="24"/>
          <w:highlight w:val="none"/>
          <w:lang w:val="en-US" w:eastAsia="zh-CN"/>
        </w:rPr>
        <w:t>响应文件有效期自</w:t>
      </w:r>
      <w:r>
        <w:rPr>
          <w:rFonts w:hint="eastAsia" w:ascii="宋体" w:hAnsi="宋体" w:cs="宋体"/>
          <w:color w:val="auto"/>
          <w:sz w:val="24"/>
          <w:szCs w:val="24"/>
          <w:highlight w:val="none"/>
        </w:rPr>
        <w:t>提交首次响应文件截止日</w:t>
      </w:r>
      <w:r>
        <w:rPr>
          <w:rFonts w:hint="eastAsia" w:ascii="宋体" w:hAnsi="宋体" w:cs="宋体"/>
          <w:color w:val="auto"/>
          <w:sz w:val="24"/>
          <w:szCs w:val="24"/>
          <w:highlight w:val="none"/>
        </w:rPr>
        <w:t>起</w:t>
      </w:r>
      <w:r>
        <w:rPr>
          <w:rFonts w:hint="eastAsia" w:ascii="宋体" w:hAnsi="宋体" w:cs="宋体"/>
          <w:color w:val="auto"/>
          <w:sz w:val="24"/>
          <w:szCs w:val="24"/>
          <w:highlight w:val="none"/>
          <w:u w:val="single"/>
        </w:rPr>
        <w:t xml:space="preserve"> 90</w:t>
      </w:r>
      <w:r>
        <w:rPr>
          <w:rFonts w:hint="eastAsia" w:ascii="宋体" w:hAnsi="宋体" w:cs="宋体"/>
          <w:color w:val="auto"/>
          <w:sz w:val="24"/>
          <w:szCs w:val="24"/>
          <w:highlight w:val="none"/>
        </w:rPr>
        <w:t>个日历日。</w:t>
      </w:r>
    </w:p>
    <w:p w14:paraId="3421DCD2">
      <w:pPr>
        <w:keepNext w:val="0"/>
        <w:keepLines w:val="0"/>
        <w:pageBreakBefore w:val="0"/>
        <w:widowControl w:val="0"/>
        <w:kinsoku/>
        <w:wordWrap/>
        <w:overflowPunct/>
        <w:topLinePunct w:val="0"/>
        <w:autoSpaceDE/>
        <w:autoSpaceDN/>
        <w:bidi w:val="0"/>
        <w:adjustRightInd/>
        <w:snapToGrid w:val="0"/>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.如成交，本响应文件至本项目合同履行完毕止均保持有效，我方将按“磋商文件”及政府采购法律、法规的规定履行合同责任和义务。</w:t>
      </w:r>
    </w:p>
    <w:p w14:paraId="07F5546D">
      <w:pPr>
        <w:keepNext w:val="0"/>
        <w:keepLines w:val="0"/>
        <w:pageBreakBefore w:val="0"/>
        <w:widowControl w:val="0"/>
        <w:kinsoku/>
        <w:wordWrap/>
        <w:overflowPunct/>
        <w:topLinePunct w:val="0"/>
        <w:autoSpaceDE/>
        <w:autoSpaceDN/>
        <w:bidi w:val="0"/>
        <w:adjustRightInd/>
        <w:snapToGrid w:val="0"/>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.我方同意按照贵方要求提供与磋商有关的一切数据或资料。</w:t>
      </w:r>
    </w:p>
    <w:p w14:paraId="6F18E653">
      <w:pPr>
        <w:keepNext w:val="0"/>
        <w:keepLines w:val="0"/>
        <w:pageBreakBefore w:val="0"/>
        <w:widowControl w:val="0"/>
        <w:kinsoku/>
        <w:wordWrap/>
        <w:overflowPunct/>
        <w:topLinePunct w:val="0"/>
        <w:autoSpaceDE/>
        <w:autoSpaceDN/>
        <w:bidi w:val="0"/>
        <w:adjustRightInd/>
        <w:snapToGrid w:val="0"/>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.与本磋商有关的一切正式往来信函请寄：</w:t>
      </w:r>
    </w:p>
    <w:p w14:paraId="6185B1CB">
      <w:pPr>
        <w:snapToGrid w:val="0"/>
        <w:spacing w:line="27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邮编：__________   电话：______________</w:t>
      </w:r>
    </w:p>
    <w:p w14:paraId="2F6893CF">
      <w:pPr>
        <w:snapToGrid w:val="0"/>
        <w:spacing w:line="27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传真：______________供应商代表姓名 ___________  职务：</w:t>
      </w:r>
      <w:r>
        <w:rPr>
          <w:rFonts w:hint="eastAsia" w:ascii="宋体" w:hAnsi="宋体" w:eastAsia="宋体" w:cs="宋体"/>
          <w:color w:val="auto"/>
          <w:sz w:val="24"/>
          <w:szCs w:val="24"/>
          <w:highlight w:val="none"/>
          <w:u w:val="single"/>
        </w:rPr>
        <w:t xml:space="preserve">             </w:t>
      </w:r>
    </w:p>
    <w:p w14:paraId="1A19BBF9">
      <w:pPr>
        <w:snapToGrid w:val="0"/>
        <w:spacing w:line="27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供应商名称(盖章):___________________</w:t>
      </w:r>
    </w:p>
    <w:p w14:paraId="3DC608F0">
      <w:pPr>
        <w:snapToGrid w:val="0"/>
        <w:spacing w:line="27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银行帐号：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4EAC3A05">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法定代表人或授权代表（</w:t>
      </w:r>
      <w:r>
        <w:rPr>
          <w:rFonts w:hint="eastAsia" w:ascii="宋体" w:hAnsi="宋体" w:eastAsia="宋体" w:cs="宋体"/>
          <w:color w:val="auto"/>
          <w:sz w:val="24"/>
          <w:szCs w:val="24"/>
          <w:highlight w:val="none"/>
        </w:rPr>
        <w:t>签字</w:t>
      </w:r>
      <w:r>
        <w:rPr>
          <w:rFonts w:hint="eastAsia" w:ascii="宋体" w:hAnsi="宋体" w:eastAsia="宋体" w:cs="宋体"/>
          <w:color w:val="auto"/>
          <w:sz w:val="24"/>
          <w:szCs w:val="24"/>
          <w:highlight w:val="none"/>
          <w:lang w:val="en-US" w:eastAsia="zh-CN"/>
        </w:rPr>
        <w:t>或盖章）</w:t>
      </w:r>
      <w:r>
        <w:rPr>
          <w:rFonts w:hint="eastAsia" w:ascii="宋体" w:hAnsi="宋体" w:eastAsia="宋体" w:cs="宋体"/>
          <w:color w:val="auto"/>
          <w:sz w:val="24"/>
          <w:szCs w:val="24"/>
          <w:highlight w:val="none"/>
        </w:rPr>
        <w:t xml:space="preserve">:___________   </w:t>
      </w:r>
    </w:p>
    <w:p w14:paraId="1BC65B42">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日期:_____年___月___日</w:t>
      </w:r>
    </w:p>
    <w:p w14:paraId="1EDCBEA8">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3E53B8C3">
      <w:pPr>
        <w:snapToGrid w:val="0"/>
        <w:spacing w:before="100" w:beforeAutospacing="1" w:after="100" w:afterAutospacing="1"/>
        <w:ind w:firstLine="643" w:firstLineChars="20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十</w:t>
      </w:r>
      <w:r>
        <w:rPr>
          <w:rFonts w:hint="eastAsia" w:ascii="宋体" w:hAnsi="宋体" w:cs="宋体"/>
          <w:b/>
          <w:bCs/>
          <w:color w:val="auto"/>
          <w:sz w:val="32"/>
          <w:szCs w:val="32"/>
          <w:highlight w:val="none"/>
          <w:lang w:val="en-US" w:eastAsia="zh-CN"/>
        </w:rPr>
        <w:t>四</w:t>
      </w:r>
      <w:r>
        <w:rPr>
          <w:rFonts w:hint="eastAsia" w:ascii="宋体" w:hAnsi="宋体" w:eastAsia="宋体" w:cs="宋体"/>
          <w:b/>
          <w:bCs/>
          <w:color w:val="auto"/>
          <w:sz w:val="32"/>
          <w:szCs w:val="32"/>
          <w:highlight w:val="none"/>
        </w:rPr>
        <w:t>、报价一览表格式</w:t>
      </w:r>
    </w:p>
    <w:p w14:paraId="1D5D27A7">
      <w:pPr>
        <w:snapToGrid w:val="0"/>
        <w:spacing w:before="100" w:beforeAutospacing="1" w:after="100" w:afterAutospacing="1"/>
        <w:ind w:firstLine="643" w:firstLineChars="20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val="en-US" w:eastAsia="zh-CN"/>
        </w:rPr>
        <w:t>第壹轮</w:t>
      </w:r>
      <w:r>
        <w:rPr>
          <w:rFonts w:hint="eastAsia" w:ascii="宋体" w:hAnsi="宋体" w:eastAsia="宋体" w:cs="宋体"/>
          <w:b/>
          <w:bCs/>
          <w:color w:val="auto"/>
          <w:sz w:val="32"/>
          <w:szCs w:val="32"/>
          <w:highlight w:val="none"/>
        </w:rPr>
        <w:t>报价一览表</w:t>
      </w:r>
    </w:p>
    <w:p w14:paraId="76BD763D">
      <w:pPr>
        <w:spacing w:before="120" w:beforeLines="50"/>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供应商名称（盖章）：__________________</w:t>
      </w:r>
    </w:p>
    <w:p w14:paraId="3B7C20E3">
      <w:pPr>
        <w:spacing w:before="120" w:beforeLines="50"/>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项目编号：__________________</w:t>
      </w:r>
    </w:p>
    <w:tbl>
      <w:tblPr>
        <w:tblStyle w:val="2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858"/>
        <w:gridCol w:w="5538"/>
      </w:tblGrid>
      <w:tr w14:paraId="1D3487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2858" w:type="dxa"/>
            <w:tcBorders>
              <w:top w:val="single" w:color="auto" w:sz="4" w:space="0"/>
              <w:bottom w:val="single" w:color="auto" w:sz="4" w:space="0"/>
              <w:right w:val="single" w:color="auto" w:sz="4" w:space="0"/>
            </w:tcBorders>
            <w:noWrap w:val="0"/>
            <w:vAlign w:val="center"/>
          </w:tcPr>
          <w:p w14:paraId="1EB1C094">
            <w:pPr>
              <w:snapToGrid w:val="0"/>
              <w:spacing w:before="100" w:beforeAutospacing="1" w:after="100" w:afterAutospacing="1" w:line="24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项目名称</w:t>
            </w:r>
          </w:p>
        </w:tc>
        <w:tc>
          <w:tcPr>
            <w:tcW w:w="5538" w:type="dxa"/>
            <w:tcBorders>
              <w:top w:val="single" w:color="auto" w:sz="4" w:space="0"/>
              <w:left w:val="single" w:color="auto" w:sz="4" w:space="0"/>
              <w:bottom w:val="single" w:color="auto" w:sz="4" w:space="0"/>
            </w:tcBorders>
            <w:noWrap w:val="0"/>
            <w:vAlign w:val="center"/>
          </w:tcPr>
          <w:p w14:paraId="3DD62676">
            <w:pPr>
              <w:snapToGrid w:val="0"/>
              <w:spacing w:before="100" w:beforeAutospacing="1" w:after="100" w:afterAutospacing="1" w:line="240" w:lineRule="auto"/>
              <w:jc w:val="center"/>
              <w:rPr>
                <w:rFonts w:hint="eastAsia" w:ascii="宋体" w:hAnsi="宋体" w:eastAsia="宋体" w:cs="宋体"/>
                <w:b/>
                <w:bCs/>
                <w:color w:val="auto"/>
                <w:sz w:val="24"/>
                <w:highlight w:val="none"/>
                <w:lang w:eastAsia="zh-CN"/>
              </w:rPr>
            </w:pPr>
          </w:p>
        </w:tc>
      </w:tr>
      <w:tr w14:paraId="593C5E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2858" w:type="dxa"/>
            <w:tcBorders>
              <w:top w:val="single" w:color="auto" w:sz="4" w:space="0"/>
              <w:bottom w:val="single" w:color="auto" w:sz="4" w:space="0"/>
              <w:right w:val="single" w:color="auto" w:sz="4" w:space="0"/>
            </w:tcBorders>
            <w:noWrap w:val="0"/>
            <w:vAlign w:val="center"/>
          </w:tcPr>
          <w:p w14:paraId="52718D8D">
            <w:pPr>
              <w:snapToGrid w:val="0"/>
              <w:spacing w:before="100" w:beforeAutospacing="1" w:after="100" w:afterAutospacing="1" w:line="240" w:lineRule="auto"/>
              <w:jc w:val="center"/>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rPr>
              <w:t>投标报价</w:t>
            </w:r>
            <w:r>
              <w:rPr>
                <w:rFonts w:hint="eastAsia" w:ascii="宋体" w:hAnsi="宋体" w:cs="宋体"/>
                <w:b/>
                <w:bCs/>
                <w:color w:val="auto"/>
                <w:sz w:val="24"/>
                <w:highlight w:val="none"/>
                <w:lang w:val="en-US" w:eastAsia="zh-CN"/>
              </w:rPr>
              <w:t>总价</w:t>
            </w:r>
          </w:p>
        </w:tc>
        <w:tc>
          <w:tcPr>
            <w:tcW w:w="5538" w:type="dxa"/>
            <w:tcBorders>
              <w:top w:val="single" w:color="auto" w:sz="4" w:space="0"/>
              <w:left w:val="single" w:color="auto" w:sz="4" w:space="0"/>
              <w:bottom w:val="single" w:color="auto" w:sz="4" w:space="0"/>
            </w:tcBorders>
            <w:noWrap w:val="0"/>
            <w:vAlign w:val="center"/>
          </w:tcPr>
          <w:p w14:paraId="4690877F">
            <w:pPr>
              <w:bidi w:val="0"/>
              <w:spacing w:line="240" w:lineRule="auto"/>
              <w:rPr>
                <w:rFonts w:hint="eastAsia"/>
                <w:b/>
                <w:bCs/>
                <w:color w:val="auto"/>
                <w:highlight w:val="none"/>
                <w:lang w:val="en-US" w:eastAsia="zh-CN"/>
              </w:rPr>
            </w:pPr>
            <w:r>
              <w:rPr>
                <w:rFonts w:hint="eastAsia"/>
                <w:b/>
                <w:bCs/>
                <w:color w:val="auto"/>
                <w:highlight w:val="none"/>
              </w:rPr>
              <w:t xml:space="preserve">大写：   </w:t>
            </w:r>
            <w:r>
              <w:rPr>
                <w:rFonts w:hint="eastAsia"/>
                <w:b/>
                <w:bCs/>
                <w:color w:val="auto"/>
                <w:highlight w:val="none"/>
                <w:lang w:val="en-US" w:eastAsia="zh-CN"/>
              </w:rPr>
              <w:t xml:space="preserve">    </w:t>
            </w:r>
          </w:p>
          <w:p w14:paraId="02044C96">
            <w:pPr>
              <w:bidi w:val="0"/>
              <w:spacing w:line="240" w:lineRule="auto"/>
              <w:rPr>
                <w:rFonts w:hint="eastAsia"/>
                <w:b/>
                <w:bCs/>
                <w:color w:val="auto"/>
                <w:highlight w:val="none"/>
                <w:lang w:val="en-US" w:eastAsia="zh-CN"/>
              </w:rPr>
            </w:pPr>
            <w:r>
              <w:rPr>
                <w:rFonts w:hint="eastAsia"/>
                <w:b/>
                <w:bCs/>
                <w:color w:val="auto"/>
                <w:highlight w:val="none"/>
              </w:rPr>
              <w:t>小写：</w:t>
            </w:r>
            <w:r>
              <w:rPr>
                <w:rFonts w:hint="eastAsia"/>
                <w:b/>
                <w:bCs/>
                <w:color w:val="auto"/>
                <w:highlight w:val="none"/>
                <w:lang w:val="en-US" w:eastAsia="zh-CN"/>
              </w:rPr>
              <w:t xml:space="preserve">       </w:t>
            </w:r>
          </w:p>
        </w:tc>
      </w:tr>
      <w:tr w14:paraId="6D6220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2858" w:type="dxa"/>
            <w:tcBorders>
              <w:top w:val="single" w:color="auto" w:sz="4" w:space="0"/>
              <w:bottom w:val="single" w:color="auto" w:sz="4" w:space="0"/>
              <w:right w:val="single" w:color="auto" w:sz="4" w:space="0"/>
            </w:tcBorders>
            <w:noWrap w:val="0"/>
            <w:vAlign w:val="center"/>
          </w:tcPr>
          <w:p w14:paraId="0F048203">
            <w:pPr>
              <w:snapToGrid w:val="0"/>
              <w:spacing w:before="100" w:beforeAutospacing="1" w:after="100" w:afterAutospacing="1" w:line="240" w:lineRule="auto"/>
              <w:jc w:val="center"/>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合同履行期限（工期）</w:t>
            </w:r>
          </w:p>
        </w:tc>
        <w:tc>
          <w:tcPr>
            <w:tcW w:w="5538" w:type="dxa"/>
            <w:tcBorders>
              <w:top w:val="single" w:color="auto" w:sz="4" w:space="0"/>
              <w:left w:val="single" w:color="auto" w:sz="4" w:space="0"/>
              <w:bottom w:val="single" w:color="auto" w:sz="4" w:space="0"/>
            </w:tcBorders>
            <w:noWrap w:val="0"/>
            <w:vAlign w:val="center"/>
          </w:tcPr>
          <w:p w14:paraId="35088BCF">
            <w:pPr>
              <w:snapToGrid w:val="0"/>
              <w:spacing w:before="100" w:beforeAutospacing="1" w:after="100" w:afterAutospacing="1" w:line="240" w:lineRule="auto"/>
              <w:jc w:val="center"/>
              <w:rPr>
                <w:rFonts w:hint="eastAsia" w:ascii="宋体" w:hAnsi="宋体" w:eastAsia="宋体" w:cs="宋体"/>
                <w:b/>
                <w:bCs/>
                <w:color w:val="auto"/>
                <w:sz w:val="24"/>
                <w:highlight w:val="none"/>
                <w:lang w:val="en-US"/>
              </w:rPr>
            </w:pPr>
            <w:r>
              <w:rPr>
                <w:rFonts w:hint="eastAsia" w:ascii="宋体" w:hAnsi="宋体" w:cs="宋体"/>
                <w:b/>
                <w:bCs/>
                <w:color w:val="auto"/>
                <w:sz w:val="24"/>
                <w:highlight w:val="none"/>
                <w:u w:val="single"/>
                <w:lang w:val="en-US" w:eastAsia="zh-CN"/>
              </w:rPr>
              <w:t xml:space="preserve">    日历天 </w:t>
            </w:r>
          </w:p>
        </w:tc>
      </w:tr>
      <w:tr w14:paraId="208086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2858" w:type="dxa"/>
            <w:tcBorders>
              <w:top w:val="single" w:color="auto" w:sz="4" w:space="0"/>
              <w:bottom w:val="single" w:color="auto" w:sz="4" w:space="0"/>
              <w:right w:val="single" w:color="auto" w:sz="4" w:space="0"/>
            </w:tcBorders>
            <w:noWrap w:val="0"/>
            <w:vAlign w:val="center"/>
          </w:tcPr>
          <w:p w14:paraId="664951EF">
            <w:pPr>
              <w:snapToGrid w:val="0"/>
              <w:spacing w:before="100" w:beforeAutospacing="1" w:after="100" w:afterAutospacing="1" w:line="240" w:lineRule="auto"/>
              <w:jc w:val="center"/>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项目负责人</w:t>
            </w:r>
          </w:p>
        </w:tc>
        <w:tc>
          <w:tcPr>
            <w:tcW w:w="5538" w:type="dxa"/>
            <w:tcBorders>
              <w:top w:val="single" w:color="auto" w:sz="4" w:space="0"/>
              <w:left w:val="single" w:color="auto" w:sz="4" w:space="0"/>
              <w:bottom w:val="single" w:color="auto" w:sz="4" w:space="0"/>
            </w:tcBorders>
            <w:noWrap w:val="0"/>
            <w:vAlign w:val="center"/>
          </w:tcPr>
          <w:p w14:paraId="6B57987B">
            <w:pPr>
              <w:snapToGrid w:val="0"/>
              <w:spacing w:before="100" w:beforeAutospacing="1" w:after="100" w:afterAutospacing="1" w:line="240" w:lineRule="auto"/>
              <w:jc w:val="center"/>
              <w:rPr>
                <w:rFonts w:hint="eastAsia" w:ascii="宋体" w:hAnsi="宋体" w:eastAsia="宋体" w:cs="宋体"/>
                <w:b/>
                <w:bCs/>
                <w:color w:val="auto"/>
                <w:sz w:val="24"/>
                <w:highlight w:val="none"/>
              </w:rPr>
            </w:pPr>
          </w:p>
        </w:tc>
      </w:tr>
      <w:tr w14:paraId="0B0E96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2858" w:type="dxa"/>
            <w:tcBorders>
              <w:top w:val="single" w:color="auto" w:sz="4" w:space="0"/>
              <w:bottom w:val="single" w:color="auto" w:sz="4" w:space="0"/>
              <w:right w:val="single" w:color="auto" w:sz="4" w:space="0"/>
            </w:tcBorders>
            <w:noWrap w:val="0"/>
            <w:vAlign w:val="center"/>
          </w:tcPr>
          <w:p w14:paraId="54CA4219">
            <w:pPr>
              <w:snapToGrid w:val="0"/>
              <w:spacing w:before="100" w:beforeAutospacing="1" w:after="100" w:afterAutospacing="1" w:line="240" w:lineRule="auto"/>
              <w:jc w:val="center"/>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质量目标</w:t>
            </w:r>
          </w:p>
        </w:tc>
        <w:tc>
          <w:tcPr>
            <w:tcW w:w="5538" w:type="dxa"/>
            <w:tcBorders>
              <w:top w:val="single" w:color="auto" w:sz="4" w:space="0"/>
              <w:left w:val="single" w:color="auto" w:sz="4" w:space="0"/>
              <w:bottom w:val="single" w:color="auto" w:sz="4" w:space="0"/>
            </w:tcBorders>
            <w:noWrap w:val="0"/>
            <w:vAlign w:val="center"/>
          </w:tcPr>
          <w:p w14:paraId="445C765F">
            <w:pPr>
              <w:snapToGrid w:val="0"/>
              <w:spacing w:before="100" w:beforeAutospacing="1" w:after="100" w:afterAutospacing="1" w:line="240" w:lineRule="auto"/>
              <w:jc w:val="center"/>
              <w:rPr>
                <w:rFonts w:hint="eastAsia" w:ascii="宋体" w:hAnsi="宋体" w:eastAsia="宋体" w:cs="宋体"/>
                <w:b/>
                <w:bCs/>
                <w:color w:val="auto"/>
                <w:sz w:val="24"/>
                <w:highlight w:val="none"/>
              </w:rPr>
            </w:pPr>
          </w:p>
        </w:tc>
      </w:tr>
    </w:tbl>
    <w:p w14:paraId="4D6CBC08">
      <w:pPr>
        <w:spacing w:line="300" w:lineRule="auto"/>
        <w:ind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rPr>
        <w:t>注：</w:t>
      </w:r>
      <w:r>
        <w:rPr>
          <w:rFonts w:hint="eastAsia" w:ascii="宋体" w:hAnsi="宋体" w:eastAsia="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rPr>
        <w:t>报价一经涂改，应在涂改处加盖单位公章或者由法定代表人或授权委托人签字或盖章，否则其投标作无效标处理</w:t>
      </w:r>
      <w:r>
        <w:rPr>
          <w:rFonts w:hint="eastAsia" w:ascii="宋体" w:hAnsi="宋体" w:eastAsia="宋体" w:cs="宋体"/>
          <w:b w:val="0"/>
          <w:bCs/>
          <w:color w:val="auto"/>
          <w:sz w:val="24"/>
          <w:szCs w:val="24"/>
          <w:highlight w:val="none"/>
          <w:lang w:eastAsia="zh-CN"/>
        </w:rPr>
        <w:t>。</w:t>
      </w:r>
    </w:p>
    <w:p w14:paraId="601BE5C8">
      <w:pPr>
        <w:spacing w:line="300" w:lineRule="auto"/>
        <w:ind w:firstLine="480" w:firstLineChars="200"/>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kern w:val="0"/>
          <w:sz w:val="24"/>
          <w:szCs w:val="24"/>
          <w:highlight w:val="none"/>
          <w:lang w:val="en-US" w:eastAsia="zh-CN"/>
        </w:rPr>
        <w:t>2</w:t>
      </w:r>
      <w:r>
        <w:rPr>
          <w:rFonts w:hint="eastAsia" w:ascii="宋体" w:hAnsi="宋体" w:eastAsia="宋体" w:cs="宋体"/>
          <w:b w:val="0"/>
          <w:bCs/>
          <w:color w:val="auto"/>
          <w:kern w:val="0"/>
          <w:sz w:val="24"/>
          <w:szCs w:val="24"/>
          <w:highlight w:val="none"/>
        </w:rPr>
        <w:t>本次报价为磋商响应文件所确定的响应需求范围内和合同中要求完成的全部工作内容，一旦中标将不予调整。包括但不限于</w:t>
      </w:r>
      <w:r>
        <w:rPr>
          <w:rFonts w:hint="eastAsia" w:ascii="宋体" w:hAnsi="宋体" w:eastAsia="宋体" w:cs="宋体"/>
          <w:b w:val="0"/>
          <w:bCs/>
          <w:color w:val="auto"/>
          <w:sz w:val="24"/>
          <w:szCs w:val="24"/>
          <w:highlight w:val="none"/>
        </w:rPr>
        <w:t>其应包括直接费、间接费、施工设备、劳务、管理、材料、安装、维护、利润、税金及政策性文件规定等完成本项目各项应有费用</w:t>
      </w:r>
      <w:r>
        <w:rPr>
          <w:rFonts w:hint="eastAsia" w:ascii="宋体" w:hAnsi="宋体" w:eastAsia="宋体" w:cs="宋体"/>
          <w:b w:val="0"/>
          <w:bCs/>
          <w:color w:val="auto"/>
          <w:sz w:val="24"/>
          <w:szCs w:val="24"/>
          <w:highlight w:val="none"/>
          <w:lang w:eastAsia="zh-CN"/>
        </w:rPr>
        <w:t>。</w:t>
      </w:r>
    </w:p>
    <w:p w14:paraId="7F2DF91B">
      <w:pPr>
        <w:spacing w:line="300" w:lineRule="auto"/>
        <w:ind w:firstLine="480" w:firstLineChars="200"/>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u w:val="none"/>
          <w:lang w:val="en-US" w:eastAsia="zh-CN"/>
        </w:rPr>
        <w:t>3.</w:t>
      </w:r>
      <w:r>
        <w:rPr>
          <w:rFonts w:hint="eastAsia" w:ascii="宋体" w:hAnsi="宋体" w:eastAsia="宋体" w:cs="宋体"/>
          <w:b w:val="0"/>
          <w:bCs/>
          <w:color w:val="auto"/>
          <w:sz w:val="24"/>
          <w:szCs w:val="24"/>
          <w:highlight w:val="none"/>
          <w:u w:val="none"/>
        </w:rPr>
        <w:t>▲最高</w:t>
      </w:r>
      <w:r>
        <w:rPr>
          <w:rFonts w:hint="eastAsia" w:ascii="宋体" w:hAnsi="宋体" w:eastAsia="宋体" w:cs="宋体"/>
          <w:b w:val="0"/>
          <w:bCs/>
          <w:color w:val="auto"/>
          <w:sz w:val="24"/>
          <w:szCs w:val="24"/>
          <w:highlight w:val="none"/>
          <w:u w:val="none"/>
        </w:rPr>
        <w:t>限价：</w:t>
      </w:r>
      <w:r>
        <w:rPr>
          <w:rFonts w:hint="eastAsia" w:ascii="宋体" w:hAnsi="宋体" w:eastAsia="宋体" w:cs="宋体"/>
          <w:color w:val="auto"/>
          <w:kern w:val="0"/>
          <w:sz w:val="24"/>
          <w:szCs w:val="24"/>
          <w:highlight w:val="none"/>
          <w:lang w:val="en-US" w:eastAsia="zh-CN" w:bidi="ar-SA"/>
        </w:rPr>
        <w:t>583739</w:t>
      </w:r>
      <w:r>
        <w:rPr>
          <w:rFonts w:hint="eastAsia" w:ascii="宋体" w:hAnsi="宋体" w:cs="宋体"/>
          <w:b w:val="0"/>
          <w:bCs/>
          <w:color w:val="auto"/>
          <w:sz w:val="24"/>
          <w:szCs w:val="24"/>
          <w:highlight w:val="none"/>
          <w:u w:val="none"/>
          <w:lang w:val="en-US" w:eastAsia="zh-CN"/>
        </w:rPr>
        <w:t>.</w:t>
      </w:r>
      <w:r>
        <w:rPr>
          <w:rFonts w:hint="eastAsia" w:ascii="宋体" w:hAnsi="宋体" w:cs="宋体"/>
          <w:color w:val="auto"/>
          <w:sz w:val="24"/>
          <w:szCs w:val="24"/>
          <w:highlight w:val="none"/>
          <w:lang w:val="en-US" w:eastAsia="zh-CN"/>
        </w:rPr>
        <w:t>00元</w:t>
      </w:r>
      <w:r>
        <w:rPr>
          <w:rFonts w:hint="eastAsia" w:ascii="宋体" w:hAnsi="宋体" w:eastAsia="宋体" w:cs="宋体"/>
          <w:b w:val="0"/>
          <w:bCs/>
          <w:color w:val="auto"/>
          <w:sz w:val="24"/>
          <w:szCs w:val="24"/>
          <w:highlight w:val="none"/>
          <w:u w:val="none"/>
          <w:lang w:eastAsia="zh-CN"/>
        </w:rPr>
        <w:t>，</w:t>
      </w:r>
      <w:r>
        <w:rPr>
          <w:rFonts w:hint="eastAsia" w:ascii="宋体" w:hAnsi="宋体" w:eastAsia="宋体" w:cs="宋体"/>
          <w:b w:val="0"/>
          <w:bCs/>
          <w:color w:val="auto"/>
          <w:sz w:val="24"/>
          <w:szCs w:val="24"/>
          <w:highlight w:val="none"/>
        </w:rPr>
        <w:t>报价高于</w:t>
      </w:r>
      <w:r>
        <w:rPr>
          <w:rFonts w:hint="eastAsia" w:ascii="宋体" w:hAnsi="宋体" w:eastAsia="宋体" w:cs="宋体"/>
          <w:b w:val="0"/>
          <w:bCs/>
          <w:color w:val="auto"/>
          <w:sz w:val="24"/>
          <w:szCs w:val="24"/>
          <w:highlight w:val="none"/>
          <w:lang w:val="en-US" w:eastAsia="zh-CN"/>
        </w:rPr>
        <w:t>最高</w:t>
      </w:r>
      <w:r>
        <w:rPr>
          <w:rFonts w:hint="eastAsia" w:ascii="宋体" w:hAnsi="宋体" w:eastAsia="宋体" w:cs="宋体"/>
          <w:b w:val="0"/>
          <w:bCs/>
          <w:color w:val="auto"/>
          <w:sz w:val="24"/>
          <w:szCs w:val="24"/>
          <w:highlight w:val="none"/>
        </w:rPr>
        <w:t>限价的均作无效标处理</w:t>
      </w:r>
      <w:r>
        <w:rPr>
          <w:rFonts w:hint="eastAsia" w:ascii="宋体" w:hAnsi="宋体" w:eastAsia="宋体" w:cs="宋体"/>
          <w:b w:val="0"/>
          <w:bCs/>
          <w:color w:val="auto"/>
          <w:sz w:val="24"/>
          <w:szCs w:val="24"/>
          <w:highlight w:val="none"/>
          <w:lang w:eastAsia="zh-CN"/>
        </w:rPr>
        <w:t>。</w:t>
      </w:r>
    </w:p>
    <w:p w14:paraId="072DDCB0">
      <w:pPr>
        <w:adjustRightInd w:val="0"/>
        <w:spacing w:line="360" w:lineRule="auto"/>
        <w:ind w:firstLine="588" w:firstLineChars="245"/>
        <w:contextualSpacing/>
        <w:rPr>
          <w:rFonts w:hint="eastAsia" w:ascii="宋体" w:hAnsi="宋体" w:eastAsia="宋体" w:cs="宋体"/>
          <w:color w:val="auto"/>
          <w:sz w:val="24"/>
          <w:szCs w:val="24"/>
          <w:highlight w:val="none"/>
        </w:rPr>
      </w:pPr>
    </w:p>
    <w:p w14:paraId="705A39C4">
      <w:pPr>
        <w:tabs>
          <w:tab w:val="left" w:pos="1418"/>
        </w:tabs>
        <w:spacing w:line="360" w:lineRule="auto"/>
        <w:ind w:firstLine="3360" w:firstLineChars="1400"/>
        <w:rPr>
          <w:rFonts w:hint="eastAsia" w:ascii="宋体" w:hAnsi="宋体" w:eastAsia="宋体" w:cs="宋体"/>
          <w:color w:val="auto"/>
          <w:spacing w:val="20"/>
          <w:sz w:val="24"/>
          <w:szCs w:val="24"/>
          <w:highlight w:val="none"/>
          <w:u w:val="single"/>
        </w:rPr>
      </w:pPr>
      <w:r>
        <w:rPr>
          <w:rFonts w:hint="eastAsia" w:ascii="宋体" w:hAnsi="宋体" w:eastAsia="宋体" w:cs="宋体"/>
          <w:color w:val="auto"/>
          <w:sz w:val="24"/>
          <w:szCs w:val="24"/>
          <w:highlight w:val="none"/>
          <w:lang w:val="en-US" w:eastAsia="zh-CN"/>
        </w:rPr>
        <w:t>法定代表人或授权代表（</w:t>
      </w:r>
      <w:r>
        <w:rPr>
          <w:rFonts w:hint="eastAsia" w:ascii="宋体" w:hAnsi="宋体" w:eastAsia="宋体" w:cs="宋体"/>
          <w:color w:val="auto"/>
          <w:sz w:val="24"/>
          <w:szCs w:val="24"/>
          <w:highlight w:val="none"/>
        </w:rPr>
        <w:t>签字</w:t>
      </w:r>
      <w:r>
        <w:rPr>
          <w:rFonts w:hint="eastAsia" w:ascii="宋体" w:hAnsi="宋体" w:eastAsia="宋体" w:cs="宋体"/>
          <w:color w:val="auto"/>
          <w:sz w:val="24"/>
          <w:szCs w:val="24"/>
          <w:highlight w:val="none"/>
          <w:lang w:val="en-US" w:eastAsia="zh-CN"/>
        </w:rPr>
        <w:t>或盖章）</w:t>
      </w:r>
      <w:r>
        <w:rPr>
          <w:rFonts w:hint="eastAsia" w:ascii="宋体" w:hAnsi="宋体" w:eastAsia="宋体" w:cs="宋体"/>
          <w:color w:val="auto"/>
          <w:spacing w:val="20"/>
          <w:sz w:val="24"/>
          <w:szCs w:val="24"/>
          <w:highlight w:val="none"/>
        </w:rPr>
        <w:t>：</w:t>
      </w:r>
      <w:r>
        <w:rPr>
          <w:rFonts w:hint="eastAsia" w:ascii="宋体" w:hAnsi="宋体" w:eastAsia="宋体" w:cs="宋体"/>
          <w:color w:val="auto"/>
          <w:spacing w:val="20"/>
          <w:sz w:val="24"/>
          <w:szCs w:val="24"/>
          <w:highlight w:val="none"/>
          <w:u w:val="single"/>
        </w:rPr>
        <w:t xml:space="preserve">              </w:t>
      </w:r>
    </w:p>
    <w:p w14:paraId="44932BAD">
      <w:pPr>
        <w:tabs>
          <w:tab w:val="left" w:pos="1418"/>
        </w:tabs>
        <w:spacing w:line="360" w:lineRule="auto"/>
        <w:ind w:firstLine="3360" w:firstLineChars="14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1B6F3EF1">
      <w:pPr>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br w:type="page"/>
      </w:r>
    </w:p>
    <w:p w14:paraId="076E1735">
      <w:pPr>
        <w:snapToGrid w:val="0"/>
        <w:spacing w:before="100" w:beforeAutospacing="1" w:after="100" w:afterAutospacing="1"/>
        <w:ind w:firstLine="643" w:firstLineChars="20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val="en-US" w:eastAsia="zh-CN"/>
        </w:rPr>
        <w:t>最终</w:t>
      </w:r>
      <w:r>
        <w:rPr>
          <w:rFonts w:hint="eastAsia" w:ascii="宋体" w:hAnsi="宋体" w:eastAsia="宋体" w:cs="宋体"/>
          <w:b/>
          <w:bCs/>
          <w:color w:val="auto"/>
          <w:sz w:val="32"/>
          <w:szCs w:val="32"/>
          <w:highlight w:val="none"/>
        </w:rPr>
        <w:t>报价一览表</w:t>
      </w:r>
    </w:p>
    <w:p w14:paraId="72877521">
      <w:pPr>
        <w:keepNext w:val="0"/>
        <w:keepLines w:val="0"/>
        <w:pageBreakBefore w:val="0"/>
        <w:widowControl w:val="0"/>
        <w:kinsoku/>
        <w:wordWrap/>
        <w:overflowPunct/>
        <w:topLinePunct w:val="0"/>
        <w:autoSpaceDE/>
        <w:autoSpaceDN/>
        <w:bidi w:val="0"/>
        <w:adjustRightInd/>
        <w:snapToGrid/>
        <w:spacing w:before="120" w:beforeLines="50"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供应商名称（盖章）：__________________</w:t>
      </w:r>
    </w:p>
    <w:p w14:paraId="1D6B2F3D">
      <w:pPr>
        <w:keepNext w:val="0"/>
        <w:keepLines w:val="0"/>
        <w:pageBreakBefore w:val="0"/>
        <w:widowControl w:val="0"/>
        <w:kinsoku/>
        <w:wordWrap/>
        <w:overflowPunct/>
        <w:topLinePunct w:val="0"/>
        <w:autoSpaceDE/>
        <w:autoSpaceDN/>
        <w:bidi w:val="0"/>
        <w:adjustRightInd/>
        <w:snapToGrid/>
        <w:spacing w:before="120" w:beforeLines="50"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项目编号：__________________</w:t>
      </w:r>
    </w:p>
    <w:tbl>
      <w:tblPr>
        <w:tblStyle w:val="2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115"/>
        <w:gridCol w:w="5458"/>
      </w:tblGrid>
      <w:tr w14:paraId="60527C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3115" w:type="dxa"/>
            <w:tcBorders>
              <w:top w:val="single" w:color="auto" w:sz="4" w:space="0"/>
              <w:bottom w:val="single" w:color="auto" w:sz="4" w:space="0"/>
              <w:right w:val="single" w:color="auto" w:sz="4" w:space="0"/>
            </w:tcBorders>
            <w:noWrap w:val="0"/>
            <w:vAlign w:val="center"/>
          </w:tcPr>
          <w:p w14:paraId="137C47E7">
            <w:pPr>
              <w:snapToGrid w:val="0"/>
              <w:spacing w:before="100" w:beforeAutospacing="1" w:after="100" w:afterAutospacing="1" w:line="24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项目名称</w:t>
            </w:r>
          </w:p>
        </w:tc>
        <w:tc>
          <w:tcPr>
            <w:tcW w:w="5458" w:type="dxa"/>
            <w:tcBorders>
              <w:top w:val="single" w:color="auto" w:sz="4" w:space="0"/>
              <w:left w:val="single" w:color="auto" w:sz="4" w:space="0"/>
              <w:bottom w:val="single" w:color="auto" w:sz="4" w:space="0"/>
            </w:tcBorders>
            <w:noWrap w:val="0"/>
            <w:vAlign w:val="center"/>
          </w:tcPr>
          <w:p w14:paraId="1ED70014">
            <w:pPr>
              <w:snapToGrid w:val="0"/>
              <w:spacing w:before="100" w:beforeAutospacing="1" w:after="100" w:afterAutospacing="1" w:line="240" w:lineRule="auto"/>
              <w:jc w:val="center"/>
              <w:rPr>
                <w:rFonts w:hint="eastAsia" w:ascii="宋体" w:hAnsi="宋体" w:eastAsia="宋体" w:cs="宋体"/>
                <w:b/>
                <w:bCs/>
                <w:color w:val="auto"/>
                <w:sz w:val="24"/>
                <w:highlight w:val="none"/>
                <w:lang w:eastAsia="zh-CN"/>
              </w:rPr>
            </w:pPr>
          </w:p>
        </w:tc>
      </w:tr>
      <w:tr w14:paraId="54B4A5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3115" w:type="dxa"/>
            <w:tcBorders>
              <w:top w:val="single" w:color="auto" w:sz="4" w:space="0"/>
              <w:bottom w:val="single" w:color="auto" w:sz="4" w:space="0"/>
              <w:right w:val="single" w:color="auto" w:sz="4" w:space="0"/>
            </w:tcBorders>
            <w:noWrap w:val="0"/>
            <w:vAlign w:val="center"/>
          </w:tcPr>
          <w:p w14:paraId="705F9093">
            <w:pPr>
              <w:keepNext w:val="0"/>
              <w:keepLines w:val="0"/>
              <w:pageBreakBefore w:val="0"/>
              <w:widowControl w:val="0"/>
              <w:kinsoku/>
              <w:wordWrap/>
              <w:overflowPunct/>
              <w:topLinePunct w:val="0"/>
              <w:autoSpaceDE/>
              <w:autoSpaceDN/>
              <w:bidi w:val="0"/>
              <w:adjustRightInd/>
              <w:snapToGrid w:val="0"/>
              <w:spacing w:before="100" w:beforeAutospacing="1" w:after="100" w:afterAutospacing="1" w:line="240" w:lineRule="auto"/>
              <w:jc w:val="center"/>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下浮率</w:t>
            </w:r>
          </w:p>
        </w:tc>
        <w:tc>
          <w:tcPr>
            <w:tcW w:w="5458" w:type="dxa"/>
            <w:tcBorders>
              <w:top w:val="single" w:color="auto" w:sz="4" w:space="0"/>
              <w:left w:val="single" w:color="auto" w:sz="4" w:space="0"/>
              <w:bottom w:val="single" w:color="auto" w:sz="4" w:space="0"/>
            </w:tcBorders>
            <w:noWrap w:val="0"/>
            <w:vAlign w:val="center"/>
          </w:tcPr>
          <w:p w14:paraId="4DA40EBB">
            <w:pPr>
              <w:keepNext w:val="0"/>
              <w:keepLines w:val="0"/>
              <w:pageBreakBefore w:val="0"/>
              <w:widowControl w:val="0"/>
              <w:kinsoku/>
              <w:wordWrap/>
              <w:overflowPunct/>
              <w:topLinePunct w:val="0"/>
              <w:autoSpaceDE/>
              <w:autoSpaceDN/>
              <w:bidi w:val="0"/>
              <w:adjustRightInd/>
              <w:snapToGrid w:val="0"/>
              <w:spacing w:before="100" w:beforeAutospacing="1" w:after="100" w:afterAutospacing="1" w:line="240" w:lineRule="auto"/>
              <w:ind w:firstLine="720" w:firstLineChars="3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w:t>
            </w:r>
          </w:p>
        </w:tc>
      </w:tr>
      <w:tr w14:paraId="4990EB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3115" w:type="dxa"/>
            <w:tcBorders>
              <w:top w:val="single" w:color="auto" w:sz="4" w:space="0"/>
              <w:bottom w:val="single" w:color="auto" w:sz="4" w:space="0"/>
              <w:right w:val="single" w:color="auto" w:sz="4" w:space="0"/>
            </w:tcBorders>
            <w:noWrap w:val="0"/>
            <w:vAlign w:val="center"/>
          </w:tcPr>
          <w:p w14:paraId="53846A99">
            <w:pPr>
              <w:snapToGrid w:val="0"/>
              <w:spacing w:before="100" w:beforeAutospacing="1" w:after="100" w:afterAutospacing="1" w:line="240" w:lineRule="auto"/>
              <w:jc w:val="center"/>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rPr>
              <w:t>投标报价</w:t>
            </w:r>
            <w:r>
              <w:rPr>
                <w:rFonts w:hint="eastAsia" w:ascii="宋体" w:hAnsi="宋体" w:cs="宋体"/>
                <w:b/>
                <w:bCs/>
                <w:color w:val="auto"/>
                <w:sz w:val="24"/>
                <w:highlight w:val="none"/>
                <w:lang w:val="en-US" w:eastAsia="zh-CN"/>
              </w:rPr>
              <w:t>总价</w:t>
            </w:r>
          </w:p>
        </w:tc>
        <w:tc>
          <w:tcPr>
            <w:tcW w:w="5458" w:type="dxa"/>
            <w:tcBorders>
              <w:top w:val="single" w:color="auto" w:sz="4" w:space="0"/>
              <w:left w:val="single" w:color="auto" w:sz="4" w:space="0"/>
              <w:bottom w:val="single" w:color="auto" w:sz="4" w:space="0"/>
            </w:tcBorders>
            <w:noWrap w:val="0"/>
            <w:vAlign w:val="center"/>
          </w:tcPr>
          <w:p w14:paraId="753FED07">
            <w:pPr>
              <w:bidi w:val="0"/>
              <w:spacing w:line="240" w:lineRule="auto"/>
              <w:rPr>
                <w:rFonts w:hint="eastAsia"/>
                <w:b/>
                <w:bCs/>
                <w:color w:val="auto"/>
                <w:highlight w:val="none"/>
                <w:lang w:val="en-US" w:eastAsia="zh-CN"/>
              </w:rPr>
            </w:pPr>
            <w:r>
              <w:rPr>
                <w:rFonts w:hint="eastAsia"/>
                <w:b/>
                <w:bCs/>
                <w:color w:val="auto"/>
                <w:highlight w:val="none"/>
              </w:rPr>
              <w:t xml:space="preserve">大写：   </w:t>
            </w:r>
            <w:r>
              <w:rPr>
                <w:rFonts w:hint="eastAsia"/>
                <w:b/>
                <w:bCs/>
                <w:color w:val="auto"/>
                <w:highlight w:val="none"/>
                <w:lang w:val="en-US" w:eastAsia="zh-CN"/>
              </w:rPr>
              <w:t xml:space="preserve">    </w:t>
            </w:r>
          </w:p>
          <w:p w14:paraId="2AB50C58">
            <w:pPr>
              <w:bidi w:val="0"/>
              <w:spacing w:line="240" w:lineRule="auto"/>
              <w:rPr>
                <w:rFonts w:hint="eastAsia" w:ascii="宋体" w:hAnsi="宋体" w:eastAsia="宋体" w:cs="宋体"/>
                <w:color w:val="auto"/>
                <w:sz w:val="24"/>
                <w:highlight w:val="none"/>
              </w:rPr>
            </w:pPr>
            <w:r>
              <w:rPr>
                <w:rFonts w:hint="eastAsia"/>
                <w:b/>
                <w:bCs/>
                <w:color w:val="auto"/>
                <w:highlight w:val="none"/>
              </w:rPr>
              <w:t>小写：</w:t>
            </w:r>
            <w:r>
              <w:rPr>
                <w:rFonts w:hint="eastAsia"/>
                <w:b/>
                <w:bCs/>
                <w:color w:val="auto"/>
                <w:highlight w:val="none"/>
                <w:lang w:val="en-US" w:eastAsia="zh-CN"/>
              </w:rPr>
              <w:t xml:space="preserve">  </w:t>
            </w:r>
            <w:r>
              <w:rPr>
                <w:rFonts w:hint="eastAsia" w:ascii="宋体" w:hAnsi="宋体" w:eastAsia="宋体" w:cs="宋体"/>
                <w:color w:val="auto"/>
                <w:sz w:val="24"/>
                <w:szCs w:val="24"/>
                <w:highlight w:val="none"/>
                <w:lang w:val="en-US" w:eastAsia="zh-CN"/>
              </w:rPr>
              <w:t xml:space="preserve">     </w:t>
            </w:r>
          </w:p>
        </w:tc>
      </w:tr>
      <w:tr w14:paraId="5FA685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3115" w:type="dxa"/>
            <w:tcBorders>
              <w:top w:val="single" w:color="auto" w:sz="4" w:space="0"/>
              <w:bottom w:val="single" w:color="auto" w:sz="4" w:space="0"/>
              <w:right w:val="single" w:color="auto" w:sz="4" w:space="0"/>
            </w:tcBorders>
            <w:noWrap w:val="0"/>
            <w:vAlign w:val="center"/>
          </w:tcPr>
          <w:p w14:paraId="2091E146">
            <w:pPr>
              <w:snapToGrid w:val="0"/>
              <w:spacing w:before="100" w:beforeAutospacing="1" w:after="100" w:afterAutospacing="1" w:line="240" w:lineRule="auto"/>
              <w:jc w:val="center"/>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合同履行期限（工期）</w:t>
            </w:r>
          </w:p>
        </w:tc>
        <w:tc>
          <w:tcPr>
            <w:tcW w:w="5458" w:type="dxa"/>
            <w:tcBorders>
              <w:top w:val="single" w:color="auto" w:sz="4" w:space="0"/>
              <w:left w:val="single" w:color="auto" w:sz="4" w:space="0"/>
              <w:bottom w:val="single" w:color="auto" w:sz="4" w:space="0"/>
            </w:tcBorders>
            <w:noWrap w:val="0"/>
            <w:vAlign w:val="center"/>
          </w:tcPr>
          <w:p w14:paraId="4393340D">
            <w:pPr>
              <w:snapToGrid w:val="0"/>
              <w:spacing w:before="100" w:beforeAutospacing="1" w:after="100" w:afterAutospacing="1" w:line="240" w:lineRule="auto"/>
              <w:jc w:val="center"/>
              <w:rPr>
                <w:rFonts w:hint="eastAsia" w:ascii="宋体" w:hAnsi="宋体" w:eastAsia="宋体" w:cs="宋体"/>
                <w:color w:val="auto"/>
                <w:sz w:val="24"/>
                <w:highlight w:val="none"/>
                <w:lang w:val="en-US"/>
              </w:rPr>
            </w:pPr>
            <w:r>
              <w:rPr>
                <w:rFonts w:hint="eastAsia" w:ascii="宋体" w:hAnsi="宋体" w:cs="宋体"/>
                <w:b/>
                <w:bCs/>
                <w:color w:val="auto"/>
                <w:sz w:val="24"/>
                <w:highlight w:val="none"/>
                <w:u w:val="single"/>
                <w:lang w:val="en-US" w:eastAsia="zh-CN"/>
              </w:rPr>
              <w:t xml:space="preserve">     日历天</w:t>
            </w:r>
          </w:p>
        </w:tc>
      </w:tr>
      <w:tr w14:paraId="668E03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3115" w:type="dxa"/>
            <w:tcBorders>
              <w:top w:val="single" w:color="auto" w:sz="4" w:space="0"/>
              <w:bottom w:val="single" w:color="auto" w:sz="4" w:space="0"/>
              <w:right w:val="single" w:color="auto" w:sz="4" w:space="0"/>
            </w:tcBorders>
            <w:noWrap w:val="0"/>
            <w:vAlign w:val="center"/>
          </w:tcPr>
          <w:p w14:paraId="2078F4F0">
            <w:pPr>
              <w:snapToGrid w:val="0"/>
              <w:spacing w:before="100" w:beforeAutospacing="1" w:after="100" w:afterAutospacing="1" w:line="240" w:lineRule="auto"/>
              <w:jc w:val="center"/>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项目负责人</w:t>
            </w:r>
          </w:p>
        </w:tc>
        <w:tc>
          <w:tcPr>
            <w:tcW w:w="5458" w:type="dxa"/>
            <w:tcBorders>
              <w:top w:val="single" w:color="auto" w:sz="4" w:space="0"/>
              <w:left w:val="single" w:color="auto" w:sz="4" w:space="0"/>
              <w:bottom w:val="single" w:color="auto" w:sz="4" w:space="0"/>
            </w:tcBorders>
            <w:noWrap w:val="0"/>
            <w:vAlign w:val="center"/>
          </w:tcPr>
          <w:p w14:paraId="4C54D8B7">
            <w:pPr>
              <w:snapToGrid w:val="0"/>
              <w:spacing w:before="100" w:beforeAutospacing="1" w:after="100" w:afterAutospacing="1" w:line="240" w:lineRule="auto"/>
              <w:jc w:val="center"/>
              <w:rPr>
                <w:rFonts w:hint="eastAsia" w:ascii="宋体" w:hAnsi="宋体" w:eastAsia="宋体" w:cs="宋体"/>
                <w:color w:val="auto"/>
                <w:sz w:val="24"/>
                <w:highlight w:val="none"/>
              </w:rPr>
            </w:pPr>
          </w:p>
        </w:tc>
      </w:tr>
      <w:tr w14:paraId="629AB5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3115" w:type="dxa"/>
            <w:tcBorders>
              <w:top w:val="single" w:color="auto" w:sz="4" w:space="0"/>
              <w:bottom w:val="single" w:color="auto" w:sz="4" w:space="0"/>
              <w:right w:val="single" w:color="auto" w:sz="4" w:space="0"/>
            </w:tcBorders>
            <w:noWrap w:val="0"/>
            <w:vAlign w:val="center"/>
          </w:tcPr>
          <w:p w14:paraId="7EF63CEB">
            <w:pPr>
              <w:snapToGrid w:val="0"/>
              <w:spacing w:before="100" w:beforeAutospacing="1" w:after="100" w:afterAutospacing="1" w:line="240" w:lineRule="auto"/>
              <w:jc w:val="center"/>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质量目标</w:t>
            </w:r>
          </w:p>
        </w:tc>
        <w:tc>
          <w:tcPr>
            <w:tcW w:w="5458" w:type="dxa"/>
            <w:tcBorders>
              <w:top w:val="single" w:color="auto" w:sz="4" w:space="0"/>
              <w:left w:val="single" w:color="auto" w:sz="4" w:space="0"/>
              <w:bottom w:val="single" w:color="auto" w:sz="4" w:space="0"/>
            </w:tcBorders>
            <w:noWrap w:val="0"/>
            <w:vAlign w:val="center"/>
          </w:tcPr>
          <w:p w14:paraId="63054DA5">
            <w:pPr>
              <w:snapToGrid w:val="0"/>
              <w:spacing w:before="100" w:beforeAutospacing="1" w:after="100" w:afterAutospacing="1" w:line="240" w:lineRule="auto"/>
              <w:jc w:val="center"/>
              <w:rPr>
                <w:rFonts w:hint="eastAsia" w:ascii="宋体" w:hAnsi="宋体" w:eastAsia="宋体" w:cs="宋体"/>
                <w:color w:val="auto"/>
                <w:sz w:val="24"/>
                <w:highlight w:val="none"/>
              </w:rPr>
            </w:pPr>
          </w:p>
        </w:tc>
      </w:tr>
    </w:tbl>
    <w:p w14:paraId="75373DBA">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rPr>
        <w:t>注：</w:t>
      </w:r>
      <w:r>
        <w:rPr>
          <w:rFonts w:hint="eastAsia" w:ascii="宋体" w:hAnsi="宋体" w:eastAsia="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rPr>
        <w:t>报价一经涂改，应在涂改处加盖单位公章或者由法定代表人或授权委托人签字或盖章，否则其投标作无效标处理</w:t>
      </w:r>
      <w:r>
        <w:rPr>
          <w:rFonts w:hint="eastAsia" w:ascii="宋体" w:hAnsi="宋体" w:eastAsia="宋体" w:cs="宋体"/>
          <w:b w:val="0"/>
          <w:bCs/>
          <w:color w:val="auto"/>
          <w:sz w:val="24"/>
          <w:szCs w:val="24"/>
          <w:highlight w:val="none"/>
          <w:lang w:eastAsia="zh-CN"/>
        </w:rPr>
        <w:t>。</w:t>
      </w:r>
    </w:p>
    <w:p w14:paraId="44C4DAF2">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kern w:val="0"/>
          <w:sz w:val="24"/>
          <w:szCs w:val="24"/>
          <w:highlight w:val="none"/>
          <w:lang w:val="en-US" w:eastAsia="zh-CN"/>
        </w:rPr>
        <w:t>2.</w:t>
      </w:r>
      <w:r>
        <w:rPr>
          <w:rFonts w:hint="eastAsia" w:ascii="宋体" w:hAnsi="宋体" w:eastAsia="宋体" w:cs="宋体"/>
          <w:b w:val="0"/>
          <w:bCs/>
          <w:color w:val="auto"/>
          <w:kern w:val="0"/>
          <w:sz w:val="24"/>
          <w:szCs w:val="24"/>
          <w:highlight w:val="none"/>
        </w:rPr>
        <w:t>本次报价为磋商响应文件所确定的响应需求范围内和合同中要求完成的全部工作内容，一旦中标将不予调整。包括但不限于</w:t>
      </w:r>
      <w:r>
        <w:rPr>
          <w:rFonts w:hint="eastAsia" w:ascii="宋体" w:hAnsi="宋体" w:eastAsia="宋体" w:cs="宋体"/>
          <w:b w:val="0"/>
          <w:bCs/>
          <w:color w:val="auto"/>
          <w:sz w:val="24"/>
          <w:szCs w:val="24"/>
          <w:highlight w:val="none"/>
        </w:rPr>
        <w:t>其应包括直接费、间接费、施工设备、劳务、管理、材料、安装、维护、利润、税金及政策性文件规定等完成本项目各项应有费用</w:t>
      </w:r>
      <w:r>
        <w:rPr>
          <w:rFonts w:hint="eastAsia" w:ascii="宋体" w:hAnsi="宋体" w:eastAsia="宋体" w:cs="宋体"/>
          <w:b w:val="0"/>
          <w:bCs/>
          <w:color w:val="auto"/>
          <w:sz w:val="24"/>
          <w:szCs w:val="24"/>
          <w:highlight w:val="none"/>
          <w:lang w:eastAsia="zh-CN"/>
        </w:rPr>
        <w:t>。</w:t>
      </w:r>
    </w:p>
    <w:p w14:paraId="19572027">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color w:val="auto"/>
          <w:sz w:val="24"/>
          <w:szCs w:val="24"/>
          <w:highlight w:val="none"/>
          <w:u w:val="single"/>
          <w:lang w:eastAsia="zh-CN"/>
        </w:rPr>
      </w:pPr>
      <w:r>
        <w:rPr>
          <w:rFonts w:hint="eastAsia" w:ascii="宋体" w:hAnsi="宋体" w:eastAsia="宋体" w:cs="宋体"/>
          <w:b w:val="0"/>
          <w:bCs/>
          <w:color w:val="auto"/>
          <w:sz w:val="24"/>
          <w:szCs w:val="24"/>
          <w:highlight w:val="none"/>
          <w:u w:val="none"/>
          <w:lang w:val="en-US" w:eastAsia="zh-CN"/>
        </w:rPr>
        <w:t>3.</w:t>
      </w:r>
      <w:r>
        <w:rPr>
          <w:rFonts w:hint="eastAsia" w:ascii="宋体" w:hAnsi="宋体" w:eastAsia="宋体" w:cs="宋体"/>
          <w:b w:val="0"/>
          <w:bCs/>
          <w:color w:val="auto"/>
          <w:sz w:val="24"/>
          <w:szCs w:val="24"/>
          <w:highlight w:val="none"/>
          <w:u w:val="none"/>
        </w:rPr>
        <w:t>▲最</w:t>
      </w:r>
      <w:r>
        <w:rPr>
          <w:rFonts w:hint="eastAsia" w:ascii="宋体" w:hAnsi="宋体" w:eastAsia="宋体" w:cs="宋体"/>
          <w:b w:val="0"/>
          <w:bCs/>
          <w:color w:val="auto"/>
          <w:sz w:val="24"/>
          <w:szCs w:val="24"/>
          <w:highlight w:val="none"/>
          <w:u w:val="none"/>
        </w:rPr>
        <w:t>高限价</w:t>
      </w:r>
      <w:r>
        <w:rPr>
          <w:rFonts w:hint="eastAsia" w:ascii="宋体" w:hAnsi="宋体" w:cs="宋体"/>
          <w:b w:val="0"/>
          <w:bCs/>
          <w:color w:val="auto"/>
          <w:sz w:val="24"/>
          <w:szCs w:val="24"/>
          <w:highlight w:val="none"/>
          <w:u w:val="none"/>
          <w:lang w:val="en-US" w:eastAsia="zh-CN"/>
        </w:rPr>
        <w:t>：</w:t>
      </w:r>
      <w:r>
        <w:rPr>
          <w:rFonts w:hint="eastAsia" w:ascii="宋体" w:hAnsi="宋体" w:eastAsia="宋体" w:cs="宋体"/>
          <w:color w:val="auto"/>
          <w:kern w:val="0"/>
          <w:sz w:val="24"/>
          <w:szCs w:val="24"/>
          <w:highlight w:val="none"/>
          <w:lang w:val="en-US" w:eastAsia="zh-CN" w:bidi="ar-SA"/>
        </w:rPr>
        <w:t>583739</w:t>
      </w:r>
      <w:r>
        <w:rPr>
          <w:rFonts w:hint="eastAsia" w:ascii="宋体" w:hAnsi="宋体" w:cs="宋体"/>
          <w:b w:val="0"/>
          <w:bCs/>
          <w:color w:val="auto"/>
          <w:sz w:val="24"/>
          <w:szCs w:val="24"/>
          <w:highlight w:val="none"/>
          <w:u w:val="none"/>
          <w:lang w:val="en-US" w:eastAsia="zh-CN"/>
        </w:rPr>
        <w:t>.</w:t>
      </w:r>
      <w:r>
        <w:rPr>
          <w:rFonts w:hint="eastAsia" w:ascii="宋体" w:hAnsi="宋体" w:cs="宋体"/>
          <w:color w:val="auto"/>
          <w:sz w:val="24"/>
          <w:szCs w:val="24"/>
          <w:highlight w:val="none"/>
          <w:lang w:val="en-US" w:eastAsia="zh-CN"/>
        </w:rPr>
        <w:t>00元</w:t>
      </w:r>
      <w:r>
        <w:rPr>
          <w:rFonts w:hint="eastAsia" w:ascii="宋体" w:hAnsi="宋体" w:eastAsia="宋体" w:cs="宋体"/>
          <w:b w:val="0"/>
          <w:bCs/>
          <w:color w:val="auto"/>
          <w:sz w:val="24"/>
          <w:szCs w:val="24"/>
          <w:highlight w:val="none"/>
          <w:u w:val="none"/>
          <w:lang w:eastAsia="zh-CN"/>
        </w:rPr>
        <w:t>，</w:t>
      </w:r>
      <w:r>
        <w:rPr>
          <w:rFonts w:hint="eastAsia" w:ascii="宋体" w:hAnsi="宋体" w:eastAsia="宋体" w:cs="宋体"/>
          <w:b w:val="0"/>
          <w:bCs/>
          <w:color w:val="auto"/>
          <w:sz w:val="24"/>
          <w:szCs w:val="24"/>
          <w:highlight w:val="none"/>
        </w:rPr>
        <w:t>报价</w:t>
      </w:r>
      <w:r>
        <w:rPr>
          <w:rFonts w:hint="eastAsia" w:ascii="宋体" w:hAnsi="宋体" w:eastAsia="宋体" w:cs="宋体"/>
          <w:b w:val="0"/>
          <w:bCs/>
          <w:color w:val="auto"/>
          <w:sz w:val="24"/>
          <w:szCs w:val="24"/>
          <w:highlight w:val="none"/>
        </w:rPr>
        <w:t>高于上限价的均作无效标处理</w:t>
      </w:r>
      <w:r>
        <w:rPr>
          <w:rFonts w:hint="eastAsia" w:ascii="宋体" w:hAnsi="宋体" w:eastAsia="宋体" w:cs="宋体"/>
          <w:b w:val="0"/>
          <w:bCs/>
          <w:color w:val="auto"/>
          <w:sz w:val="24"/>
          <w:szCs w:val="24"/>
          <w:highlight w:val="none"/>
          <w:lang w:eastAsia="zh-CN"/>
        </w:rPr>
        <w:t>。</w:t>
      </w:r>
    </w:p>
    <w:p w14:paraId="69745712">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b/>
          <w:bCs w:val="0"/>
          <w:color w:val="auto"/>
          <w:sz w:val="24"/>
          <w:szCs w:val="24"/>
          <w:highlight w:val="none"/>
          <w:u w:val="none"/>
          <w:lang w:val="en-US" w:eastAsia="zh-CN"/>
        </w:rPr>
      </w:pPr>
      <w:r>
        <w:rPr>
          <w:rFonts w:hint="eastAsia" w:ascii="宋体" w:hAnsi="宋体" w:eastAsia="宋体" w:cs="宋体"/>
          <w:b/>
          <w:bCs w:val="0"/>
          <w:color w:val="auto"/>
          <w:sz w:val="24"/>
          <w:szCs w:val="24"/>
          <w:highlight w:val="none"/>
          <w:lang w:val="en-US" w:eastAsia="zh-CN"/>
        </w:rPr>
        <w:t>4.本表中</w:t>
      </w:r>
      <w:r>
        <w:rPr>
          <w:rFonts w:hint="eastAsia" w:ascii="宋体" w:hAnsi="宋体" w:eastAsia="宋体" w:cs="宋体"/>
          <w:b/>
          <w:bCs w:val="0"/>
          <w:color w:val="auto"/>
          <w:sz w:val="24"/>
          <w:highlight w:val="none"/>
          <w:lang w:val="en-US" w:eastAsia="zh-CN"/>
        </w:rPr>
        <w:t>最终投标</w:t>
      </w:r>
      <w:r>
        <w:rPr>
          <w:rFonts w:hint="eastAsia" w:ascii="宋体" w:hAnsi="宋体" w:eastAsia="宋体" w:cs="宋体"/>
          <w:b/>
          <w:bCs w:val="0"/>
          <w:color w:val="auto"/>
          <w:sz w:val="24"/>
          <w:highlight w:val="none"/>
        </w:rPr>
        <w:t>报价=</w:t>
      </w:r>
      <w:r>
        <w:rPr>
          <w:rFonts w:hint="eastAsia" w:ascii="宋体" w:hAnsi="宋体" w:eastAsia="宋体" w:cs="宋体"/>
          <w:b/>
          <w:bCs w:val="0"/>
          <w:color w:val="auto"/>
          <w:sz w:val="24"/>
          <w:highlight w:val="none"/>
          <w:lang w:val="en-US" w:eastAsia="zh-CN"/>
        </w:rPr>
        <w:t>第壹轮投标报价</w:t>
      </w:r>
      <w:r>
        <w:rPr>
          <w:rFonts w:hint="eastAsia" w:ascii="宋体" w:hAnsi="宋体" w:eastAsia="宋体" w:cs="宋体"/>
          <w:b/>
          <w:bCs w:val="0"/>
          <w:color w:val="auto"/>
          <w:sz w:val="24"/>
          <w:highlight w:val="none"/>
        </w:rPr>
        <w:t>×</w:t>
      </w:r>
      <w:r>
        <w:rPr>
          <w:rFonts w:hint="eastAsia" w:ascii="宋体" w:hAnsi="宋体" w:eastAsia="宋体" w:cs="宋体"/>
          <w:b/>
          <w:bCs w:val="0"/>
          <w:color w:val="auto"/>
          <w:sz w:val="24"/>
          <w:highlight w:val="none"/>
          <w:lang w:eastAsia="zh-CN"/>
        </w:rPr>
        <w:t>（</w:t>
      </w:r>
      <w:r>
        <w:rPr>
          <w:rFonts w:hint="eastAsia" w:ascii="宋体" w:hAnsi="宋体" w:eastAsia="宋体" w:cs="宋体"/>
          <w:b/>
          <w:bCs w:val="0"/>
          <w:color w:val="auto"/>
          <w:sz w:val="24"/>
          <w:highlight w:val="none"/>
          <w:lang w:val="en-US" w:eastAsia="zh-CN"/>
        </w:rPr>
        <w:t>1-下浮率</w:t>
      </w:r>
      <w:r>
        <w:rPr>
          <w:rFonts w:hint="eastAsia" w:ascii="宋体" w:hAnsi="宋体" w:eastAsia="宋体" w:cs="宋体"/>
          <w:b/>
          <w:bCs w:val="0"/>
          <w:color w:val="auto"/>
          <w:sz w:val="24"/>
          <w:highlight w:val="none"/>
          <w:lang w:eastAsia="zh-CN"/>
        </w:rPr>
        <w:t>）；</w:t>
      </w:r>
      <w:r>
        <w:rPr>
          <w:rFonts w:hint="eastAsia" w:ascii="宋体" w:hAnsi="宋体" w:eastAsia="宋体" w:cs="宋体"/>
          <w:b/>
          <w:bCs w:val="0"/>
          <w:color w:val="auto"/>
          <w:sz w:val="24"/>
          <w:szCs w:val="24"/>
          <w:highlight w:val="none"/>
          <w:lang w:val="en-US" w:eastAsia="zh-CN"/>
        </w:rPr>
        <w:t>下浮率小数点后保留二位小数（四舍五入）。</w:t>
      </w:r>
      <w:r>
        <w:rPr>
          <w:rFonts w:hint="eastAsia" w:ascii="宋体" w:hAnsi="宋体" w:eastAsia="宋体" w:cs="宋体"/>
          <w:b/>
          <w:bCs w:val="0"/>
          <w:color w:val="auto"/>
          <w:sz w:val="24"/>
          <w:szCs w:val="24"/>
          <w:highlight w:val="none"/>
          <w:lang w:val="en-US" w:eastAsia="zh-CN"/>
        </w:rPr>
        <w:t>本工程结算方式：按成交供应商的第壹轮报价的计算口径，按实际工程量计算</w:t>
      </w:r>
      <w:r>
        <w:rPr>
          <w:rFonts w:hint="eastAsia" w:ascii="宋体" w:hAnsi="宋体" w:eastAsia="宋体" w:cs="宋体"/>
          <w:b/>
          <w:bCs w:val="0"/>
          <w:color w:val="auto"/>
          <w:sz w:val="24"/>
          <w:szCs w:val="24"/>
          <w:highlight w:val="none"/>
          <w:lang w:val="en-US" w:eastAsia="zh-CN"/>
        </w:rPr>
        <w:t>所得</w:t>
      </w:r>
      <w:r>
        <w:rPr>
          <w:rFonts w:hint="eastAsia" w:ascii="宋体" w:hAnsi="宋体" w:eastAsia="宋体" w:cs="宋体"/>
          <w:b/>
          <w:bCs w:val="0"/>
          <w:color w:val="auto"/>
          <w:sz w:val="24"/>
          <w:szCs w:val="24"/>
          <w:highlight w:val="none"/>
          <w:lang w:val="en-US" w:eastAsia="zh-CN"/>
        </w:rPr>
        <w:t>工程造价</w:t>
      </w:r>
      <w:r>
        <w:rPr>
          <w:rFonts w:hint="eastAsia" w:ascii="宋体" w:hAnsi="宋体" w:eastAsia="宋体" w:cs="宋体"/>
          <w:b/>
          <w:bCs w:val="0"/>
          <w:color w:val="auto"/>
          <w:sz w:val="24"/>
          <w:highlight w:val="none"/>
        </w:rPr>
        <w:t>×</w:t>
      </w:r>
      <w:r>
        <w:rPr>
          <w:rFonts w:hint="eastAsia" w:ascii="宋体" w:hAnsi="宋体" w:eastAsia="宋体" w:cs="宋体"/>
          <w:b/>
          <w:bCs w:val="0"/>
          <w:color w:val="auto"/>
          <w:sz w:val="24"/>
          <w:highlight w:val="none"/>
          <w:lang w:eastAsia="zh-CN"/>
        </w:rPr>
        <w:t>（</w:t>
      </w:r>
      <w:r>
        <w:rPr>
          <w:rFonts w:hint="eastAsia" w:ascii="宋体" w:hAnsi="宋体" w:eastAsia="宋体" w:cs="宋体"/>
          <w:b/>
          <w:bCs w:val="0"/>
          <w:color w:val="auto"/>
          <w:sz w:val="24"/>
          <w:highlight w:val="none"/>
          <w:lang w:val="en-US" w:eastAsia="zh-CN"/>
        </w:rPr>
        <w:t>1-成交下浮率</w:t>
      </w:r>
      <w:r>
        <w:rPr>
          <w:rFonts w:hint="eastAsia" w:ascii="宋体" w:hAnsi="宋体" w:eastAsia="宋体" w:cs="宋体"/>
          <w:b/>
          <w:bCs w:val="0"/>
          <w:color w:val="auto"/>
          <w:sz w:val="24"/>
          <w:highlight w:val="none"/>
          <w:lang w:eastAsia="zh-CN"/>
        </w:rPr>
        <w:t>）</w:t>
      </w:r>
      <w:r>
        <w:rPr>
          <w:rFonts w:hint="eastAsia" w:ascii="宋体" w:hAnsi="宋体" w:eastAsia="宋体" w:cs="宋体"/>
          <w:b/>
          <w:bCs w:val="0"/>
          <w:color w:val="auto"/>
          <w:sz w:val="24"/>
          <w:szCs w:val="24"/>
          <w:highlight w:val="none"/>
          <w:u w:val="none"/>
          <w:lang w:val="en-US" w:eastAsia="zh-CN"/>
        </w:rPr>
        <w:t>。</w:t>
      </w:r>
    </w:p>
    <w:p w14:paraId="661FC5BB">
      <w:pPr>
        <w:pStyle w:val="4"/>
        <w:keepNext w:val="0"/>
        <w:keepLines w:val="0"/>
        <w:pageBreakBefore w:val="0"/>
        <w:widowControl w:val="0"/>
        <w:kinsoku/>
        <w:wordWrap/>
        <w:overflowPunct/>
        <w:topLinePunct w:val="0"/>
        <w:autoSpaceDE/>
        <w:autoSpaceDN/>
        <w:bidi w:val="0"/>
        <w:adjustRightInd/>
        <w:snapToGrid/>
        <w:spacing w:line="240" w:lineRule="auto"/>
        <w:ind w:left="0" w:leftChars="0" w:firstLine="482" w:firstLineChars="200"/>
        <w:textAlignment w:val="auto"/>
        <w:rPr>
          <w:rFonts w:hint="eastAsia" w:ascii="宋体" w:hAnsi="宋体" w:eastAsia="宋体" w:cs="宋体"/>
          <w:b/>
          <w:bCs w:val="0"/>
          <w:color w:val="auto"/>
          <w:highlight w:val="none"/>
          <w:u w:val="none"/>
          <w:lang w:val="en-US" w:eastAsia="zh-CN"/>
        </w:rPr>
      </w:pPr>
      <w:r>
        <w:rPr>
          <w:rFonts w:hint="eastAsia" w:ascii="宋体" w:hAnsi="宋体" w:eastAsia="宋体" w:cs="宋体"/>
          <w:b/>
          <w:bCs w:val="0"/>
          <w:color w:val="auto"/>
          <w:sz w:val="24"/>
          <w:highlight w:val="none"/>
          <w:u w:val="none"/>
          <w:lang w:val="en-US" w:eastAsia="zh-CN"/>
        </w:rPr>
        <w:t>5.</w:t>
      </w:r>
      <w:r>
        <w:rPr>
          <w:rFonts w:hint="eastAsia" w:hAnsi="宋体"/>
          <w:b w:val="0"/>
          <w:bCs/>
          <w:color w:val="auto"/>
          <w:sz w:val="24"/>
          <w:szCs w:val="24"/>
          <w:highlight w:val="none"/>
          <w:u w:val="none"/>
        </w:rPr>
        <w:t>▲</w:t>
      </w:r>
      <w:r>
        <w:rPr>
          <w:rFonts w:hint="eastAsia" w:ascii="宋体" w:hAnsi="宋体"/>
          <w:b/>
          <w:bCs w:val="0"/>
          <w:color w:val="auto"/>
          <w:sz w:val="24"/>
          <w:highlight w:val="none"/>
          <w:u w:val="none"/>
        </w:rPr>
        <w:t>未按上述公式计算</w:t>
      </w:r>
      <w:r>
        <w:rPr>
          <w:rFonts w:hint="eastAsia" w:ascii="宋体" w:hAnsi="宋体"/>
          <w:b/>
          <w:bCs w:val="0"/>
          <w:color w:val="auto"/>
          <w:sz w:val="24"/>
          <w:highlight w:val="none"/>
          <w:u w:val="none"/>
          <w:lang w:val="en-US" w:eastAsia="zh-CN"/>
        </w:rPr>
        <w:t>投标最终</w:t>
      </w:r>
      <w:r>
        <w:rPr>
          <w:rFonts w:hint="eastAsia" w:ascii="宋体" w:hAnsi="宋体"/>
          <w:b/>
          <w:bCs w:val="0"/>
          <w:color w:val="auto"/>
          <w:sz w:val="24"/>
          <w:highlight w:val="none"/>
          <w:u w:val="none"/>
        </w:rPr>
        <w:t>报价的</w:t>
      </w:r>
      <w:r>
        <w:rPr>
          <w:rFonts w:hint="eastAsia" w:ascii="宋体" w:hAnsi="宋体"/>
          <w:b/>
          <w:bCs w:val="0"/>
          <w:color w:val="auto"/>
          <w:sz w:val="24"/>
          <w:highlight w:val="none"/>
          <w:u w:val="none"/>
          <w:lang w:val="en-US" w:eastAsia="zh-CN"/>
        </w:rPr>
        <w:t>供应商</w:t>
      </w:r>
      <w:r>
        <w:rPr>
          <w:rFonts w:hint="eastAsia" w:ascii="宋体" w:hAnsi="宋体"/>
          <w:b/>
          <w:bCs w:val="0"/>
          <w:color w:val="auto"/>
          <w:sz w:val="24"/>
          <w:highlight w:val="none"/>
          <w:u w:val="none"/>
        </w:rPr>
        <w:t>，由</w:t>
      </w:r>
      <w:r>
        <w:rPr>
          <w:rFonts w:hint="eastAsia" w:ascii="宋体" w:hAnsi="宋体"/>
          <w:b/>
          <w:bCs w:val="0"/>
          <w:color w:val="auto"/>
          <w:sz w:val="24"/>
          <w:highlight w:val="none"/>
          <w:u w:val="none"/>
          <w:lang w:val="en-US" w:eastAsia="zh-CN"/>
        </w:rPr>
        <w:t>评审小组</w:t>
      </w:r>
      <w:r>
        <w:rPr>
          <w:rFonts w:hint="eastAsia" w:ascii="宋体" w:hAnsi="宋体"/>
          <w:b/>
          <w:bCs w:val="0"/>
          <w:color w:val="auto"/>
          <w:sz w:val="24"/>
          <w:highlight w:val="none"/>
          <w:u w:val="none"/>
        </w:rPr>
        <w:t>作否决投标处理</w:t>
      </w:r>
      <w:r>
        <w:rPr>
          <w:rFonts w:hint="eastAsia" w:ascii="宋体" w:hAnsi="宋体"/>
          <w:b/>
          <w:bCs w:val="0"/>
          <w:color w:val="auto"/>
          <w:sz w:val="24"/>
          <w:highlight w:val="none"/>
          <w:u w:val="none"/>
          <w:lang w:eastAsia="zh-CN"/>
        </w:rPr>
        <w:t>。</w:t>
      </w:r>
    </w:p>
    <w:p w14:paraId="508257CA">
      <w:pPr>
        <w:pStyle w:val="2"/>
        <w:keepNext w:val="0"/>
        <w:keepLines w:val="0"/>
        <w:pageBreakBefore w:val="0"/>
        <w:widowControl w:val="0"/>
        <w:kinsoku/>
        <w:wordWrap/>
        <w:overflowPunct/>
        <w:topLinePunct w:val="0"/>
        <w:autoSpaceDE/>
        <w:autoSpaceDN/>
        <w:bidi w:val="0"/>
        <w:adjustRightInd/>
        <w:snapToGrid/>
        <w:spacing w:after="0" w:line="240" w:lineRule="auto"/>
        <w:ind w:firstLine="482" w:firstLineChars="200"/>
        <w:textAlignment w:val="auto"/>
        <w:rPr>
          <w:rFonts w:hint="eastAsia" w:ascii="宋体" w:hAnsi="宋体" w:eastAsia="宋体" w:cs="宋体"/>
          <w:b/>
          <w:bCs/>
          <w:color w:val="auto"/>
          <w:sz w:val="24"/>
          <w:szCs w:val="24"/>
          <w:highlight w:val="none"/>
          <w:u w:val="none"/>
          <w:lang w:val="en-US" w:eastAsia="zh-CN"/>
        </w:rPr>
      </w:pPr>
      <w:r>
        <w:rPr>
          <w:rFonts w:hint="eastAsia" w:ascii="宋体" w:hAnsi="宋体" w:cs="宋体"/>
          <w:b/>
          <w:bCs/>
          <w:color w:val="auto"/>
          <w:sz w:val="24"/>
          <w:szCs w:val="24"/>
          <w:highlight w:val="none"/>
          <w:u w:val="none"/>
          <w:lang w:val="en-US" w:eastAsia="zh-CN"/>
        </w:rPr>
        <w:t>6</w:t>
      </w:r>
      <w:r>
        <w:rPr>
          <w:rFonts w:hint="eastAsia" w:ascii="宋体" w:hAnsi="宋体" w:eastAsia="宋体" w:cs="宋体"/>
          <w:b/>
          <w:bCs/>
          <w:color w:val="auto"/>
          <w:sz w:val="24"/>
          <w:szCs w:val="24"/>
          <w:highlight w:val="none"/>
          <w:u w:val="none"/>
          <w:lang w:val="en-US" w:eastAsia="zh-CN"/>
        </w:rPr>
        <w:t>.本表不得提供在磋商响应文件中，仅在开标时要求最终报价时按规定提供。</w:t>
      </w:r>
    </w:p>
    <w:p w14:paraId="1CD03846">
      <w:pPr>
        <w:keepNext w:val="0"/>
        <w:keepLines w:val="0"/>
        <w:pageBreakBefore w:val="0"/>
        <w:widowControl w:val="0"/>
        <w:tabs>
          <w:tab w:val="left" w:pos="1418"/>
        </w:tabs>
        <w:kinsoku/>
        <w:wordWrap/>
        <w:overflowPunct/>
        <w:topLinePunct w:val="0"/>
        <w:autoSpaceDE/>
        <w:autoSpaceDN/>
        <w:bidi w:val="0"/>
        <w:adjustRightInd/>
        <w:spacing w:line="360" w:lineRule="auto"/>
        <w:ind w:firstLine="3360" w:firstLineChars="1400"/>
        <w:textAlignment w:val="auto"/>
        <w:rPr>
          <w:rFonts w:hint="eastAsia" w:ascii="宋体" w:hAnsi="宋体" w:eastAsia="宋体" w:cs="宋体"/>
          <w:color w:val="auto"/>
          <w:sz w:val="24"/>
          <w:szCs w:val="24"/>
          <w:highlight w:val="none"/>
          <w:lang w:val="en-US" w:eastAsia="zh-CN"/>
        </w:rPr>
      </w:pPr>
    </w:p>
    <w:p w14:paraId="37910C1C">
      <w:pPr>
        <w:keepNext w:val="0"/>
        <w:keepLines w:val="0"/>
        <w:pageBreakBefore w:val="0"/>
        <w:widowControl w:val="0"/>
        <w:tabs>
          <w:tab w:val="left" w:pos="1418"/>
        </w:tabs>
        <w:kinsoku/>
        <w:wordWrap/>
        <w:overflowPunct/>
        <w:topLinePunct w:val="0"/>
        <w:autoSpaceDE/>
        <w:autoSpaceDN/>
        <w:bidi w:val="0"/>
        <w:adjustRightInd/>
        <w:spacing w:line="360" w:lineRule="auto"/>
        <w:ind w:firstLine="3360" w:firstLineChars="1400"/>
        <w:textAlignment w:val="auto"/>
        <w:rPr>
          <w:rFonts w:hint="eastAsia" w:ascii="宋体" w:hAnsi="宋体" w:eastAsia="宋体" w:cs="宋体"/>
          <w:color w:val="auto"/>
          <w:spacing w:val="20"/>
          <w:sz w:val="24"/>
          <w:szCs w:val="24"/>
          <w:highlight w:val="none"/>
          <w:u w:val="single"/>
        </w:rPr>
      </w:pPr>
      <w:r>
        <w:rPr>
          <w:rFonts w:hint="eastAsia" w:ascii="宋体" w:hAnsi="宋体" w:eastAsia="宋体" w:cs="宋体"/>
          <w:color w:val="auto"/>
          <w:sz w:val="24"/>
          <w:szCs w:val="24"/>
          <w:highlight w:val="none"/>
          <w:lang w:val="en-US" w:eastAsia="zh-CN"/>
        </w:rPr>
        <w:t>法定代表人或授权代表（</w:t>
      </w:r>
      <w:r>
        <w:rPr>
          <w:rFonts w:hint="eastAsia" w:ascii="宋体" w:hAnsi="宋体" w:eastAsia="宋体" w:cs="宋体"/>
          <w:color w:val="auto"/>
          <w:sz w:val="24"/>
          <w:szCs w:val="24"/>
          <w:highlight w:val="none"/>
        </w:rPr>
        <w:t>签字</w:t>
      </w:r>
      <w:r>
        <w:rPr>
          <w:rFonts w:hint="eastAsia" w:ascii="宋体" w:hAnsi="宋体" w:eastAsia="宋体" w:cs="宋体"/>
          <w:color w:val="auto"/>
          <w:sz w:val="24"/>
          <w:szCs w:val="24"/>
          <w:highlight w:val="none"/>
          <w:lang w:val="en-US" w:eastAsia="zh-CN"/>
        </w:rPr>
        <w:t>或盖章）</w:t>
      </w:r>
      <w:r>
        <w:rPr>
          <w:rFonts w:hint="eastAsia" w:ascii="宋体" w:hAnsi="宋体" w:eastAsia="宋体" w:cs="宋体"/>
          <w:color w:val="auto"/>
          <w:spacing w:val="20"/>
          <w:sz w:val="24"/>
          <w:szCs w:val="24"/>
          <w:highlight w:val="none"/>
        </w:rPr>
        <w:t>：</w:t>
      </w:r>
      <w:r>
        <w:rPr>
          <w:rFonts w:hint="eastAsia" w:ascii="宋体" w:hAnsi="宋体" w:eastAsia="宋体" w:cs="宋体"/>
          <w:color w:val="auto"/>
          <w:spacing w:val="20"/>
          <w:sz w:val="24"/>
          <w:szCs w:val="24"/>
          <w:highlight w:val="none"/>
          <w:u w:val="single"/>
        </w:rPr>
        <w:t xml:space="preserve">              </w:t>
      </w:r>
    </w:p>
    <w:p w14:paraId="3215D09F">
      <w:pPr>
        <w:keepNext w:val="0"/>
        <w:keepLines w:val="0"/>
        <w:pageBreakBefore w:val="0"/>
        <w:widowControl w:val="0"/>
        <w:kinsoku/>
        <w:wordWrap/>
        <w:overflowPunct/>
        <w:topLinePunct w:val="0"/>
        <w:autoSpaceDE/>
        <w:autoSpaceDN/>
        <w:bidi w:val="0"/>
        <w:adjustRightInd/>
        <w:snapToGrid w:val="0"/>
        <w:spacing w:before="100" w:beforeAutospacing="1" w:after="100" w:afterAutospacing="1" w:line="360" w:lineRule="auto"/>
        <w:ind w:firstLine="5740" w:firstLineChars="2050"/>
        <w:textAlignment w:val="auto"/>
        <w:rPr>
          <w:rFonts w:hint="eastAsia" w:ascii="宋体" w:hAnsi="宋体" w:eastAsia="宋体" w:cs="宋体"/>
          <w:color w:val="auto"/>
          <w:spacing w:val="20"/>
          <w:sz w:val="24"/>
          <w:szCs w:val="24"/>
          <w:highlight w:val="none"/>
          <w:u w:val="single"/>
        </w:rPr>
      </w:pPr>
      <w:r>
        <w:rPr>
          <w:rFonts w:hint="eastAsia" w:ascii="宋体" w:hAnsi="宋体" w:eastAsia="宋体" w:cs="宋体"/>
          <w:color w:val="auto"/>
          <w:spacing w:val="20"/>
          <w:sz w:val="24"/>
          <w:szCs w:val="24"/>
          <w:highlight w:val="none"/>
        </w:rPr>
        <w:t>日  期：</w:t>
      </w:r>
      <w:r>
        <w:rPr>
          <w:rFonts w:hint="eastAsia" w:ascii="宋体" w:hAnsi="宋体" w:eastAsia="宋体" w:cs="宋体"/>
          <w:color w:val="auto"/>
          <w:spacing w:val="20"/>
          <w:sz w:val="24"/>
          <w:szCs w:val="24"/>
          <w:highlight w:val="none"/>
          <w:u w:val="single"/>
        </w:rPr>
        <w:t xml:space="preserve">            </w:t>
      </w:r>
    </w:p>
    <w:p w14:paraId="75FD19D7">
      <w:pPr>
        <w:rPr>
          <w:rFonts w:hint="eastAsia" w:ascii="宋体" w:hAnsi="宋体" w:eastAsia="宋体" w:cs="宋体"/>
          <w:color w:val="auto"/>
          <w:spacing w:val="20"/>
          <w:sz w:val="24"/>
          <w:szCs w:val="24"/>
          <w:highlight w:val="none"/>
          <w:u w:val="single"/>
        </w:rPr>
      </w:pPr>
      <w:r>
        <w:rPr>
          <w:rFonts w:hint="eastAsia" w:ascii="宋体" w:hAnsi="宋体" w:eastAsia="宋体" w:cs="宋体"/>
          <w:color w:val="auto"/>
          <w:spacing w:val="20"/>
          <w:sz w:val="24"/>
          <w:szCs w:val="24"/>
          <w:highlight w:val="none"/>
          <w:u w:val="single"/>
        </w:rPr>
        <w:br w:type="page"/>
      </w:r>
    </w:p>
    <w:tbl>
      <w:tblPr>
        <w:tblStyle w:val="24"/>
        <w:tblW w:w="9622" w:type="dxa"/>
        <w:tblInd w:w="0" w:type="dxa"/>
        <w:tblLayout w:type="fixed"/>
        <w:tblCellMar>
          <w:top w:w="0" w:type="dxa"/>
          <w:left w:w="108" w:type="dxa"/>
          <w:bottom w:w="0" w:type="dxa"/>
          <w:right w:w="108" w:type="dxa"/>
        </w:tblCellMar>
      </w:tblPr>
      <w:tblGrid>
        <w:gridCol w:w="9622"/>
      </w:tblGrid>
      <w:tr w14:paraId="293803EA">
        <w:tblPrEx>
          <w:tblCellMar>
            <w:top w:w="0" w:type="dxa"/>
            <w:left w:w="108" w:type="dxa"/>
            <w:bottom w:w="0" w:type="dxa"/>
            <w:right w:w="108" w:type="dxa"/>
          </w:tblCellMar>
        </w:tblPrEx>
        <w:tc>
          <w:tcPr>
            <w:tcW w:w="9622" w:type="dxa"/>
            <w:noWrap w:val="0"/>
            <w:vAlign w:val="top"/>
          </w:tcPr>
          <w:p w14:paraId="66FCD91A">
            <w:pPr>
              <w:jc w:val="center"/>
              <w:rPr>
                <w:rFonts w:hint="eastAsia" w:ascii="宋体" w:hAnsi="宋体" w:eastAsia="宋体" w:cs="宋体"/>
                <w:b/>
                <w:bCs/>
                <w:color w:val="auto"/>
                <w:sz w:val="30"/>
                <w:szCs w:val="30"/>
                <w:highlight w:val="none"/>
                <w:lang w:val="en-US" w:eastAsia="zh-CN"/>
              </w:rPr>
            </w:pPr>
            <w:r>
              <w:rPr>
                <w:rFonts w:hint="eastAsia" w:ascii="宋体" w:hAnsi="宋体" w:eastAsia="宋体" w:cs="宋体"/>
                <w:color w:val="auto"/>
                <w:spacing w:val="20"/>
                <w:sz w:val="24"/>
                <w:szCs w:val="24"/>
                <w:highlight w:val="none"/>
                <w:u w:val="single"/>
              </w:rPr>
              <w:br w:type="page"/>
            </w:r>
            <w:r>
              <w:rPr>
                <w:rFonts w:hint="eastAsia" w:ascii="宋体" w:hAnsi="宋体" w:eastAsia="宋体" w:cs="宋体"/>
                <w:b/>
                <w:bCs/>
                <w:color w:val="auto"/>
                <w:sz w:val="30"/>
                <w:szCs w:val="30"/>
                <w:highlight w:val="none"/>
                <w:lang w:val="en-US" w:eastAsia="zh-CN"/>
              </w:rPr>
              <w:t>十</w:t>
            </w:r>
            <w:r>
              <w:rPr>
                <w:rFonts w:hint="eastAsia" w:ascii="宋体" w:hAnsi="宋体" w:cs="宋体"/>
                <w:b/>
                <w:bCs/>
                <w:color w:val="auto"/>
                <w:sz w:val="30"/>
                <w:szCs w:val="30"/>
                <w:highlight w:val="none"/>
                <w:lang w:val="en-US" w:eastAsia="zh-CN"/>
              </w:rPr>
              <w:t>五</w:t>
            </w:r>
            <w:r>
              <w:rPr>
                <w:rFonts w:hint="eastAsia" w:ascii="宋体" w:hAnsi="宋体" w:eastAsia="宋体" w:cs="宋体"/>
                <w:b/>
                <w:bCs/>
                <w:color w:val="auto"/>
                <w:sz w:val="30"/>
                <w:szCs w:val="30"/>
                <w:highlight w:val="none"/>
                <w:lang w:val="en-US" w:eastAsia="zh-CN"/>
              </w:rPr>
              <w:t>、分项报价明细表（格式）</w:t>
            </w:r>
          </w:p>
          <w:p w14:paraId="5E6E501E">
            <w:pPr>
              <w:numPr>
                <w:ilvl w:val="0"/>
                <w:numId w:val="0"/>
              </w:numPr>
              <w:spacing w:line="300" w:lineRule="auto"/>
              <w:jc w:val="center"/>
              <w:rPr>
                <w:rFonts w:hint="eastAsia" w:ascii="宋体" w:hAnsi="宋体" w:eastAsia="宋体" w:cs="宋体"/>
                <w:b/>
                <w:bCs/>
                <w:color w:val="auto"/>
                <w:sz w:val="36"/>
                <w:szCs w:val="36"/>
                <w:highlight w:val="none"/>
              </w:rPr>
            </w:pPr>
          </w:p>
          <w:p w14:paraId="75C129C6">
            <w:pPr>
              <w:numPr>
                <w:ilvl w:val="0"/>
                <w:numId w:val="0"/>
              </w:numPr>
              <w:spacing w:line="300" w:lineRule="auto"/>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投　标　</w:t>
            </w:r>
            <w:r>
              <w:rPr>
                <w:rFonts w:hint="eastAsia" w:ascii="宋体" w:hAnsi="宋体" w:eastAsia="宋体" w:cs="宋体"/>
                <w:b/>
                <w:bCs/>
                <w:color w:val="auto"/>
                <w:sz w:val="36"/>
                <w:szCs w:val="36"/>
                <w:highlight w:val="none"/>
                <w:lang w:eastAsia="zh-CN"/>
              </w:rPr>
              <w:t>报</w:t>
            </w:r>
            <w:r>
              <w:rPr>
                <w:rFonts w:hint="eastAsia" w:ascii="宋体" w:hAnsi="宋体" w:eastAsia="宋体" w:cs="宋体"/>
                <w:b/>
                <w:bCs/>
                <w:color w:val="auto"/>
                <w:sz w:val="36"/>
                <w:szCs w:val="36"/>
                <w:highlight w:val="none"/>
              </w:rPr>
              <w:t>　价</w:t>
            </w:r>
          </w:p>
        </w:tc>
      </w:tr>
    </w:tbl>
    <w:p w14:paraId="27BE416E">
      <w:pPr>
        <w:spacing w:line="300" w:lineRule="auto"/>
        <w:jc w:val="right"/>
        <w:rPr>
          <w:rFonts w:hint="eastAsia" w:ascii="宋体" w:hAnsi="宋体" w:eastAsia="宋体" w:cs="宋体"/>
          <w:b/>
          <w:color w:val="auto"/>
          <w:sz w:val="21"/>
          <w:highlight w:val="none"/>
        </w:rPr>
      </w:pPr>
    </w:p>
    <w:p w14:paraId="713A1906">
      <w:pPr>
        <w:spacing w:line="700" w:lineRule="exact"/>
        <w:ind w:left="0" w:leftChars="0" w:firstLine="0" w:firstLineChars="0"/>
        <w:rPr>
          <w:rFonts w:hint="eastAsia" w:ascii="宋体" w:hAnsi="宋体" w:eastAsia="宋体" w:cs="宋体"/>
          <w:color w:val="auto"/>
          <w:spacing w:val="240"/>
          <w:kern w:val="0"/>
          <w:sz w:val="28"/>
          <w:szCs w:val="28"/>
          <w:highlight w:val="none"/>
        </w:rPr>
      </w:pPr>
    </w:p>
    <w:p w14:paraId="13F3A461">
      <w:pPr>
        <w:spacing w:line="700" w:lineRule="exact"/>
        <w:ind w:left="0" w:leftChars="0" w:firstLine="0" w:firstLineChars="0"/>
        <w:rPr>
          <w:rFonts w:hint="eastAsia" w:ascii="宋体" w:hAnsi="宋体" w:eastAsia="宋体" w:cs="宋体"/>
          <w:color w:val="auto"/>
          <w:sz w:val="24"/>
          <w:szCs w:val="24"/>
          <w:highlight w:val="none"/>
          <w:u w:val="single"/>
        </w:rPr>
      </w:pPr>
      <w:r>
        <w:rPr>
          <w:rFonts w:hint="eastAsia" w:ascii="宋体" w:hAnsi="宋体" w:eastAsia="宋体" w:cs="宋体"/>
          <w:color w:val="auto"/>
          <w:spacing w:val="240"/>
          <w:kern w:val="0"/>
          <w:sz w:val="24"/>
          <w:szCs w:val="24"/>
          <w:highlight w:val="none"/>
        </w:rPr>
        <w:t>招标</w:t>
      </w:r>
      <w:r>
        <w:rPr>
          <w:rFonts w:hint="eastAsia" w:ascii="宋体" w:hAnsi="宋体" w:eastAsia="宋体" w:cs="宋体"/>
          <w:color w:val="auto"/>
          <w:kern w:val="0"/>
          <w:sz w:val="24"/>
          <w:szCs w:val="24"/>
          <w:highlight w:val="none"/>
        </w:rPr>
        <w:t>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p>
    <w:p w14:paraId="43A4B732">
      <w:pPr>
        <w:spacing w:line="700" w:lineRule="exact"/>
        <w:ind w:left="0" w:leftChars="0" w:firstLine="0" w:firstLineChars="0"/>
        <w:rPr>
          <w:rFonts w:hint="eastAsia" w:ascii="宋体" w:hAnsi="宋体" w:eastAsia="宋体" w:cs="宋体"/>
          <w:color w:val="auto"/>
          <w:sz w:val="24"/>
          <w:szCs w:val="24"/>
          <w:highlight w:val="none"/>
          <w:u w:val="single"/>
        </w:rPr>
      </w:pPr>
      <w:r>
        <w:rPr>
          <w:rFonts w:hint="eastAsia" w:ascii="宋体" w:hAnsi="宋体" w:eastAsia="宋体" w:cs="宋体"/>
          <w:color w:val="auto"/>
          <w:spacing w:val="113"/>
          <w:kern w:val="0"/>
          <w:sz w:val="24"/>
          <w:szCs w:val="24"/>
          <w:highlight w:val="none"/>
        </w:rPr>
        <w:t>工程名</w:t>
      </w:r>
      <w:r>
        <w:rPr>
          <w:rFonts w:hint="eastAsia" w:ascii="宋体" w:hAnsi="宋体" w:eastAsia="宋体" w:cs="宋体"/>
          <w:color w:val="auto"/>
          <w:spacing w:val="1"/>
          <w:kern w:val="0"/>
          <w:sz w:val="24"/>
          <w:szCs w:val="24"/>
          <w:highlight w:val="none"/>
        </w:rPr>
        <w:t>称</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p>
    <w:p w14:paraId="24EA6C69">
      <w:pPr>
        <w:spacing w:line="700" w:lineRule="exact"/>
        <w:ind w:left="0" w:leftChars="0" w:firstLine="0" w:firstLineChars="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投标总价（小写）：</w:t>
      </w:r>
      <w:r>
        <w:rPr>
          <w:rFonts w:hint="eastAsia" w:ascii="宋体" w:hAnsi="宋体" w:eastAsia="宋体" w:cs="宋体"/>
          <w:color w:val="auto"/>
          <w:sz w:val="24"/>
          <w:szCs w:val="24"/>
          <w:highlight w:val="none"/>
          <w:u w:val="single"/>
        </w:rPr>
        <w:t xml:space="preserve">                                                 </w:t>
      </w:r>
    </w:p>
    <w:p w14:paraId="13029A40">
      <w:pPr>
        <w:spacing w:line="700" w:lineRule="exact"/>
        <w:ind w:left="0" w:leftChars="0" w:firstLine="960" w:firstLineChars="4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（大写）：</w:t>
      </w:r>
      <w:r>
        <w:rPr>
          <w:rFonts w:hint="eastAsia" w:ascii="宋体" w:hAnsi="宋体" w:eastAsia="宋体" w:cs="宋体"/>
          <w:color w:val="auto"/>
          <w:sz w:val="24"/>
          <w:szCs w:val="24"/>
          <w:highlight w:val="none"/>
          <w:u w:val="single"/>
        </w:rPr>
        <w:t xml:space="preserve">                                                 </w:t>
      </w:r>
    </w:p>
    <w:p w14:paraId="5762A2C1">
      <w:pPr>
        <w:ind w:firstLine="1200" w:firstLineChars="500"/>
        <w:rPr>
          <w:rFonts w:hint="eastAsia" w:ascii="宋体" w:hAnsi="宋体" w:eastAsia="宋体" w:cs="宋体"/>
          <w:color w:val="auto"/>
          <w:sz w:val="24"/>
          <w:szCs w:val="24"/>
          <w:highlight w:val="none"/>
          <w:u w:val="single"/>
        </w:rPr>
      </w:pPr>
    </w:p>
    <w:tbl>
      <w:tblPr>
        <w:tblStyle w:val="24"/>
        <w:tblW w:w="8928" w:type="dxa"/>
        <w:jc w:val="center"/>
        <w:tblLayout w:type="fixed"/>
        <w:tblCellMar>
          <w:top w:w="0" w:type="dxa"/>
          <w:left w:w="108" w:type="dxa"/>
          <w:bottom w:w="0" w:type="dxa"/>
          <w:right w:w="108" w:type="dxa"/>
        </w:tblCellMar>
      </w:tblPr>
      <w:tblGrid>
        <w:gridCol w:w="8928"/>
      </w:tblGrid>
      <w:tr w14:paraId="714FE47A">
        <w:tblPrEx>
          <w:tblCellMar>
            <w:top w:w="0" w:type="dxa"/>
            <w:left w:w="108" w:type="dxa"/>
            <w:bottom w:w="0" w:type="dxa"/>
            <w:right w:w="108" w:type="dxa"/>
          </w:tblCellMar>
        </w:tblPrEx>
        <w:trPr>
          <w:trHeight w:val="1890" w:hRule="atLeast"/>
          <w:jc w:val="center"/>
        </w:trPr>
        <w:tc>
          <w:tcPr>
            <w:tcW w:w="8928" w:type="dxa"/>
            <w:noWrap w:val="0"/>
            <w:vAlign w:val="top"/>
          </w:tcPr>
          <w:p w14:paraId="1FFFF7C2">
            <w:pPr>
              <w:tabs>
                <w:tab w:val="left" w:pos="3780"/>
              </w:tabs>
              <w:ind w:left="1800"/>
              <w:rPr>
                <w:rFonts w:hint="eastAsia" w:ascii="宋体" w:hAnsi="宋体" w:eastAsia="宋体" w:cs="宋体"/>
                <w:color w:val="auto"/>
                <w:sz w:val="24"/>
                <w:szCs w:val="24"/>
                <w:highlight w:val="none"/>
              </w:rPr>
            </w:pPr>
          </w:p>
          <w:p w14:paraId="5199AAF2">
            <w:pPr>
              <w:tabs>
                <w:tab w:val="left" w:pos="3780"/>
              </w:tabs>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  标  人：</w:t>
            </w:r>
            <w:r>
              <w:rPr>
                <w:rFonts w:hint="eastAsia" w:ascii="宋体" w:hAnsi="宋体" w:eastAsia="宋体" w:cs="宋体"/>
                <w:color w:val="auto"/>
                <w:sz w:val="24"/>
                <w:szCs w:val="24"/>
                <w:highlight w:val="none"/>
                <w:u w:val="single"/>
              </w:rPr>
              <w:t xml:space="preserve">                                      </w:t>
            </w:r>
          </w:p>
          <w:p w14:paraId="30C7A73E">
            <w:pPr>
              <w:tabs>
                <w:tab w:val="left" w:pos="3780"/>
              </w:tabs>
              <w:ind w:left="18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（单位盖章）</w:t>
            </w:r>
          </w:p>
        </w:tc>
      </w:tr>
      <w:tr w14:paraId="4450A560">
        <w:tblPrEx>
          <w:tblCellMar>
            <w:top w:w="0" w:type="dxa"/>
            <w:left w:w="108" w:type="dxa"/>
            <w:bottom w:w="0" w:type="dxa"/>
            <w:right w:w="108" w:type="dxa"/>
          </w:tblCellMar>
        </w:tblPrEx>
        <w:trPr>
          <w:trHeight w:val="1890" w:hRule="atLeast"/>
          <w:jc w:val="center"/>
        </w:trPr>
        <w:tc>
          <w:tcPr>
            <w:tcW w:w="8928" w:type="dxa"/>
            <w:noWrap w:val="0"/>
            <w:vAlign w:val="center"/>
          </w:tcPr>
          <w:p w14:paraId="0069A53F">
            <w:pPr>
              <w:tabs>
                <w:tab w:val="left" w:pos="3780"/>
              </w:tabs>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法定代表人</w:t>
            </w:r>
          </w:p>
          <w:p w14:paraId="3288D497">
            <w:pPr>
              <w:tabs>
                <w:tab w:val="left" w:pos="3780"/>
              </w:tabs>
              <w:spacing w:line="440" w:lineRule="exact"/>
              <w:rPr>
                <w:rFonts w:hint="eastAsia" w:ascii="宋体" w:hAnsi="宋体" w:eastAsia="宋体" w:cs="宋体"/>
                <w:color w:val="auto"/>
                <w:sz w:val="24"/>
                <w:szCs w:val="24"/>
                <w:highlight w:val="none"/>
                <w:u w:val="single"/>
              </w:rPr>
            </w:pPr>
            <w:r>
              <w:rPr>
                <w:rFonts w:hint="eastAsia" w:ascii="宋体" w:hAnsi="宋体" w:eastAsia="宋体" w:cs="宋体"/>
                <w:color w:val="auto"/>
                <w:kern w:val="0"/>
                <w:sz w:val="24"/>
                <w:szCs w:val="24"/>
                <w:highlight w:val="none"/>
              </w:rPr>
              <w:t>或其授权人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p>
          <w:p w14:paraId="0DD9B893">
            <w:pPr>
              <w:tabs>
                <w:tab w:val="left" w:pos="3780"/>
              </w:tabs>
              <w:ind w:left="18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（签字或盖章）</w:t>
            </w:r>
          </w:p>
        </w:tc>
      </w:tr>
      <w:tr w14:paraId="0A741A98">
        <w:tblPrEx>
          <w:tblCellMar>
            <w:top w:w="0" w:type="dxa"/>
            <w:left w:w="108" w:type="dxa"/>
            <w:bottom w:w="0" w:type="dxa"/>
            <w:right w:w="108" w:type="dxa"/>
          </w:tblCellMar>
        </w:tblPrEx>
        <w:trPr>
          <w:trHeight w:val="1890" w:hRule="atLeast"/>
          <w:jc w:val="center"/>
        </w:trPr>
        <w:tc>
          <w:tcPr>
            <w:tcW w:w="8928" w:type="dxa"/>
            <w:noWrap w:val="0"/>
            <w:vAlign w:val="center"/>
          </w:tcPr>
          <w:p w14:paraId="69DDC53E">
            <w:pPr>
              <w:tabs>
                <w:tab w:val="left" w:pos="3780"/>
              </w:tabs>
              <w:ind w:left="1800"/>
              <w:rPr>
                <w:rFonts w:hint="eastAsia" w:ascii="宋体" w:hAnsi="宋体" w:eastAsia="宋体" w:cs="宋体"/>
                <w:color w:val="auto"/>
                <w:sz w:val="24"/>
                <w:szCs w:val="24"/>
                <w:highlight w:val="none"/>
              </w:rPr>
            </w:pPr>
          </w:p>
          <w:p w14:paraId="3CCB1ED3">
            <w:pPr>
              <w:tabs>
                <w:tab w:val="left" w:pos="3780"/>
              </w:tabs>
              <w:rPr>
                <w:rFonts w:hint="eastAsia" w:ascii="宋体" w:hAnsi="宋体" w:eastAsia="宋体" w:cs="宋体"/>
                <w:color w:val="auto"/>
                <w:sz w:val="24"/>
                <w:szCs w:val="24"/>
                <w:highlight w:val="none"/>
                <w:u w:val="single"/>
              </w:rPr>
            </w:pPr>
            <w:r>
              <w:rPr>
                <w:rFonts w:hint="eastAsia" w:ascii="宋体" w:hAnsi="宋体" w:eastAsia="宋体" w:cs="宋体"/>
                <w:color w:val="auto"/>
                <w:spacing w:val="90"/>
                <w:kern w:val="0"/>
                <w:sz w:val="24"/>
                <w:szCs w:val="24"/>
                <w:highlight w:val="none"/>
              </w:rPr>
              <w:t>编制</w:t>
            </w:r>
            <w:r>
              <w:rPr>
                <w:rFonts w:hint="eastAsia" w:ascii="宋体" w:hAnsi="宋体" w:eastAsia="宋体" w:cs="宋体"/>
                <w:color w:val="auto"/>
                <w:kern w:val="0"/>
                <w:sz w:val="24"/>
                <w:szCs w:val="24"/>
                <w:highlight w:val="none"/>
              </w:rPr>
              <w:t>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p>
          <w:p w14:paraId="2FD6B03D">
            <w:pPr>
              <w:tabs>
                <w:tab w:val="left" w:pos="3780"/>
              </w:tabs>
              <w:ind w:left="18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（造价</w:t>
            </w:r>
            <w:r>
              <w:rPr>
                <w:rFonts w:hint="eastAsia" w:ascii="宋体" w:hAnsi="宋体" w:eastAsia="宋体" w:cs="宋体"/>
                <w:color w:val="auto"/>
                <w:sz w:val="24"/>
                <w:szCs w:val="24"/>
                <w:highlight w:val="none"/>
                <w:lang w:val="en-US" w:eastAsia="zh-CN"/>
              </w:rPr>
              <w:t>工程师</w:t>
            </w:r>
            <w:r>
              <w:rPr>
                <w:rFonts w:hint="eastAsia" w:ascii="宋体" w:hAnsi="宋体" w:eastAsia="宋体" w:cs="宋体"/>
                <w:color w:val="auto"/>
                <w:sz w:val="24"/>
                <w:szCs w:val="24"/>
                <w:highlight w:val="none"/>
              </w:rPr>
              <w:t>签字盖专用章）</w:t>
            </w:r>
          </w:p>
        </w:tc>
      </w:tr>
      <w:tr w14:paraId="1FF95E4B">
        <w:tblPrEx>
          <w:tblCellMar>
            <w:top w:w="0" w:type="dxa"/>
            <w:left w:w="108" w:type="dxa"/>
            <w:bottom w:w="0" w:type="dxa"/>
            <w:right w:w="108" w:type="dxa"/>
          </w:tblCellMar>
        </w:tblPrEx>
        <w:trPr>
          <w:trHeight w:val="1890" w:hRule="atLeast"/>
          <w:jc w:val="center"/>
        </w:trPr>
        <w:tc>
          <w:tcPr>
            <w:tcW w:w="8928" w:type="dxa"/>
            <w:noWrap w:val="0"/>
            <w:vAlign w:val="center"/>
          </w:tcPr>
          <w:p w14:paraId="3140A9C0">
            <w:pPr>
              <w:tabs>
                <w:tab w:val="left" w:pos="3780"/>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编制时间：       年     月     日</w:t>
            </w:r>
          </w:p>
        </w:tc>
      </w:tr>
    </w:tbl>
    <w:p w14:paraId="2A7B001D">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79B9002D">
      <w:pPr>
        <w:spacing w:line="30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编制说明</w:t>
      </w:r>
    </w:p>
    <w:p w14:paraId="095A58A4">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b/>
          <w:color w:val="auto"/>
          <w:spacing w:val="-6"/>
          <w:sz w:val="36"/>
          <w:szCs w:val="36"/>
          <w:highlight w:val="none"/>
        </w:rPr>
      </w:pPr>
    </w:p>
    <w:p w14:paraId="46CB815E">
      <w:pPr>
        <w:spacing w:line="300" w:lineRule="auto"/>
        <w:rPr>
          <w:rFonts w:hint="eastAsia" w:ascii="宋体" w:hAnsi="宋体" w:eastAsia="宋体" w:cs="宋体"/>
          <w:color w:val="auto"/>
          <w:spacing w:val="-8"/>
          <w:sz w:val="18"/>
          <w:szCs w:val="18"/>
          <w:highlight w:val="none"/>
        </w:rPr>
      </w:pPr>
      <w:r>
        <w:rPr>
          <w:rFonts w:hint="eastAsia" w:ascii="宋体" w:hAnsi="宋体" w:eastAsia="宋体" w:cs="宋体"/>
          <w:color w:val="auto"/>
          <w:spacing w:val="-6"/>
          <w:sz w:val="18"/>
          <w:szCs w:val="18"/>
          <w:highlight w:val="none"/>
        </w:rPr>
        <w:t>工程名称：</w:t>
      </w:r>
      <w:r>
        <w:rPr>
          <w:rFonts w:hint="eastAsia" w:ascii="宋体" w:hAnsi="宋体" w:eastAsia="宋体" w:cs="宋体"/>
          <w:color w:val="auto"/>
          <w:spacing w:val="0"/>
          <w:sz w:val="18"/>
          <w:szCs w:val="18"/>
          <w:highlight w:val="none"/>
          <w:lang w:val="en-US" w:eastAsia="zh-CN"/>
        </w:rPr>
        <w:t xml:space="preserve">                           </w:t>
      </w:r>
      <w:r>
        <w:rPr>
          <w:rFonts w:hint="eastAsia" w:ascii="宋体" w:hAnsi="宋体" w:eastAsia="宋体" w:cs="宋体"/>
          <w:color w:val="auto"/>
          <w:spacing w:val="-6"/>
          <w:sz w:val="18"/>
          <w:szCs w:val="18"/>
          <w:highlight w:val="none"/>
        </w:rPr>
        <w:t xml:space="preserve"> </w:t>
      </w:r>
      <w:r>
        <w:rPr>
          <w:rFonts w:hint="eastAsia" w:ascii="宋体" w:hAnsi="宋体" w:eastAsia="宋体" w:cs="宋体"/>
          <w:color w:val="auto"/>
          <w:spacing w:val="0"/>
          <w:sz w:val="18"/>
          <w:szCs w:val="18"/>
          <w:highlight w:val="none"/>
        </w:rPr>
        <w:t xml:space="preserve"> </w:t>
      </w:r>
      <w:r>
        <w:rPr>
          <w:rFonts w:hint="eastAsia" w:ascii="宋体" w:hAnsi="宋体" w:eastAsia="宋体" w:cs="宋体"/>
          <w:color w:val="auto"/>
          <w:spacing w:val="-8"/>
          <w:sz w:val="18"/>
          <w:szCs w:val="18"/>
          <w:highlight w:val="none"/>
          <w:lang w:val="en-US" w:eastAsia="zh-CN"/>
        </w:rPr>
        <w:t xml:space="preserve">                                        </w:t>
      </w:r>
      <w:r>
        <w:rPr>
          <w:rFonts w:hint="eastAsia" w:ascii="宋体" w:hAnsi="宋体" w:eastAsia="宋体" w:cs="宋体"/>
          <w:color w:val="auto"/>
          <w:spacing w:val="-8"/>
          <w:sz w:val="18"/>
          <w:szCs w:val="18"/>
          <w:highlight w:val="none"/>
        </w:rPr>
        <w:t xml:space="preserve">第 </w:t>
      </w:r>
      <w:r>
        <w:rPr>
          <w:rFonts w:hint="eastAsia" w:ascii="宋体" w:hAnsi="宋体" w:eastAsia="宋体" w:cs="宋体"/>
          <w:color w:val="auto"/>
          <w:spacing w:val="-8"/>
          <w:sz w:val="18"/>
          <w:szCs w:val="18"/>
          <w:highlight w:val="none"/>
          <w:lang w:val="en-US" w:eastAsia="zh-CN"/>
        </w:rPr>
        <w:t xml:space="preserve">  </w:t>
      </w:r>
      <w:r>
        <w:rPr>
          <w:rFonts w:hint="eastAsia" w:ascii="宋体" w:hAnsi="宋体" w:eastAsia="宋体" w:cs="宋体"/>
          <w:color w:val="auto"/>
          <w:spacing w:val="-8"/>
          <w:sz w:val="18"/>
          <w:szCs w:val="18"/>
          <w:highlight w:val="none"/>
        </w:rPr>
        <w:t xml:space="preserve"> 页 共 </w:t>
      </w:r>
      <w:r>
        <w:rPr>
          <w:rFonts w:hint="eastAsia" w:ascii="宋体" w:hAnsi="宋体" w:eastAsia="宋体" w:cs="宋体"/>
          <w:color w:val="auto"/>
          <w:spacing w:val="-8"/>
          <w:sz w:val="18"/>
          <w:szCs w:val="18"/>
          <w:highlight w:val="none"/>
          <w:lang w:val="en-US" w:eastAsia="zh-CN"/>
        </w:rPr>
        <w:t xml:space="preserve">  </w:t>
      </w:r>
      <w:r>
        <w:rPr>
          <w:rFonts w:hint="eastAsia" w:ascii="宋体" w:hAnsi="宋体" w:eastAsia="宋体" w:cs="宋体"/>
          <w:color w:val="auto"/>
          <w:spacing w:val="-8"/>
          <w:sz w:val="18"/>
          <w:szCs w:val="18"/>
          <w:highlight w:val="none"/>
        </w:rPr>
        <w:t xml:space="preserve"> 页 </w:t>
      </w:r>
    </w:p>
    <w:tbl>
      <w:tblPr>
        <w:tblStyle w:val="24"/>
        <w:tblW w:w="945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459"/>
      </w:tblGrid>
      <w:tr w14:paraId="0014662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20" w:hRule="atLeast"/>
          <w:jc w:val="center"/>
        </w:trPr>
        <w:tc>
          <w:tcPr>
            <w:tcW w:w="9459" w:type="dxa"/>
            <w:noWrap w:val="0"/>
            <w:vAlign w:val="top"/>
          </w:tcPr>
          <w:p w14:paraId="738F51BD">
            <w:pPr>
              <w:tabs>
                <w:tab w:val="left" w:pos="3780"/>
              </w:tabs>
              <w:spacing w:line="300" w:lineRule="auto"/>
              <w:rPr>
                <w:rFonts w:hint="eastAsia" w:ascii="宋体" w:hAnsi="宋体" w:eastAsia="宋体" w:cs="宋体"/>
                <w:color w:val="auto"/>
                <w:highlight w:val="none"/>
              </w:rPr>
            </w:pPr>
          </w:p>
        </w:tc>
      </w:tr>
    </w:tbl>
    <w:p w14:paraId="628D225E">
      <w:pPr>
        <w:spacing w:line="300" w:lineRule="auto"/>
        <w:rPr>
          <w:rFonts w:hint="eastAsia" w:ascii="宋体" w:hAnsi="宋体" w:eastAsia="宋体" w:cs="宋体"/>
          <w:b/>
          <w:color w:val="auto"/>
          <w:sz w:val="24"/>
          <w:highlight w:val="none"/>
        </w:rPr>
      </w:pPr>
    </w:p>
    <w:p w14:paraId="7602AE10">
      <w:pPr>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投标报价费用表</w:t>
      </w:r>
    </w:p>
    <w:p w14:paraId="0DD660A8">
      <w:pPr>
        <w:tabs>
          <w:tab w:val="left" w:pos="3780"/>
        </w:tabs>
        <w:rPr>
          <w:rFonts w:hint="eastAsia" w:ascii="宋体" w:hAnsi="宋体" w:eastAsia="宋体" w:cs="宋体"/>
          <w:color w:val="auto"/>
          <w:highlight w:val="none"/>
        </w:rPr>
      </w:pPr>
    </w:p>
    <w:p w14:paraId="1A98A81C">
      <w:pPr>
        <w:tabs>
          <w:tab w:val="left" w:pos="3780"/>
        </w:tabs>
        <w:spacing w:after="60" w:afterLines="25"/>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工程名称：                                          第   页 共   页</w:t>
      </w:r>
    </w:p>
    <w:tbl>
      <w:tblPr>
        <w:tblStyle w:val="24"/>
        <w:tblW w:w="9409" w:type="dxa"/>
        <w:tblInd w:w="93" w:type="dxa"/>
        <w:tblLayout w:type="fixed"/>
        <w:tblCellMar>
          <w:top w:w="0" w:type="dxa"/>
          <w:left w:w="108" w:type="dxa"/>
          <w:bottom w:w="0" w:type="dxa"/>
          <w:right w:w="108" w:type="dxa"/>
        </w:tblCellMar>
      </w:tblPr>
      <w:tblGrid>
        <w:gridCol w:w="1020"/>
        <w:gridCol w:w="1830"/>
        <w:gridCol w:w="1200"/>
        <w:gridCol w:w="980"/>
        <w:gridCol w:w="1480"/>
        <w:gridCol w:w="920"/>
        <w:gridCol w:w="980"/>
        <w:gridCol w:w="999"/>
      </w:tblGrid>
      <w:tr w14:paraId="2DC14D71">
        <w:tblPrEx>
          <w:tblCellMar>
            <w:top w:w="0" w:type="dxa"/>
            <w:left w:w="108" w:type="dxa"/>
            <w:bottom w:w="0" w:type="dxa"/>
            <w:right w:w="108" w:type="dxa"/>
          </w:tblCellMar>
        </w:tblPrEx>
        <w:trPr>
          <w:trHeight w:val="435" w:hRule="atLeast"/>
        </w:trPr>
        <w:tc>
          <w:tcPr>
            <w:tcW w:w="1020" w:type="dxa"/>
            <w:vMerge w:val="restart"/>
            <w:tcBorders>
              <w:top w:val="single" w:color="000000" w:sz="4" w:space="0"/>
              <w:left w:val="single" w:color="000000" w:sz="4" w:space="0"/>
              <w:bottom w:val="nil"/>
              <w:right w:val="nil"/>
            </w:tcBorders>
            <w:shd w:val="clear" w:color="000000" w:fill="FFFFFF"/>
            <w:noWrap w:val="0"/>
            <w:vAlign w:val="center"/>
          </w:tcPr>
          <w:p w14:paraId="06F75AD6">
            <w:pPr>
              <w:widowControl/>
              <w:ind w:left="0" w:leftChars="0" w:firstLine="0" w:firstLineChars="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序号</w:t>
            </w:r>
          </w:p>
        </w:tc>
        <w:tc>
          <w:tcPr>
            <w:tcW w:w="1830" w:type="dxa"/>
            <w:vMerge w:val="restart"/>
            <w:tcBorders>
              <w:top w:val="single" w:color="000000" w:sz="4" w:space="0"/>
              <w:left w:val="single" w:color="000000" w:sz="4" w:space="0"/>
              <w:bottom w:val="nil"/>
              <w:right w:val="nil"/>
            </w:tcBorders>
            <w:shd w:val="clear" w:color="000000" w:fill="FFFFFF"/>
            <w:noWrap w:val="0"/>
            <w:vAlign w:val="center"/>
          </w:tcPr>
          <w:p w14:paraId="11729E7A">
            <w:pPr>
              <w:widowControl/>
              <w:ind w:left="0" w:leftChars="0" w:firstLine="0" w:firstLineChars="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工程名称</w:t>
            </w:r>
          </w:p>
        </w:tc>
        <w:tc>
          <w:tcPr>
            <w:tcW w:w="1200" w:type="dxa"/>
            <w:vMerge w:val="restart"/>
            <w:tcBorders>
              <w:top w:val="single" w:color="000000" w:sz="4" w:space="0"/>
              <w:left w:val="single" w:color="000000" w:sz="4" w:space="0"/>
              <w:bottom w:val="nil"/>
              <w:right w:val="nil"/>
            </w:tcBorders>
            <w:shd w:val="clear" w:color="000000" w:fill="FFFFFF"/>
            <w:noWrap w:val="0"/>
            <w:vAlign w:val="center"/>
          </w:tcPr>
          <w:p w14:paraId="6FC6B4AA">
            <w:pPr>
              <w:widowControl/>
              <w:ind w:left="0" w:leftChars="0" w:firstLine="0" w:firstLineChars="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金额(元)</w:t>
            </w:r>
          </w:p>
        </w:tc>
        <w:tc>
          <w:tcPr>
            <w:tcW w:w="4360" w:type="dxa"/>
            <w:gridSpan w:val="4"/>
            <w:tcBorders>
              <w:top w:val="single" w:color="000000" w:sz="4" w:space="0"/>
              <w:left w:val="single" w:color="000000" w:sz="4" w:space="0"/>
              <w:bottom w:val="nil"/>
              <w:right w:val="nil"/>
            </w:tcBorders>
            <w:shd w:val="clear" w:color="000000" w:fill="FFFFFF"/>
            <w:noWrap w:val="0"/>
            <w:vAlign w:val="center"/>
          </w:tcPr>
          <w:p w14:paraId="0C75B2ED">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其中：（元）</w:t>
            </w:r>
          </w:p>
        </w:tc>
        <w:tc>
          <w:tcPr>
            <w:tcW w:w="999" w:type="dxa"/>
            <w:vMerge w:val="restart"/>
            <w:tcBorders>
              <w:top w:val="single" w:color="000000" w:sz="4" w:space="0"/>
              <w:left w:val="single" w:color="000000" w:sz="4" w:space="0"/>
              <w:bottom w:val="nil"/>
              <w:right w:val="single" w:color="000000" w:sz="4" w:space="0"/>
            </w:tcBorders>
            <w:shd w:val="clear" w:color="000000" w:fill="FFFFFF"/>
            <w:noWrap w:val="0"/>
            <w:vAlign w:val="center"/>
          </w:tcPr>
          <w:p w14:paraId="754A6D27">
            <w:pPr>
              <w:widowControl/>
              <w:ind w:left="0" w:leftChars="0" w:firstLine="0" w:firstLineChars="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备注</w:t>
            </w:r>
          </w:p>
        </w:tc>
      </w:tr>
      <w:tr w14:paraId="689677EE">
        <w:tblPrEx>
          <w:tblCellMar>
            <w:top w:w="0" w:type="dxa"/>
            <w:left w:w="108" w:type="dxa"/>
            <w:bottom w:w="0" w:type="dxa"/>
            <w:right w:w="108" w:type="dxa"/>
          </w:tblCellMar>
        </w:tblPrEx>
        <w:trPr>
          <w:trHeight w:val="480" w:hRule="atLeast"/>
        </w:trPr>
        <w:tc>
          <w:tcPr>
            <w:tcW w:w="1020" w:type="dxa"/>
            <w:vMerge w:val="continue"/>
            <w:tcBorders>
              <w:top w:val="single" w:color="000000" w:sz="4" w:space="0"/>
              <w:left w:val="single" w:color="000000" w:sz="4" w:space="0"/>
              <w:bottom w:val="nil"/>
              <w:right w:val="nil"/>
            </w:tcBorders>
            <w:shd w:val="clear" w:color="auto" w:fill="auto"/>
            <w:noWrap w:val="0"/>
            <w:vAlign w:val="center"/>
          </w:tcPr>
          <w:p w14:paraId="57785BAC">
            <w:pPr>
              <w:widowControl/>
              <w:jc w:val="left"/>
              <w:rPr>
                <w:rFonts w:hint="eastAsia" w:ascii="宋体" w:hAnsi="宋体" w:eastAsia="宋体" w:cs="宋体"/>
                <w:color w:val="auto"/>
                <w:kern w:val="0"/>
                <w:sz w:val="18"/>
                <w:szCs w:val="18"/>
                <w:highlight w:val="none"/>
              </w:rPr>
            </w:pPr>
          </w:p>
        </w:tc>
        <w:tc>
          <w:tcPr>
            <w:tcW w:w="1830" w:type="dxa"/>
            <w:vMerge w:val="continue"/>
            <w:tcBorders>
              <w:top w:val="single" w:color="000000" w:sz="4" w:space="0"/>
              <w:left w:val="single" w:color="000000" w:sz="4" w:space="0"/>
              <w:bottom w:val="nil"/>
              <w:right w:val="nil"/>
            </w:tcBorders>
            <w:shd w:val="clear" w:color="auto" w:fill="auto"/>
            <w:noWrap w:val="0"/>
            <w:vAlign w:val="center"/>
          </w:tcPr>
          <w:p w14:paraId="3A1A8EF0">
            <w:pPr>
              <w:widowControl/>
              <w:jc w:val="left"/>
              <w:rPr>
                <w:rFonts w:hint="eastAsia" w:ascii="宋体" w:hAnsi="宋体" w:eastAsia="宋体" w:cs="宋体"/>
                <w:color w:val="auto"/>
                <w:kern w:val="0"/>
                <w:sz w:val="18"/>
                <w:szCs w:val="18"/>
                <w:highlight w:val="none"/>
              </w:rPr>
            </w:pPr>
          </w:p>
        </w:tc>
        <w:tc>
          <w:tcPr>
            <w:tcW w:w="1200" w:type="dxa"/>
            <w:vMerge w:val="continue"/>
            <w:tcBorders>
              <w:top w:val="single" w:color="000000" w:sz="4" w:space="0"/>
              <w:left w:val="single" w:color="000000" w:sz="4" w:space="0"/>
              <w:bottom w:val="nil"/>
              <w:right w:val="nil"/>
            </w:tcBorders>
            <w:shd w:val="clear" w:color="auto" w:fill="auto"/>
            <w:noWrap w:val="0"/>
            <w:vAlign w:val="center"/>
          </w:tcPr>
          <w:p w14:paraId="604CE462">
            <w:pPr>
              <w:widowControl/>
              <w:jc w:val="left"/>
              <w:rPr>
                <w:rFonts w:hint="eastAsia" w:ascii="宋体" w:hAnsi="宋体" w:eastAsia="宋体" w:cs="宋体"/>
                <w:color w:val="auto"/>
                <w:kern w:val="0"/>
                <w:sz w:val="18"/>
                <w:szCs w:val="18"/>
                <w:highlight w:val="none"/>
              </w:rPr>
            </w:pPr>
          </w:p>
        </w:tc>
        <w:tc>
          <w:tcPr>
            <w:tcW w:w="980" w:type="dxa"/>
            <w:tcBorders>
              <w:top w:val="single" w:color="000000" w:sz="4" w:space="0"/>
              <w:left w:val="single" w:color="000000" w:sz="4" w:space="0"/>
              <w:bottom w:val="nil"/>
              <w:right w:val="nil"/>
            </w:tcBorders>
            <w:shd w:val="clear" w:color="000000" w:fill="FFFFFF"/>
            <w:noWrap w:val="0"/>
            <w:vAlign w:val="center"/>
          </w:tcPr>
          <w:p w14:paraId="488F0441">
            <w:pPr>
              <w:widowControl/>
              <w:ind w:left="0" w:leftChars="0" w:firstLine="0" w:firstLineChars="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暂估价</w:t>
            </w:r>
          </w:p>
        </w:tc>
        <w:tc>
          <w:tcPr>
            <w:tcW w:w="1480" w:type="dxa"/>
            <w:tcBorders>
              <w:top w:val="single" w:color="000000" w:sz="4" w:space="0"/>
              <w:left w:val="single" w:color="000000" w:sz="4" w:space="0"/>
              <w:bottom w:val="nil"/>
              <w:right w:val="nil"/>
            </w:tcBorders>
            <w:shd w:val="clear" w:color="000000" w:fill="FFFFFF"/>
            <w:noWrap w:val="0"/>
            <w:vAlign w:val="center"/>
          </w:tcPr>
          <w:p w14:paraId="248A44E2">
            <w:pPr>
              <w:widowControl/>
              <w:ind w:left="0" w:leftChars="0" w:firstLine="0" w:firstLineChars="0"/>
              <w:jc w:val="center"/>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rPr>
              <w:t>安全文明</w:t>
            </w:r>
          </w:p>
          <w:p w14:paraId="425F5844">
            <w:pPr>
              <w:widowControl/>
              <w:ind w:left="0" w:leftChars="0" w:firstLine="0" w:firstLineChars="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施工基本费</w:t>
            </w:r>
          </w:p>
        </w:tc>
        <w:tc>
          <w:tcPr>
            <w:tcW w:w="920" w:type="dxa"/>
            <w:tcBorders>
              <w:top w:val="single" w:color="000000" w:sz="4" w:space="0"/>
              <w:left w:val="single" w:color="000000" w:sz="4" w:space="0"/>
              <w:bottom w:val="nil"/>
              <w:right w:val="nil"/>
            </w:tcBorders>
            <w:shd w:val="clear" w:color="000000" w:fill="FFFFFF"/>
            <w:noWrap w:val="0"/>
            <w:vAlign w:val="center"/>
          </w:tcPr>
          <w:p w14:paraId="3C63DA06">
            <w:pPr>
              <w:widowControl/>
              <w:ind w:left="0" w:leftChars="0" w:firstLine="0" w:firstLineChars="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规费</w:t>
            </w:r>
          </w:p>
        </w:tc>
        <w:tc>
          <w:tcPr>
            <w:tcW w:w="980" w:type="dxa"/>
            <w:tcBorders>
              <w:top w:val="single" w:color="000000" w:sz="4" w:space="0"/>
              <w:left w:val="single" w:color="000000" w:sz="4" w:space="0"/>
              <w:bottom w:val="nil"/>
              <w:right w:val="single" w:color="000000" w:sz="4" w:space="0"/>
            </w:tcBorders>
            <w:shd w:val="clear" w:color="000000" w:fill="FFFFFF"/>
            <w:noWrap w:val="0"/>
            <w:vAlign w:val="center"/>
          </w:tcPr>
          <w:p w14:paraId="79088340">
            <w:pPr>
              <w:widowControl/>
              <w:ind w:left="0" w:leftChars="0" w:firstLine="0" w:firstLineChars="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税金</w:t>
            </w:r>
          </w:p>
        </w:tc>
        <w:tc>
          <w:tcPr>
            <w:tcW w:w="999" w:type="dxa"/>
            <w:vMerge w:val="continue"/>
            <w:tcBorders>
              <w:top w:val="single" w:color="000000" w:sz="4" w:space="0"/>
              <w:left w:val="single" w:color="000000" w:sz="4" w:space="0"/>
              <w:bottom w:val="nil"/>
              <w:right w:val="single" w:color="000000" w:sz="4" w:space="0"/>
            </w:tcBorders>
            <w:noWrap w:val="0"/>
            <w:vAlign w:val="center"/>
          </w:tcPr>
          <w:p w14:paraId="73690017">
            <w:pPr>
              <w:widowControl/>
              <w:jc w:val="left"/>
              <w:rPr>
                <w:rFonts w:hint="eastAsia" w:ascii="宋体" w:hAnsi="宋体" w:eastAsia="宋体" w:cs="宋体"/>
                <w:color w:val="auto"/>
                <w:kern w:val="0"/>
                <w:sz w:val="18"/>
                <w:szCs w:val="18"/>
                <w:highlight w:val="none"/>
              </w:rPr>
            </w:pPr>
          </w:p>
        </w:tc>
      </w:tr>
      <w:tr w14:paraId="6F744473">
        <w:tblPrEx>
          <w:tblCellMar>
            <w:top w:w="0" w:type="dxa"/>
            <w:left w:w="108" w:type="dxa"/>
            <w:bottom w:w="0" w:type="dxa"/>
            <w:right w:w="108" w:type="dxa"/>
          </w:tblCellMar>
        </w:tblPrEx>
        <w:trPr>
          <w:trHeight w:val="435" w:hRule="atLeast"/>
        </w:trPr>
        <w:tc>
          <w:tcPr>
            <w:tcW w:w="1020" w:type="dxa"/>
            <w:tcBorders>
              <w:top w:val="single" w:color="000000" w:sz="4" w:space="0"/>
              <w:left w:val="single" w:color="000000" w:sz="4" w:space="0"/>
              <w:bottom w:val="nil"/>
              <w:right w:val="nil"/>
            </w:tcBorders>
            <w:shd w:val="clear" w:color="000000" w:fill="FFFFFF"/>
            <w:noWrap w:val="0"/>
            <w:vAlign w:val="center"/>
          </w:tcPr>
          <w:p w14:paraId="0B5B1F7B">
            <w:pPr>
              <w:widowControl/>
              <w:ind w:left="0" w:leftChars="0" w:firstLine="0" w:firstLineChars="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1830" w:type="dxa"/>
            <w:tcBorders>
              <w:top w:val="single" w:color="000000" w:sz="4" w:space="0"/>
              <w:left w:val="single" w:color="000000" w:sz="4" w:space="0"/>
              <w:bottom w:val="nil"/>
              <w:right w:val="nil"/>
            </w:tcBorders>
            <w:shd w:val="clear" w:color="000000" w:fill="FFFFFF"/>
            <w:noWrap w:val="0"/>
            <w:vAlign w:val="center"/>
          </w:tcPr>
          <w:p w14:paraId="4D8150F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单位工程</w:t>
            </w:r>
          </w:p>
        </w:tc>
        <w:tc>
          <w:tcPr>
            <w:tcW w:w="1200" w:type="dxa"/>
            <w:tcBorders>
              <w:top w:val="single" w:color="000000" w:sz="4" w:space="0"/>
              <w:left w:val="single" w:color="000000" w:sz="4" w:space="0"/>
              <w:bottom w:val="nil"/>
              <w:right w:val="nil"/>
            </w:tcBorders>
            <w:shd w:val="clear" w:color="000000" w:fill="FFFFFF"/>
            <w:noWrap/>
            <w:vAlign w:val="center"/>
          </w:tcPr>
          <w:p w14:paraId="5DFBFEF0">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80" w:type="dxa"/>
            <w:tcBorders>
              <w:top w:val="single" w:color="000000" w:sz="4" w:space="0"/>
              <w:left w:val="single" w:color="000000" w:sz="4" w:space="0"/>
              <w:bottom w:val="nil"/>
              <w:right w:val="nil"/>
            </w:tcBorders>
            <w:shd w:val="clear" w:color="000000" w:fill="FFFFFF"/>
            <w:noWrap/>
            <w:vAlign w:val="bottom"/>
          </w:tcPr>
          <w:p w14:paraId="5AC6FDBA">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480" w:type="dxa"/>
            <w:tcBorders>
              <w:top w:val="single" w:color="000000" w:sz="4" w:space="0"/>
              <w:left w:val="single" w:color="000000" w:sz="4" w:space="0"/>
              <w:bottom w:val="nil"/>
              <w:right w:val="nil"/>
            </w:tcBorders>
            <w:shd w:val="clear" w:color="000000" w:fill="FFFFFF"/>
            <w:noWrap/>
            <w:vAlign w:val="bottom"/>
          </w:tcPr>
          <w:p w14:paraId="21832417">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20" w:type="dxa"/>
            <w:tcBorders>
              <w:top w:val="single" w:color="000000" w:sz="4" w:space="0"/>
              <w:left w:val="single" w:color="000000" w:sz="4" w:space="0"/>
              <w:bottom w:val="nil"/>
              <w:right w:val="nil"/>
            </w:tcBorders>
            <w:shd w:val="clear" w:color="000000" w:fill="FFFFFF"/>
            <w:noWrap/>
            <w:vAlign w:val="center"/>
          </w:tcPr>
          <w:p w14:paraId="4D6E7C21">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80" w:type="dxa"/>
            <w:tcBorders>
              <w:top w:val="single" w:color="000000" w:sz="4" w:space="0"/>
              <w:left w:val="single" w:color="000000" w:sz="4" w:space="0"/>
              <w:bottom w:val="nil"/>
              <w:right w:val="nil"/>
            </w:tcBorders>
            <w:shd w:val="clear" w:color="000000" w:fill="FFFFFF"/>
            <w:noWrap/>
            <w:vAlign w:val="center"/>
          </w:tcPr>
          <w:p w14:paraId="69631856">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99" w:type="dxa"/>
            <w:tcBorders>
              <w:top w:val="single" w:color="000000" w:sz="4" w:space="0"/>
              <w:left w:val="single" w:color="000000" w:sz="4" w:space="0"/>
              <w:bottom w:val="nil"/>
              <w:right w:val="single" w:color="000000" w:sz="4" w:space="0"/>
            </w:tcBorders>
            <w:shd w:val="clear" w:color="000000" w:fill="FFFFFF"/>
            <w:noWrap w:val="0"/>
            <w:vAlign w:val="center"/>
          </w:tcPr>
          <w:p w14:paraId="74DACE2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66DDD739">
        <w:tblPrEx>
          <w:tblCellMar>
            <w:top w:w="0" w:type="dxa"/>
            <w:left w:w="108" w:type="dxa"/>
            <w:bottom w:w="0" w:type="dxa"/>
            <w:right w:w="108" w:type="dxa"/>
          </w:tblCellMar>
        </w:tblPrEx>
        <w:trPr>
          <w:trHeight w:val="450" w:hRule="atLeast"/>
        </w:trPr>
        <w:tc>
          <w:tcPr>
            <w:tcW w:w="1020" w:type="dxa"/>
            <w:tcBorders>
              <w:top w:val="single" w:color="000000" w:sz="4" w:space="0"/>
              <w:left w:val="single" w:color="000000" w:sz="4" w:space="0"/>
              <w:bottom w:val="nil"/>
              <w:right w:val="nil"/>
            </w:tcBorders>
            <w:shd w:val="clear" w:color="000000" w:fill="FFFFFF"/>
            <w:noWrap w:val="0"/>
            <w:vAlign w:val="center"/>
          </w:tcPr>
          <w:p w14:paraId="094673B2">
            <w:pPr>
              <w:widowControl/>
              <w:ind w:left="0" w:leftChars="0" w:firstLine="0" w:firstLineChars="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1.1</w:t>
            </w:r>
          </w:p>
        </w:tc>
        <w:tc>
          <w:tcPr>
            <w:tcW w:w="1830" w:type="dxa"/>
            <w:tcBorders>
              <w:top w:val="single" w:color="000000" w:sz="4" w:space="0"/>
              <w:left w:val="single" w:color="000000" w:sz="4" w:space="0"/>
              <w:bottom w:val="nil"/>
              <w:right w:val="nil"/>
            </w:tcBorders>
            <w:shd w:val="clear" w:color="000000" w:fill="FFFFFF"/>
            <w:noWrap w:val="0"/>
            <w:vAlign w:val="center"/>
          </w:tcPr>
          <w:p w14:paraId="69FB6C1B">
            <w:pPr>
              <w:widowControl/>
              <w:jc w:val="left"/>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专业工程</w:t>
            </w:r>
          </w:p>
        </w:tc>
        <w:tc>
          <w:tcPr>
            <w:tcW w:w="1200" w:type="dxa"/>
            <w:tcBorders>
              <w:top w:val="single" w:color="000000" w:sz="4" w:space="0"/>
              <w:left w:val="single" w:color="000000" w:sz="4" w:space="0"/>
              <w:bottom w:val="nil"/>
              <w:right w:val="nil"/>
            </w:tcBorders>
            <w:shd w:val="clear" w:color="000000" w:fill="FFFFFF"/>
            <w:noWrap/>
            <w:vAlign w:val="center"/>
          </w:tcPr>
          <w:p w14:paraId="61E8DC8E">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80" w:type="dxa"/>
            <w:tcBorders>
              <w:top w:val="single" w:color="000000" w:sz="4" w:space="0"/>
              <w:left w:val="single" w:color="000000" w:sz="4" w:space="0"/>
              <w:bottom w:val="nil"/>
              <w:right w:val="nil"/>
            </w:tcBorders>
            <w:shd w:val="clear" w:color="000000" w:fill="FFFFFF"/>
            <w:noWrap/>
            <w:vAlign w:val="bottom"/>
          </w:tcPr>
          <w:p w14:paraId="72EDE11A">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480" w:type="dxa"/>
            <w:tcBorders>
              <w:top w:val="single" w:color="000000" w:sz="4" w:space="0"/>
              <w:left w:val="single" w:color="000000" w:sz="4" w:space="0"/>
              <w:bottom w:val="nil"/>
              <w:right w:val="nil"/>
            </w:tcBorders>
            <w:shd w:val="clear" w:color="000000" w:fill="FFFFFF"/>
            <w:noWrap/>
            <w:vAlign w:val="bottom"/>
          </w:tcPr>
          <w:p w14:paraId="54E88A94">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20" w:type="dxa"/>
            <w:tcBorders>
              <w:top w:val="single" w:color="000000" w:sz="4" w:space="0"/>
              <w:left w:val="single" w:color="000000" w:sz="4" w:space="0"/>
              <w:bottom w:val="nil"/>
              <w:right w:val="nil"/>
            </w:tcBorders>
            <w:shd w:val="clear" w:color="000000" w:fill="FFFFFF"/>
            <w:noWrap/>
            <w:vAlign w:val="center"/>
          </w:tcPr>
          <w:p w14:paraId="5BCADB30">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80" w:type="dxa"/>
            <w:tcBorders>
              <w:top w:val="single" w:color="000000" w:sz="4" w:space="0"/>
              <w:left w:val="single" w:color="000000" w:sz="4" w:space="0"/>
              <w:bottom w:val="nil"/>
              <w:right w:val="nil"/>
            </w:tcBorders>
            <w:shd w:val="clear" w:color="000000" w:fill="FFFFFF"/>
            <w:noWrap/>
            <w:vAlign w:val="center"/>
          </w:tcPr>
          <w:p w14:paraId="5A42F96F">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99" w:type="dxa"/>
            <w:tcBorders>
              <w:top w:val="single" w:color="000000" w:sz="4" w:space="0"/>
              <w:left w:val="single" w:color="000000" w:sz="4" w:space="0"/>
              <w:bottom w:val="nil"/>
              <w:right w:val="single" w:color="000000" w:sz="4" w:space="0"/>
            </w:tcBorders>
            <w:shd w:val="clear" w:color="000000" w:fill="FFFFFF"/>
            <w:noWrap w:val="0"/>
            <w:vAlign w:val="center"/>
          </w:tcPr>
          <w:p w14:paraId="7467BD7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36295E46">
        <w:tblPrEx>
          <w:tblCellMar>
            <w:top w:w="0" w:type="dxa"/>
            <w:left w:w="108" w:type="dxa"/>
            <w:bottom w:w="0" w:type="dxa"/>
            <w:right w:w="108" w:type="dxa"/>
          </w:tblCellMar>
        </w:tblPrEx>
        <w:trPr>
          <w:trHeight w:val="450" w:hRule="atLeast"/>
        </w:trPr>
        <w:tc>
          <w:tcPr>
            <w:tcW w:w="1020" w:type="dxa"/>
            <w:tcBorders>
              <w:top w:val="single" w:color="000000" w:sz="4" w:space="0"/>
              <w:left w:val="single" w:color="000000" w:sz="4" w:space="0"/>
              <w:bottom w:val="nil"/>
              <w:right w:val="nil"/>
            </w:tcBorders>
            <w:shd w:val="clear" w:color="000000" w:fill="FFFFFF"/>
            <w:noWrap w:val="0"/>
            <w:vAlign w:val="center"/>
          </w:tcPr>
          <w:p w14:paraId="520CDD02">
            <w:pPr>
              <w:widowControl/>
              <w:ind w:left="0" w:leftChars="0" w:firstLine="0" w:firstLineChars="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1.2</w:t>
            </w:r>
          </w:p>
        </w:tc>
        <w:tc>
          <w:tcPr>
            <w:tcW w:w="1830" w:type="dxa"/>
            <w:tcBorders>
              <w:top w:val="single" w:color="000000" w:sz="4" w:space="0"/>
              <w:left w:val="single" w:color="000000" w:sz="4" w:space="0"/>
              <w:bottom w:val="nil"/>
              <w:right w:val="nil"/>
            </w:tcBorders>
            <w:shd w:val="clear" w:color="000000" w:fill="FFFFFF"/>
            <w:noWrap w:val="0"/>
            <w:vAlign w:val="center"/>
          </w:tcPr>
          <w:p w14:paraId="695B411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专业工程</w:t>
            </w:r>
          </w:p>
        </w:tc>
        <w:tc>
          <w:tcPr>
            <w:tcW w:w="1200" w:type="dxa"/>
            <w:tcBorders>
              <w:top w:val="single" w:color="000000" w:sz="4" w:space="0"/>
              <w:left w:val="single" w:color="000000" w:sz="4" w:space="0"/>
              <w:bottom w:val="nil"/>
              <w:right w:val="nil"/>
            </w:tcBorders>
            <w:shd w:val="clear" w:color="000000" w:fill="FFFFFF"/>
            <w:noWrap/>
            <w:vAlign w:val="center"/>
          </w:tcPr>
          <w:p w14:paraId="66FB0F54">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80" w:type="dxa"/>
            <w:tcBorders>
              <w:top w:val="single" w:color="000000" w:sz="4" w:space="0"/>
              <w:left w:val="single" w:color="000000" w:sz="4" w:space="0"/>
              <w:bottom w:val="nil"/>
              <w:right w:val="nil"/>
            </w:tcBorders>
            <w:shd w:val="clear" w:color="000000" w:fill="FFFFFF"/>
            <w:noWrap/>
            <w:vAlign w:val="bottom"/>
          </w:tcPr>
          <w:p w14:paraId="252C1ED6">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480" w:type="dxa"/>
            <w:tcBorders>
              <w:top w:val="single" w:color="000000" w:sz="4" w:space="0"/>
              <w:left w:val="single" w:color="000000" w:sz="4" w:space="0"/>
              <w:bottom w:val="nil"/>
              <w:right w:val="nil"/>
            </w:tcBorders>
            <w:shd w:val="clear" w:color="000000" w:fill="FFFFFF"/>
            <w:noWrap/>
            <w:vAlign w:val="bottom"/>
          </w:tcPr>
          <w:p w14:paraId="72D32DBC">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20" w:type="dxa"/>
            <w:tcBorders>
              <w:top w:val="single" w:color="000000" w:sz="4" w:space="0"/>
              <w:left w:val="single" w:color="000000" w:sz="4" w:space="0"/>
              <w:bottom w:val="nil"/>
              <w:right w:val="nil"/>
            </w:tcBorders>
            <w:shd w:val="clear" w:color="000000" w:fill="FFFFFF"/>
            <w:noWrap/>
            <w:vAlign w:val="center"/>
          </w:tcPr>
          <w:p w14:paraId="720086D5">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80" w:type="dxa"/>
            <w:tcBorders>
              <w:top w:val="single" w:color="000000" w:sz="4" w:space="0"/>
              <w:left w:val="single" w:color="000000" w:sz="4" w:space="0"/>
              <w:bottom w:val="nil"/>
              <w:right w:val="nil"/>
            </w:tcBorders>
            <w:shd w:val="clear" w:color="000000" w:fill="FFFFFF"/>
            <w:noWrap/>
            <w:vAlign w:val="center"/>
          </w:tcPr>
          <w:p w14:paraId="4A006402">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99" w:type="dxa"/>
            <w:tcBorders>
              <w:top w:val="single" w:color="000000" w:sz="4" w:space="0"/>
              <w:left w:val="single" w:color="000000" w:sz="4" w:space="0"/>
              <w:bottom w:val="nil"/>
              <w:right w:val="single" w:color="000000" w:sz="4" w:space="0"/>
            </w:tcBorders>
            <w:shd w:val="clear" w:color="000000" w:fill="FFFFFF"/>
            <w:noWrap w:val="0"/>
            <w:vAlign w:val="center"/>
          </w:tcPr>
          <w:p w14:paraId="610D089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664C875C">
        <w:tblPrEx>
          <w:tblCellMar>
            <w:top w:w="0" w:type="dxa"/>
            <w:left w:w="108" w:type="dxa"/>
            <w:bottom w:w="0" w:type="dxa"/>
            <w:right w:w="108" w:type="dxa"/>
          </w:tblCellMar>
        </w:tblPrEx>
        <w:trPr>
          <w:trHeight w:val="435" w:hRule="atLeast"/>
        </w:trPr>
        <w:tc>
          <w:tcPr>
            <w:tcW w:w="1020" w:type="dxa"/>
            <w:tcBorders>
              <w:top w:val="single" w:color="000000" w:sz="4" w:space="0"/>
              <w:left w:val="single" w:color="000000" w:sz="4" w:space="0"/>
              <w:bottom w:val="nil"/>
              <w:right w:val="nil"/>
            </w:tcBorders>
            <w:shd w:val="clear" w:color="000000" w:fill="FFFFFF"/>
            <w:noWrap w:val="0"/>
            <w:vAlign w:val="center"/>
          </w:tcPr>
          <w:p w14:paraId="7F76047C">
            <w:pPr>
              <w:widowControl/>
              <w:jc w:val="center"/>
              <w:rPr>
                <w:rFonts w:hint="eastAsia" w:ascii="宋体" w:hAnsi="宋体" w:eastAsia="宋体" w:cs="宋体"/>
                <w:color w:val="auto"/>
                <w:kern w:val="0"/>
                <w:sz w:val="18"/>
                <w:szCs w:val="18"/>
                <w:highlight w:val="none"/>
              </w:rPr>
            </w:pPr>
          </w:p>
        </w:tc>
        <w:tc>
          <w:tcPr>
            <w:tcW w:w="1830" w:type="dxa"/>
            <w:tcBorders>
              <w:top w:val="single" w:color="000000" w:sz="4" w:space="0"/>
              <w:left w:val="single" w:color="000000" w:sz="4" w:space="0"/>
              <w:bottom w:val="nil"/>
              <w:right w:val="nil"/>
            </w:tcBorders>
            <w:shd w:val="clear" w:color="000000" w:fill="FFFFFF"/>
            <w:noWrap w:val="0"/>
            <w:vAlign w:val="center"/>
          </w:tcPr>
          <w:p w14:paraId="3E39DC3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1200" w:type="dxa"/>
            <w:tcBorders>
              <w:top w:val="single" w:color="000000" w:sz="4" w:space="0"/>
              <w:left w:val="single" w:color="000000" w:sz="4" w:space="0"/>
              <w:bottom w:val="nil"/>
              <w:right w:val="nil"/>
            </w:tcBorders>
            <w:shd w:val="clear" w:color="000000" w:fill="FFFFFF"/>
            <w:noWrap/>
            <w:vAlign w:val="center"/>
          </w:tcPr>
          <w:p w14:paraId="1FF227F9">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80" w:type="dxa"/>
            <w:tcBorders>
              <w:top w:val="single" w:color="000000" w:sz="4" w:space="0"/>
              <w:left w:val="single" w:color="000000" w:sz="4" w:space="0"/>
              <w:bottom w:val="nil"/>
              <w:right w:val="nil"/>
            </w:tcBorders>
            <w:shd w:val="clear" w:color="000000" w:fill="FFFFFF"/>
            <w:noWrap/>
            <w:vAlign w:val="bottom"/>
          </w:tcPr>
          <w:p w14:paraId="2D59F130">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480" w:type="dxa"/>
            <w:tcBorders>
              <w:top w:val="single" w:color="000000" w:sz="4" w:space="0"/>
              <w:left w:val="single" w:color="000000" w:sz="4" w:space="0"/>
              <w:bottom w:val="nil"/>
              <w:right w:val="nil"/>
            </w:tcBorders>
            <w:shd w:val="clear" w:color="000000" w:fill="FFFFFF"/>
            <w:noWrap/>
            <w:vAlign w:val="bottom"/>
          </w:tcPr>
          <w:p w14:paraId="0AEFDFC5">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20" w:type="dxa"/>
            <w:tcBorders>
              <w:top w:val="single" w:color="000000" w:sz="4" w:space="0"/>
              <w:left w:val="single" w:color="000000" w:sz="4" w:space="0"/>
              <w:bottom w:val="nil"/>
              <w:right w:val="nil"/>
            </w:tcBorders>
            <w:shd w:val="clear" w:color="000000" w:fill="FFFFFF"/>
            <w:noWrap/>
            <w:vAlign w:val="center"/>
          </w:tcPr>
          <w:p w14:paraId="630AEAB9">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80" w:type="dxa"/>
            <w:tcBorders>
              <w:top w:val="single" w:color="000000" w:sz="4" w:space="0"/>
              <w:left w:val="single" w:color="000000" w:sz="4" w:space="0"/>
              <w:bottom w:val="nil"/>
              <w:right w:val="nil"/>
            </w:tcBorders>
            <w:shd w:val="clear" w:color="000000" w:fill="FFFFFF"/>
            <w:noWrap/>
            <w:vAlign w:val="center"/>
          </w:tcPr>
          <w:p w14:paraId="4D12A367">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99" w:type="dxa"/>
            <w:tcBorders>
              <w:top w:val="single" w:color="000000" w:sz="4" w:space="0"/>
              <w:left w:val="single" w:color="000000" w:sz="4" w:space="0"/>
              <w:bottom w:val="nil"/>
              <w:right w:val="single" w:color="000000" w:sz="4" w:space="0"/>
            </w:tcBorders>
            <w:shd w:val="clear" w:color="000000" w:fill="FFFFFF"/>
            <w:noWrap w:val="0"/>
            <w:vAlign w:val="center"/>
          </w:tcPr>
          <w:p w14:paraId="55BC08D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6D0A93D2">
        <w:tblPrEx>
          <w:tblCellMar>
            <w:top w:w="0" w:type="dxa"/>
            <w:left w:w="108" w:type="dxa"/>
            <w:bottom w:w="0" w:type="dxa"/>
            <w:right w:w="108" w:type="dxa"/>
          </w:tblCellMar>
        </w:tblPrEx>
        <w:trPr>
          <w:trHeight w:val="450" w:hRule="atLeast"/>
        </w:trPr>
        <w:tc>
          <w:tcPr>
            <w:tcW w:w="1020" w:type="dxa"/>
            <w:tcBorders>
              <w:top w:val="single" w:color="000000" w:sz="4" w:space="0"/>
              <w:left w:val="single" w:color="000000" w:sz="4" w:space="0"/>
              <w:bottom w:val="nil"/>
              <w:right w:val="nil"/>
            </w:tcBorders>
            <w:shd w:val="clear" w:color="000000" w:fill="FFFFFF"/>
            <w:noWrap w:val="0"/>
            <w:vAlign w:val="center"/>
          </w:tcPr>
          <w:p w14:paraId="20760A2F">
            <w:pPr>
              <w:widowControl/>
              <w:jc w:val="center"/>
              <w:rPr>
                <w:rFonts w:hint="eastAsia" w:ascii="宋体" w:hAnsi="宋体" w:eastAsia="宋体" w:cs="宋体"/>
                <w:color w:val="auto"/>
                <w:kern w:val="0"/>
                <w:sz w:val="18"/>
                <w:szCs w:val="18"/>
                <w:highlight w:val="none"/>
              </w:rPr>
            </w:pPr>
          </w:p>
        </w:tc>
        <w:tc>
          <w:tcPr>
            <w:tcW w:w="1830" w:type="dxa"/>
            <w:tcBorders>
              <w:top w:val="single" w:color="000000" w:sz="4" w:space="0"/>
              <w:left w:val="single" w:color="000000" w:sz="4" w:space="0"/>
              <w:bottom w:val="nil"/>
              <w:right w:val="nil"/>
            </w:tcBorders>
            <w:shd w:val="clear" w:color="000000" w:fill="FFFFFF"/>
            <w:noWrap w:val="0"/>
            <w:vAlign w:val="center"/>
          </w:tcPr>
          <w:p w14:paraId="56BA66A7">
            <w:pPr>
              <w:widowControl/>
              <w:jc w:val="left"/>
              <w:rPr>
                <w:rFonts w:hint="eastAsia" w:ascii="宋体" w:hAnsi="宋体" w:eastAsia="宋体" w:cs="宋体"/>
                <w:color w:val="auto"/>
                <w:kern w:val="0"/>
                <w:sz w:val="18"/>
                <w:szCs w:val="18"/>
                <w:highlight w:val="none"/>
              </w:rPr>
            </w:pPr>
          </w:p>
        </w:tc>
        <w:tc>
          <w:tcPr>
            <w:tcW w:w="1200" w:type="dxa"/>
            <w:tcBorders>
              <w:top w:val="single" w:color="000000" w:sz="4" w:space="0"/>
              <w:left w:val="single" w:color="000000" w:sz="4" w:space="0"/>
              <w:bottom w:val="nil"/>
              <w:right w:val="nil"/>
            </w:tcBorders>
            <w:shd w:val="clear" w:color="000000" w:fill="FFFFFF"/>
            <w:noWrap/>
            <w:vAlign w:val="center"/>
          </w:tcPr>
          <w:p w14:paraId="3CED2091">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80" w:type="dxa"/>
            <w:tcBorders>
              <w:top w:val="single" w:color="000000" w:sz="4" w:space="0"/>
              <w:left w:val="single" w:color="000000" w:sz="4" w:space="0"/>
              <w:bottom w:val="nil"/>
              <w:right w:val="nil"/>
            </w:tcBorders>
            <w:shd w:val="clear" w:color="000000" w:fill="FFFFFF"/>
            <w:noWrap/>
            <w:vAlign w:val="bottom"/>
          </w:tcPr>
          <w:p w14:paraId="2D76A141">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480" w:type="dxa"/>
            <w:tcBorders>
              <w:top w:val="single" w:color="000000" w:sz="4" w:space="0"/>
              <w:left w:val="single" w:color="000000" w:sz="4" w:space="0"/>
              <w:bottom w:val="nil"/>
              <w:right w:val="nil"/>
            </w:tcBorders>
            <w:shd w:val="clear" w:color="000000" w:fill="FFFFFF"/>
            <w:noWrap/>
            <w:vAlign w:val="bottom"/>
          </w:tcPr>
          <w:p w14:paraId="5185DC80">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20" w:type="dxa"/>
            <w:tcBorders>
              <w:top w:val="single" w:color="000000" w:sz="4" w:space="0"/>
              <w:left w:val="single" w:color="000000" w:sz="4" w:space="0"/>
              <w:bottom w:val="nil"/>
              <w:right w:val="nil"/>
            </w:tcBorders>
            <w:shd w:val="clear" w:color="000000" w:fill="FFFFFF"/>
            <w:noWrap/>
            <w:vAlign w:val="center"/>
          </w:tcPr>
          <w:p w14:paraId="08C0CF82">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80" w:type="dxa"/>
            <w:tcBorders>
              <w:top w:val="single" w:color="000000" w:sz="4" w:space="0"/>
              <w:left w:val="single" w:color="000000" w:sz="4" w:space="0"/>
              <w:bottom w:val="nil"/>
              <w:right w:val="nil"/>
            </w:tcBorders>
            <w:shd w:val="clear" w:color="000000" w:fill="FFFFFF"/>
            <w:noWrap/>
            <w:vAlign w:val="center"/>
          </w:tcPr>
          <w:p w14:paraId="17DE16BB">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99" w:type="dxa"/>
            <w:tcBorders>
              <w:top w:val="single" w:color="000000" w:sz="4" w:space="0"/>
              <w:left w:val="single" w:color="000000" w:sz="4" w:space="0"/>
              <w:bottom w:val="nil"/>
              <w:right w:val="single" w:color="000000" w:sz="4" w:space="0"/>
            </w:tcBorders>
            <w:shd w:val="clear" w:color="000000" w:fill="FFFFFF"/>
            <w:noWrap w:val="0"/>
            <w:vAlign w:val="center"/>
          </w:tcPr>
          <w:p w14:paraId="0A12328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4469F5B8">
        <w:tblPrEx>
          <w:tblCellMar>
            <w:top w:w="0" w:type="dxa"/>
            <w:left w:w="108" w:type="dxa"/>
            <w:bottom w:w="0" w:type="dxa"/>
            <w:right w:w="108" w:type="dxa"/>
          </w:tblCellMar>
        </w:tblPrEx>
        <w:trPr>
          <w:trHeight w:val="450" w:hRule="atLeast"/>
        </w:trPr>
        <w:tc>
          <w:tcPr>
            <w:tcW w:w="1020" w:type="dxa"/>
            <w:tcBorders>
              <w:top w:val="single" w:color="000000" w:sz="4" w:space="0"/>
              <w:left w:val="single" w:color="000000" w:sz="4" w:space="0"/>
              <w:bottom w:val="nil"/>
              <w:right w:val="nil"/>
            </w:tcBorders>
            <w:shd w:val="clear" w:color="000000" w:fill="FFFFFF"/>
            <w:noWrap w:val="0"/>
            <w:vAlign w:val="center"/>
          </w:tcPr>
          <w:p w14:paraId="0E1F2F16">
            <w:pPr>
              <w:widowControl/>
              <w:jc w:val="center"/>
              <w:rPr>
                <w:rFonts w:hint="eastAsia" w:ascii="宋体" w:hAnsi="宋体" w:eastAsia="宋体" w:cs="宋体"/>
                <w:color w:val="auto"/>
                <w:kern w:val="0"/>
                <w:sz w:val="18"/>
                <w:szCs w:val="18"/>
                <w:highlight w:val="none"/>
              </w:rPr>
            </w:pPr>
          </w:p>
        </w:tc>
        <w:tc>
          <w:tcPr>
            <w:tcW w:w="1830" w:type="dxa"/>
            <w:tcBorders>
              <w:top w:val="single" w:color="000000" w:sz="4" w:space="0"/>
              <w:left w:val="single" w:color="000000" w:sz="4" w:space="0"/>
              <w:bottom w:val="nil"/>
              <w:right w:val="nil"/>
            </w:tcBorders>
            <w:shd w:val="clear" w:color="000000" w:fill="FFFFFF"/>
            <w:noWrap w:val="0"/>
            <w:vAlign w:val="center"/>
          </w:tcPr>
          <w:p w14:paraId="575EEDEC">
            <w:pPr>
              <w:widowControl/>
              <w:jc w:val="left"/>
              <w:rPr>
                <w:rFonts w:hint="eastAsia" w:ascii="宋体" w:hAnsi="宋体" w:eastAsia="宋体" w:cs="宋体"/>
                <w:color w:val="auto"/>
                <w:kern w:val="0"/>
                <w:sz w:val="18"/>
                <w:szCs w:val="18"/>
                <w:highlight w:val="none"/>
              </w:rPr>
            </w:pPr>
          </w:p>
        </w:tc>
        <w:tc>
          <w:tcPr>
            <w:tcW w:w="1200" w:type="dxa"/>
            <w:tcBorders>
              <w:top w:val="single" w:color="000000" w:sz="4" w:space="0"/>
              <w:left w:val="single" w:color="000000" w:sz="4" w:space="0"/>
              <w:bottom w:val="nil"/>
              <w:right w:val="nil"/>
            </w:tcBorders>
            <w:shd w:val="clear" w:color="000000" w:fill="FFFFFF"/>
            <w:noWrap/>
            <w:vAlign w:val="center"/>
          </w:tcPr>
          <w:p w14:paraId="02A02200">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80" w:type="dxa"/>
            <w:tcBorders>
              <w:top w:val="single" w:color="000000" w:sz="4" w:space="0"/>
              <w:left w:val="single" w:color="000000" w:sz="4" w:space="0"/>
              <w:bottom w:val="nil"/>
              <w:right w:val="nil"/>
            </w:tcBorders>
            <w:shd w:val="clear" w:color="000000" w:fill="FFFFFF"/>
            <w:noWrap/>
            <w:vAlign w:val="bottom"/>
          </w:tcPr>
          <w:p w14:paraId="40CE2983">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480" w:type="dxa"/>
            <w:tcBorders>
              <w:top w:val="single" w:color="000000" w:sz="4" w:space="0"/>
              <w:left w:val="single" w:color="000000" w:sz="4" w:space="0"/>
              <w:bottom w:val="nil"/>
              <w:right w:val="nil"/>
            </w:tcBorders>
            <w:shd w:val="clear" w:color="000000" w:fill="FFFFFF"/>
            <w:noWrap/>
            <w:vAlign w:val="bottom"/>
          </w:tcPr>
          <w:p w14:paraId="793C4C6F">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20" w:type="dxa"/>
            <w:tcBorders>
              <w:top w:val="single" w:color="000000" w:sz="4" w:space="0"/>
              <w:left w:val="single" w:color="000000" w:sz="4" w:space="0"/>
              <w:bottom w:val="nil"/>
              <w:right w:val="nil"/>
            </w:tcBorders>
            <w:shd w:val="clear" w:color="000000" w:fill="FFFFFF"/>
            <w:noWrap/>
            <w:vAlign w:val="center"/>
          </w:tcPr>
          <w:p w14:paraId="26E55F74">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80" w:type="dxa"/>
            <w:tcBorders>
              <w:top w:val="single" w:color="000000" w:sz="4" w:space="0"/>
              <w:left w:val="single" w:color="000000" w:sz="4" w:space="0"/>
              <w:bottom w:val="nil"/>
              <w:right w:val="nil"/>
            </w:tcBorders>
            <w:shd w:val="clear" w:color="000000" w:fill="FFFFFF"/>
            <w:noWrap/>
            <w:vAlign w:val="center"/>
          </w:tcPr>
          <w:p w14:paraId="46978F8A">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99" w:type="dxa"/>
            <w:tcBorders>
              <w:top w:val="single" w:color="000000" w:sz="4" w:space="0"/>
              <w:left w:val="single" w:color="000000" w:sz="4" w:space="0"/>
              <w:bottom w:val="nil"/>
              <w:right w:val="single" w:color="000000" w:sz="4" w:space="0"/>
            </w:tcBorders>
            <w:shd w:val="clear" w:color="000000" w:fill="FFFFFF"/>
            <w:noWrap w:val="0"/>
            <w:vAlign w:val="center"/>
          </w:tcPr>
          <w:p w14:paraId="1777FBF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5564F811">
        <w:tblPrEx>
          <w:tblCellMar>
            <w:top w:w="0" w:type="dxa"/>
            <w:left w:w="108" w:type="dxa"/>
            <w:bottom w:w="0" w:type="dxa"/>
            <w:right w:w="108" w:type="dxa"/>
          </w:tblCellMar>
        </w:tblPrEx>
        <w:trPr>
          <w:trHeight w:val="435" w:hRule="atLeast"/>
        </w:trPr>
        <w:tc>
          <w:tcPr>
            <w:tcW w:w="1020" w:type="dxa"/>
            <w:tcBorders>
              <w:top w:val="single" w:color="000000" w:sz="4" w:space="0"/>
              <w:left w:val="single" w:color="000000" w:sz="4" w:space="0"/>
              <w:bottom w:val="nil"/>
              <w:right w:val="nil"/>
            </w:tcBorders>
            <w:shd w:val="clear" w:color="000000" w:fill="FFFFFF"/>
            <w:noWrap w:val="0"/>
            <w:vAlign w:val="center"/>
          </w:tcPr>
          <w:p w14:paraId="411B0BB1">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830" w:type="dxa"/>
            <w:tcBorders>
              <w:top w:val="single" w:color="000000" w:sz="4" w:space="0"/>
              <w:left w:val="single" w:color="000000" w:sz="4" w:space="0"/>
              <w:bottom w:val="nil"/>
              <w:right w:val="nil"/>
            </w:tcBorders>
            <w:shd w:val="clear" w:color="000000" w:fill="FFFFFF"/>
            <w:noWrap w:val="0"/>
            <w:vAlign w:val="center"/>
          </w:tcPr>
          <w:p w14:paraId="06A41EF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00" w:type="dxa"/>
            <w:tcBorders>
              <w:top w:val="single" w:color="000000" w:sz="4" w:space="0"/>
              <w:left w:val="single" w:color="000000" w:sz="4" w:space="0"/>
              <w:bottom w:val="nil"/>
              <w:right w:val="nil"/>
            </w:tcBorders>
            <w:shd w:val="clear" w:color="000000" w:fill="FFFFFF"/>
            <w:noWrap/>
            <w:vAlign w:val="center"/>
          </w:tcPr>
          <w:p w14:paraId="4D823999">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80" w:type="dxa"/>
            <w:tcBorders>
              <w:top w:val="single" w:color="000000" w:sz="4" w:space="0"/>
              <w:left w:val="single" w:color="000000" w:sz="4" w:space="0"/>
              <w:bottom w:val="nil"/>
              <w:right w:val="nil"/>
            </w:tcBorders>
            <w:shd w:val="clear" w:color="000000" w:fill="FFFFFF"/>
            <w:noWrap/>
            <w:vAlign w:val="bottom"/>
          </w:tcPr>
          <w:p w14:paraId="27F19013">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480" w:type="dxa"/>
            <w:tcBorders>
              <w:top w:val="single" w:color="000000" w:sz="4" w:space="0"/>
              <w:left w:val="single" w:color="000000" w:sz="4" w:space="0"/>
              <w:bottom w:val="nil"/>
              <w:right w:val="nil"/>
            </w:tcBorders>
            <w:shd w:val="clear" w:color="000000" w:fill="FFFFFF"/>
            <w:noWrap/>
            <w:vAlign w:val="bottom"/>
          </w:tcPr>
          <w:p w14:paraId="4EE3D25C">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20" w:type="dxa"/>
            <w:tcBorders>
              <w:top w:val="single" w:color="000000" w:sz="4" w:space="0"/>
              <w:left w:val="single" w:color="000000" w:sz="4" w:space="0"/>
              <w:bottom w:val="nil"/>
              <w:right w:val="nil"/>
            </w:tcBorders>
            <w:shd w:val="clear" w:color="000000" w:fill="FFFFFF"/>
            <w:noWrap/>
            <w:vAlign w:val="center"/>
          </w:tcPr>
          <w:p w14:paraId="6CCC6DB8">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80" w:type="dxa"/>
            <w:tcBorders>
              <w:top w:val="single" w:color="000000" w:sz="4" w:space="0"/>
              <w:left w:val="single" w:color="000000" w:sz="4" w:space="0"/>
              <w:bottom w:val="nil"/>
              <w:right w:val="nil"/>
            </w:tcBorders>
            <w:shd w:val="clear" w:color="000000" w:fill="FFFFFF"/>
            <w:noWrap/>
            <w:vAlign w:val="center"/>
          </w:tcPr>
          <w:p w14:paraId="360F89A9">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99" w:type="dxa"/>
            <w:tcBorders>
              <w:top w:val="single" w:color="000000" w:sz="4" w:space="0"/>
              <w:left w:val="single" w:color="000000" w:sz="4" w:space="0"/>
              <w:bottom w:val="nil"/>
              <w:right w:val="single" w:color="000000" w:sz="4" w:space="0"/>
            </w:tcBorders>
            <w:shd w:val="clear" w:color="000000" w:fill="FFFFFF"/>
            <w:noWrap w:val="0"/>
            <w:vAlign w:val="center"/>
          </w:tcPr>
          <w:p w14:paraId="3E405F7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65CF29F7">
        <w:tblPrEx>
          <w:tblCellMar>
            <w:top w:w="0" w:type="dxa"/>
            <w:left w:w="108" w:type="dxa"/>
            <w:bottom w:w="0" w:type="dxa"/>
            <w:right w:w="108" w:type="dxa"/>
          </w:tblCellMar>
        </w:tblPrEx>
        <w:trPr>
          <w:trHeight w:val="435" w:hRule="atLeast"/>
        </w:trPr>
        <w:tc>
          <w:tcPr>
            <w:tcW w:w="1020" w:type="dxa"/>
            <w:tcBorders>
              <w:top w:val="single" w:color="000000" w:sz="4" w:space="0"/>
              <w:left w:val="single" w:color="000000" w:sz="4" w:space="0"/>
              <w:bottom w:val="nil"/>
              <w:right w:val="nil"/>
            </w:tcBorders>
            <w:shd w:val="clear" w:color="000000" w:fill="FFFFFF"/>
            <w:noWrap w:val="0"/>
            <w:vAlign w:val="center"/>
          </w:tcPr>
          <w:p w14:paraId="1F627DB0">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830" w:type="dxa"/>
            <w:tcBorders>
              <w:top w:val="single" w:color="000000" w:sz="4" w:space="0"/>
              <w:left w:val="single" w:color="000000" w:sz="4" w:space="0"/>
              <w:bottom w:val="nil"/>
              <w:right w:val="nil"/>
            </w:tcBorders>
            <w:shd w:val="clear" w:color="000000" w:fill="FFFFFF"/>
            <w:noWrap w:val="0"/>
            <w:vAlign w:val="center"/>
          </w:tcPr>
          <w:p w14:paraId="5330115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00" w:type="dxa"/>
            <w:tcBorders>
              <w:top w:val="single" w:color="000000" w:sz="4" w:space="0"/>
              <w:left w:val="single" w:color="000000" w:sz="4" w:space="0"/>
              <w:bottom w:val="nil"/>
              <w:right w:val="nil"/>
            </w:tcBorders>
            <w:shd w:val="clear" w:color="000000" w:fill="FFFFFF"/>
            <w:noWrap/>
            <w:vAlign w:val="center"/>
          </w:tcPr>
          <w:p w14:paraId="48C0E3A4">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80" w:type="dxa"/>
            <w:tcBorders>
              <w:top w:val="single" w:color="000000" w:sz="4" w:space="0"/>
              <w:left w:val="single" w:color="000000" w:sz="4" w:space="0"/>
              <w:bottom w:val="nil"/>
              <w:right w:val="nil"/>
            </w:tcBorders>
            <w:shd w:val="clear" w:color="000000" w:fill="FFFFFF"/>
            <w:noWrap/>
            <w:vAlign w:val="bottom"/>
          </w:tcPr>
          <w:p w14:paraId="1464494F">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480" w:type="dxa"/>
            <w:tcBorders>
              <w:top w:val="single" w:color="000000" w:sz="4" w:space="0"/>
              <w:left w:val="single" w:color="000000" w:sz="4" w:space="0"/>
              <w:bottom w:val="nil"/>
              <w:right w:val="nil"/>
            </w:tcBorders>
            <w:shd w:val="clear" w:color="000000" w:fill="FFFFFF"/>
            <w:noWrap/>
            <w:vAlign w:val="bottom"/>
          </w:tcPr>
          <w:p w14:paraId="25C1D0F2">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20" w:type="dxa"/>
            <w:tcBorders>
              <w:top w:val="single" w:color="000000" w:sz="4" w:space="0"/>
              <w:left w:val="single" w:color="000000" w:sz="4" w:space="0"/>
              <w:bottom w:val="nil"/>
              <w:right w:val="nil"/>
            </w:tcBorders>
            <w:shd w:val="clear" w:color="000000" w:fill="FFFFFF"/>
            <w:noWrap/>
            <w:vAlign w:val="center"/>
          </w:tcPr>
          <w:p w14:paraId="04DDDFA4">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80" w:type="dxa"/>
            <w:tcBorders>
              <w:top w:val="single" w:color="000000" w:sz="4" w:space="0"/>
              <w:left w:val="single" w:color="000000" w:sz="4" w:space="0"/>
              <w:bottom w:val="nil"/>
              <w:right w:val="nil"/>
            </w:tcBorders>
            <w:shd w:val="clear" w:color="000000" w:fill="FFFFFF"/>
            <w:noWrap/>
            <w:vAlign w:val="center"/>
          </w:tcPr>
          <w:p w14:paraId="3F10CAA1">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99" w:type="dxa"/>
            <w:tcBorders>
              <w:top w:val="single" w:color="000000" w:sz="4" w:space="0"/>
              <w:left w:val="single" w:color="000000" w:sz="4" w:space="0"/>
              <w:bottom w:val="nil"/>
              <w:right w:val="single" w:color="000000" w:sz="4" w:space="0"/>
            </w:tcBorders>
            <w:shd w:val="clear" w:color="000000" w:fill="FFFFFF"/>
            <w:noWrap w:val="0"/>
            <w:vAlign w:val="center"/>
          </w:tcPr>
          <w:p w14:paraId="742A0A5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3825838F">
        <w:tblPrEx>
          <w:tblCellMar>
            <w:top w:w="0" w:type="dxa"/>
            <w:left w:w="108" w:type="dxa"/>
            <w:bottom w:w="0" w:type="dxa"/>
            <w:right w:w="108" w:type="dxa"/>
          </w:tblCellMar>
        </w:tblPrEx>
        <w:trPr>
          <w:trHeight w:val="435" w:hRule="atLeast"/>
        </w:trPr>
        <w:tc>
          <w:tcPr>
            <w:tcW w:w="2850" w:type="dxa"/>
            <w:gridSpan w:val="2"/>
            <w:tcBorders>
              <w:top w:val="single" w:color="000000" w:sz="4" w:space="0"/>
              <w:left w:val="single" w:color="000000" w:sz="4" w:space="0"/>
              <w:bottom w:val="single" w:color="000000" w:sz="4" w:space="0"/>
              <w:right w:val="nil"/>
            </w:tcBorders>
            <w:shd w:val="clear" w:color="000000" w:fill="FFFFFF"/>
            <w:noWrap w:val="0"/>
            <w:vAlign w:val="center"/>
          </w:tcPr>
          <w:p w14:paraId="1B96C2A6">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合计</w:t>
            </w:r>
          </w:p>
        </w:tc>
        <w:tc>
          <w:tcPr>
            <w:tcW w:w="1200" w:type="dxa"/>
            <w:tcBorders>
              <w:top w:val="single" w:color="000000" w:sz="4" w:space="0"/>
              <w:left w:val="single" w:color="000000" w:sz="4" w:space="0"/>
              <w:bottom w:val="single" w:color="000000" w:sz="4" w:space="0"/>
              <w:right w:val="nil"/>
            </w:tcBorders>
            <w:shd w:val="clear" w:color="000000" w:fill="FFFFFF"/>
            <w:noWrap w:val="0"/>
            <w:vAlign w:val="center"/>
          </w:tcPr>
          <w:p w14:paraId="04CA85C0">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80" w:type="dxa"/>
            <w:tcBorders>
              <w:top w:val="single" w:color="000000" w:sz="4" w:space="0"/>
              <w:left w:val="single" w:color="000000" w:sz="4" w:space="0"/>
              <w:bottom w:val="single" w:color="000000" w:sz="4" w:space="0"/>
              <w:right w:val="nil"/>
            </w:tcBorders>
            <w:shd w:val="clear" w:color="000000" w:fill="FFFFFF"/>
            <w:noWrap/>
            <w:vAlign w:val="center"/>
          </w:tcPr>
          <w:p w14:paraId="2D3972E2">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480" w:type="dxa"/>
            <w:tcBorders>
              <w:top w:val="single" w:color="000000" w:sz="4" w:space="0"/>
              <w:left w:val="single" w:color="000000" w:sz="4" w:space="0"/>
              <w:bottom w:val="single" w:color="000000" w:sz="4" w:space="0"/>
              <w:right w:val="nil"/>
            </w:tcBorders>
            <w:shd w:val="clear" w:color="000000" w:fill="FFFFFF"/>
            <w:noWrap/>
            <w:vAlign w:val="center"/>
          </w:tcPr>
          <w:p w14:paraId="257C21D0">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20" w:type="dxa"/>
            <w:tcBorders>
              <w:top w:val="single" w:color="000000" w:sz="4" w:space="0"/>
              <w:left w:val="single" w:color="000000" w:sz="4" w:space="0"/>
              <w:bottom w:val="single" w:color="000000" w:sz="4" w:space="0"/>
              <w:right w:val="nil"/>
            </w:tcBorders>
            <w:shd w:val="clear" w:color="000000" w:fill="FFFFFF"/>
            <w:noWrap/>
            <w:vAlign w:val="center"/>
          </w:tcPr>
          <w:p w14:paraId="1D9B0616">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80" w:type="dxa"/>
            <w:tcBorders>
              <w:top w:val="single" w:color="000000" w:sz="4" w:space="0"/>
              <w:left w:val="single" w:color="000000" w:sz="4" w:space="0"/>
              <w:bottom w:val="single" w:color="000000" w:sz="4" w:space="0"/>
              <w:right w:val="nil"/>
            </w:tcBorders>
            <w:shd w:val="clear" w:color="000000" w:fill="FFFFFF"/>
            <w:noWrap/>
            <w:vAlign w:val="center"/>
          </w:tcPr>
          <w:p w14:paraId="71463A8A">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9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BD24B98">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bl>
    <w:p w14:paraId="4E58942B">
      <w:pPr>
        <w:jc w:val="center"/>
        <w:rPr>
          <w:rFonts w:hint="eastAsia" w:ascii="宋体" w:hAnsi="宋体" w:eastAsia="宋体" w:cs="宋体"/>
          <w:b/>
          <w:bCs/>
          <w:color w:val="auto"/>
          <w:sz w:val="36"/>
          <w:szCs w:val="36"/>
          <w:highlight w:val="none"/>
        </w:rPr>
      </w:pPr>
    </w:p>
    <w:p w14:paraId="4574AF58">
      <w:pPr>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单位（专业）工程投标报价计算表</w:t>
      </w:r>
    </w:p>
    <w:p w14:paraId="199640DE">
      <w:pPr>
        <w:tabs>
          <w:tab w:val="left" w:pos="3780"/>
        </w:tabs>
        <w:spacing w:after="60" w:afterLines="25"/>
        <w:ind w:left="0" w:leftChars="0" w:firstLine="0" w:firstLineChars="0"/>
        <w:rPr>
          <w:rFonts w:hint="eastAsia" w:ascii="宋体" w:hAnsi="宋体" w:eastAsia="宋体" w:cs="宋体"/>
          <w:color w:val="auto"/>
          <w:highlight w:val="none"/>
        </w:rPr>
      </w:pPr>
    </w:p>
    <w:p w14:paraId="4096FF5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单位工程名称：          </w:t>
      </w:r>
      <w:r>
        <w:rPr>
          <w:rFonts w:hint="eastAsia" w:ascii="宋体" w:hAnsi="宋体" w:eastAsia="宋体" w:cs="宋体"/>
          <w:color w:val="auto"/>
          <w:kern w:val="0"/>
          <w:sz w:val="18"/>
          <w:szCs w:val="18"/>
          <w:highlight w:val="none"/>
          <w:lang w:val="en-US" w:eastAsia="zh-CN"/>
        </w:rPr>
        <w:t xml:space="preserve">         </w:t>
      </w:r>
      <w:r>
        <w:rPr>
          <w:rFonts w:hint="eastAsia" w:ascii="宋体" w:hAnsi="宋体" w:eastAsia="宋体" w:cs="宋体"/>
          <w:color w:val="auto"/>
          <w:kern w:val="0"/>
          <w:sz w:val="18"/>
          <w:szCs w:val="18"/>
          <w:highlight w:val="none"/>
        </w:rPr>
        <w:t xml:space="preserve">标段:                </w:t>
      </w:r>
      <w:r>
        <w:rPr>
          <w:rFonts w:hint="eastAsia" w:ascii="宋体" w:hAnsi="宋体" w:eastAsia="宋体" w:cs="宋体"/>
          <w:color w:val="auto"/>
          <w:kern w:val="0"/>
          <w:sz w:val="18"/>
          <w:szCs w:val="18"/>
          <w:highlight w:val="none"/>
          <w:lang w:val="en-US" w:eastAsia="zh-CN"/>
        </w:rPr>
        <w:t xml:space="preserve">                             </w:t>
      </w:r>
      <w:r>
        <w:rPr>
          <w:rFonts w:hint="eastAsia" w:ascii="宋体" w:hAnsi="宋体" w:eastAsia="宋体" w:cs="宋体"/>
          <w:color w:val="auto"/>
          <w:kern w:val="0"/>
          <w:sz w:val="18"/>
          <w:szCs w:val="18"/>
          <w:highlight w:val="none"/>
        </w:rPr>
        <w:t xml:space="preserve">   </w:t>
      </w:r>
      <w:r>
        <w:rPr>
          <w:rFonts w:hint="eastAsia" w:ascii="宋体" w:hAnsi="宋体" w:eastAsia="宋体" w:cs="宋体"/>
          <w:color w:val="auto"/>
          <w:kern w:val="0"/>
          <w:sz w:val="18"/>
          <w:szCs w:val="18"/>
          <w:highlight w:val="none"/>
          <w:lang w:val="en-US" w:eastAsia="zh-CN"/>
        </w:rPr>
        <w:t xml:space="preserve"> </w:t>
      </w:r>
      <w:r>
        <w:rPr>
          <w:rFonts w:hint="eastAsia" w:ascii="宋体" w:hAnsi="宋体" w:eastAsia="宋体" w:cs="宋体"/>
          <w:color w:val="auto"/>
          <w:kern w:val="0"/>
          <w:sz w:val="18"/>
          <w:szCs w:val="18"/>
          <w:highlight w:val="none"/>
        </w:rPr>
        <w:t xml:space="preserve">  第 页 共 页</w:t>
      </w:r>
    </w:p>
    <w:tbl>
      <w:tblPr>
        <w:tblStyle w:val="24"/>
        <w:tblW w:w="9428" w:type="dxa"/>
        <w:tblInd w:w="93" w:type="dxa"/>
        <w:tblLayout w:type="fixed"/>
        <w:tblCellMar>
          <w:top w:w="0" w:type="dxa"/>
          <w:left w:w="108" w:type="dxa"/>
          <w:bottom w:w="0" w:type="dxa"/>
          <w:right w:w="108" w:type="dxa"/>
        </w:tblCellMar>
      </w:tblPr>
      <w:tblGrid>
        <w:gridCol w:w="666"/>
        <w:gridCol w:w="698"/>
        <w:gridCol w:w="2195"/>
        <w:gridCol w:w="3290"/>
        <w:gridCol w:w="1246"/>
        <w:gridCol w:w="1333"/>
      </w:tblGrid>
      <w:tr w14:paraId="677A7099">
        <w:tblPrEx>
          <w:tblCellMar>
            <w:top w:w="0" w:type="dxa"/>
            <w:left w:w="108" w:type="dxa"/>
            <w:bottom w:w="0" w:type="dxa"/>
            <w:right w:w="108" w:type="dxa"/>
          </w:tblCellMar>
        </w:tblPrEx>
        <w:trPr>
          <w:trHeight w:val="500" w:hRule="atLeast"/>
        </w:trPr>
        <w:tc>
          <w:tcPr>
            <w:tcW w:w="666" w:type="dxa"/>
            <w:tcBorders>
              <w:top w:val="single" w:color="000000" w:sz="4" w:space="0"/>
              <w:left w:val="single" w:color="000000" w:sz="4" w:space="0"/>
              <w:bottom w:val="nil"/>
              <w:right w:val="nil"/>
            </w:tcBorders>
            <w:shd w:val="clear" w:color="000000" w:fill="FFFFFF"/>
            <w:noWrap w:val="0"/>
            <w:vAlign w:val="center"/>
          </w:tcPr>
          <w:p w14:paraId="1835E6BA">
            <w:pPr>
              <w:widowControl/>
              <w:ind w:left="0" w:leftChars="0" w:firstLine="0" w:firstLineChars="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序号</w:t>
            </w:r>
          </w:p>
        </w:tc>
        <w:tc>
          <w:tcPr>
            <w:tcW w:w="2893" w:type="dxa"/>
            <w:gridSpan w:val="2"/>
            <w:tcBorders>
              <w:top w:val="single" w:color="000000" w:sz="4" w:space="0"/>
              <w:left w:val="single" w:color="000000" w:sz="4" w:space="0"/>
              <w:bottom w:val="nil"/>
              <w:right w:val="nil"/>
            </w:tcBorders>
            <w:shd w:val="clear" w:color="000000" w:fill="FFFFFF"/>
            <w:noWrap w:val="0"/>
            <w:vAlign w:val="center"/>
          </w:tcPr>
          <w:p w14:paraId="2F084FB5">
            <w:pPr>
              <w:widowControl/>
              <w:ind w:left="0" w:leftChars="0" w:firstLine="0" w:firstLineChars="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费用名称</w:t>
            </w:r>
          </w:p>
        </w:tc>
        <w:tc>
          <w:tcPr>
            <w:tcW w:w="3290" w:type="dxa"/>
            <w:tcBorders>
              <w:top w:val="single" w:color="000000" w:sz="4" w:space="0"/>
              <w:left w:val="single" w:color="000000" w:sz="4" w:space="0"/>
              <w:bottom w:val="nil"/>
              <w:right w:val="nil"/>
            </w:tcBorders>
            <w:shd w:val="clear" w:color="000000" w:fill="FFFFFF"/>
            <w:noWrap w:val="0"/>
            <w:vAlign w:val="center"/>
          </w:tcPr>
          <w:p w14:paraId="7887F7F6">
            <w:pPr>
              <w:widowControl/>
              <w:ind w:left="0" w:leftChars="0" w:firstLine="0" w:firstLineChars="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计算公式</w:t>
            </w:r>
          </w:p>
        </w:tc>
        <w:tc>
          <w:tcPr>
            <w:tcW w:w="1246" w:type="dxa"/>
            <w:tcBorders>
              <w:top w:val="single" w:color="000000" w:sz="4" w:space="0"/>
              <w:left w:val="single" w:color="000000" w:sz="4" w:space="0"/>
              <w:bottom w:val="nil"/>
              <w:right w:val="nil"/>
            </w:tcBorders>
            <w:shd w:val="clear" w:color="000000" w:fill="FFFFFF"/>
            <w:noWrap w:val="0"/>
            <w:vAlign w:val="center"/>
          </w:tcPr>
          <w:p w14:paraId="70D1CB8A">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金额(元)</w:t>
            </w:r>
          </w:p>
        </w:tc>
        <w:tc>
          <w:tcPr>
            <w:tcW w:w="1333" w:type="dxa"/>
            <w:tcBorders>
              <w:top w:val="single" w:color="000000" w:sz="4" w:space="0"/>
              <w:left w:val="single" w:color="000000" w:sz="4" w:space="0"/>
              <w:bottom w:val="nil"/>
              <w:right w:val="single" w:color="000000" w:sz="4" w:space="0"/>
            </w:tcBorders>
            <w:shd w:val="clear" w:color="000000" w:fill="FFFFFF"/>
            <w:noWrap w:val="0"/>
            <w:vAlign w:val="center"/>
          </w:tcPr>
          <w:p w14:paraId="00EDF0B0">
            <w:pPr>
              <w:widowControl/>
              <w:ind w:left="0" w:leftChars="0" w:firstLine="0" w:firstLineChars="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备注</w:t>
            </w:r>
          </w:p>
        </w:tc>
      </w:tr>
      <w:tr w14:paraId="2F46CF95">
        <w:tblPrEx>
          <w:tblCellMar>
            <w:top w:w="0" w:type="dxa"/>
            <w:left w:w="108" w:type="dxa"/>
            <w:bottom w:w="0" w:type="dxa"/>
            <w:right w:w="108" w:type="dxa"/>
          </w:tblCellMar>
        </w:tblPrEx>
        <w:trPr>
          <w:trHeight w:val="480" w:hRule="atLeast"/>
        </w:trPr>
        <w:tc>
          <w:tcPr>
            <w:tcW w:w="666" w:type="dxa"/>
            <w:tcBorders>
              <w:top w:val="single" w:color="000000" w:sz="4" w:space="0"/>
              <w:left w:val="single" w:color="000000" w:sz="4" w:space="0"/>
              <w:bottom w:val="nil"/>
              <w:right w:val="nil"/>
            </w:tcBorders>
            <w:shd w:val="clear" w:color="000000" w:fill="FFFFFF"/>
            <w:noWrap w:val="0"/>
            <w:vAlign w:val="center"/>
          </w:tcPr>
          <w:p w14:paraId="36AA6C43">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2893" w:type="dxa"/>
            <w:gridSpan w:val="2"/>
            <w:tcBorders>
              <w:top w:val="single" w:color="000000" w:sz="4" w:space="0"/>
              <w:left w:val="single" w:color="000000" w:sz="4" w:space="0"/>
              <w:bottom w:val="nil"/>
              <w:right w:val="nil"/>
            </w:tcBorders>
            <w:shd w:val="clear" w:color="000000" w:fill="FFFFFF"/>
            <w:noWrap w:val="0"/>
            <w:vAlign w:val="center"/>
          </w:tcPr>
          <w:p w14:paraId="35972856">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分部分项工程费</w:t>
            </w:r>
          </w:p>
        </w:tc>
        <w:tc>
          <w:tcPr>
            <w:tcW w:w="3290" w:type="dxa"/>
            <w:tcBorders>
              <w:top w:val="single" w:color="000000" w:sz="4" w:space="0"/>
              <w:left w:val="single" w:color="000000" w:sz="4" w:space="0"/>
              <w:bottom w:val="nil"/>
              <w:right w:val="nil"/>
            </w:tcBorders>
            <w:shd w:val="clear" w:color="000000" w:fill="FFFFFF"/>
            <w:noWrap w:val="0"/>
            <w:vAlign w:val="center"/>
          </w:tcPr>
          <w:p w14:paraId="1857480A">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∑(分部分项工程量×综合单价）</w:t>
            </w:r>
          </w:p>
        </w:tc>
        <w:tc>
          <w:tcPr>
            <w:tcW w:w="1246" w:type="dxa"/>
            <w:tcBorders>
              <w:top w:val="single" w:color="000000" w:sz="4" w:space="0"/>
              <w:left w:val="single" w:color="000000" w:sz="4" w:space="0"/>
              <w:bottom w:val="nil"/>
              <w:right w:val="nil"/>
            </w:tcBorders>
            <w:shd w:val="clear" w:color="000000" w:fill="FFFFFF"/>
            <w:noWrap/>
            <w:vAlign w:val="center"/>
          </w:tcPr>
          <w:p w14:paraId="593CE6DF">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333" w:type="dxa"/>
            <w:tcBorders>
              <w:top w:val="single" w:color="000000" w:sz="4" w:space="0"/>
              <w:left w:val="single" w:color="000000" w:sz="4" w:space="0"/>
              <w:bottom w:val="nil"/>
              <w:right w:val="single" w:color="000000" w:sz="4" w:space="0"/>
            </w:tcBorders>
            <w:shd w:val="clear" w:color="000000" w:fill="FFFFFF"/>
            <w:noWrap w:val="0"/>
            <w:vAlign w:val="center"/>
          </w:tcPr>
          <w:p w14:paraId="1BA5E16B">
            <w:pPr>
              <w:widowControl/>
              <w:jc w:val="left"/>
              <w:rPr>
                <w:rFonts w:hint="eastAsia" w:ascii="宋体" w:hAnsi="宋体" w:eastAsia="宋体" w:cs="宋体"/>
                <w:color w:val="auto"/>
                <w:kern w:val="0"/>
                <w:sz w:val="18"/>
                <w:szCs w:val="18"/>
                <w:highlight w:val="none"/>
              </w:rPr>
            </w:pPr>
          </w:p>
        </w:tc>
      </w:tr>
      <w:tr w14:paraId="1BE9702D">
        <w:tblPrEx>
          <w:tblCellMar>
            <w:top w:w="0" w:type="dxa"/>
            <w:left w:w="108" w:type="dxa"/>
            <w:bottom w:w="0" w:type="dxa"/>
            <w:right w:w="108" w:type="dxa"/>
          </w:tblCellMar>
        </w:tblPrEx>
        <w:trPr>
          <w:trHeight w:val="480" w:hRule="atLeast"/>
        </w:trPr>
        <w:tc>
          <w:tcPr>
            <w:tcW w:w="666" w:type="dxa"/>
            <w:tcBorders>
              <w:top w:val="single" w:color="000000" w:sz="4" w:space="0"/>
              <w:left w:val="single" w:color="000000" w:sz="4" w:space="0"/>
              <w:bottom w:val="nil"/>
              <w:right w:val="nil"/>
            </w:tcBorders>
            <w:shd w:val="clear" w:color="000000" w:fill="FFFFFF"/>
            <w:noWrap w:val="0"/>
            <w:vAlign w:val="center"/>
          </w:tcPr>
          <w:p w14:paraId="1242441B">
            <w:pPr>
              <w:widowControl/>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698" w:type="dxa"/>
            <w:tcBorders>
              <w:top w:val="single" w:color="000000" w:sz="4" w:space="0"/>
              <w:left w:val="single" w:color="000000" w:sz="4" w:space="0"/>
              <w:bottom w:val="nil"/>
              <w:right w:val="nil"/>
            </w:tcBorders>
            <w:shd w:val="clear" w:color="000000" w:fill="FFFFFF"/>
            <w:noWrap w:val="0"/>
            <w:vAlign w:val="center"/>
          </w:tcPr>
          <w:p w14:paraId="1DD80A14">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其中</w:t>
            </w:r>
          </w:p>
        </w:tc>
        <w:tc>
          <w:tcPr>
            <w:tcW w:w="2195" w:type="dxa"/>
            <w:tcBorders>
              <w:top w:val="single" w:color="000000" w:sz="4" w:space="0"/>
              <w:left w:val="single" w:color="000000" w:sz="4" w:space="0"/>
              <w:bottom w:val="nil"/>
              <w:right w:val="nil"/>
            </w:tcBorders>
            <w:shd w:val="clear" w:color="000000" w:fill="FFFFFF"/>
            <w:noWrap w:val="0"/>
            <w:vAlign w:val="center"/>
          </w:tcPr>
          <w:p w14:paraId="6557B17E">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1.1 人工费+机械费</w:t>
            </w:r>
          </w:p>
        </w:tc>
        <w:tc>
          <w:tcPr>
            <w:tcW w:w="3290" w:type="dxa"/>
            <w:tcBorders>
              <w:top w:val="single" w:color="000000" w:sz="4" w:space="0"/>
              <w:left w:val="single" w:color="000000" w:sz="4" w:space="0"/>
              <w:bottom w:val="nil"/>
              <w:right w:val="nil"/>
            </w:tcBorders>
            <w:shd w:val="clear" w:color="000000" w:fill="FFFFFF"/>
            <w:noWrap w:val="0"/>
            <w:vAlign w:val="center"/>
          </w:tcPr>
          <w:p w14:paraId="1430FD5B">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∑分部分项（人工费+机械费）</w:t>
            </w:r>
          </w:p>
        </w:tc>
        <w:tc>
          <w:tcPr>
            <w:tcW w:w="1246" w:type="dxa"/>
            <w:tcBorders>
              <w:top w:val="single" w:color="000000" w:sz="4" w:space="0"/>
              <w:left w:val="single" w:color="000000" w:sz="4" w:space="0"/>
              <w:bottom w:val="nil"/>
              <w:right w:val="nil"/>
            </w:tcBorders>
            <w:shd w:val="clear" w:color="000000" w:fill="FFFFFF"/>
            <w:noWrap/>
            <w:vAlign w:val="center"/>
          </w:tcPr>
          <w:p w14:paraId="504FC169">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333" w:type="dxa"/>
            <w:tcBorders>
              <w:top w:val="single" w:color="000000" w:sz="4" w:space="0"/>
              <w:left w:val="single" w:color="000000" w:sz="4" w:space="0"/>
              <w:bottom w:val="nil"/>
              <w:right w:val="single" w:color="000000" w:sz="4" w:space="0"/>
            </w:tcBorders>
            <w:shd w:val="clear" w:color="000000" w:fill="FFFFFF"/>
            <w:noWrap w:val="0"/>
            <w:vAlign w:val="center"/>
          </w:tcPr>
          <w:p w14:paraId="2843C52C">
            <w:pPr>
              <w:widowControl/>
              <w:jc w:val="left"/>
              <w:rPr>
                <w:rFonts w:hint="eastAsia" w:ascii="宋体" w:hAnsi="宋体" w:eastAsia="宋体" w:cs="宋体"/>
                <w:color w:val="auto"/>
                <w:kern w:val="0"/>
                <w:sz w:val="18"/>
                <w:szCs w:val="18"/>
                <w:highlight w:val="none"/>
              </w:rPr>
            </w:pPr>
          </w:p>
        </w:tc>
      </w:tr>
      <w:tr w14:paraId="420ACDA5">
        <w:tblPrEx>
          <w:tblCellMar>
            <w:top w:w="0" w:type="dxa"/>
            <w:left w:w="108" w:type="dxa"/>
            <w:bottom w:w="0" w:type="dxa"/>
            <w:right w:w="108" w:type="dxa"/>
          </w:tblCellMar>
        </w:tblPrEx>
        <w:trPr>
          <w:trHeight w:val="480" w:hRule="atLeast"/>
        </w:trPr>
        <w:tc>
          <w:tcPr>
            <w:tcW w:w="666" w:type="dxa"/>
            <w:tcBorders>
              <w:top w:val="single" w:color="000000" w:sz="4" w:space="0"/>
              <w:left w:val="single" w:color="000000" w:sz="4" w:space="0"/>
              <w:bottom w:val="nil"/>
              <w:right w:val="nil"/>
            </w:tcBorders>
            <w:shd w:val="clear" w:color="000000" w:fill="FFFFFF"/>
            <w:noWrap w:val="0"/>
            <w:vAlign w:val="center"/>
          </w:tcPr>
          <w:p w14:paraId="73DCA585">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w:t>
            </w:r>
          </w:p>
        </w:tc>
        <w:tc>
          <w:tcPr>
            <w:tcW w:w="2893" w:type="dxa"/>
            <w:gridSpan w:val="2"/>
            <w:tcBorders>
              <w:top w:val="single" w:color="000000" w:sz="4" w:space="0"/>
              <w:left w:val="single" w:color="000000" w:sz="4" w:space="0"/>
              <w:bottom w:val="nil"/>
              <w:right w:val="nil"/>
            </w:tcBorders>
            <w:shd w:val="clear" w:color="000000" w:fill="FFFFFF"/>
            <w:noWrap w:val="0"/>
            <w:vAlign w:val="center"/>
          </w:tcPr>
          <w:p w14:paraId="626F6DAE">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措施项目费</w:t>
            </w:r>
          </w:p>
        </w:tc>
        <w:tc>
          <w:tcPr>
            <w:tcW w:w="3290" w:type="dxa"/>
            <w:tcBorders>
              <w:top w:val="single" w:color="000000" w:sz="4" w:space="0"/>
              <w:left w:val="single" w:color="000000" w:sz="4" w:space="0"/>
              <w:bottom w:val="nil"/>
              <w:right w:val="nil"/>
            </w:tcBorders>
            <w:shd w:val="clear" w:color="000000" w:fill="FFFFFF"/>
            <w:noWrap w:val="0"/>
            <w:vAlign w:val="center"/>
          </w:tcPr>
          <w:p w14:paraId="59CF2144">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（2.1+2.2）</w:t>
            </w:r>
          </w:p>
        </w:tc>
        <w:tc>
          <w:tcPr>
            <w:tcW w:w="1246" w:type="dxa"/>
            <w:tcBorders>
              <w:top w:val="single" w:color="000000" w:sz="4" w:space="0"/>
              <w:left w:val="single" w:color="000000" w:sz="4" w:space="0"/>
              <w:bottom w:val="nil"/>
              <w:right w:val="nil"/>
            </w:tcBorders>
            <w:shd w:val="clear" w:color="000000" w:fill="FFFFFF"/>
            <w:noWrap/>
            <w:vAlign w:val="center"/>
          </w:tcPr>
          <w:p w14:paraId="35DF5D3B">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333" w:type="dxa"/>
            <w:tcBorders>
              <w:top w:val="single" w:color="000000" w:sz="4" w:space="0"/>
              <w:left w:val="single" w:color="000000" w:sz="4" w:space="0"/>
              <w:bottom w:val="nil"/>
              <w:right w:val="single" w:color="000000" w:sz="4" w:space="0"/>
            </w:tcBorders>
            <w:shd w:val="clear" w:color="000000" w:fill="FFFFFF"/>
            <w:noWrap w:val="0"/>
            <w:vAlign w:val="center"/>
          </w:tcPr>
          <w:p w14:paraId="57F8B9FB">
            <w:pPr>
              <w:widowControl/>
              <w:jc w:val="left"/>
              <w:rPr>
                <w:rFonts w:hint="eastAsia" w:ascii="宋体" w:hAnsi="宋体" w:eastAsia="宋体" w:cs="宋体"/>
                <w:color w:val="auto"/>
                <w:kern w:val="0"/>
                <w:sz w:val="18"/>
                <w:szCs w:val="18"/>
                <w:highlight w:val="none"/>
              </w:rPr>
            </w:pPr>
          </w:p>
        </w:tc>
      </w:tr>
      <w:tr w14:paraId="1E8BAB63">
        <w:tblPrEx>
          <w:tblCellMar>
            <w:top w:w="0" w:type="dxa"/>
            <w:left w:w="108" w:type="dxa"/>
            <w:bottom w:w="0" w:type="dxa"/>
            <w:right w:w="108" w:type="dxa"/>
          </w:tblCellMar>
        </w:tblPrEx>
        <w:trPr>
          <w:trHeight w:val="480" w:hRule="atLeast"/>
        </w:trPr>
        <w:tc>
          <w:tcPr>
            <w:tcW w:w="666" w:type="dxa"/>
            <w:tcBorders>
              <w:top w:val="single" w:color="000000" w:sz="4" w:space="0"/>
              <w:left w:val="single" w:color="000000" w:sz="4" w:space="0"/>
              <w:bottom w:val="nil"/>
              <w:right w:val="nil"/>
            </w:tcBorders>
            <w:shd w:val="clear" w:color="000000" w:fill="FFFFFF"/>
            <w:noWrap w:val="0"/>
            <w:vAlign w:val="center"/>
          </w:tcPr>
          <w:p w14:paraId="6510844C">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2.1</w:t>
            </w:r>
          </w:p>
        </w:tc>
        <w:tc>
          <w:tcPr>
            <w:tcW w:w="2893" w:type="dxa"/>
            <w:gridSpan w:val="2"/>
            <w:tcBorders>
              <w:top w:val="single" w:color="000000" w:sz="4" w:space="0"/>
              <w:left w:val="single" w:color="000000" w:sz="4" w:space="0"/>
              <w:bottom w:val="nil"/>
              <w:right w:val="nil"/>
            </w:tcBorders>
            <w:shd w:val="clear" w:color="000000" w:fill="FFFFFF"/>
            <w:noWrap w:val="0"/>
            <w:vAlign w:val="center"/>
          </w:tcPr>
          <w:p w14:paraId="1949818A">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施工技术措施项目费</w:t>
            </w:r>
          </w:p>
        </w:tc>
        <w:tc>
          <w:tcPr>
            <w:tcW w:w="3290" w:type="dxa"/>
            <w:tcBorders>
              <w:top w:val="single" w:color="000000" w:sz="4" w:space="0"/>
              <w:left w:val="single" w:color="000000" w:sz="4" w:space="0"/>
              <w:bottom w:val="nil"/>
              <w:right w:val="nil"/>
            </w:tcBorders>
            <w:shd w:val="clear" w:color="000000" w:fill="FFFFFF"/>
            <w:noWrap w:val="0"/>
            <w:vAlign w:val="center"/>
          </w:tcPr>
          <w:p w14:paraId="297FF3F3">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∑(技措项目工程量×综合单价）</w:t>
            </w:r>
          </w:p>
        </w:tc>
        <w:tc>
          <w:tcPr>
            <w:tcW w:w="1246" w:type="dxa"/>
            <w:tcBorders>
              <w:top w:val="single" w:color="000000" w:sz="4" w:space="0"/>
              <w:left w:val="single" w:color="000000" w:sz="4" w:space="0"/>
              <w:bottom w:val="nil"/>
              <w:right w:val="nil"/>
            </w:tcBorders>
            <w:shd w:val="clear" w:color="000000" w:fill="FFFFFF"/>
            <w:noWrap/>
            <w:vAlign w:val="center"/>
          </w:tcPr>
          <w:p w14:paraId="6B6C9ADD">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333" w:type="dxa"/>
            <w:tcBorders>
              <w:top w:val="single" w:color="000000" w:sz="4" w:space="0"/>
              <w:left w:val="single" w:color="000000" w:sz="4" w:space="0"/>
              <w:bottom w:val="nil"/>
              <w:right w:val="single" w:color="000000" w:sz="4" w:space="0"/>
            </w:tcBorders>
            <w:shd w:val="clear" w:color="000000" w:fill="FFFFFF"/>
            <w:noWrap w:val="0"/>
            <w:vAlign w:val="center"/>
          </w:tcPr>
          <w:p w14:paraId="6968AB31">
            <w:pPr>
              <w:widowControl/>
              <w:jc w:val="left"/>
              <w:rPr>
                <w:rFonts w:hint="eastAsia" w:ascii="宋体" w:hAnsi="宋体" w:eastAsia="宋体" w:cs="宋体"/>
                <w:color w:val="auto"/>
                <w:kern w:val="0"/>
                <w:sz w:val="18"/>
                <w:szCs w:val="18"/>
                <w:highlight w:val="none"/>
              </w:rPr>
            </w:pPr>
          </w:p>
        </w:tc>
      </w:tr>
      <w:tr w14:paraId="3E12511F">
        <w:tblPrEx>
          <w:tblCellMar>
            <w:top w:w="0" w:type="dxa"/>
            <w:left w:w="108" w:type="dxa"/>
            <w:bottom w:w="0" w:type="dxa"/>
            <w:right w:w="108" w:type="dxa"/>
          </w:tblCellMar>
        </w:tblPrEx>
        <w:trPr>
          <w:trHeight w:val="480" w:hRule="atLeast"/>
        </w:trPr>
        <w:tc>
          <w:tcPr>
            <w:tcW w:w="666" w:type="dxa"/>
            <w:tcBorders>
              <w:top w:val="single" w:color="000000" w:sz="4" w:space="0"/>
              <w:left w:val="single" w:color="000000" w:sz="4" w:space="0"/>
              <w:bottom w:val="nil"/>
              <w:right w:val="nil"/>
            </w:tcBorders>
            <w:shd w:val="clear" w:color="000000" w:fill="FFFFFF"/>
            <w:noWrap w:val="0"/>
            <w:vAlign w:val="center"/>
          </w:tcPr>
          <w:p w14:paraId="51BE5F3C">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698" w:type="dxa"/>
            <w:tcBorders>
              <w:top w:val="single" w:color="000000" w:sz="4" w:space="0"/>
              <w:left w:val="single" w:color="000000" w:sz="4" w:space="0"/>
              <w:bottom w:val="nil"/>
              <w:right w:val="nil"/>
            </w:tcBorders>
            <w:shd w:val="clear" w:color="000000" w:fill="FFFFFF"/>
            <w:noWrap w:val="0"/>
            <w:vAlign w:val="center"/>
          </w:tcPr>
          <w:p w14:paraId="63483284">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其中</w:t>
            </w:r>
          </w:p>
        </w:tc>
        <w:tc>
          <w:tcPr>
            <w:tcW w:w="2195" w:type="dxa"/>
            <w:tcBorders>
              <w:top w:val="single" w:color="000000" w:sz="4" w:space="0"/>
              <w:left w:val="single" w:color="000000" w:sz="4" w:space="0"/>
              <w:bottom w:val="nil"/>
              <w:right w:val="nil"/>
            </w:tcBorders>
            <w:shd w:val="clear" w:color="000000" w:fill="FFFFFF"/>
            <w:noWrap w:val="0"/>
            <w:vAlign w:val="center"/>
          </w:tcPr>
          <w:p w14:paraId="24D24375">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2.1.1 人工费+机械费</w:t>
            </w:r>
          </w:p>
        </w:tc>
        <w:tc>
          <w:tcPr>
            <w:tcW w:w="3290" w:type="dxa"/>
            <w:tcBorders>
              <w:top w:val="single" w:color="000000" w:sz="4" w:space="0"/>
              <w:left w:val="single" w:color="000000" w:sz="4" w:space="0"/>
              <w:bottom w:val="nil"/>
              <w:right w:val="nil"/>
            </w:tcBorders>
            <w:shd w:val="clear" w:color="000000" w:fill="FFFFFF"/>
            <w:noWrap w:val="0"/>
            <w:vAlign w:val="center"/>
          </w:tcPr>
          <w:p w14:paraId="2F457461">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∑技措项目（人工费+机械费）</w:t>
            </w:r>
          </w:p>
        </w:tc>
        <w:tc>
          <w:tcPr>
            <w:tcW w:w="1246" w:type="dxa"/>
            <w:tcBorders>
              <w:top w:val="single" w:color="000000" w:sz="4" w:space="0"/>
              <w:left w:val="single" w:color="000000" w:sz="4" w:space="0"/>
              <w:bottom w:val="nil"/>
              <w:right w:val="nil"/>
            </w:tcBorders>
            <w:shd w:val="clear" w:color="000000" w:fill="FFFFFF"/>
            <w:noWrap/>
            <w:vAlign w:val="center"/>
          </w:tcPr>
          <w:p w14:paraId="6061E0B7">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333" w:type="dxa"/>
            <w:tcBorders>
              <w:top w:val="single" w:color="000000" w:sz="4" w:space="0"/>
              <w:left w:val="single" w:color="000000" w:sz="4" w:space="0"/>
              <w:bottom w:val="nil"/>
              <w:right w:val="single" w:color="000000" w:sz="4" w:space="0"/>
            </w:tcBorders>
            <w:shd w:val="clear" w:color="000000" w:fill="FFFFFF"/>
            <w:noWrap w:val="0"/>
            <w:vAlign w:val="center"/>
          </w:tcPr>
          <w:p w14:paraId="6A61372B">
            <w:pPr>
              <w:widowControl/>
              <w:jc w:val="left"/>
              <w:rPr>
                <w:rFonts w:hint="eastAsia" w:ascii="宋体" w:hAnsi="宋体" w:eastAsia="宋体" w:cs="宋体"/>
                <w:color w:val="auto"/>
                <w:kern w:val="0"/>
                <w:sz w:val="18"/>
                <w:szCs w:val="18"/>
                <w:highlight w:val="none"/>
              </w:rPr>
            </w:pPr>
          </w:p>
        </w:tc>
      </w:tr>
      <w:tr w14:paraId="3BB6E9BE">
        <w:tblPrEx>
          <w:tblCellMar>
            <w:top w:w="0" w:type="dxa"/>
            <w:left w:w="108" w:type="dxa"/>
            <w:bottom w:w="0" w:type="dxa"/>
            <w:right w:w="108" w:type="dxa"/>
          </w:tblCellMar>
        </w:tblPrEx>
        <w:trPr>
          <w:trHeight w:val="480" w:hRule="atLeast"/>
        </w:trPr>
        <w:tc>
          <w:tcPr>
            <w:tcW w:w="666" w:type="dxa"/>
            <w:tcBorders>
              <w:top w:val="single" w:color="000000" w:sz="4" w:space="0"/>
              <w:left w:val="single" w:color="000000" w:sz="4" w:space="0"/>
              <w:bottom w:val="nil"/>
              <w:right w:val="nil"/>
            </w:tcBorders>
            <w:shd w:val="clear" w:color="000000" w:fill="FFFFFF"/>
            <w:noWrap w:val="0"/>
            <w:vAlign w:val="center"/>
          </w:tcPr>
          <w:p w14:paraId="125CCE28">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2.2</w:t>
            </w:r>
          </w:p>
        </w:tc>
        <w:tc>
          <w:tcPr>
            <w:tcW w:w="2893" w:type="dxa"/>
            <w:gridSpan w:val="2"/>
            <w:tcBorders>
              <w:top w:val="single" w:color="000000" w:sz="4" w:space="0"/>
              <w:left w:val="single" w:color="000000" w:sz="4" w:space="0"/>
              <w:bottom w:val="nil"/>
              <w:right w:val="nil"/>
            </w:tcBorders>
            <w:shd w:val="clear" w:color="000000" w:fill="FFFFFF"/>
            <w:noWrap w:val="0"/>
            <w:vAlign w:val="center"/>
          </w:tcPr>
          <w:p w14:paraId="6EB2A784">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施工组织措施项目费</w:t>
            </w:r>
          </w:p>
        </w:tc>
        <w:tc>
          <w:tcPr>
            <w:tcW w:w="3290" w:type="dxa"/>
            <w:tcBorders>
              <w:top w:val="single" w:color="000000" w:sz="4" w:space="0"/>
              <w:left w:val="single" w:color="000000" w:sz="4" w:space="0"/>
              <w:bottom w:val="nil"/>
              <w:right w:val="nil"/>
            </w:tcBorders>
            <w:shd w:val="clear" w:color="000000" w:fill="FFFFFF"/>
            <w:noWrap w:val="0"/>
            <w:vAlign w:val="center"/>
          </w:tcPr>
          <w:p w14:paraId="45D61E49">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(1.1+2.1.1)×费率</w:t>
            </w:r>
          </w:p>
        </w:tc>
        <w:tc>
          <w:tcPr>
            <w:tcW w:w="1246" w:type="dxa"/>
            <w:tcBorders>
              <w:top w:val="single" w:color="000000" w:sz="4" w:space="0"/>
              <w:left w:val="single" w:color="000000" w:sz="4" w:space="0"/>
              <w:bottom w:val="nil"/>
              <w:right w:val="nil"/>
            </w:tcBorders>
            <w:shd w:val="clear" w:color="000000" w:fill="FFFFFF"/>
            <w:noWrap/>
            <w:vAlign w:val="center"/>
          </w:tcPr>
          <w:p w14:paraId="2240259F">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333" w:type="dxa"/>
            <w:tcBorders>
              <w:top w:val="single" w:color="000000" w:sz="4" w:space="0"/>
              <w:left w:val="single" w:color="000000" w:sz="4" w:space="0"/>
              <w:bottom w:val="nil"/>
              <w:right w:val="single" w:color="000000" w:sz="4" w:space="0"/>
            </w:tcBorders>
            <w:shd w:val="clear" w:color="000000" w:fill="FFFFFF"/>
            <w:noWrap w:val="0"/>
            <w:vAlign w:val="center"/>
          </w:tcPr>
          <w:p w14:paraId="5037A037">
            <w:pPr>
              <w:widowControl/>
              <w:jc w:val="left"/>
              <w:rPr>
                <w:rFonts w:hint="eastAsia" w:ascii="宋体" w:hAnsi="宋体" w:eastAsia="宋体" w:cs="宋体"/>
                <w:color w:val="auto"/>
                <w:kern w:val="0"/>
                <w:sz w:val="18"/>
                <w:szCs w:val="18"/>
                <w:highlight w:val="none"/>
              </w:rPr>
            </w:pPr>
          </w:p>
        </w:tc>
      </w:tr>
      <w:tr w14:paraId="31A8A9B1">
        <w:tblPrEx>
          <w:tblCellMar>
            <w:top w:w="0" w:type="dxa"/>
            <w:left w:w="108" w:type="dxa"/>
            <w:bottom w:w="0" w:type="dxa"/>
            <w:right w:w="108" w:type="dxa"/>
          </w:tblCellMar>
        </w:tblPrEx>
        <w:trPr>
          <w:trHeight w:val="480" w:hRule="atLeast"/>
        </w:trPr>
        <w:tc>
          <w:tcPr>
            <w:tcW w:w="666" w:type="dxa"/>
            <w:tcBorders>
              <w:top w:val="single" w:color="000000" w:sz="4" w:space="0"/>
              <w:left w:val="single" w:color="000000" w:sz="4" w:space="0"/>
              <w:bottom w:val="nil"/>
              <w:right w:val="nil"/>
            </w:tcBorders>
            <w:shd w:val="clear" w:color="000000" w:fill="FFFFFF"/>
            <w:noWrap w:val="0"/>
            <w:vAlign w:val="center"/>
          </w:tcPr>
          <w:p w14:paraId="5F22EA35">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698" w:type="dxa"/>
            <w:tcBorders>
              <w:top w:val="single" w:color="000000" w:sz="4" w:space="0"/>
              <w:left w:val="single" w:color="000000" w:sz="4" w:space="0"/>
              <w:bottom w:val="nil"/>
              <w:right w:val="nil"/>
            </w:tcBorders>
            <w:shd w:val="clear" w:color="000000" w:fill="FFFFFF"/>
            <w:noWrap w:val="0"/>
            <w:vAlign w:val="center"/>
          </w:tcPr>
          <w:p w14:paraId="7D685907">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其中</w:t>
            </w:r>
          </w:p>
        </w:tc>
        <w:tc>
          <w:tcPr>
            <w:tcW w:w="2195" w:type="dxa"/>
            <w:tcBorders>
              <w:top w:val="single" w:color="000000" w:sz="4" w:space="0"/>
              <w:left w:val="single" w:color="000000" w:sz="4" w:space="0"/>
              <w:bottom w:val="nil"/>
              <w:right w:val="nil"/>
            </w:tcBorders>
            <w:shd w:val="clear" w:color="000000" w:fill="FFFFFF"/>
            <w:noWrap w:val="0"/>
            <w:vAlign w:val="center"/>
          </w:tcPr>
          <w:p w14:paraId="05B8DA92">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安全文明施工基本费</w:t>
            </w:r>
          </w:p>
        </w:tc>
        <w:tc>
          <w:tcPr>
            <w:tcW w:w="3290" w:type="dxa"/>
            <w:tcBorders>
              <w:top w:val="single" w:color="000000" w:sz="4" w:space="0"/>
              <w:left w:val="single" w:color="000000" w:sz="4" w:space="0"/>
              <w:bottom w:val="nil"/>
              <w:right w:val="nil"/>
            </w:tcBorders>
            <w:shd w:val="clear" w:color="000000" w:fill="FFFFFF"/>
            <w:noWrap w:val="0"/>
            <w:vAlign w:val="center"/>
          </w:tcPr>
          <w:p w14:paraId="53E5E2ED">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(1.1+2.1.1)×费率</w:t>
            </w:r>
          </w:p>
        </w:tc>
        <w:tc>
          <w:tcPr>
            <w:tcW w:w="1246" w:type="dxa"/>
            <w:tcBorders>
              <w:top w:val="single" w:color="000000" w:sz="4" w:space="0"/>
              <w:left w:val="single" w:color="000000" w:sz="4" w:space="0"/>
              <w:bottom w:val="nil"/>
              <w:right w:val="nil"/>
            </w:tcBorders>
            <w:shd w:val="clear" w:color="000000" w:fill="FFFFFF"/>
            <w:noWrap/>
            <w:vAlign w:val="center"/>
          </w:tcPr>
          <w:p w14:paraId="27B574D3">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333" w:type="dxa"/>
            <w:tcBorders>
              <w:top w:val="single" w:color="000000" w:sz="4" w:space="0"/>
              <w:left w:val="single" w:color="000000" w:sz="4" w:space="0"/>
              <w:bottom w:val="nil"/>
              <w:right w:val="single" w:color="000000" w:sz="4" w:space="0"/>
            </w:tcBorders>
            <w:shd w:val="clear" w:color="000000" w:fill="FFFFFF"/>
            <w:noWrap w:val="0"/>
            <w:vAlign w:val="center"/>
          </w:tcPr>
          <w:p w14:paraId="15B1814B">
            <w:pPr>
              <w:widowControl/>
              <w:jc w:val="left"/>
              <w:rPr>
                <w:rFonts w:hint="eastAsia" w:ascii="宋体" w:hAnsi="宋体" w:eastAsia="宋体" w:cs="宋体"/>
                <w:color w:val="auto"/>
                <w:kern w:val="0"/>
                <w:sz w:val="18"/>
                <w:szCs w:val="18"/>
                <w:highlight w:val="none"/>
              </w:rPr>
            </w:pPr>
          </w:p>
        </w:tc>
      </w:tr>
      <w:tr w14:paraId="4B9EF391">
        <w:tblPrEx>
          <w:tblCellMar>
            <w:top w:w="0" w:type="dxa"/>
            <w:left w:w="108" w:type="dxa"/>
            <w:bottom w:w="0" w:type="dxa"/>
            <w:right w:w="108" w:type="dxa"/>
          </w:tblCellMar>
        </w:tblPrEx>
        <w:trPr>
          <w:trHeight w:val="480" w:hRule="atLeast"/>
        </w:trPr>
        <w:tc>
          <w:tcPr>
            <w:tcW w:w="666" w:type="dxa"/>
            <w:tcBorders>
              <w:top w:val="single" w:color="000000" w:sz="4" w:space="0"/>
              <w:left w:val="single" w:color="000000" w:sz="4" w:space="0"/>
              <w:bottom w:val="nil"/>
              <w:right w:val="nil"/>
            </w:tcBorders>
            <w:shd w:val="clear" w:color="000000" w:fill="FFFFFF"/>
            <w:noWrap w:val="0"/>
            <w:vAlign w:val="center"/>
          </w:tcPr>
          <w:p w14:paraId="261A477A">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w:t>
            </w:r>
          </w:p>
        </w:tc>
        <w:tc>
          <w:tcPr>
            <w:tcW w:w="2893" w:type="dxa"/>
            <w:gridSpan w:val="2"/>
            <w:tcBorders>
              <w:top w:val="single" w:color="000000" w:sz="4" w:space="0"/>
              <w:left w:val="single" w:color="000000" w:sz="4" w:space="0"/>
              <w:bottom w:val="nil"/>
              <w:right w:val="nil"/>
            </w:tcBorders>
            <w:shd w:val="clear" w:color="000000" w:fill="FFFFFF"/>
            <w:noWrap w:val="0"/>
            <w:vAlign w:val="center"/>
          </w:tcPr>
          <w:p w14:paraId="0F29825D">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其他项目费</w:t>
            </w:r>
          </w:p>
        </w:tc>
        <w:tc>
          <w:tcPr>
            <w:tcW w:w="3290" w:type="dxa"/>
            <w:tcBorders>
              <w:top w:val="single" w:color="000000" w:sz="4" w:space="0"/>
              <w:left w:val="single" w:color="000000" w:sz="4" w:space="0"/>
              <w:bottom w:val="nil"/>
              <w:right w:val="nil"/>
            </w:tcBorders>
            <w:shd w:val="clear" w:color="000000" w:fill="FFFFFF"/>
            <w:noWrap w:val="0"/>
            <w:vAlign w:val="center"/>
          </w:tcPr>
          <w:p w14:paraId="12662518">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（3.1+3.2+3.3+3.4）</w:t>
            </w:r>
          </w:p>
        </w:tc>
        <w:tc>
          <w:tcPr>
            <w:tcW w:w="1246" w:type="dxa"/>
            <w:tcBorders>
              <w:top w:val="single" w:color="000000" w:sz="4" w:space="0"/>
              <w:left w:val="single" w:color="000000" w:sz="4" w:space="0"/>
              <w:bottom w:val="nil"/>
              <w:right w:val="nil"/>
            </w:tcBorders>
            <w:shd w:val="clear" w:color="000000" w:fill="FFFFFF"/>
            <w:noWrap/>
            <w:vAlign w:val="center"/>
          </w:tcPr>
          <w:p w14:paraId="5842225A">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333" w:type="dxa"/>
            <w:tcBorders>
              <w:top w:val="single" w:color="000000" w:sz="4" w:space="0"/>
              <w:left w:val="single" w:color="000000" w:sz="4" w:space="0"/>
              <w:bottom w:val="nil"/>
              <w:right w:val="single" w:color="000000" w:sz="4" w:space="0"/>
            </w:tcBorders>
            <w:shd w:val="clear" w:color="000000" w:fill="FFFFFF"/>
            <w:noWrap w:val="0"/>
            <w:vAlign w:val="center"/>
          </w:tcPr>
          <w:p w14:paraId="68808C09">
            <w:pPr>
              <w:widowControl/>
              <w:jc w:val="left"/>
              <w:rPr>
                <w:rFonts w:hint="eastAsia" w:ascii="宋体" w:hAnsi="宋体" w:eastAsia="宋体" w:cs="宋体"/>
                <w:color w:val="auto"/>
                <w:kern w:val="0"/>
                <w:sz w:val="18"/>
                <w:szCs w:val="18"/>
                <w:highlight w:val="none"/>
              </w:rPr>
            </w:pPr>
          </w:p>
        </w:tc>
      </w:tr>
      <w:tr w14:paraId="1934F732">
        <w:tblPrEx>
          <w:tblCellMar>
            <w:top w:w="0" w:type="dxa"/>
            <w:left w:w="108" w:type="dxa"/>
            <w:bottom w:w="0" w:type="dxa"/>
            <w:right w:w="108" w:type="dxa"/>
          </w:tblCellMar>
        </w:tblPrEx>
        <w:trPr>
          <w:trHeight w:val="480" w:hRule="atLeast"/>
        </w:trPr>
        <w:tc>
          <w:tcPr>
            <w:tcW w:w="666" w:type="dxa"/>
            <w:tcBorders>
              <w:top w:val="single" w:color="000000" w:sz="4" w:space="0"/>
              <w:left w:val="single" w:color="000000" w:sz="4" w:space="0"/>
              <w:bottom w:val="nil"/>
              <w:right w:val="nil"/>
            </w:tcBorders>
            <w:shd w:val="clear" w:color="000000" w:fill="FFFFFF"/>
            <w:noWrap w:val="0"/>
            <w:vAlign w:val="center"/>
          </w:tcPr>
          <w:p w14:paraId="07A66997">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3.1</w:t>
            </w:r>
          </w:p>
        </w:tc>
        <w:tc>
          <w:tcPr>
            <w:tcW w:w="2893" w:type="dxa"/>
            <w:gridSpan w:val="2"/>
            <w:tcBorders>
              <w:top w:val="single" w:color="000000" w:sz="4" w:space="0"/>
              <w:left w:val="single" w:color="000000" w:sz="4" w:space="0"/>
              <w:bottom w:val="nil"/>
              <w:right w:val="nil"/>
            </w:tcBorders>
            <w:shd w:val="clear" w:color="000000" w:fill="FFFFFF"/>
            <w:noWrap w:val="0"/>
            <w:vAlign w:val="center"/>
          </w:tcPr>
          <w:p w14:paraId="44360F43">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暂列金额</w:t>
            </w:r>
          </w:p>
        </w:tc>
        <w:tc>
          <w:tcPr>
            <w:tcW w:w="3290" w:type="dxa"/>
            <w:tcBorders>
              <w:top w:val="single" w:color="000000" w:sz="4" w:space="0"/>
              <w:left w:val="single" w:color="000000" w:sz="4" w:space="0"/>
              <w:bottom w:val="nil"/>
              <w:right w:val="nil"/>
            </w:tcBorders>
            <w:shd w:val="clear" w:color="000000" w:fill="FFFFFF"/>
            <w:noWrap w:val="0"/>
            <w:vAlign w:val="center"/>
          </w:tcPr>
          <w:p w14:paraId="149AAEE8">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3.1.1+3.1.2+3.1.3</w:t>
            </w:r>
          </w:p>
        </w:tc>
        <w:tc>
          <w:tcPr>
            <w:tcW w:w="1246" w:type="dxa"/>
            <w:tcBorders>
              <w:top w:val="single" w:color="000000" w:sz="4" w:space="0"/>
              <w:left w:val="single" w:color="000000" w:sz="4" w:space="0"/>
              <w:bottom w:val="nil"/>
              <w:right w:val="nil"/>
            </w:tcBorders>
            <w:shd w:val="clear" w:color="000000" w:fill="FFFFFF"/>
            <w:noWrap/>
            <w:vAlign w:val="center"/>
          </w:tcPr>
          <w:p w14:paraId="3AB23D00">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333" w:type="dxa"/>
            <w:tcBorders>
              <w:top w:val="single" w:color="000000" w:sz="4" w:space="0"/>
              <w:left w:val="single" w:color="000000" w:sz="4" w:space="0"/>
              <w:bottom w:val="nil"/>
              <w:right w:val="single" w:color="000000" w:sz="4" w:space="0"/>
            </w:tcBorders>
            <w:shd w:val="clear" w:color="000000" w:fill="FFFFFF"/>
            <w:noWrap w:val="0"/>
            <w:vAlign w:val="center"/>
          </w:tcPr>
          <w:p w14:paraId="3106B8F0">
            <w:pPr>
              <w:widowControl/>
              <w:jc w:val="left"/>
              <w:rPr>
                <w:rFonts w:hint="eastAsia" w:ascii="宋体" w:hAnsi="宋体" w:eastAsia="宋体" w:cs="宋体"/>
                <w:color w:val="auto"/>
                <w:kern w:val="0"/>
                <w:sz w:val="18"/>
                <w:szCs w:val="18"/>
                <w:highlight w:val="none"/>
              </w:rPr>
            </w:pPr>
          </w:p>
        </w:tc>
      </w:tr>
      <w:tr w14:paraId="4AD73FF8">
        <w:tblPrEx>
          <w:tblCellMar>
            <w:top w:w="0" w:type="dxa"/>
            <w:left w:w="108" w:type="dxa"/>
            <w:bottom w:w="0" w:type="dxa"/>
            <w:right w:w="108" w:type="dxa"/>
          </w:tblCellMar>
        </w:tblPrEx>
        <w:trPr>
          <w:trHeight w:val="480" w:hRule="atLeast"/>
        </w:trPr>
        <w:tc>
          <w:tcPr>
            <w:tcW w:w="666" w:type="dxa"/>
            <w:tcBorders>
              <w:top w:val="single" w:color="000000" w:sz="4" w:space="0"/>
              <w:left w:val="single" w:color="000000" w:sz="4" w:space="0"/>
              <w:bottom w:val="nil"/>
              <w:right w:val="nil"/>
            </w:tcBorders>
            <w:shd w:val="clear" w:color="000000" w:fill="FFFFFF"/>
            <w:noWrap w:val="0"/>
            <w:vAlign w:val="center"/>
          </w:tcPr>
          <w:p w14:paraId="1FCF01D4">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3.1.1</w:t>
            </w:r>
          </w:p>
        </w:tc>
        <w:tc>
          <w:tcPr>
            <w:tcW w:w="698" w:type="dxa"/>
            <w:vMerge w:val="restart"/>
            <w:tcBorders>
              <w:top w:val="single" w:color="000000" w:sz="4" w:space="0"/>
              <w:left w:val="single" w:color="000000" w:sz="4" w:space="0"/>
              <w:bottom w:val="nil"/>
              <w:right w:val="nil"/>
            </w:tcBorders>
            <w:shd w:val="clear" w:color="000000" w:fill="FFFFFF"/>
            <w:noWrap w:val="0"/>
            <w:vAlign w:val="center"/>
          </w:tcPr>
          <w:p w14:paraId="50B61D89">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其中</w:t>
            </w:r>
          </w:p>
        </w:tc>
        <w:tc>
          <w:tcPr>
            <w:tcW w:w="2195" w:type="dxa"/>
            <w:tcBorders>
              <w:top w:val="single" w:color="000000" w:sz="4" w:space="0"/>
              <w:left w:val="single" w:color="000000" w:sz="4" w:space="0"/>
              <w:bottom w:val="nil"/>
              <w:right w:val="nil"/>
            </w:tcBorders>
            <w:shd w:val="clear" w:color="000000" w:fill="FFFFFF"/>
            <w:noWrap w:val="0"/>
            <w:vAlign w:val="center"/>
          </w:tcPr>
          <w:p w14:paraId="4A4B2F5E">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标化工地增加费</w:t>
            </w:r>
          </w:p>
        </w:tc>
        <w:tc>
          <w:tcPr>
            <w:tcW w:w="3290" w:type="dxa"/>
            <w:tcBorders>
              <w:top w:val="single" w:color="000000" w:sz="4" w:space="0"/>
              <w:left w:val="single" w:color="000000" w:sz="4" w:space="0"/>
              <w:bottom w:val="nil"/>
              <w:right w:val="nil"/>
            </w:tcBorders>
            <w:shd w:val="clear" w:color="000000" w:fill="FFFFFF"/>
            <w:noWrap w:val="0"/>
            <w:vAlign w:val="center"/>
          </w:tcPr>
          <w:p w14:paraId="4C0335F8">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按招标文件规定额度列计</w:t>
            </w:r>
          </w:p>
        </w:tc>
        <w:tc>
          <w:tcPr>
            <w:tcW w:w="1246" w:type="dxa"/>
            <w:tcBorders>
              <w:top w:val="single" w:color="000000" w:sz="4" w:space="0"/>
              <w:left w:val="single" w:color="000000" w:sz="4" w:space="0"/>
              <w:bottom w:val="nil"/>
              <w:right w:val="nil"/>
            </w:tcBorders>
            <w:shd w:val="clear" w:color="000000" w:fill="FFFFFF"/>
            <w:noWrap/>
            <w:vAlign w:val="center"/>
          </w:tcPr>
          <w:p w14:paraId="495359D5">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333" w:type="dxa"/>
            <w:tcBorders>
              <w:top w:val="single" w:color="000000" w:sz="4" w:space="0"/>
              <w:left w:val="single" w:color="000000" w:sz="4" w:space="0"/>
              <w:bottom w:val="nil"/>
              <w:right w:val="single" w:color="000000" w:sz="4" w:space="0"/>
            </w:tcBorders>
            <w:shd w:val="clear" w:color="000000" w:fill="FFFFFF"/>
            <w:noWrap w:val="0"/>
            <w:vAlign w:val="center"/>
          </w:tcPr>
          <w:p w14:paraId="79FCFD2C">
            <w:pPr>
              <w:widowControl/>
              <w:jc w:val="left"/>
              <w:rPr>
                <w:rFonts w:hint="eastAsia" w:ascii="宋体" w:hAnsi="宋体" w:eastAsia="宋体" w:cs="宋体"/>
                <w:color w:val="auto"/>
                <w:kern w:val="0"/>
                <w:sz w:val="18"/>
                <w:szCs w:val="18"/>
                <w:highlight w:val="none"/>
              </w:rPr>
            </w:pPr>
          </w:p>
        </w:tc>
      </w:tr>
      <w:tr w14:paraId="000AED89">
        <w:tblPrEx>
          <w:tblCellMar>
            <w:top w:w="0" w:type="dxa"/>
            <w:left w:w="108" w:type="dxa"/>
            <w:bottom w:w="0" w:type="dxa"/>
            <w:right w:w="108" w:type="dxa"/>
          </w:tblCellMar>
        </w:tblPrEx>
        <w:trPr>
          <w:trHeight w:val="480" w:hRule="atLeast"/>
        </w:trPr>
        <w:tc>
          <w:tcPr>
            <w:tcW w:w="666" w:type="dxa"/>
            <w:tcBorders>
              <w:top w:val="single" w:color="000000" w:sz="4" w:space="0"/>
              <w:left w:val="single" w:color="000000" w:sz="4" w:space="0"/>
              <w:bottom w:val="nil"/>
              <w:right w:val="single" w:color="000000" w:sz="4" w:space="0"/>
            </w:tcBorders>
            <w:shd w:val="clear" w:color="000000" w:fill="FFFFFF"/>
            <w:noWrap w:val="0"/>
            <w:vAlign w:val="center"/>
          </w:tcPr>
          <w:p w14:paraId="6A366585">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3.1.2</w:t>
            </w:r>
          </w:p>
        </w:tc>
        <w:tc>
          <w:tcPr>
            <w:tcW w:w="698" w:type="dxa"/>
            <w:vMerge w:val="continue"/>
            <w:tcBorders>
              <w:top w:val="single" w:color="000000" w:sz="4" w:space="0"/>
              <w:left w:val="single" w:color="000000" w:sz="4" w:space="0"/>
              <w:bottom w:val="nil"/>
              <w:right w:val="nil"/>
            </w:tcBorders>
            <w:shd w:val="clear" w:color="auto" w:fill="auto"/>
            <w:noWrap w:val="0"/>
            <w:vAlign w:val="center"/>
          </w:tcPr>
          <w:p w14:paraId="5626143B">
            <w:pPr>
              <w:widowControl/>
              <w:jc w:val="left"/>
              <w:rPr>
                <w:rFonts w:hint="eastAsia" w:ascii="宋体" w:hAnsi="宋体" w:eastAsia="宋体" w:cs="宋体"/>
                <w:color w:val="auto"/>
                <w:kern w:val="0"/>
                <w:sz w:val="18"/>
                <w:szCs w:val="18"/>
                <w:highlight w:val="none"/>
              </w:rPr>
            </w:pPr>
          </w:p>
        </w:tc>
        <w:tc>
          <w:tcPr>
            <w:tcW w:w="2195" w:type="dxa"/>
            <w:tcBorders>
              <w:top w:val="single" w:color="000000" w:sz="4" w:space="0"/>
              <w:left w:val="single" w:color="000000" w:sz="4" w:space="0"/>
              <w:bottom w:val="nil"/>
              <w:right w:val="nil"/>
            </w:tcBorders>
            <w:shd w:val="clear" w:color="000000" w:fill="FFFFFF"/>
            <w:noWrap w:val="0"/>
            <w:vAlign w:val="center"/>
          </w:tcPr>
          <w:p w14:paraId="025DD7AC">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优质工程增加费</w:t>
            </w:r>
          </w:p>
        </w:tc>
        <w:tc>
          <w:tcPr>
            <w:tcW w:w="3290" w:type="dxa"/>
            <w:tcBorders>
              <w:top w:val="single" w:color="000000" w:sz="4" w:space="0"/>
              <w:left w:val="single" w:color="000000" w:sz="4" w:space="0"/>
              <w:bottom w:val="nil"/>
              <w:right w:val="nil"/>
            </w:tcBorders>
            <w:shd w:val="clear" w:color="000000" w:fill="FFFFFF"/>
            <w:noWrap w:val="0"/>
            <w:vAlign w:val="center"/>
          </w:tcPr>
          <w:p w14:paraId="03941494">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按招标文件规定额度列计</w:t>
            </w:r>
          </w:p>
        </w:tc>
        <w:tc>
          <w:tcPr>
            <w:tcW w:w="1246" w:type="dxa"/>
            <w:tcBorders>
              <w:top w:val="single" w:color="000000" w:sz="4" w:space="0"/>
              <w:left w:val="single" w:color="000000" w:sz="4" w:space="0"/>
              <w:bottom w:val="nil"/>
              <w:right w:val="nil"/>
            </w:tcBorders>
            <w:shd w:val="clear" w:color="000000" w:fill="FFFFFF"/>
            <w:noWrap/>
            <w:vAlign w:val="center"/>
          </w:tcPr>
          <w:p w14:paraId="1DEDCD32">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333" w:type="dxa"/>
            <w:tcBorders>
              <w:top w:val="single" w:color="000000" w:sz="4" w:space="0"/>
              <w:left w:val="single" w:color="000000" w:sz="4" w:space="0"/>
              <w:bottom w:val="nil"/>
              <w:right w:val="single" w:color="000000" w:sz="4" w:space="0"/>
            </w:tcBorders>
            <w:shd w:val="clear" w:color="000000" w:fill="FFFFFF"/>
            <w:noWrap w:val="0"/>
            <w:vAlign w:val="center"/>
          </w:tcPr>
          <w:p w14:paraId="38613C10">
            <w:pPr>
              <w:widowControl/>
              <w:jc w:val="left"/>
              <w:rPr>
                <w:rFonts w:hint="eastAsia" w:ascii="宋体" w:hAnsi="宋体" w:eastAsia="宋体" w:cs="宋体"/>
                <w:color w:val="auto"/>
                <w:kern w:val="0"/>
                <w:sz w:val="18"/>
                <w:szCs w:val="18"/>
                <w:highlight w:val="none"/>
              </w:rPr>
            </w:pPr>
          </w:p>
        </w:tc>
      </w:tr>
      <w:tr w14:paraId="4DB04720">
        <w:tblPrEx>
          <w:tblCellMar>
            <w:top w:w="0" w:type="dxa"/>
            <w:left w:w="108" w:type="dxa"/>
            <w:bottom w:w="0" w:type="dxa"/>
            <w:right w:w="108" w:type="dxa"/>
          </w:tblCellMar>
        </w:tblPrEx>
        <w:trPr>
          <w:trHeight w:val="480" w:hRule="atLeast"/>
        </w:trPr>
        <w:tc>
          <w:tcPr>
            <w:tcW w:w="666" w:type="dxa"/>
            <w:tcBorders>
              <w:top w:val="single" w:color="000000" w:sz="4" w:space="0"/>
              <w:left w:val="single" w:color="000000" w:sz="4" w:space="0"/>
              <w:bottom w:val="nil"/>
              <w:right w:val="single" w:color="000000" w:sz="4" w:space="0"/>
            </w:tcBorders>
            <w:shd w:val="clear" w:color="000000" w:fill="FFFFFF"/>
            <w:noWrap w:val="0"/>
            <w:vAlign w:val="center"/>
          </w:tcPr>
          <w:p w14:paraId="227A5E12">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3.1.3</w:t>
            </w:r>
          </w:p>
        </w:tc>
        <w:tc>
          <w:tcPr>
            <w:tcW w:w="698" w:type="dxa"/>
            <w:vMerge w:val="continue"/>
            <w:tcBorders>
              <w:top w:val="single" w:color="000000" w:sz="4" w:space="0"/>
              <w:left w:val="single" w:color="000000" w:sz="4" w:space="0"/>
              <w:bottom w:val="nil"/>
              <w:right w:val="nil"/>
            </w:tcBorders>
            <w:shd w:val="clear" w:color="auto" w:fill="auto"/>
            <w:noWrap w:val="0"/>
            <w:vAlign w:val="center"/>
          </w:tcPr>
          <w:p w14:paraId="2A68A822">
            <w:pPr>
              <w:widowControl/>
              <w:jc w:val="left"/>
              <w:rPr>
                <w:rFonts w:hint="eastAsia" w:ascii="宋体" w:hAnsi="宋体" w:eastAsia="宋体" w:cs="宋体"/>
                <w:color w:val="auto"/>
                <w:kern w:val="0"/>
                <w:sz w:val="18"/>
                <w:szCs w:val="18"/>
                <w:highlight w:val="none"/>
              </w:rPr>
            </w:pPr>
          </w:p>
        </w:tc>
        <w:tc>
          <w:tcPr>
            <w:tcW w:w="2195" w:type="dxa"/>
            <w:tcBorders>
              <w:top w:val="single" w:color="000000" w:sz="4" w:space="0"/>
              <w:left w:val="single" w:color="000000" w:sz="4" w:space="0"/>
              <w:bottom w:val="nil"/>
              <w:right w:val="nil"/>
            </w:tcBorders>
            <w:shd w:val="clear" w:color="000000" w:fill="FFFFFF"/>
            <w:noWrap w:val="0"/>
            <w:vAlign w:val="center"/>
          </w:tcPr>
          <w:p w14:paraId="2E3C7404">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其他暂列金额</w:t>
            </w:r>
          </w:p>
        </w:tc>
        <w:tc>
          <w:tcPr>
            <w:tcW w:w="3290" w:type="dxa"/>
            <w:tcBorders>
              <w:top w:val="single" w:color="000000" w:sz="4" w:space="0"/>
              <w:left w:val="single" w:color="000000" w:sz="4" w:space="0"/>
              <w:bottom w:val="nil"/>
              <w:right w:val="nil"/>
            </w:tcBorders>
            <w:shd w:val="clear" w:color="000000" w:fill="FFFFFF"/>
            <w:noWrap w:val="0"/>
            <w:vAlign w:val="center"/>
          </w:tcPr>
          <w:p w14:paraId="74E31A00">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按招标文件规定额度列计</w:t>
            </w:r>
          </w:p>
        </w:tc>
        <w:tc>
          <w:tcPr>
            <w:tcW w:w="1246" w:type="dxa"/>
            <w:tcBorders>
              <w:top w:val="single" w:color="000000" w:sz="4" w:space="0"/>
              <w:left w:val="single" w:color="000000" w:sz="4" w:space="0"/>
              <w:bottom w:val="nil"/>
              <w:right w:val="nil"/>
            </w:tcBorders>
            <w:shd w:val="clear" w:color="000000" w:fill="FFFFFF"/>
            <w:noWrap/>
            <w:vAlign w:val="center"/>
          </w:tcPr>
          <w:p w14:paraId="676EC6B4">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333" w:type="dxa"/>
            <w:tcBorders>
              <w:top w:val="single" w:color="000000" w:sz="4" w:space="0"/>
              <w:left w:val="single" w:color="000000" w:sz="4" w:space="0"/>
              <w:bottom w:val="nil"/>
              <w:right w:val="single" w:color="000000" w:sz="4" w:space="0"/>
            </w:tcBorders>
            <w:shd w:val="clear" w:color="000000" w:fill="FFFFFF"/>
            <w:noWrap w:val="0"/>
            <w:vAlign w:val="center"/>
          </w:tcPr>
          <w:p w14:paraId="7DE526D6">
            <w:pPr>
              <w:widowControl/>
              <w:jc w:val="left"/>
              <w:rPr>
                <w:rFonts w:hint="eastAsia" w:ascii="宋体" w:hAnsi="宋体" w:eastAsia="宋体" w:cs="宋体"/>
                <w:color w:val="auto"/>
                <w:kern w:val="0"/>
                <w:sz w:val="18"/>
                <w:szCs w:val="18"/>
                <w:highlight w:val="none"/>
              </w:rPr>
            </w:pPr>
          </w:p>
        </w:tc>
      </w:tr>
      <w:tr w14:paraId="3C685BBB">
        <w:tblPrEx>
          <w:tblCellMar>
            <w:top w:w="0" w:type="dxa"/>
            <w:left w:w="108" w:type="dxa"/>
            <w:bottom w:w="0" w:type="dxa"/>
            <w:right w:w="108" w:type="dxa"/>
          </w:tblCellMar>
        </w:tblPrEx>
        <w:trPr>
          <w:trHeight w:val="480" w:hRule="atLeast"/>
        </w:trPr>
        <w:tc>
          <w:tcPr>
            <w:tcW w:w="666" w:type="dxa"/>
            <w:tcBorders>
              <w:top w:val="single" w:color="000000" w:sz="4" w:space="0"/>
              <w:left w:val="single" w:color="000000" w:sz="4" w:space="0"/>
              <w:bottom w:val="nil"/>
              <w:right w:val="nil"/>
            </w:tcBorders>
            <w:shd w:val="clear" w:color="000000" w:fill="FFFFFF"/>
            <w:noWrap w:val="0"/>
            <w:vAlign w:val="center"/>
          </w:tcPr>
          <w:p w14:paraId="34B9F177">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3.2</w:t>
            </w:r>
          </w:p>
        </w:tc>
        <w:tc>
          <w:tcPr>
            <w:tcW w:w="2893" w:type="dxa"/>
            <w:gridSpan w:val="2"/>
            <w:tcBorders>
              <w:top w:val="single" w:color="000000" w:sz="4" w:space="0"/>
              <w:left w:val="single" w:color="000000" w:sz="4" w:space="0"/>
              <w:bottom w:val="nil"/>
              <w:right w:val="nil"/>
            </w:tcBorders>
            <w:shd w:val="clear" w:color="000000" w:fill="FFFFFF"/>
            <w:noWrap w:val="0"/>
            <w:vAlign w:val="center"/>
          </w:tcPr>
          <w:p w14:paraId="64740245">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暂估价</w:t>
            </w:r>
          </w:p>
        </w:tc>
        <w:tc>
          <w:tcPr>
            <w:tcW w:w="3290" w:type="dxa"/>
            <w:tcBorders>
              <w:top w:val="single" w:color="000000" w:sz="4" w:space="0"/>
              <w:left w:val="single" w:color="000000" w:sz="4" w:space="0"/>
              <w:bottom w:val="nil"/>
              <w:right w:val="nil"/>
            </w:tcBorders>
            <w:shd w:val="clear" w:color="000000" w:fill="FFFFFF"/>
            <w:noWrap w:val="0"/>
            <w:vAlign w:val="center"/>
          </w:tcPr>
          <w:p w14:paraId="119F8436">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3.2.1+3.2.2+3.2.3</w:t>
            </w:r>
          </w:p>
        </w:tc>
        <w:tc>
          <w:tcPr>
            <w:tcW w:w="1246" w:type="dxa"/>
            <w:tcBorders>
              <w:top w:val="single" w:color="000000" w:sz="4" w:space="0"/>
              <w:left w:val="single" w:color="000000" w:sz="4" w:space="0"/>
              <w:bottom w:val="nil"/>
              <w:right w:val="nil"/>
            </w:tcBorders>
            <w:shd w:val="clear" w:color="000000" w:fill="FFFFFF"/>
            <w:noWrap/>
            <w:vAlign w:val="center"/>
          </w:tcPr>
          <w:p w14:paraId="764135D9">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333" w:type="dxa"/>
            <w:tcBorders>
              <w:top w:val="single" w:color="000000" w:sz="4" w:space="0"/>
              <w:left w:val="single" w:color="000000" w:sz="4" w:space="0"/>
              <w:bottom w:val="nil"/>
              <w:right w:val="single" w:color="000000" w:sz="4" w:space="0"/>
            </w:tcBorders>
            <w:shd w:val="clear" w:color="000000" w:fill="FFFFFF"/>
            <w:noWrap w:val="0"/>
            <w:vAlign w:val="center"/>
          </w:tcPr>
          <w:p w14:paraId="2D60BAC3">
            <w:pPr>
              <w:widowControl/>
              <w:jc w:val="left"/>
              <w:rPr>
                <w:rFonts w:hint="eastAsia" w:ascii="宋体" w:hAnsi="宋体" w:eastAsia="宋体" w:cs="宋体"/>
                <w:color w:val="auto"/>
                <w:kern w:val="0"/>
                <w:sz w:val="18"/>
                <w:szCs w:val="18"/>
                <w:highlight w:val="none"/>
              </w:rPr>
            </w:pPr>
          </w:p>
        </w:tc>
      </w:tr>
      <w:tr w14:paraId="1ACDAEF6">
        <w:tblPrEx>
          <w:tblCellMar>
            <w:top w:w="0" w:type="dxa"/>
            <w:left w:w="108" w:type="dxa"/>
            <w:bottom w:w="0" w:type="dxa"/>
            <w:right w:w="108" w:type="dxa"/>
          </w:tblCellMar>
        </w:tblPrEx>
        <w:trPr>
          <w:trHeight w:val="480" w:hRule="atLeast"/>
        </w:trPr>
        <w:tc>
          <w:tcPr>
            <w:tcW w:w="666" w:type="dxa"/>
            <w:tcBorders>
              <w:top w:val="single" w:color="000000" w:sz="4" w:space="0"/>
              <w:left w:val="single" w:color="000000" w:sz="4" w:space="0"/>
              <w:bottom w:val="nil"/>
              <w:right w:val="nil"/>
            </w:tcBorders>
            <w:shd w:val="clear" w:color="000000" w:fill="FFFFFF"/>
            <w:noWrap w:val="0"/>
            <w:vAlign w:val="center"/>
          </w:tcPr>
          <w:p w14:paraId="5CF55A70">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3.2.1</w:t>
            </w:r>
          </w:p>
        </w:tc>
        <w:tc>
          <w:tcPr>
            <w:tcW w:w="698" w:type="dxa"/>
            <w:vMerge w:val="restart"/>
            <w:tcBorders>
              <w:top w:val="single" w:color="000000" w:sz="4" w:space="0"/>
              <w:left w:val="single" w:color="000000" w:sz="4" w:space="0"/>
              <w:bottom w:val="nil"/>
              <w:right w:val="nil"/>
            </w:tcBorders>
            <w:shd w:val="clear" w:color="000000" w:fill="FFFFFF"/>
            <w:noWrap w:val="0"/>
            <w:vAlign w:val="center"/>
          </w:tcPr>
          <w:p w14:paraId="78809996">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其中</w:t>
            </w:r>
          </w:p>
        </w:tc>
        <w:tc>
          <w:tcPr>
            <w:tcW w:w="2195" w:type="dxa"/>
            <w:tcBorders>
              <w:top w:val="single" w:color="000000" w:sz="4" w:space="0"/>
              <w:left w:val="single" w:color="000000" w:sz="4" w:space="0"/>
              <w:bottom w:val="nil"/>
              <w:right w:val="nil"/>
            </w:tcBorders>
            <w:shd w:val="clear" w:color="000000" w:fill="FFFFFF"/>
            <w:noWrap w:val="0"/>
            <w:vAlign w:val="center"/>
          </w:tcPr>
          <w:p w14:paraId="2491C57A">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材料（工程设备）暂估价</w:t>
            </w:r>
          </w:p>
        </w:tc>
        <w:tc>
          <w:tcPr>
            <w:tcW w:w="3290" w:type="dxa"/>
            <w:tcBorders>
              <w:top w:val="single" w:color="000000" w:sz="4" w:space="0"/>
              <w:left w:val="single" w:color="000000" w:sz="4" w:space="0"/>
              <w:bottom w:val="nil"/>
              <w:right w:val="nil"/>
            </w:tcBorders>
            <w:shd w:val="clear" w:color="000000" w:fill="FFFFFF"/>
            <w:noWrap w:val="0"/>
            <w:vAlign w:val="center"/>
          </w:tcPr>
          <w:p w14:paraId="6194CEBF">
            <w:pPr>
              <w:widowControl/>
              <w:ind w:left="0" w:leftChars="0" w:firstLine="0" w:firstLineChars="0"/>
              <w:jc w:val="both"/>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rPr>
              <w:t>按招标文件规定额度列计</w:t>
            </w:r>
          </w:p>
          <w:p w14:paraId="5FD60513">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(或计入综合单价)</w:t>
            </w:r>
          </w:p>
        </w:tc>
        <w:tc>
          <w:tcPr>
            <w:tcW w:w="1246" w:type="dxa"/>
            <w:tcBorders>
              <w:top w:val="single" w:color="000000" w:sz="4" w:space="0"/>
              <w:left w:val="single" w:color="000000" w:sz="4" w:space="0"/>
              <w:bottom w:val="nil"/>
              <w:right w:val="nil"/>
            </w:tcBorders>
            <w:shd w:val="clear" w:color="000000" w:fill="FFFFFF"/>
            <w:noWrap/>
            <w:vAlign w:val="center"/>
          </w:tcPr>
          <w:p w14:paraId="0CC669FA">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333" w:type="dxa"/>
            <w:tcBorders>
              <w:top w:val="single" w:color="000000" w:sz="4" w:space="0"/>
              <w:left w:val="single" w:color="000000" w:sz="4" w:space="0"/>
              <w:bottom w:val="nil"/>
              <w:right w:val="single" w:color="000000" w:sz="4" w:space="0"/>
            </w:tcBorders>
            <w:shd w:val="clear" w:color="000000" w:fill="FFFFFF"/>
            <w:noWrap w:val="0"/>
            <w:vAlign w:val="center"/>
          </w:tcPr>
          <w:p w14:paraId="6BC85462">
            <w:pPr>
              <w:widowControl/>
              <w:jc w:val="left"/>
              <w:rPr>
                <w:rFonts w:hint="eastAsia" w:ascii="宋体" w:hAnsi="宋体" w:eastAsia="宋体" w:cs="宋体"/>
                <w:color w:val="auto"/>
                <w:kern w:val="0"/>
                <w:sz w:val="18"/>
                <w:szCs w:val="18"/>
                <w:highlight w:val="none"/>
              </w:rPr>
            </w:pPr>
          </w:p>
        </w:tc>
      </w:tr>
      <w:tr w14:paraId="10C56578">
        <w:tblPrEx>
          <w:tblCellMar>
            <w:top w:w="0" w:type="dxa"/>
            <w:left w:w="108" w:type="dxa"/>
            <w:bottom w:w="0" w:type="dxa"/>
            <w:right w:w="108" w:type="dxa"/>
          </w:tblCellMar>
        </w:tblPrEx>
        <w:trPr>
          <w:trHeight w:val="480" w:hRule="atLeast"/>
        </w:trPr>
        <w:tc>
          <w:tcPr>
            <w:tcW w:w="666" w:type="dxa"/>
            <w:tcBorders>
              <w:top w:val="single" w:color="000000" w:sz="4" w:space="0"/>
              <w:left w:val="single" w:color="000000" w:sz="4" w:space="0"/>
              <w:bottom w:val="nil"/>
              <w:right w:val="single" w:color="000000" w:sz="4" w:space="0"/>
            </w:tcBorders>
            <w:shd w:val="clear" w:color="000000" w:fill="FFFFFF"/>
            <w:noWrap w:val="0"/>
            <w:vAlign w:val="center"/>
          </w:tcPr>
          <w:p w14:paraId="2D70386D">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3.2.2</w:t>
            </w:r>
          </w:p>
        </w:tc>
        <w:tc>
          <w:tcPr>
            <w:tcW w:w="698" w:type="dxa"/>
            <w:vMerge w:val="continue"/>
            <w:tcBorders>
              <w:top w:val="single" w:color="000000" w:sz="4" w:space="0"/>
              <w:left w:val="single" w:color="000000" w:sz="4" w:space="0"/>
              <w:bottom w:val="nil"/>
              <w:right w:val="nil"/>
            </w:tcBorders>
            <w:shd w:val="clear" w:color="auto" w:fill="auto"/>
            <w:noWrap w:val="0"/>
            <w:vAlign w:val="center"/>
          </w:tcPr>
          <w:p w14:paraId="2CA02396">
            <w:pPr>
              <w:widowControl/>
              <w:jc w:val="left"/>
              <w:rPr>
                <w:rFonts w:hint="eastAsia" w:ascii="宋体" w:hAnsi="宋体" w:eastAsia="宋体" w:cs="宋体"/>
                <w:color w:val="auto"/>
                <w:kern w:val="0"/>
                <w:sz w:val="18"/>
                <w:szCs w:val="18"/>
                <w:highlight w:val="none"/>
              </w:rPr>
            </w:pPr>
          </w:p>
        </w:tc>
        <w:tc>
          <w:tcPr>
            <w:tcW w:w="2195" w:type="dxa"/>
            <w:tcBorders>
              <w:top w:val="single" w:color="000000" w:sz="4" w:space="0"/>
              <w:left w:val="single" w:color="000000" w:sz="4" w:space="0"/>
              <w:bottom w:val="nil"/>
              <w:right w:val="nil"/>
            </w:tcBorders>
            <w:shd w:val="clear" w:color="000000" w:fill="FFFFFF"/>
            <w:noWrap w:val="0"/>
            <w:vAlign w:val="center"/>
          </w:tcPr>
          <w:p w14:paraId="6C9D663E">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专业工程暂估价</w:t>
            </w:r>
          </w:p>
        </w:tc>
        <w:tc>
          <w:tcPr>
            <w:tcW w:w="3290" w:type="dxa"/>
            <w:tcBorders>
              <w:top w:val="single" w:color="000000" w:sz="4" w:space="0"/>
              <w:left w:val="single" w:color="000000" w:sz="4" w:space="0"/>
              <w:bottom w:val="nil"/>
              <w:right w:val="nil"/>
            </w:tcBorders>
            <w:shd w:val="clear" w:color="000000" w:fill="FFFFFF"/>
            <w:noWrap w:val="0"/>
            <w:vAlign w:val="center"/>
          </w:tcPr>
          <w:p w14:paraId="61BBFD17">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按招标文件规定额度列计</w:t>
            </w:r>
          </w:p>
        </w:tc>
        <w:tc>
          <w:tcPr>
            <w:tcW w:w="1246" w:type="dxa"/>
            <w:tcBorders>
              <w:top w:val="single" w:color="000000" w:sz="4" w:space="0"/>
              <w:left w:val="single" w:color="000000" w:sz="4" w:space="0"/>
              <w:bottom w:val="nil"/>
              <w:right w:val="nil"/>
            </w:tcBorders>
            <w:shd w:val="clear" w:color="000000" w:fill="FFFFFF"/>
            <w:noWrap/>
            <w:vAlign w:val="center"/>
          </w:tcPr>
          <w:p w14:paraId="52C2CECE">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333" w:type="dxa"/>
            <w:tcBorders>
              <w:top w:val="single" w:color="000000" w:sz="4" w:space="0"/>
              <w:left w:val="single" w:color="000000" w:sz="4" w:space="0"/>
              <w:bottom w:val="nil"/>
              <w:right w:val="single" w:color="000000" w:sz="4" w:space="0"/>
            </w:tcBorders>
            <w:shd w:val="clear" w:color="000000" w:fill="FFFFFF"/>
            <w:noWrap w:val="0"/>
            <w:vAlign w:val="center"/>
          </w:tcPr>
          <w:p w14:paraId="17EFB553">
            <w:pPr>
              <w:widowControl/>
              <w:jc w:val="left"/>
              <w:rPr>
                <w:rFonts w:hint="eastAsia" w:ascii="宋体" w:hAnsi="宋体" w:eastAsia="宋体" w:cs="宋体"/>
                <w:color w:val="auto"/>
                <w:kern w:val="0"/>
                <w:sz w:val="18"/>
                <w:szCs w:val="18"/>
                <w:highlight w:val="none"/>
              </w:rPr>
            </w:pPr>
          </w:p>
        </w:tc>
      </w:tr>
      <w:tr w14:paraId="53591C9E">
        <w:tblPrEx>
          <w:tblCellMar>
            <w:top w:w="0" w:type="dxa"/>
            <w:left w:w="108" w:type="dxa"/>
            <w:bottom w:w="0" w:type="dxa"/>
            <w:right w:w="108" w:type="dxa"/>
          </w:tblCellMar>
        </w:tblPrEx>
        <w:trPr>
          <w:trHeight w:val="480" w:hRule="atLeast"/>
        </w:trPr>
        <w:tc>
          <w:tcPr>
            <w:tcW w:w="666" w:type="dxa"/>
            <w:tcBorders>
              <w:top w:val="single" w:color="000000" w:sz="4" w:space="0"/>
              <w:left w:val="single" w:color="000000" w:sz="4" w:space="0"/>
              <w:bottom w:val="nil"/>
              <w:right w:val="single" w:color="000000" w:sz="4" w:space="0"/>
            </w:tcBorders>
            <w:shd w:val="clear" w:color="000000" w:fill="FFFFFF"/>
            <w:noWrap w:val="0"/>
            <w:vAlign w:val="center"/>
          </w:tcPr>
          <w:p w14:paraId="38968F74">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3.2.3</w:t>
            </w:r>
          </w:p>
        </w:tc>
        <w:tc>
          <w:tcPr>
            <w:tcW w:w="698" w:type="dxa"/>
            <w:vMerge w:val="continue"/>
            <w:tcBorders>
              <w:top w:val="single" w:color="000000" w:sz="4" w:space="0"/>
              <w:left w:val="single" w:color="000000" w:sz="4" w:space="0"/>
              <w:bottom w:val="nil"/>
              <w:right w:val="nil"/>
            </w:tcBorders>
            <w:shd w:val="clear" w:color="auto" w:fill="auto"/>
            <w:noWrap w:val="0"/>
            <w:vAlign w:val="center"/>
          </w:tcPr>
          <w:p w14:paraId="14C90081">
            <w:pPr>
              <w:widowControl/>
              <w:jc w:val="left"/>
              <w:rPr>
                <w:rFonts w:hint="eastAsia" w:ascii="宋体" w:hAnsi="宋体" w:eastAsia="宋体" w:cs="宋体"/>
                <w:color w:val="auto"/>
                <w:kern w:val="0"/>
                <w:sz w:val="18"/>
                <w:szCs w:val="18"/>
                <w:highlight w:val="none"/>
              </w:rPr>
            </w:pPr>
          </w:p>
        </w:tc>
        <w:tc>
          <w:tcPr>
            <w:tcW w:w="2195" w:type="dxa"/>
            <w:tcBorders>
              <w:top w:val="single" w:color="000000" w:sz="4" w:space="0"/>
              <w:left w:val="single" w:color="000000" w:sz="4" w:space="0"/>
              <w:bottom w:val="nil"/>
              <w:right w:val="nil"/>
            </w:tcBorders>
            <w:shd w:val="clear" w:color="000000" w:fill="FFFFFF"/>
            <w:noWrap w:val="0"/>
            <w:vAlign w:val="center"/>
          </w:tcPr>
          <w:p w14:paraId="4E0BE530">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专项技术措施暂估价</w:t>
            </w:r>
          </w:p>
        </w:tc>
        <w:tc>
          <w:tcPr>
            <w:tcW w:w="3290" w:type="dxa"/>
            <w:tcBorders>
              <w:top w:val="single" w:color="000000" w:sz="4" w:space="0"/>
              <w:left w:val="single" w:color="000000" w:sz="4" w:space="0"/>
              <w:bottom w:val="nil"/>
              <w:right w:val="nil"/>
            </w:tcBorders>
            <w:shd w:val="clear" w:color="000000" w:fill="FFFFFF"/>
            <w:noWrap w:val="0"/>
            <w:vAlign w:val="center"/>
          </w:tcPr>
          <w:p w14:paraId="30C6DFFC">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按招标文件规定额度列计</w:t>
            </w:r>
          </w:p>
        </w:tc>
        <w:tc>
          <w:tcPr>
            <w:tcW w:w="1246" w:type="dxa"/>
            <w:tcBorders>
              <w:top w:val="single" w:color="000000" w:sz="4" w:space="0"/>
              <w:left w:val="single" w:color="000000" w:sz="4" w:space="0"/>
              <w:bottom w:val="nil"/>
              <w:right w:val="nil"/>
            </w:tcBorders>
            <w:shd w:val="clear" w:color="000000" w:fill="FFFFFF"/>
            <w:noWrap/>
            <w:vAlign w:val="center"/>
          </w:tcPr>
          <w:p w14:paraId="73D7BA22">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333" w:type="dxa"/>
            <w:tcBorders>
              <w:top w:val="single" w:color="000000" w:sz="4" w:space="0"/>
              <w:left w:val="single" w:color="000000" w:sz="4" w:space="0"/>
              <w:bottom w:val="nil"/>
              <w:right w:val="single" w:color="000000" w:sz="4" w:space="0"/>
            </w:tcBorders>
            <w:shd w:val="clear" w:color="000000" w:fill="FFFFFF"/>
            <w:noWrap w:val="0"/>
            <w:vAlign w:val="center"/>
          </w:tcPr>
          <w:p w14:paraId="53159770">
            <w:pPr>
              <w:widowControl/>
              <w:jc w:val="left"/>
              <w:rPr>
                <w:rFonts w:hint="eastAsia" w:ascii="宋体" w:hAnsi="宋体" w:eastAsia="宋体" w:cs="宋体"/>
                <w:color w:val="auto"/>
                <w:kern w:val="0"/>
                <w:sz w:val="18"/>
                <w:szCs w:val="18"/>
                <w:highlight w:val="none"/>
              </w:rPr>
            </w:pPr>
          </w:p>
        </w:tc>
      </w:tr>
      <w:tr w14:paraId="200549D8">
        <w:tblPrEx>
          <w:tblCellMar>
            <w:top w:w="0" w:type="dxa"/>
            <w:left w:w="108" w:type="dxa"/>
            <w:bottom w:w="0" w:type="dxa"/>
            <w:right w:w="108" w:type="dxa"/>
          </w:tblCellMar>
        </w:tblPrEx>
        <w:trPr>
          <w:trHeight w:val="480" w:hRule="atLeast"/>
        </w:trPr>
        <w:tc>
          <w:tcPr>
            <w:tcW w:w="666" w:type="dxa"/>
            <w:tcBorders>
              <w:top w:val="single" w:color="000000" w:sz="4" w:space="0"/>
              <w:left w:val="single" w:color="000000" w:sz="4" w:space="0"/>
              <w:bottom w:val="nil"/>
              <w:right w:val="nil"/>
            </w:tcBorders>
            <w:shd w:val="clear" w:color="000000" w:fill="FFFFFF"/>
            <w:noWrap w:val="0"/>
            <w:vAlign w:val="center"/>
          </w:tcPr>
          <w:p w14:paraId="573F9598">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3.3</w:t>
            </w:r>
          </w:p>
        </w:tc>
        <w:tc>
          <w:tcPr>
            <w:tcW w:w="2893" w:type="dxa"/>
            <w:gridSpan w:val="2"/>
            <w:tcBorders>
              <w:top w:val="single" w:color="000000" w:sz="4" w:space="0"/>
              <w:left w:val="single" w:color="000000" w:sz="4" w:space="0"/>
              <w:bottom w:val="nil"/>
              <w:right w:val="nil"/>
            </w:tcBorders>
            <w:shd w:val="clear" w:color="000000" w:fill="FFFFFF"/>
            <w:noWrap w:val="0"/>
            <w:vAlign w:val="center"/>
          </w:tcPr>
          <w:p w14:paraId="4BC0594D">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计日工</w:t>
            </w:r>
          </w:p>
        </w:tc>
        <w:tc>
          <w:tcPr>
            <w:tcW w:w="3290" w:type="dxa"/>
            <w:tcBorders>
              <w:top w:val="single" w:color="000000" w:sz="4" w:space="0"/>
              <w:left w:val="single" w:color="000000" w:sz="4" w:space="0"/>
              <w:bottom w:val="nil"/>
              <w:right w:val="nil"/>
            </w:tcBorders>
            <w:shd w:val="clear" w:color="000000" w:fill="FFFFFF"/>
            <w:noWrap w:val="0"/>
            <w:vAlign w:val="center"/>
          </w:tcPr>
          <w:p w14:paraId="6C2D6D74">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∑计日工(暂估数量×综合单价）</w:t>
            </w:r>
          </w:p>
        </w:tc>
        <w:tc>
          <w:tcPr>
            <w:tcW w:w="1246" w:type="dxa"/>
            <w:tcBorders>
              <w:top w:val="single" w:color="000000" w:sz="4" w:space="0"/>
              <w:left w:val="single" w:color="000000" w:sz="4" w:space="0"/>
              <w:bottom w:val="nil"/>
              <w:right w:val="nil"/>
            </w:tcBorders>
            <w:shd w:val="clear" w:color="000000" w:fill="FFFFFF"/>
            <w:noWrap/>
            <w:vAlign w:val="center"/>
          </w:tcPr>
          <w:p w14:paraId="0D47B33E">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333" w:type="dxa"/>
            <w:tcBorders>
              <w:top w:val="single" w:color="000000" w:sz="4" w:space="0"/>
              <w:left w:val="single" w:color="000000" w:sz="4" w:space="0"/>
              <w:bottom w:val="nil"/>
              <w:right w:val="single" w:color="000000" w:sz="4" w:space="0"/>
            </w:tcBorders>
            <w:shd w:val="clear" w:color="000000" w:fill="FFFFFF"/>
            <w:noWrap w:val="0"/>
            <w:vAlign w:val="center"/>
          </w:tcPr>
          <w:p w14:paraId="6582CBBB">
            <w:pPr>
              <w:widowControl/>
              <w:jc w:val="left"/>
              <w:rPr>
                <w:rFonts w:hint="eastAsia" w:ascii="宋体" w:hAnsi="宋体" w:eastAsia="宋体" w:cs="宋体"/>
                <w:color w:val="auto"/>
                <w:kern w:val="0"/>
                <w:sz w:val="18"/>
                <w:szCs w:val="18"/>
                <w:highlight w:val="none"/>
              </w:rPr>
            </w:pPr>
          </w:p>
        </w:tc>
      </w:tr>
      <w:tr w14:paraId="78D9FEE7">
        <w:tblPrEx>
          <w:tblCellMar>
            <w:top w:w="0" w:type="dxa"/>
            <w:left w:w="108" w:type="dxa"/>
            <w:bottom w:w="0" w:type="dxa"/>
            <w:right w:w="108" w:type="dxa"/>
          </w:tblCellMar>
        </w:tblPrEx>
        <w:trPr>
          <w:trHeight w:val="480" w:hRule="atLeast"/>
        </w:trPr>
        <w:tc>
          <w:tcPr>
            <w:tcW w:w="666" w:type="dxa"/>
            <w:tcBorders>
              <w:top w:val="single" w:color="000000" w:sz="4" w:space="0"/>
              <w:left w:val="single" w:color="000000" w:sz="4" w:space="0"/>
              <w:bottom w:val="nil"/>
              <w:right w:val="nil"/>
            </w:tcBorders>
            <w:shd w:val="clear" w:color="000000" w:fill="FFFFFF"/>
            <w:noWrap w:val="0"/>
            <w:vAlign w:val="center"/>
          </w:tcPr>
          <w:p w14:paraId="7A49DB62">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3.4</w:t>
            </w:r>
          </w:p>
        </w:tc>
        <w:tc>
          <w:tcPr>
            <w:tcW w:w="2893" w:type="dxa"/>
            <w:gridSpan w:val="2"/>
            <w:tcBorders>
              <w:top w:val="single" w:color="000000" w:sz="4" w:space="0"/>
              <w:left w:val="single" w:color="000000" w:sz="4" w:space="0"/>
              <w:bottom w:val="nil"/>
              <w:right w:val="nil"/>
            </w:tcBorders>
            <w:shd w:val="clear" w:color="000000" w:fill="FFFFFF"/>
            <w:noWrap w:val="0"/>
            <w:vAlign w:val="center"/>
          </w:tcPr>
          <w:p w14:paraId="6172A550">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施工总承包服务费</w:t>
            </w:r>
          </w:p>
        </w:tc>
        <w:tc>
          <w:tcPr>
            <w:tcW w:w="3290" w:type="dxa"/>
            <w:tcBorders>
              <w:top w:val="single" w:color="000000" w:sz="4" w:space="0"/>
              <w:left w:val="single" w:color="000000" w:sz="4" w:space="0"/>
              <w:bottom w:val="nil"/>
              <w:right w:val="nil"/>
            </w:tcBorders>
            <w:shd w:val="clear" w:color="000000" w:fill="FFFFFF"/>
            <w:noWrap w:val="0"/>
            <w:vAlign w:val="center"/>
          </w:tcPr>
          <w:p w14:paraId="5DA191BA">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3.4.1+3.4.2</w:t>
            </w:r>
          </w:p>
        </w:tc>
        <w:tc>
          <w:tcPr>
            <w:tcW w:w="1246" w:type="dxa"/>
            <w:tcBorders>
              <w:top w:val="single" w:color="000000" w:sz="4" w:space="0"/>
              <w:left w:val="single" w:color="000000" w:sz="4" w:space="0"/>
              <w:bottom w:val="nil"/>
              <w:right w:val="nil"/>
            </w:tcBorders>
            <w:shd w:val="clear" w:color="000000" w:fill="FFFFFF"/>
            <w:noWrap/>
            <w:vAlign w:val="center"/>
          </w:tcPr>
          <w:p w14:paraId="22B3CB9B">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333" w:type="dxa"/>
            <w:tcBorders>
              <w:top w:val="single" w:color="000000" w:sz="4" w:space="0"/>
              <w:left w:val="single" w:color="000000" w:sz="4" w:space="0"/>
              <w:bottom w:val="nil"/>
              <w:right w:val="single" w:color="000000" w:sz="4" w:space="0"/>
            </w:tcBorders>
            <w:shd w:val="clear" w:color="000000" w:fill="FFFFFF"/>
            <w:noWrap w:val="0"/>
            <w:vAlign w:val="center"/>
          </w:tcPr>
          <w:p w14:paraId="201DEC1B">
            <w:pPr>
              <w:widowControl/>
              <w:jc w:val="left"/>
              <w:rPr>
                <w:rFonts w:hint="eastAsia" w:ascii="宋体" w:hAnsi="宋体" w:eastAsia="宋体" w:cs="宋体"/>
                <w:color w:val="auto"/>
                <w:kern w:val="0"/>
                <w:sz w:val="18"/>
                <w:szCs w:val="18"/>
                <w:highlight w:val="none"/>
              </w:rPr>
            </w:pPr>
          </w:p>
        </w:tc>
      </w:tr>
      <w:tr w14:paraId="62297257">
        <w:tblPrEx>
          <w:tblCellMar>
            <w:top w:w="0" w:type="dxa"/>
            <w:left w:w="108" w:type="dxa"/>
            <w:bottom w:w="0" w:type="dxa"/>
            <w:right w:w="108" w:type="dxa"/>
          </w:tblCellMar>
        </w:tblPrEx>
        <w:trPr>
          <w:trHeight w:val="480" w:hRule="atLeast"/>
        </w:trPr>
        <w:tc>
          <w:tcPr>
            <w:tcW w:w="666" w:type="dxa"/>
            <w:tcBorders>
              <w:top w:val="single" w:color="000000" w:sz="4" w:space="0"/>
              <w:left w:val="single" w:color="000000" w:sz="4" w:space="0"/>
              <w:bottom w:val="nil"/>
              <w:right w:val="nil"/>
            </w:tcBorders>
            <w:shd w:val="clear" w:color="000000" w:fill="FFFFFF"/>
            <w:noWrap w:val="0"/>
            <w:vAlign w:val="center"/>
          </w:tcPr>
          <w:p w14:paraId="639A71D0">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3.4.1</w:t>
            </w:r>
          </w:p>
        </w:tc>
        <w:tc>
          <w:tcPr>
            <w:tcW w:w="698" w:type="dxa"/>
            <w:vMerge w:val="restart"/>
            <w:tcBorders>
              <w:top w:val="single" w:color="000000" w:sz="4" w:space="0"/>
              <w:left w:val="single" w:color="000000" w:sz="4" w:space="0"/>
              <w:bottom w:val="nil"/>
              <w:right w:val="nil"/>
            </w:tcBorders>
            <w:shd w:val="clear" w:color="000000" w:fill="FFFFFF"/>
            <w:noWrap w:val="0"/>
            <w:vAlign w:val="center"/>
          </w:tcPr>
          <w:p w14:paraId="1A5E870E">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其中</w:t>
            </w:r>
          </w:p>
        </w:tc>
        <w:tc>
          <w:tcPr>
            <w:tcW w:w="2195" w:type="dxa"/>
            <w:tcBorders>
              <w:top w:val="single" w:color="000000" w:sz="4" w:space="0"/>
              <w:left w:val="single" w:color="000000" w:sz="4" w:space="0"/>
              <w:bottom w:val="nil"/>
              <w:right w:val="nil"/>
            </w:tcBorders>
            <w:shd w:val="clear" w:color="000000" w:fill="FFFFFF"/>
            <w:noWrap w:val="0"/>
            <w:vAlign w:val="center"/>
          </w:tcPr>
          <w:p w14:paraId="48DEEA5D">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专业发包工程管理费</w:t>
            </w:r>
          </w:p>
        </w:tc>
        <w:tc>
          <w:tcPr>
            <w:tcW w:w="3290" w:type="dxa"/>
            <w:tcBorders>
              <w:top w:val="single" w:color="000000" w:sz="4" w:space="0"/>
              <w:left w:val="single" w:color="000000" w:sz="4" w:space="0"/>
              <w:bottom w:val="nil"/>
              <w:right w:val="nil"/>
            </w:tcBorders>
            <w:shd w:val="clear" w:color="000000" w:fill="FFFFFF"/>
            <w:noWrap w:val="0"/>
            <w:vAlign w:val="center"/>
          </w:tcPr>
          <w:p w14:paraId="28685106">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∑专业发包工程（暂估金额×费率）</w:t>
            </w:r>
          </w:p>
        </w:tc>
        <w:tc>
          <w:tcPr>
            <w:tcW w:w="1246" w:type="dxa"/>
            <w:tcBorders>
              <w:top w:val="single" w:color="000000" w:sz="4" w:space="0"/>
              <w:left w:val="single" w:color="000000" w:sz="4" w:space="0"/>
              <w:bottom w:val="nil"/>
              <w:right w:val="nil"/>
            </w:tcBorders>
            <w:shd w:val="clear" w:color="000000" w:fill="FFFFFF"/>
            <w:noWrap/>
            <w:vAlign w:val="center"/>
          </w:tcPr>
          <w:p w14:paraId="3BACCFD8">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333" w:type="dxa"/>
            <w:tcBorders>
              <w:top w:val="single" w:color="000000" w:sz="4" w:space="0"/>
              <w:left w:val="single" w:color="000000" w:sz="4" w:space="0"/>
              <w:bottom w:val="nil"/>
              <w:right w:val="single" w:color="000000" w:sz="4" w:space="0"/>
            </w:tcBorders>
            <w:shd w:val="clear" w:color="000000" w:fill="FFFFFF"/>
            <w:noWrap w:val="0"/>
            <w:vAlign w:val="center"/>
          </w:tcPr>
          <w:p w14:paraId="4504314D">
            <w:pPr>
              <w:widowControl/>
              <w:jc w:val="left"/>
              <w:rPr>
                <w:rFonts w:hint="eastAsia" w:ascii="宋体" w:hAnsi="宋体" w:eastAsia="宋体" w:cs="宋体"/>
                <w:color w:val="auto"/>
                <w:kern w:val="0"/>
                <w:sz w:val="18"/>
                <w:szCs w:val="18"/>
                <w:highlight w:val="none"/>
              </w:rPr>
            </w:pPr>
          </w:p>
        </w:tc>
      </w:tr>
      <w:tr w14:paraId="1D6CD135">
        <w:tblPrEx>
          <w:tblCellMar>
            <w:top w:w="0" w:type="dxa"/>
            <w:left w:w="108" w:type="dxa"/>
            <w:bottom w:w="0" w:type="dxa"/>
            <w:right w:w="108" w:type="dxa"/>
          </w:tblCellMar>
        </w:tblPrEx>
        <w:trPr>
          <w:trHeight w:val="480" w:hRule="atLeast"/>
        </w:trPr>
        <w:tc>
          <w:tcPr>
            <w:tcW w:w="666" w:type="dxa"/>
            <w:tcBorders>
              <w:top w:val="single" w:color="000000" w:sz="4" w:space="0"/>
              <w:left w:val="single" w:color="000000" w:sz="4" w:space="0"/>
              <w:bottom w:val="nil"/>
              <w:right w:val="single" w:color="000000" w:sz="4" w:space="0"/>
            </w:tcBorders>
            <w:shd w:val="clear" w:color="000000" w:fill="FFFFFF"/>
            <w:noWrap w:val="0"/>
            <w:vAlign w:val="center"/>
          </w:tcPr>
          <w:p w14:paraId="584E1516">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3.4.2</w:t>
            </w:r>
          </w:p>
        </w:tc>
        <w:tc>
          <w:tcPr>
            <w:tcW w:w="698" w:type="dxa"/>
            <w:vMerge w:val="continue"/>
            <w:tcBorders>
              <w:top w:val="single" w:color="000000" w:sz="4" w:space="0"/>
              <w:left w:val="single" w:color="000000" w:sz="4" w:space="0"/>
              <w:bottom w:val="nil"/>
              <w:right w:val="nil"/>
            </w:tcBorders>
            <w:shd w:val="clear" w:color="auto" w:fill="auto"/>
            <w:noWrap w:val="0"/>
            <w:vAlign w:val="center"/>
          </w:tcPr>
          <w:p w14:paraId="5E48BBF3">
            <w:pPr>
              <w:widowControl/>
              <w:jc w:val="left"/>
              <w:rPr>
                <w:rFonts w:hint="eastAsia" w:ascii="宋体" w:hAnsi="宋体" w:eastAsia="宋体" w:cs="宋体"/>
                <w:color w:val="auto"/>
                <w:kern w:val="0"/>
                <w:sz w:val="18"/>
                <w:szCs w:val="18"/>
                <w:highlight w:val="none"/>
              </w:rPr>
            </w:pPr>
          </w:p>
        </w:tc>
        <w:tc>
          <w:tcPr>
            <w:tcW w:w="2195" w:type="dxa"/>
            <w:tcBorders>
              <w:top w:val="single" w:color="000000" w:sz="4" w:space="0"/>
              <w:left w:val="single" w:color="000000" w:sz="4" w:space="0"/>
              <w:bottom w:val="nil"/>
              <w:right w:val="nil"/>
            </w:tcBorders>
            <w:shd w:val="clear" w:color="000000" w:fill="FFFFFF"/>
            <w:noWrap w:val="0"/>
            <w:vAlign w:val="center"/>
          </w:tcPr>
          <w:p w14:paraId="5A11B22E">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甲供材料设备管理费</w:t>
            </w:r>
          </w:p>
        </w:tc>
        <w:tc>
          <w:tcPr>
            <w:tcW w:w="3290" w:type="dxa"/>
            <w:tcBorders>
              <w:top w:val="single" w:color="000000" w:sz="4" w:space="0"/>
              <w:left w:val="single" w:color="000000" w:sz="4" w:space="0"/>
              <w:bottom w:val="nil"/>
              <w:right w:val="nil"/>
            </w:tcBorders>
            <w:shd w:val="clear" w:color="000000" w:fill="FFFFFF"/>
            <w:noWrap w:val="0"/>
            <w:vAlign w:val="center"/>
          </w:tcPr>
          <w:p w14:paraId="4F2C37B6">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甲供材料暂估金额×费率+甲供设备暂估金额×费率</w:t>
            </w:r>
          </w:p>
        </w:tc>
        <w:tc>
          <w:tcPr>
            <w:tcW w:w="1246" w:type="dxa"/>
            <w:tcBorders>
              <w:top w:val="single" w:color="000000" w:sz="4" w:space="0"/>
              <w:left w:val="single" w:color="000000" w:sz="4" w:space="0"/>
              <w:bottom w:val="nil"/>
              <w:right w:val="nil"/>
            </w:tcBorders>
            <w:shd w:val="clear" w:color="000000" w:fill="FFFFFF"/>
            <w:noWrap/>
            <w:vAlign w:val="center"/>
          </w:tcPr>
          <w:p w14:paraId="3B2C8EEF">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333" w:type="dxa"/>
            <w:tcBorders>
              <w:top w:val="single" w:color="000000" w:sz="4" w:space="0"/>
              <w:left w:val="single" w:color="000000" w:sz="4" w:space="0"/>
              <w:bottom w:val="nil"/>
              <w:right w:val="single" w:color="000000" w:sz="4" w:space="0"/>
            </w:tcBorders>
            <w:shd w:val="clear" w:color="000000" w:fill="FFFFFF"/>
            <w:noWrap w:val="0"/>
            <w:vAlign w:val="center"/>
          </w:tcPr>
          <w:p w14:paraId="0D4269BE">
            <w:pPr>
              <w:widowControl/>
              <w:jc w:val="left"/>
              <w:rPr>
                <w:rFonts w:hint="eastAsia" w:ascii="宋体" w:hAnsi="宋体" w:eastAsia="宋体" w:cs="宋体"/>
                <w:color w:val="auto"/>
                <w:kern w:val="0"/>
                <w:sz w:val="18"/>
                <w:szCs w:val="18"/>
                <w:highlight w:val="none"/>
              </w:rPr>
            </w:pPr>
          </w:p>
        </w:tc>
      </w:tr>
      <w:tr w14:paraId="6E7E9079">
        <w:tblPrEx>
          <w:tblCellMar>
            <w:top w:w="0" w:type="dxa"/>
            <w:left w:w="108" w:type="dxa"/>
            <w:bottom w:w="0" w:type="dxa"/>
            <w:right w:w="108" w:type="dxa"/>
          </w:tblCellMar>
        </w:tblPrEx>
        <w:trPr>
          <w:trHeight w:val="465" w:hRule="atLeast"/>
        </w:trPr>
        <w:tc>
          <w:tcPr>
            <w:tcW w:w="666" w:type="dxa"/>
            <w:tcBorders>
              <w:top w:val="single" w:color="000000" w:sz="4" w:space="0"/>
              <w:left w:val="single" w:color="000000" w:sz="4" w:space="0"/>
              <w:bottom w:val="nil"/>
              <w:right w:val="nil"/>
            </w:tcBorders>
            <w:shd w:val="clear" w:color="000000" w:fill="FFFFFF"/>
            <w:noWrap w:val="0"/>
            <w:vAlign w:val="center"/>
          </w:tcPr>
          <w:p w14:paraId="52E1753C">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4</w:t>
            </w:r>
          </w:p>
        </w:tc>
        <w:tc>
          <w:tcPr>
            <w:tcW w:w="2893" w:type="dxa"/>
            <w:gridSpan w:val="2"/>
            <w:tcBorders>
              <w:top w:val="single" w:color="000000" w:sz="4" w:space="0"/>
              <w:left w:val="single" w:color="000000" w:sz="4" w:space="0"/>
              <w:bottom w:val="nil"/>
              <w:right w:val="nil"/>
            </w:tcBorders>
            <w:shd w:val="clear" w:color="000000" w:fill="FFFFFF"/>
            <w:noWrap w:val="0"/>
            <w:vAlign w:val="center"/>
          </w:tcPr>
          <w:p w14:paraId="4C63799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规费</w:t>
            </w:r>
          </w:p>
        </w:tc>
        <w:tc>
          <w:tcPr>
            <w:tcW w:w="3290" w:type="dxa"/>
            <w:tcBorders>
              <w:top w:val="single" w:color="000000" w:sz="4" w:space="0"/>
              <w:left w:val="single" w:color="000000" w:sz="4" w:space="0"/>
              <w:bottom w:val="nil"/>
              <w:right w:val="nil"/>
            </w:tcBorders>
            <w:shd w:val="clear" w:color="000000" w:fill="FFFFFF"/>
            <w:noWrap w:val="0"/>
            <w:vAlign w:val="center"/>
          </w:tcPr>
          <w:p w14:paraId="3511C0C3">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(1.1+2.1.1)×费率</w:t>
            </w:r>
          </w:p>
        </w:tc>
        <w:tc>
          <w:tcPr>
            <w:tcW w:w="1246" w:type="dxa"/>
            <w:tcBorders>
              <w:top w:val="single" w:color="000000" w:sz="4" w:space="0"/>
              <w:left w:val="single" w:color="000000" w:sz="4" w:space="0"/>
              <w:bottom w:val="nil"/>
              <w:right w:val="nil"/>
            </w:tcBorders>
            <w:shd w:val="clear" w:color="000000" w:fill="FFFFFF"/>
            <w:noWrap/>
            <w:vAlign w:val="center"/>
          </w:tcPr>
          <w:p w14:paraId="7F5346F9">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333" w:type="dxa"/>
            <w:tcBorders>
              <w:top w:val="single" w:color="000000" w:sz="4" w:space="0"/>
              <w:left w:val="single" w:color="000000" w:sz="4" w:space="0"/>
              <w:bottom w:val="nil"/>
              <w:right w:val="single" w:color="000000" w:sz="4" w:space="0"/>
            </w:tcBorders>
            <w:shd w:val="clear" w:color="000000" w:fill="FFFFFF"/>
            <w:noWrap w:val="0"/>
            <w:vAlign w:val="center"/>
          </w:tcPr>
          <w:p w14:paraId="6B49DBD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251223B5">
        <w:tblPrEx>
          <w:tblCellMar>
            <w:top w:w="0" w:type="dxa"/>
            <w:left w:w="108" w:type="dxa"/>
            <w:bottom w:w="0" w:type="dxa"/>
            <w:right w:w="108" w:type="dxa"/>
          </w:tblCellMar>
        </w:tblPrEx>
        <w:trPr>
          <w:trHeight w:val="480" w:hRule="atLeast"/>
        </w:trPr>
        <w:tc>
          <w:tcPr>
            <w:tcW w:w="666" w:type="dxa"/>
            <w:tcBorders>
              <w:top w:val="single" w:color="000000" w:sz="4" w:space="0"/>
              <w:left w:val="single" w:color="000000" w:sz="4" w:space="0"/>
              <w:bottom w:val="nil"/>
              <w:right w:val="nil"/>
            </w:tcBorders>
            <w:shd w:val="clear" w:color="000000" w:fill="FFFFFF"/>
            <w:noWrap w:val="0"/>
            <w:vAlign w:val="center"/>
          </w:tcPr>
          <w:p w14:paraId="21EE0274">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w:t>
            </w:r>
          </w:p>
        </w:tc>
        <w:tc>
          <w:tcPr>
            <w:tcW w:w="2893" w:type="dxa"/>
            <w:gridSpan w:val="2"/>
            <w:tcBorders>
              <w:top w:val="single" w:color="000000" w:sz="4" w:space="0"/>
              <w:left w:val="single" w:color="000000" w:sz="4" w:space="0"/>
              <w:bottom w:val="nil"/>
              <w:right w:val="nil"/>
            </w:tcBorders>
            <w:shd w:val="clear" w:color="000000" w:fill="FFFFFF"/>
            <w:noWrap w:val="0"/>
            <w:vAlign w:val="center"/>
          </w:tcPr>
          <w:p w14:paraId="029E207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税金</w:t>
            </w:r>
          </w:p>
        </w:tc>
        <w:tc>
          <w:tcPr>
            <w:tcW w:w="3290" w:type="dxa"/>
            <w:tcBorders>
              <w:top w:val="single" w:color="000000" w:sz="4" w:space="0"/>
              <w:left w:val="single" w:color="000000" w:sz="4" w:space="0"/>
              <w:bottom w:val="nil"/>
              <w:right w:val="nil"/>
            </w:tcBorders>
            <w:shd w:val="clear" w:color="000000" w:fill="FFFFFF"/>
            <w:noWrap w:val="0"/>
            <w:vAlign w:val="center"/>
          </w:tcPr>
          <w:p w14:paraId="3FCEC4C6">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(1+2+3+4+计税不计费)×费率</w:t>
            </w:r>
          </w:p>
        </w:tc>
        <w:tc>
          <w:tcPr>
            <w:tcW w:w="1246" w:type="dxa"/>
            <w:tcBorders>
              <w:top w:val="single" w:color="000000" w:sz="4" w:space="0"/>
              <w:left w:val="single" w:color="000000" w:sz="4" w:space="0"/>
              <w:bottom w:val="nil"/>
              <w:right w:val="nil"/>
            </w:tcBorders>
            <w:shd w:val="clear" w:color="000000" w:fill="FFFFFF"/>
            <w:noWrap/>
            <w:vAlign w:val="center"/>
          </w:tcPr>
          <w:p w14:paraId="0B2768D3">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333" w:type="dxa"/>
            <w:tcBorders>
              <w:top w:val="single" w:color="000000" w:sz="4" w:space="0"/>
              <w:left w:val="single" w:color="000000" w:sz="4" w:space="0"/>
              <w:bottom w:val="nil"/>
              <w:right w:val="single" w:color="000000" w:sz="4" w:space="0"/>
            </w:tcBorders>
            <w:shd w:val="clear" w:color="000000" w:fill="FFFFFF"/>
            <w:noWrap w:val="0"/>
            <w:vAlign w:val="center"/>
          </w:tcPr>
          <w:p w14:paraId="00C54B0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5DB975E5">
        <w:tblPrEx>
          <w:tblCellMar>
            <w:top w:w="0" w:type="dxa"/>
            <w:left w:w="108" w:type="dxa"/>
            <w:bottom w:w="0" w:type="dxa"/>
            <w:right w:w="108" w:type="dxa"/>
          </w:tblCellMar>
        </w:tblPrEx>
        <w:trPr>
          <w:trHeight w:val="380" w:hRule="atLeast"/>
        </w:trPr>
        <w:tc>
          <w:tcPr>
            <w:tcW w:w="3559" w:type="dxa"/>
            <w:gridSpan w:val="3"/>
            <w:tcBorders>
              <w:top w:val="single" w:color="000000" w:sz="4" w:space="0"/>
              <w:left w:val="single" w:color="000000" w:sz="4" w:space="0"/>
              <w:bottom w:val="single" w:color="000000" w:sz="4" w:space="0"/>
              <w:right w:val="nil"/>
            </w:tcBorders>
            <w:shd w:val="clear" w:color="000000" w:fill="FFFFFF"/>
            <w:noWrap w:val="0"/>
            <w:vAlign w:val="center"/>
          </w:tcPr>
          <w:p w14:paraId="64A18570">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投标报价合计</w:t>
            </w:r>
          </w:p>
        </w:tc>
        <w:tc>
          <w:tcPr>
            <w:tcW w:w="3290" w:type="dxa"/>
            <w:tcBorders>
              <w:top w:val="single" w:color="000000" w:sz="4" w:space="0"/>
              <w:left w:val="single" w:color="000000" w:sz="4" w:space="0"/>
              <w:bottom w:val="single" w:color="000000" w:sz="4" w:space="0"/>
              <w:right w:val="nil"/>
            </w:tcBorders>
            <w:shd w:val="clear" w:color="000000" w:fill="FFFFFF"/>
            <w:noWrap w:val="0"/>
            <w:vAlign w:val="center"/>
          </w:tcPr>
          <w:p w14:paraId="3644B8F6">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1+2+3+4+5</w:t>
            </w:r>
          </w:p>
        </w:tc>
        <w:tc>
          <w:tcPr>
            <w:tcW w:w="1246" w:type="dxa"/>
            <w:tcBorders>
              <w:top w:val="single" w:color="000000" w:sz="4" w:space="0"/>
              <w:left w:val="single" w:color="000000" w:sz="4" w:space="0"/>
              <w:bottom w:val="single" w:color="000000" w:sz="4" w:space="0"/>
              <w:right w:val="nil"/>
            </w:tcBorders>
            <w:shd w:val="clear" w:color="000000" w:fill="FFFFFF"/>
            <w:noWrap/>
            <w:vAlign w:val="center"/>
          </w:tcPr>
          <w:p w14:paraId="09144D2F">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3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BDC522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bl>
    <w:p w14:paraId="1EF75FA4">
      <w:pPr>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分部分项工程量清单与计价表</w:t>
      </w:r>
    </w:p>
    <w:p w14:paraId="586F38EF">
      <w:pPr>
        <w:tabs>
          <w:tab w:val="left" w:pos="3780"/>
        </w:tabs>
        <w:rPr>
          <w:rFonts w:hint="eastAsia" w:ascii="宋体" w:hAnsi="宋体" w:eastAsia="宋体" w:cs="宋体"/>
          <w:color w:val="auto"/>
          <w:highlight w:val="none"/>
        </w:rPr>
      </w:pPr>
    </w:p>
    <w:p w14:paraId="471096A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单位(专业)工程名称:             标段:             </w:t>
      </w:r>
      <w:r>
        <w:rPr>
          <w:rFonts w:hint="eastAsia" w:ascii="宋体" w:hAnsi="宋体" w:eastAsia="宋体" w:cs="宋体"/>
          <w:color w:val="auto"/>
          <w:kern w:val="0"/>
          <w:sz w:val="18"/>
          <w:szCs w:val="18"/>
          <w:highlight w:val="none"/>
          <w:lang w:val="en-US" w:eastAsia="zh-CN"/>
        </w:rPr>
        <w:t xml:space="preserve">                                      </w:t>
      </w:r>
      <w:r>
        <w:rPr>
          <w:rFonts w:hint="eastAsia" w:ascii="宋体" w:hAnsi="宋体" w:eastAsia="宋体" w:cs="宋体"/>
          <w:color w:val="auto"/>
          <w:kern w:val="0"/>
          <w:sz w:val="18"/>
          <w:szCs w:val="18"/>
          <w:highlight w:val="none"/>
        </w:rPr>
        <w:t xml:space="preserve"> 第   页 共   页</w:t>
      </w:r>
    </w:p>
    <w:tbl>
      <w:tblPr>
        <w:tblStyle w:val="24"/>
        <w:tblW w:w="9654" w:type="dxa"/>
        <w:tblInd w:w="93" w:type="dxa"/>
        <w:tblLayout w:type="fixed"/>
        <w:tblCellMar>
          <w:top w:w="0" w:type="dxa"/>
          <w:left w:w="108" w:type="dxa"/>
          <w:bottom w:w="0" w:type="dxa"/>
          <w:right w:w="108" w:type="dxa"/>
        </w:tblCellMar>
      </w:tblPr>
      <w:tblGrid>
        <w:gridCol w:w="760"/>
        <w:gridCol w:w="956"/>
        <w:gridCol w:w="993"/>
        <w:gridCol w:w="141"/>
        <w:gridCol w:w="645"/>
        <w:gridCol w:w="54"/>
        <w:gridCol w:w="718"/>
        <w:gridCol w:w="143"/>
        <w:gridCol w:w="708"/>
        <w:gridCol w:w="142"/>
        <w:gridCol w:w="709"/>
        <w:gridCol w:w="142"/>
        <w:gridCol w:w="708"/>
        <w:gridCol w:w="284"/>
        <w:gridCol w:w="567"/>
        <w:gridCol w:w="283"/>
        <w:gridCol w:w="567"/>
        <w:gridCol w:w="426"/>
        <w:gridCol w:w="708"/>
      </w:tblGrid>
      <w:tr w14:paraId="60C486EA">
        <w:tblPrEx>
          <w:tblCellMar>
            <w:top w:w="0" w:type="dxa"/>
            <w:left w:w="108" w:type="dxa"/>
            <w:bottom w:w="0" w:type="dxa"/>
            <w:right w:w="108" w:type="dxa"/>
          </w:tblCellMar>
        </w:tblPrEx>
        <w:trPr>
          <w:trHeight w:val="450" w:hRule="atLeast"/>
        </w:trPr>
        <w:tc>
          <w:tcPr>
            <w:tcW w:w="760" w:type="dxa"/>
            <w:vMerge w:val="restart"/>
            <w:tcBorders>
              <w:top w:val="single" w:color="000000" w:sz="4" w:space="0"/>
              <w:left w:val="single" w:color="000000" w:sz="4" w:space="0"/>
              <w:bottom w:val="nil"/>
              <w:right w:val="nil"/>
            </w:tcBorders>
            <w:shd w:val="clear" w:color="000000" w:fill="FFFFFF"/>
            <w:noWrap w:val="0"/>
            <w:vAlign w:val="center"/>
          </w:tcPr>
          <w:p w14:paraId="21A94E88">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序号</w:t>
            </w:r>
          </w:p>
        </w:tc>
        <w:tc>
          <w:tcPr>
            <w:tcW w:w="956" w:type="dxa"/>
            <w:vMerge w:val="restart"/>
            <w:tcBorders>
              <w:top w:val="single" w:color="000000" w:sz="4" w:space="0"/>
              <w:left w:val="single" w:color="000000" w:sz="4" w:space="0"/>
              <w:bottom w:val="nil"/>
              <w:right w:val="nil"/>
            </w:tcBorders>
            <w:shd w:val="clear" w:color="000000" w:fill="FFFFFF"/>
            <w:noWrap w:val="0"/>
            <w:vAlign w:val="center"/>
          </w:tcPr>
          <w:p w14:paraId="342D20E2">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项目编码</w:t>
            </w:r>
          </w:p>
        </w:tc>
        <w:tc>
          <w:tcPr>
            <w:tcW w:w="1134" w:type="dxa"/>
            <w:gridSpan w:val="2"/>
            <w:vMerge w:val="restart"/>
            <w:tcBorders>
              <w:top w:val="single" w:color="000000" w:sz="4" w:space="0"/>
              <w:left w:val="single" w:color="000000" w:sz="4" w:space="0"/>
              <w:bottom w:val="nil"/>
              <w:right w:val="nil"/>
            </w:tcBorders>
            <w:shd w:val="clear" w:color="000000" w:fill="FFFFFF"/>
            <w:noWrap w:val="0"/>
            <w:vAlign w:val="center"/>
          </w:tcPr>
          <w:p w14:paraId="200A8E5C">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项目名称</w:t>
            </w:r>
          </w:p>
        </w:tc>
        <w:tc>
          <w:tcPr>
            <w:tcW w:w="645" w:type="dxa"/>
            <w:vMerge w:val="restart"/>
            <w:tcBorders>
              <w:top w:val="single" w:color="000000" w:sz="4" w:space="0"/>
              <w:left w:val="single" w:color="000000" w:sz="4" w:space="0"/>
              <w:bottom w:val="nil"/>
              <w:right w:val="nil"/>
            </w:tcBorders>
            <w:shd w:val="clear" w:color="000000" w:fill="FFFFFF"/>
            <w:noWrap w:val="0"/>
            <w:vAlign w:val="center"/>
          </w:tcPr>
          <w:p w14:paraId="1342E1AA">
            <w:pPr>
              <w:widowControl/>
              <w:ind w:left="0" w:leftChars="0" w:firstLine="0" w:firstLineChars="0"/>
              <w:jc w:val="both"/>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rPr>
              <w:t>计量</w:t>
            </w:r>
          </w:p>
          <w:p w14:paraId="18135AB7">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单位</w:t>
            </w:r>
          </w:p>
        </w:tc>
        <w:tc>
          <w:tcPr>
            <w:tcW w:w="772" w:type="dxa"/>
            <w:gridSpan w:val="2"/>
            <w:vMerge w:val="restart"/>
            <w:tcBorders>
              <w:top w:val="single" w:color="000000" w:sz="4" w:space="0"/>
              <w:left w:val="single" w:color="000000" w:sz="4" w:space="0"/>
              <w:bottom w:val="nil"/>
              <w:right w:val="nil"/>
            </w:tcBorders>
            <w:shd w:val="clear" w:color="000000" w:fill="FFFFFF"/>
            <w:noWrap w:val="0"/>
            <w:vAlign w:val="center"/>
          </w:tcPr>
          <w:p w14:paraId="141A88E7">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工程量</w:t>
            </w:r>
          </w:p>
        </w:tc>
        <w:tc>
          <w:tcPr>
            <w:tcW w:w="4253" w:type="dxa"/>
            <w:gridSpan w:val="10"/>
            <w:tcBorders>
              <w:top w:val="single" w:color="000000" w:sz="4" w:space="0"/>
              <w:left w:val="single" w:color="000000" w:sz="4" w:space="0"/>
              <w:bottom w:val="nil"/>
              <w:right w:val="nil"/>
            </w:tcBorders>
            <w:shd w:val="clear" w:color="000000" w:fill="FFFFFF"/>
            <w:noWrap w:val="0"/>
            <w:vAlign w:val="center"/>
          </w:tcPr>
          <w:p w14:paraId="6CCD4EA6">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金 额  (元)</w:t>
            </w:r>
          </w:p>
        </w:tc>
        <w:tc>
          <w:tcPr>
            <w:tcW w:w="1134" w:type="dxa"/>
            <w:gridSpan w:val="2"/>
            <w:vMerge w:val="restart"/>
            <w:tcBorders>
              <w:top w:val="single" w:color="000000" w:sz="4" w:space="0"/>
              <w:left w:val="single" w:color="000000" w:sz="4" w:space="0"/>
              <w:bottom w:val="nil"/>
              <w:right w:val="single" w:color="000000" w:sz="4" w:space="0"/>
            </w:tcBorders>
            <w:shd w:val="clear" w:color="000000" w:fill="FFFFFF"/>
            <w:noWrap w:val="0"/>
            <w:vAlign w:val="center"/>
          </w:tcPr>
          <w:p w14:paraId="36FE2EAF">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备注</w:t>
            </w:r>
          </w:p>
        </w:tc>
      </w:tr>
      <w:tr w14:paraId="326CFF15">
        <w:tblPrEx>
          <w:tblCellMar>
            <w:top w:w="0" w:type="dxa"/>
            <w:left w:w="108" w:type="dxa"/>
            <w:bottom w:w="0" w:type="dxa"/>
            <w:right w:w="108" w:type="dxa"/>
          </w:tblCellMar>
        </w:tblPrEx>
        <w:trPr>
          <w:trHeight w:val="360" w:hRule="atLeast"/>
        </w:trPr>
        <w:tc>
          <w:tcPr>
            <w:tcW w:w="760" w:type="dxa"/>
            <w:vMerge w:val="continue"/>
            <w:tcBorders>
              <w:top w:val="single" w:color="000000" w:sz="4" w:space="0"/>
              <w:left w:val="single" w:color="000000" w:sz="4" w:space="0"/>
              <w:bottom w:val="nil"/>
              <w:right w:val="nil"/>
            </w:tcBorders>
            <w:shd w:val="clear" w:color="auto" w:fill="auto"/>
            <w:noWrap w:val="0"/>
            <w:vAlign w:val="center"/>
          </w:tcPr>
          <w:p w14:paraId="7E50397B">
            <w:pPr>
              <w:widowControl/>
              <w:jc w:val="left"/>
              <w:rPr>
                <w:rFonts w:hint="eastAsia" w:ascii="宋体" w:hAnsi="宋体" w:eastAsia="宋体" w:cs="宋体"/>
                <w:color w:val="auto"/>
                <w:kern w:val="0"/>
                <w:sz w:val="18"/>
                <w:szCs w:val="18"/>
                <w:highlight w:val="none"/>
              </w:rPr>
            </w:pPr>
          </w:p>
        </w:tc>
        <w:tc>
          <w:tcPr>
            <w:tcW w:w="956" w:type="dxa"/>
            <w:vMerge w:val="continue"/>
            <w:tcBorders>
              <w:top w:val="single" w:color="000000" w:sz="4" w:space="0"/>
              <w:left w:val="single" w:color="000000" w:sz="4" w:space="0"/>
              <w:bottom w:val="nil"/>
              <w:right w:val="nil"/>
            </w:tcBorders>
            <w:shd w:val="clear" w:color="auto" w:fill="auto"/>
            <w:noWrap w:val="0"/>
            <w:vAlign w:val="center"/>
          </w:tcPr>
          <w:p w14:paraId="5B5F6A45">
            <w:pPr>
              <w:widowControl/>
              <w:jc w:val="left"/>
              <w:rPr>
                <w:rFonts w:hint="eastAsia" w:ascii="宋体" w:hAnsi="宋体" w:eastAsia="宋体" w:cs="宋体"/>
                <w:color w:val="auto"/>
                <w:kern w:val="0"/>
                <w:sz w:val="18"/>
                <w:szCs w:val="18"/>
                <w:highlight w:val="none"/>
              </w:rPr>
            </w:pPr>
          </w:p>
        </w:tc>
        <w:tc>
          <w:tcPr>
            <w:tcW w:w="1134" w:type="dxa"/>
            <w:gridSpan w:val="2"/>
            <w:vMerge w:val="continue"/>
            <w:tcBorders>
              <w:top w:val="single" w:color="000000" w:sz="4" w:space="0"/>
              <w:left w:val="single" w:color="000000" w:sz="4" w:space="0"/>
              <w:bottom w:val="nil"/>
              <w:right w:val="nil"/>
            </w:tcBorders>
            <w:shd w:val="clear" w:color="auto" w:fill="auto"/>
            <w:noWrap w:val="0"/>
            <w:vAlign w:val="center"/>
          </w:tcPr>
          <w:p w14:paraId="637DC897">
            <w:pPr>
              <w:widowControl/>
              <w:jc w:val="left"/>
              <w:rPr>
                <w:rFonts w:hint="eastAsia" w:ascii="宋体" w:hAnsi="宋体" w:eastAsia="宋体" w:cs="宋体"/>
                <w:color w:val="auto"/>
                <w:kern w:val="0"/>
                <w:sz w:val="18"/>
                <w:szCs w:val="18"/>
                <w:highlight w:val="none"/>
              </w:rPr>
            </w:pPr>
          </w:p>
        </w:tc>
        <w:tc>
          <w:tcPr>
            <w:tcW w:w="645" w:type="dxa"/>
            <w:vMerge w:val="continue"/>
            <w:tcBorders>
              <w:top w:val="single" w:color="000000" w:sz="4" w:space="0"/>
              <w:left w:val="single" w:color="000000" w:sz="4" w:space="0"/>
              <w:bottom w:val="nil"/>
              <w:right w:val="nil"/>
            </w:tcBorders>
            <w:shd w:val="clear" w:color="auto" w:fill="auto"/>
            <w:noWrap w:val="0"/>
            <w:vAlign w:val="center"/>
          </w:tcPr>
          <w:p w14:paraId="1F4763EE">
            <w:pPr>
              <w:widowControl/>
              <w:jc w:val="left"/>
              <w:rPr>
                <w:rFonts w:hint="eastAsia" w:ascii="宋体" w:hAnsi="宋体" w:eastAsia="宋体" w:cs="宋体"/>
                <w:color w:val="auto"/>
                <w:kern w:val="0"/>
                <w:sz w:val="18"/>
                <w:szCs w:val="18"/>
                <w:highlight w:val="none"/>
              </w:rPr>
            </w:pPr>
          </w:p>
        </w:tc>
        <w:tc>
          <w:tcPr>
            <w:tcW w:w="772" w:type="dxa"/>
            <w:gridSpan w:val="2"/>
            <w:vMerge w:val="continue"/>
            <w:tcBorders>
              <w:top w:val="single" w:color="000000" w:sz="4" w:space="0"/>
              <w:left w:val="single" w:color="000000" w:sz="4" w:space="0"/>
              <w:bottom w:val="nil"/>
              <w:right w:val="nil"/>
            </w:tcBorders>
            <w:shd w:val="clear" w:color="auto" w:fill="auto"/>
            <w:noWrap w:val="0"/>
            <w:vAlign w:val="center"/>
          </w:tcPr>
          <w:p w14:paraId="087DFF85">
            <w:pPr>
              <w:widowControl/>
              <w:jc w:val="left"/>
              <w:rPr>
                <w:rFonts w:hint="eastAsia" w:ascii="宋体" w:hAnsi="宋体" w:eastAsia="宋体" w:cs="宋体"/>
                <w:color w:val="auto"/>
                <w:kern w:val="0"/>
                <w:sz w:val="18"/>
                <w:szCs w:val="18"/>
                <w:highlight w:val="none"/>
              </w:rPr>
            </w:pPr>
          </w:p>
        </w:tc>
        <w:tc>
          <w:tcPr>
            <w:tcW w:w="851" w:type="dxa"/>
            <w:gridSpan w:val="2"/>
            <w:vMerge w:val="restart"/>
            <w:tcBorders>
              <w:top w:val="single" w:color="000000" w:sz="4" w:space="0"/>
              <w:left w:val="single" w:color="000000" w:sz="4" w:space="0"/>
              <w:bottom w:val="nil"/>
              <w:right w:val="nil"/>
            </w:tcBorders>
            <w:shd w:val="clear" w:color="000000" w:fill="FFFFFF"/>
            <w:noWrap w:val="0"/>
            <w:vAlign w:val="center"/>
          </w:tcPr>
          <w:p w14:paraId="3EE1FF9E">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综合单价</w:t>
            </w:r>
          </w:p>
        </w:tc>
        <w:tc>
          <w:tcPr>
            <w:tcW w:w="851" w:type="dxa"/>
            <w:gridSpan w:val="2"/>
            <w:vMerge w:val="restart"/>
            <w:tcBorders>
              <w:top w:val="single" w:color="000000" w:sz="4" w:space="0"/>
              <w:left w:val="single" w:color="000000" w:sz="4" w:space="0"/>
              <w:bottom w:val="nil"/>
              <w:right w:val="nil"/>
            </w:tcBorders>
            <w:shd w:val="clear" w:color="000000" w:fill="FFFFFF"/>
            <w:noWrap w:val="0"/>
            <w:vAlign w:val="center"/>
          </w:tcPr>
          <w:p w14:paraId="7C1E072A">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合价</w:t>
            </w:r>
          </w:p>
        </w:tc>
        <w:tc>
          <w:tcPr>
            <w:tcW w:w="2551" w:type="dxa"/>
            <w:gridSpan w:val="6"/>
            <w:tcBorders>
              <w:top w:val="single" w:color="000000" w:sz="4" w:space="0"/>
              <w:left w:val="single" w:color="000000" w:sz="4" w:space="0"/>
              <w:bottom w:val="nil"/>
              <w:right w:val="single" w:color="000000" w:sz="4" w:space="0"/>
            </w:tcBorders>
            <w:shd w:val="clear" w:color="000000" w:fill="FFFFFF"/>
            <w:noWrap w:val="0"/>
            <w:vAlign w:val="center"/>
          </w:tcPr>
          <w:p w14:paraId="2C0E4655">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其中</w:t>
            </w:r>
          </w:p>
        </w:tc>
        <w:tc>
          <w:tcPr>
            <w:tcW w:w="1134" w:type="dxa"/>
            <w:gridSpan w:val="2"/>
            <w:vMerge w:val="continue"/>
            <w:tcBorders>
              <w:top w:val="single" w:color="000000" w:sz="4" w:space="0"/>
              <w:left w:val="single" w:color="000000" w:sz="4" w:space="0"/>
              <w:bottom w:val="nil"/>
              <w:right w:val="single" w:color="000000" w:sz="4" w:space="0"/>
            </w:tcBorders>
            <w:noWrap w:val="0"/>
            <w:vAlign w:val="center"/>
          </w:tcPr>
          <w:p w14:paraId="7D5A73E1">
            <w:pPr>
              <w:widowControl/>
              <w:jc w:val="left"/>
              <w:rPr>
                <w:rFonts w:hint="eastAsia" w:ascii="宋体" w:hAnsi="宋体" w:eastAsia="宋体" w:cs="宋体"/>
                <w:color w:val="auto"/>
                <w:kern w:val="0"/>
                <w:sz w:val="18"/>
                <w:szCs w:val="18"/>
                <w:highlight w:val="none"/>
              </w:rPr>
            </w:pPr>
          </w:p>
        </w:tc>
      </w:tr>
      <w:tr w14:paraId="4BCB0CA7">
        <w:tblPrEx>
          <w:tblCellMar>
            <w:top w:w="0" w:type="dxa"/>
            <w:left w:w="108" w:type="dxa"/>
            <w:bottom w:w="0" w:type="dxa"/>
            <w:right w:w="108" w:type="dxa"/>
          </w:tblCellMar>
        </w:tblPrEx>
        <w:trPr>
          <w:trHeight w:val="450" w:hRule="atLeast"/>
        </w:trPr>
        <w:tc>
          <w:tcPr>
            <w:tcW w:w="760" w:type="dxa"/>
            <w:vMerge w:val="continue"/>
            <w:tcBorders>
              <w:top w:val="single" w:color="000000" w:sz="4" w:space="0"/>
              <w:left w:val="single" w:color="000000" w:sz="4" w:space="0"/>
              <w:bottom w:val="nil"/>
              <w:right w:val="nil"/>
            </w:tcBorders>
            <w:shd w:val="clear" w:color="auto" w:fill="auto"/>
            <w:noWrap w:val="0"/>
            <w:vAlign w:val="center"/>
          </w:tcPr>
          <w:p w14:paraId="5363AF4C">
            <w:pPr>
              <w:widowControl/>
              <w:jc w:val="left"/>
              <w:rPr>
                <w:rFonts w:hint="eastAsia" w:ascii="宋体" w:hAnsi="宋体" w:eastAsia="宋体" w:cs="宋体"/>
                <w:color w:val="auto"/>
                <w:kern w:val="0"/>
                <w:sz w:val="18"/>
                <w:szCs w:val="18"/>
                <w:highlight w:val="none"/>
              </w:rPr>
            </w:pPr>
          </w:p>
        </w:tc>
        <w:tc>
          <w:tcPr>
            <w:tcW w:w="956" w:type="dxa"/>
            <w:vMerge w:val="continue"/>
            <w:tcBorders>
              <w:top w:val="single" w:color="000000" w:sz="4" w:space="0"/>
              <w:left w:val="single" w:color="000000" w:sz="4" w:space="0"/>
              <w:bottom w:val="nil"/>
              <w:right w:val="nil"/>
            </w:tcBorders>
            <w:shd w:val="clear" w:color="auto" w:fill="auto"/>
            <w:noWrap w:val="0"/>
            <w:vAlign w:val="center"/>
          </w:tcPr>
          <w:p w14:paraId="4F8AD2D0">
            <w:pPr>
              <w:widowControl/>
              <w:jc w:val="left"/>
              <w:rPr>
                <w:rFonts w:hint="eastAsia" w:ascii="宋体" w:hAnsi="宋体" w:eastAsia="宋体" w:cs="宋体"/>
                <w:color w:val="auto"/>
                <w:kern w:val="0"/>
                <w:sz w:val="18"/>
                <w:szCs w:val="18"/>
                <w:highlight w:val="none"/>
              </w:rPr>
            </w:pPr>
          </w:p>
        </w:tc>
        <w:tc>
          <w:tcPr>
            <w:tcW w:w="1134" w:type="dxa"/>
            <w:gridSpan w:val="2"/>
            <w:vMerge w:val="continue"/>
            <w:tcBorders>
              <w:top w:val="single" w:color="000000" w:sz="4" w:space="0"/>
              <w:left w:val="single" w:color="000000" w:sz="4" w:space="0"/>
              <w:bottom w:val="nil"/>
              <w:right w:val="nil"/>
            </w:tcBorders>
            <w:shd w:val="clear" w:color="auto" w:fill="auto"/>
            <w:noWrap w:val="0"/>
            <w:vAlign w:val="center"/>
          </w:tcPr>
          <w:p w14:paraId="1937FE6E">
            <w:pPr>
              <w:widowControl/>
              <w:jc w:val="left"/>
              <w:rPr>
                <w:rFonts w:hint="eastAsia" w:ascii="宋体" w:hAnsi="宋体" w:eastAsia="宋体" w:cs="宋体"/>
                <w:color w:val="auto"/>
                <w:kern w:val="0"/>
                <w:sz w:val="18"/>
                <w:szCs w:val="18"/>
                <w:highlight w:val="none"/>
              </w:rPr>
            </w:pPr>
          </w:p>
        </w:tc>
        <w:tc>
          <w:tcPr>
            <w:tcW w:w="645" w:type="dxa"/>
            <w:vMerge w:val="continue"/>
            <w:tcBorders>
              <w:top w:val="single" w:color="000000" w:sz="4" w:space="0"/>
              <w:left w:val="single" w:color="000000" w:sz="4" w:space="0"/>
              <w:bottom w:val="nil"/>
              <w:right w:val="nil"/>
            </w:tcBorders>
            <w:shd w:val="clear" w:color="auto" w:fill="auto"/>
            <w:noWrap w:val="0"/>
            <w:vAlign w:val="center"/>
          </w:tcPr>
          <w:p w14:paraId="0B1A3A53">
            <w:pPr>
              <w:widowControl/>
              <w:jc w:val="left"/>
              <w:rPr>
                <w:rFonts w:hint="eastAsia" w:ascii="宋体" w:hAnsi="宋体" w:eastAsia="宋体" w:cs="宋体"/>
                <w:color w:val="auto"/>
                <w:kern w:val="0"/>
                <w:sz w:val="18"/>
                <w:szCs w:val="18"/>
                <w:highlight w:val="none"/>
              </w:rPr>
            </w:pPr>
          </w:p>
        </w:tc>
        <w:tc>
          <w:tcPr>
            <w:tcW w:w="772" w:type="dxa"/>
            <w:gridSpan w:val="2"/>
            <w:vMerge w:val="continue"/>
            <w:tcBorders>
              <w:top w:val="single" w:color="000000" w:sz="4" w:space="0"/>
              <w:left w:val="single" w:color="000000" w:sz="4" w:space="0"/>
              <w:bottom w:val="nil"/>
              <w:right w:val="nil"/>
            </w:tcBorders>
            <w:shd w:val="clear" w:color="auto" w:fill="auto"/>
            <w:noWrap w:val="0"/>
            <w:vAlign w:val="center"/>
          </w:tcPr>
          <w:p w14:paraId="6BCB0C7C">
            <w:pPr>
              <w:widowControl/>
              <w:jc w:val="left"/>
              <w:rPr>
                <w:rFonts w:hint="eastAsia" w:ascii="宋体" w:hAnsi="宋体" w:eastAsia="宋体" w:cs="宋体"/>
                <w:color w:val="auto"/>
                <w:kern w:val="0"/>
                <w:sz w:val="18"/>
                <w:szCs w:val="18"/>
                <w:highlight w:val="none"/>
              </w:rPr>
            </w:pPr>
          </w:p>
        </w:tc>
        <w:tc>
          <w:tcPr>
            <w:tcW w:w="851" w:type="dxa"/>
            <w:gridSpan w:val="2"/>
            <w:vMerge w:val="continue"/>
            <w:tcBorders>
              <w:top w:val="single" w:color="000000" w:sz="4" w:space="0"/>
              <w:left w:val="single" w:color="000000" w:sz="4" w:space="0"/>
              <w:bottom w:val="nil"/>
              <w:right w:val="nil"/>
            </w:tcBorders>
            <w:shd w:val="clear" w:color="auto" w:fill="auto"/>
            <w:noWrap w:val="0"/>
            <w:vAlign w:val="center"/>
          </w:tcPr>
          <w:p w14:paraId="0FA43A50">
            <w:pPr>
              <w:widowControl/>
              <w:jc w:val="left"/>
              <w:rPr>
                <w:rFonts w:hint="eastAsia" w:ascii="宋体" w:hAnsi="宋体" w:eastAsia="宋体" w:cs="宋体"/>
                <w:color w:val="auto"/>
                <w:kern w:val="0"/>
                <w:sz w:val="18"/>
                <w:szCs w:val="18"/>
                <w:highlight w:val="none"/>
              </w:rPr>
            </w:pPr>
          </w:p>
        </w:tc>
        <w:tc>
          <w:tcPr>
            <w:tcW w:w="851" w:type="dxa"/>
            <w:gridSpan w:val="2"/>
            <w:vMerge w:val="continue"/>
            <w:tcBorders>
              <w:top w:val="single" w:color="000000" w:sz="4" w:space="0"/>
              <w:left w:val="single" w:color="000000" w:sz="4" w:space="0"/>
              <w:bottom w:val="nil"/>
              <w:right w:val="nil"/>
            </w:tcBorders>
            <w:shd w:val="clear" w:color="auto" w:fill="auto"/>
            <w:noWrap w:val="0"/>
            <w:vAlign w:val="center"/>
          </w:tcPr>
          <w:p w14:paraId="6897ED9A">
            <w:pPr>
              <w:widowControl/>
              <w:jc w:val="left"/>
              <w:rPr>
                <w:rFonts w:hint="eastAsia" w:ascii="宋体" w:hAnsi="宋体" w:eastAsia="宋体" w:cs="宋体"/>
                <w:color w:val="auto"/>
                <w:kern w:val="0"/>
                <w:sz w:val="18"/>
                <w:szCs w:val="18"/>
                <w:highlight w:val="none"/>
              </w:rPr>
            </w:pPr>
          </w:p>
        </w:tc>
        <w:tc>
          <w:tcPr>
            <w:tcW w:w="850" w:type="dxa"/>
            <w:gridSpan w:val="2"/>
            <w:tcBorders>
              <w:top w:val="single" w:color="000000" w:sz="4" w:space="0"/>
              <w:left w:val="single" w:color="000000" w:sz="4" w:space="0"/>
              <w:bottom w:val="nil"/>
              <w:right w:val="nil"/>
            </w:tcBorders>
            <w:shd w:val="clear" w:color="000000" w:fill="FFFFFF"/>
            <w:noWrap w:val="0"/>
            <w:vAlign w:val="center"/>
          </w:tcPr>
          <w:p w14:paraId="1195A66A">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人工费</w:t>
            </w:r>
          </w:p>
        </w:tc>
        <w:tc>
          <w:tcPr>
            <w:tcW w:w="851" w:type="dxa"/>
            <w:gridSpan w:val="2"/>
            <w:tcBorders>
              <w:top w:val="single" w:color="000000" w:sz="4" w:space="0"/>
              <w:left w:val="single" w:color="000000" w:sz="4" w:space="0"/>
              <w:bottom w:val="nil"/>
              <w:right w:val="nil"/>
            </w:tcBorders>
            <w:shd w:val="clear" w:color="000000" w:fill="FFFFFF"/>
            <w:noWrap w:val="0"/>
            <w:vAlign w:val="center"/>
          </w:tcPr>
          <w:p w14:paraId="7C5FD419">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机械费</w:t>
            </w:r>
          </w:p>
        </w:tc>
        <w:tc>
          <w:tcPr>
            <w:tcW w:w="850" w:type="dxa"/>
            <w:gridSpan w:val="2"/>
            <w:tcBorders>
              <w:top w:val="single" w:color="000000" w:sz="4" w:space="0"/>
              <w:left w:val="single" w:color="000000" w:sz="4" w:space="0"/>
              <w:bottom w:val="nil"/>
              <w:right w:val="single" w:color="000000" w:sz="4" w:space="0"/>
            </w:tcBorders>
            <w:shd w:val="clear" w:color="000000" w:fill="FFFFFF"/>
            <w:noWrap w:val="0"/>
            <w:vAlign w:val="center"/>
          </w:tcPr>
          <w:p w14:paraId="637C7237">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暂估价</w:t>
            </w:r>
          </w:p>
        </w:tc>
        <w:tc>
          <w:tcPr>
            <w:tcW w:w="1134" w:type="dxa"/>
            <w:gridSpan w:val="2"/>
            <w:vMerge w:val="continue"/>
            <w:tcBorders>
              <w:top w:val="single" w:color="000000" w:sz="4" w:space="0"/>
              <w:left w:val="single" w:color="000000" w:sz="4" w:space="0"/>
              <w:bottom w:val="nil"/>
              <w:right w:val="single" w:color="000000" w:sz="4" w:space="0"/>
            </w:tcBorders>
            <w:noWrap w:val="0"/>
            <w:vAlign w:val="center"/>
          </w:tcPr>
          <w:p w14:paraId="75732C3E">
            <w:pPr>
              <w:widowControl/>
              <w:jc w:val="left"/>
              <w:rPr>
                <w:rFonts w:hint="eastAsia" w:ascii="宋体" w:hAnsi="宋体" w:eastAsia="宋体" w:cs="宋体"/>
                <w:color w:val="auto"/>
                <w:kern w:val="0"/>
                <w:sz w:val="18"/>
                <w:szCs w:val="18"/>
                <w:highlight w:val="none"/>
              </w:rPr>
            </w:pPr>
          </w:p>
        </w:tc>
      </w:tr>
      <w:tr w14:paraId="66319CBF">
        <w:tblPrEx>
          <w:tblCellMar>
            <w:top w:w="0" w:type="dxa"/>
            <w:left w:w="108" w:type="dxa"/>
            <w:bottom w:w="0" w:type="dxa"/>
            <w:right w:w="108" w:type="dxa"/>
          </w:tblCellMar>
        </w:tblPrEx>
        <w:trPr>
          <w:trHeight w:val="450" w:hRule="atLeast"/>
        </w:trPr>
        <w:tc>
          <w:tcPr>
            <w:tcW w:w="760" w:type="dxa"/>
            <w:tcBorders>
              <w:top w:val="single" w:color="000000" w:sz="4" w:space="0"/>
              <w:left w:val="single" w:color="000000" w:sz="4" w:space="0"/>
              <w:bottom w:val="nil"/>
              <w:right w:val="nil"/>
            </w:tcBorders>
            <w:shd w:val="clear" w:color="000000" w:fill="FFFFFF"/>
            <w:noWrap w:val="0"/>
            <w:vAlign w:val="center"/>
          </w:tcPr>
          <w:p w14:paraId="015C9173">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56" w:type="dxa"/>
            <w:tcBorders>
              <w:top w:val="single" w:color="000000" w:sz="4" w:space="0"/>
              <w:left w:val="single" w:color="000000" w:sz="4" w:space="0"/>
              <w:bottom w:val="nil"/>
              <w:right w:val="nil"/>
            </w:tcBorders>
            <w:shd w:val="clear" w:color="000000" w:fill="FFFFFF"/>
            <w:noWrap w:val="0"/>
            <w:vAlign w:val="center"/>
          </w:tcPr>
          <w:p w14:paraId="5876B46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34" w:type="dxa"/>
            <w:gridSpan w:val="2"/>
            <w:tcBorders>
              <w:top w:val="single" w:color="000000" w:sz="4" w:space="0"/>
              <w:left w:val="single" w:color="000000" w:sz="4" w:space="0"/>
              <w:bottom w:val="nil"/>
              <w:right w:val="nil"/>
            </w:tcBorders>
            <w:shd w:val="clear" w:color="000000" w:fill="FFFFFF"/>
            <w:noWrap w:val="0"/>
            <w:vAlign w:val="center"/>
          </w:tcPr>
          <w:p w14:paraId="0388B06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645" w:type="dxa"/>
            <w:tcBorders>
              <w:top w:val="single" w:color="000000" w:sz="4" w:space="0"/>
              <w:left w:val="single" w:color="000000" w:sz="4" w:space="0"/>
              <w:bottom w:val="nil"/>
              <w:right w:val="nil"/>
            </w:tcBorders>
            <w:shd w:val="clear" w:color="000000" w:fill="FFFFFF"/>
            <w:noWrap w:val="0"/>
            <w:vAlign w:val="center"/>
          </w:tcPr>
          <w:p w14:paraId="0C3BDA7C">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72" w:type="dxa"/>
            <w:gridSpan w:val="2"/>
            <w:tcBorders>
              <w:top w:val="single" w:color="000000" w:sz="4" w:space="0"/>
              <w:left w:val="single" w:color="000000" w:sz="4" w:space="0"/>
              <w:bottom w:val="nil"/>
              <w:right w:val="nil"/>
            </w:tcBorders>
            <w:shd w:val="clear" w:color="000000" w:fill="FFFFFF"/>
            <w:noWrap w:val="0"/>
            <w:vAlign w:val="center"/>
          </w:tcPr>
          <w:p w14:paraId="3B372EA6">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51" w:type="dxa"/>
            <w:gridSpan w:val="2"/>
            <w:tcBorders>
              <w:top w:val="single" w:color="000000" w:sz="4" w:space="0"/>
              <w:left w:val="single" w:color="000000" w:sz="4" w:space="0"/>
              <w:bottom w:val="nil"/>
              <w:right w:val="nil"/>
            </w:tcBorders>
            <w:shd w:val="clear" w:color="000000" w:fill="FFFFFF"/>
            <w:noWrap/>
            <w:vAlign w:val="center"/>
          </w:tcPr>
          <w:p w14:paraId="3DFC1167">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51" w:type="dxa"/>
            <w:gridSpan w:val="2"/>
            <w:tcBorders>
              <w:top w:val="single" w:color="000000" w:sz="4" w:space="0"/>
              <w:left w:val="single" w:color="000000" w:sz="4" w:space="0"/>
              <w:bottom w:val="nil"/>
              <w:right w:val="nil"/>
            </w:tcBorders>
            <w:shd w:val="clear" w:color="000000" w:fill="FFFFFF"/>
            <w:noWrap/>
            <w:vAlign w:val="center"/>
          </w:tcPr>
          <w:p w14:paraId="253580CC">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50" w:type="dxa"/>
            <w:gridSpan w:val="2"/>
            <w:tcBorders>
              <w:top w:val="single" w:color="000000" w:sz="4" w:space="0"/>
              <w:left w:val="single" w:color="000000" w:sz="4" w:space="0"/>
              <w:bottom w:val="nil"/>
              <w:right w:val="nil"/>
            </w:tcBorders>
            <w:shd w:val="clear" w:color="000000" w:fill="FFFFFF"/>
            <w:noWrap/>
            <w:vAlign w:val="center"/>
          </w:tcPr>
          <w:p w14:paraId="2B8D7B62">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51" w:type="dxa"/>
            <w:gridSpan w:val="2"/>
            <w:tcBorders>
              <w:top w:val="single" w:color="000000" w:sz="4" w:space="0"/>
              <w:left w:val="single" w:color="000000" w:sz="4" w:space="0"/>
              <w:bottom w:val="nil"/>
              <w:right w:val="nil"/>
            </w:tcBorders>
            <w:shd w:val="clear" w:color="000000" w:fill="FFFFFF"/>
            <w:noWrap/>
            <w:vAlign w:val="center"/>
          </w:tcPr>
          <w:p w14:paraId="6E8A4BA5">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50" w:type="dxa"/>
            <w:gridSpan w:val="2"/>
            <w:tcBorders>
              <w:top w:val="single" w:color="000000" w:sz="4" w:space="0"/>
              <w:left w:val="single" w:color="000000" w:sz="4" w:space="0"/>
              <w:bottom w:val="nil"/>
              <w:right w:val="nil"/>
            </w:tcBorders>
            <w:shd w:val="clear" w:color="000000" w:fill="FFFFFF"/>
            <w:noWrap/>
            <w:vAlign w:val="center"/>
          </w:tcPr>
          <w:p w14:paraId="5B86C1AE">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34" w:type="dxa"/>
            <w:gridSpan w:val="2"/>
            <w:tcBorders>
              <w:top w:val="single" w:color="000000" w:sz="4" w:space="0"/>
              <w:left w:val="single" w:color="000000" w:sz="4" w:space="0"/>
              <w:bottom w:val="nil"/>
              <w:right w:val="single" w:color="000000" w:sz="4" w:space="0"/>
            </w:tcBorders>
            <w:shd w:val="clear" w:color="000000" w:fill="FFFFFF"/>
            <w:noWrap w:val="0"/>
            <w:vAlign w:val="center"/>
          </w:tcPr>
          <w:p w14:paraId="0194F18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11ACC4A2">
        <w:tblPrEx>
          <w:tblCellMar>
            <w:top w:w="0" w:type="dxa"/>
            <w:left w:w="108" w:type="dxa"/>
            <w:bottom w:w="0" w:type="dxa"/>
            <w:right w:w="108" w:type="dxa"/>
          </w:tblCellMar>
        </w:tblPrEx>
        <w:trPr>
          <w:trHeight w:val="450" w:hRule="atLeast"/>
        </w:trPr>
        <w:tc>
          <w:tcPr>
            <w:tcW w:w="760" w:type="dxa"/>
            <w:tcBorders>
              <w:top w:val="single" w:color="000000" w:sz="4" w:space="0"/>
              <w:left w:val="single" w:color="000000" w:sz="4" w:space="0"/>
              <w:bottom w:val="nil"/>
              <w:right w:val="nil"/>
            </w:tcBorders>
            <w:shd w:val="clear" w:color="000000" w:fill="FFFFFF"/>
            <w:noWrap w:val="0"/>
            <w:vAlign w:val="center"/>
          </w:tcPr>
          <w:p w14:paraId="082C23A7">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56" w:type="dxa"/>
            <w:tcBorders>
              <w:top w:val="single" w:color="000000" w:sz="4" w:space="0"/>
              <w:left w:val="single" w:color="000000" w:sz="4" w:space="0"/>
              <w:bottom w:val="nil"/>
              <w:right w:val="nil"/>
            </w:tcBorders>
            <w:shd w:val="clear" w:color="000000" w:fill="FFFFFF"/>
            <w:noWrap w:val="0"/>
            <w:vAlign w:val="center"/>
          </w:tcPr>
          <w:p w14:paraId="4177738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34" w:type="dxa"/>
            <w:gridSpan w:val="2"/>
            <w:tcBorders>
              <w:top w:val="single" w:color="000000" w:sz="4" w:space="0"/>
              <w:left w:val="single" w:color="000000" w:sz="4" w:space="0"/>
              <w:bottom w:val="nil"/>
              <w:right w:val="nil"/>
            </w:tcBorders>
            <w:shd w:val="clear" w:color="000000" w:fill="FFFFFF"/>
            <w:noWrap w:val="0"/>
            <w:vAlign w:val="center"/>
          </w:tcPr>
          <w:p w14:paraId="5A38139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645" w:type="dxa"/>
            <w:tcBorders>
              <w:top w:val="single" w:color="000000" w:sz="4" w:space="0"/>
              <w:left w:val="single" w:color="000000" w:sz="4" w:space="0"/>
              <w:bottom w:val="nil"/>
              <w:right w:val="nil"/>
            </w:tcBorders>
            <w:shd w:val="clear" w:color="000000" w:fill="FFFFFF"/>
            <w:noWrap w:val="0"/>
            <w:vAlign w:val="center"/>
          </w:tcPr>
          <w:p w14:paraId="159C8CF8">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72" w:type="dxa"/>
            <w:gridSpan w:val="2"/>
            <w:tcBorders>
              <w:top w:val="single" w:color="000000" w:sz="4" w:space="0"/>
              <w:left w:val="single" w:color="000000" w:sz="4" w:space="0"/>
              <w:bottom w:val="nil"/>
              <w:right w:val="nil"/>
            </w:tcBorders>
            <w:shd w:val="clear" w:color="000000" w:fill="FFFFFF"/>
            <w:noWrap w:val="0"/>
            <w:vAlign w:val="center"/>
          </w:tcPr>
          <w:p w14:paraId="1AD7C2D1">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51" w:type="dxa"/>
            <w:gridSpan w:val="2"/>
            <w:tcBorders>
              <w:top w:val="single" w:color="000000" w:sz="4" w:space="0"/>
              <w:left w:val="single" w:color="000000" w:sz="4" w:space="0"/>
              <w:bottom w:val="nil"/>
              <w:right w:val="nil"/>
            </w:tcBorders>
            <w:shd w:val="clear" w:color="000000" w:fill="FFFFFF"/>
            <w:noWrap/>
            <w:vAlign w:val="center"/>
          </w:tcPr>
          <w:p w14:paraId="6C24BF0E">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51" w:type="dxa"/>
            <w:gridSpan w:val="2"/>
            <w:tcBorders>
              <w:top w:val="single" w:color="000000" w:sz="4" w:space="0"/>
              <w:left w:val="single" w:color="000000" w:sz="4" w:space="0"/>
              <w:bottom w:val="nil"/>
              <w:right w:val="nil"/>
            </w:tcBorders>
            <w:shd w:val="clear" w:color="000000" w:fill="FFFFFF"/>
            <w:noWrap/>
            <w:vAlign w:val="center"/>
          </w:tcPr>
          <w:p w14:paraId="300D8191">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50" w:type="dxa"/>
            <w:gridSpan w:val="2"/>
            <w:tcBorders>
              <w:top w:val="single" w:color="000000" w:sz="4" w:space="0"/>
              <w:left w:val="single" w:color="000000" w:sz="4" w:space="0"/>
              <w:bottom w:val="nil"/>
              <w:right w:val="nil"/>
            </w:tcBorders>
            <w:shd w:val="clear" w:color="000000" w:fill="FFFFFF"/>
            <w:noWrap/>
            <w:vAlign w:val="center"/>
          </w:tcPr>
          <w:p w14:paraId="568DC8B0">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51" w:type="dxa"/>
            <w:gridSpan w:val="2"/>
            <w:tcBorders>
              <w:top w:val="single" w:color="000000" w:sz="4" w:space="0"/>
              <w:left w:val="single" w:color="000000" w:sz="4" w:space="0"/>
              <w:bottom w:val="nil"/>
              <w:right w:val="nil"/>
            </w:tcBorders>
            <w:shd w:val="clear" w:color="000000" w:fill="FFFFFF"/>
            <w:noWrap/>
            <w:vAlign w:val="center"/>
          </w:tcPr>
          <w:p w14:paraId="0E7E993B">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50" w:type="dxa"/>
            <w:gridSpan w:val="2"/>
            <w:tcBorders>
              <w:top w:val="single" w:color="000000" w:sz="4" w:space="0"/>
              <w:left w:val="single" w:color="000000" w:sz="4" w:space="0"/>
              <w:bottom w:val="nil"/>
              <w:right w:val="nil"/>
            </w:tcBorders>
            <w:shd w:val="clear" w:color="000000" w:fill="FFFFFF"/>
            <w:noWrap/>
            <w:vAlign w:val="center"/>
          </w:tcPr>
          <w:p w14:paraId="45FA6EF3">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34" w:type="dxa"/>
            <w:gridSpan w:val="2"/>
            <w:tcBorders>
              <w:top w:val="single" w:color="000000" w:sz="4" w:space="0"/>
              <w:left w:val="single" w:color="000000" w:sz="4" w:space="0"/>
              <w:bottom w:val="nil"/>
              <w:right w:val="single" w:color="000000" w:sz="4" w:space="0"/>
            </w:tcBorders>
            <w:shd w:val="clear" w:color="000000" w:fill="FFFFFF"/>
            <w:noWrap w:val="0"/>
            <w:vAlign w:val="center"/>
          </w:tcPr>
          <w:p w14:paraId="1446923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723D0372">
        <w:tblPrEx>
          <w:tblCellMar>
            <w:top w:w="0" w:type="dxa"/>
            <w:left w:w="108" w:type="dxa"/>
            <w:bottom w:w="0" w:type="dxa"/>
            <w:right w:w="108" w:type="dxa"/>
          </w:tblCellMar>
        </w:tblPrEx>
        <w:trPr>
          <w:trHeight w:val="450" w:hRule="atLeast"/>
        </w:trPr>
        <w:tc>
          <w:tcPr>
            <w:tcW w:w="760" w:type="dxa"/>
            <w:tcBorders>
              <w:top w:val="single" w:color="000000" w:sz="4" w:space="0"/>
              <w:left w:val="single" w:color="000000" w:sz="4" w:space="0"/>
              <w:bottom w:val="nil"/>
              <w:right w:val="nil"/>
            </w:tcBorders>
            <w:shd w:val="clear" w:color="000000" w:fill="FFFFFF"/>
            <w:noWrap w:val="0"/>
            <w:vAlign w:val="center"/>
          </w:tcPr>
          <w:p w14:paraId="72013142">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56" w:type="dxa"/>
            <w:tcBorders>
              <w:top w:val="single" w:color="000000" w:sz="4" w:space="0"/>
              <w:left w:val="single" w:color="000000" w:sz="4" w:space="0"/>
              <w:bottom w:val="nil"/>
              <w:right w:val="nil"/>
            </w:tcBorders>
            <w:shd w:val="clear" w:color="000000" w:fill="FFFFFF"/>
            <w:noWrap w:val="0"/>
            <w:vAlign w:val="center"/>
          </w:tcPr>
          <w:p w14:paraId="5F16BF5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34" w:type="dxa"/>
            <w:gridSpan w:val="2"/>
            <w:tcBorders>
              <w:top w:val="single" w:color="000000" w:sz="4" w:space="0"/>
              <w:left w:val="single" w:color="000000" w:sz="4" w:space="0"/>
              <w:bottom w:val="nil"/>
              <w:right w:val="nil"/>
            </w:tcBorders>
            <w:shd w:val="clear" w:color="000000" w:fill="FFFFFF"/>
            <w:noWrap w:val="0"/>
            <w:vAlign w:val="center"/>
          </w:tcPr>
          <w:p w14:paraId="6A8844B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645" w:type="dxa"/>
            <w:tcBorders>
              <w:top w:val="single" w:color="000000" w:sz="4" w:space="0"/>
              <w:left w:val="single" w:color="000000" w:sz="4" w:space="0"/>
              <w:bottom w:val="nil"/>
              <w:right w:val="nil"/>
            </w:tcBorders>
            <w:shd w:val="clear" w:color="000000" w:fill="FFFFFF"/>
            <w:noWrap w:val="0"/>
            <w:vAlign w:val="center"/>
          </w:tcPr>
          <w:p w14:paraId="7D2D52FE">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72" w:type="dxa"/>
            <w:gridSpan w:val="2"/>
            <w:tcBorders>
              <w:top w:val="single" w:color="000000" w:sz="4" w:space="0"/>
              <w:left w:val="single" w:color="000000" w:sz="4" w:space="0"/>
              <w:bottom w:val="nil"/>
              <w:right w:val="nil"/>
            </w:tcBorders>
            <w:shd w:val="clear" w:color="000000" w:fill="FFFFFF"/>
            <w:noWrap w:val="0"/>
            <w:vAlign w:val="center"/>
          </w:tcPr>
          <w:p w14:paraId="4166481A">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51" w:type="dxa"/>
            <w:gridSpan w:val="2"/>
            <w:tcBorders>
              <w:top w:val="single" w:color="000000" w:sz="4" w:space="0"/>
              <w:left w:val="single" w:color="000000" w:sz="4" w:space="0"/>
              <w:bottom w:val="nil"/>
              <w:right w:val="nil"/>
            </w:tcBorders>
            <w:shd w:val="clear" w:color="000000" w:fill="FFFFFF"/>
            <w:noWrap/>
            <w:vAlign w:val="center"/>
          </w:tcPr>
          <w:p w14:paraId="3CD16BEC">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51" w:type="dxa"/>
            <w:gridSpan w:val="2"/>
            <w:tcBorders>
              <w:top w:val="single" w:color="000000" w:sz="4" w:space="0"/>
              <w:left w:val="single" w:color="000000" w:sz="4" w:space="0"/>
              <w:bottom w:val="nil"/>
              <w:right w:val="nil"/>
            </w:tcBorders>
            <w:shd w:val="clear" w:color="000000" w:fill="FFFFFF"/>
            <w:noWrap/>
            <w:vAlign w:val="center"/>
          </w:tcPr>
          <w:p w14:paraId="3DF2C655">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50" w:type="dxa"/>
            <w:gridSpan w:val="2"/>
            <w:tcBorders>
              <w:top w:val="single" w:color="000000" w:sz="4" w:space="0"/>
              <w:left w:val="single" w:color="000000" w:sz="4" w:space="0"/>
              <w:bottom w:val="nil"/>
              <w:right w:val="nil"/>
            </w:tcBorders>
            <w:shd w:val="clear" w:color="000000" w:fill="FFFFFF"/>
            <w:noWrap/>
            <w:vAlign w:val="center"/>
          </w:tcPr>
          <w:p w14:paraId="4C039072">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51" w:type="dxa"/>
            <w:gridSpan w:val="2"/>
            <w:tcBorders>
              <w:top w:val="single" w:color="000000" w:sz="4" w:space="0"/>
              <w:left w:val="single" w:color="000000" w:sz="4" w:space="0"/>
              <w:bottom w:val="nil"/>
              <w:right w:val="nil"/>
            </w:tcBorders>
            <w:shd w:val="clear" w:color="000000" w:fill="FFFFFF"/>
            <w:noWrap/>
            <w:vAlign w:val="center"/>
          </w:tcPr>
          <w:p w14:paraId="728E7287">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50" w:type="dxa"/>
            <w:gridSpan w:val="2"/>
            <w:tcBorders>
              <w:top w:val="single" w:color="000000" w:sz="4" w:space="0"/>
              <w:left w:val="single" w:color="000000" w:sz="4" w:space="0"/>
              <w:bottom w:val="nil"/>
              <w:right w:val="nil"/>
            </w:tcBorders>
            <w:shd w:val="clear" w:color="000000" w:fill="FFFFFF"/>
            <w:noWrap/>
            <w:vAlign w:val="center"/>
          </w:tcPr>
          <w:p w14:paraId="70795245">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34" w:type="dxa"/>
            <w:gridSpan w:val="2"/>
            <w:tcBorders>
              <w:top w:val="single" w:color="000000" w:sz="4" w:space="0"/>
              <w:left w:val="single" w:color="000000" w:sz="4" w:space="0"/>
              <w:bottom w:val="nil"/>
              <w:right w:val="single" w:color="000000" w:sz="4" w:space="0"/>
            </w:tcBorders>
            <w:shd w:val="clear" w:color="000000" w:fill="FFFFFF"/>
            <w:noWrap w:val="0"/>
            <w:vAlign w:val="center"/>
          </w:tcPr>
          <w:p w14:paraId="47CDC67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6D33BB58">
        <w:tblPrEx>
          <w:tblCellMar>
            <w:top w:w="0" w:type="dxa"/>
            <w:left w:w="108" w:type="dxa"/>
            <w:bottom w:w="0" w:type="dxa"/>
            <w:right w:w="108" w:type="dxa"/>
          </w:tblCellMar>
        </w:tblPrEx>
        <w:trPr>
          <w:trHeight w:val="450" w:hRule="atLeast"/>
        </w:trPr>
        <w:tc>
          <w:tcPr>
            <w:tcW w:w="760" w:type="dxa"/>
            <w:tcBorders>
              <w:top w:val="single" w:color="000000" w:sz="4" w:space="0"/>
              <w:left w:val="single" w:color="000000" w:sz="4" w:space="0"/>
              <w:bottom w:val="nil"/>
              <w:right w:val="nil"/>
            </w:tcBorders>
            <w:shd w:val="clear" w:color="000000" w:fill="FFFFFF"/>
            <w:noWrap w:val="0"/>
            <w:vAlign w:val="center"/>
          </w:tcPr>
          <w:p w14:paraId="0ABA2D35">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56" w:type="dxa"/>
            <w:tcBorders>
              <w:top w:val="single" w:color="000000" w:sz="4" w:space="0"/>
              <w:left w:val="single" w:color="000000" w:sz="4" w:space="0"/>
              <w:bottom w:val="nil"/>
              <w:right w:val="nil"/>
            </w:tcBorders>
            <w:shd w:val="clear" w:color="000000" w:fill="FFFFFF"/>
            <w:noWrap w:val="0"/>
            <w:vAlign w:val="center"/>
          </w:tcPr>
          <w:p w14:paraId="724567C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34" w:type="dxa"/>
            <w:gridSpan w:val="2"/>
            <w:tcBorders>
              <w:top w:val="single" w:color="000000" w:sz="4" w:space="0"/>
              <w:left w:val="single" w:color="000000" w:sz="4" w:space="0"/>
              <w:bottom w:val="nil"/>
              <w:right w:val="nil"/>
            </w:tcBorders>
            <w:shd w:val="clear" w:color="000000" w:fill="FFFFFF"/>
            <w:noWrap w:val="0"/>
            <w:vAlign w:val="center"/>
          </w:tcPr>
          <w:p w14:paraId="699033B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645" w:type="dxa"/>
            <w:tcBorders>
              <w:top w:val="single" w:color="000000" w:sz="4" w:space="0"/>
              <w:left w:val="single" w:color="000000" w:sz="4" w:space="0"/>
              <w:bottom w:val="nil"/>
              <w:right w:val="nil"/>
            </w:tcBorders>
            <w:shd w:val="clear" w:color="000000" w:fill="FFFFFF"/>
            <w:noWrap w:val="0"/>
            <w:vAlign w:val="center"/>
          </w:tcPr>
          <w:p w14:paraId="2C6C22B1">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72" w:type="dxa"/>
            <w:gridSpan w:val="2"/>
            <w:tcBorders>
              <w:top w:val="single" w:color="000000" w:sz="4" w:space="0"/>
              <w:left w:val="single" w:color="000000" w:sz="4" w:space="0"/>
              <w:bottom w:val="nil"/>
              <w:right w:val="nil"/>
            </w:tcBorders>
            <w:shd w:val="clear" w:color="000000" w:fill="FFFFFF"/>
            <w:noWrap w:val="0"/>
            <w:vAlign w:val="center"/>
          </w:tcPr>
          <w:p w14:paraId="378277A3">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51" w:type="dxa"/>
            <w:gridSpan w:val="2"/>
            <w:tcBorders>
              <w:top w:val="single" w:color="000000" w:sz="4" w:space="0"/>
              <w:left w:val="single" w:color="000000" w:sz="4" w:space="0"/>
              <w:bottom w:val="nil"/>
              <w:right w:val="nil"/>
            </w:tcBorders>
            <w:shd w:val="clear" w:color="000000" w:fill="FFFFFF"/>
            <w:noWrap/>
            <w:vAlign w:val="center"/>
          </w:tcPr>
          <w:p w14:paraId="290F4A48">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51" w:type="dxa"/>
            <w:gridSpan w:val="2"/>
            <w:tcBorders>
              <w:top w:val="single" w:color="000000" w:sz="4" w:space="0"/>
              <w:left w:val="single" w:color="000000" w:sz="4" w:space="0"/>
              <w:bottom w:val="nil"/>
              <w:right w:val="nil"/>
            </w:tcBorders>
            <w:shd w:val="clear" w:color="000000" w:fill="FFFFFF"/>
            <w:noWrap/>
            <w:vAlign w:val="center"/>
          </w:tcPr>
          <w:p w14:paraId="24CB85A7">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50" w:type="dxa"/>
            <w:gridSpan w:val="2"/>
            <w:tcBorders>
              <w:top w:val="single" w:color="000000" w:sz="4" w:space="0"/>
              <w:left w:val="single" w:color="000000" w:sz="4" w:space="0"/>
              <w:bottom w:val="nil"/>
              <w:right w:val="nil"/>
            </w:tcBorders>
            <w:shd w:val="clear" w:color="000000" w:fill="FFFFFF"/>
            <w:noWrap/>
            <w:vAlign w:val="center"/>
          </w:tcPr>
          <w:p w14:paraId="5E385564">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51" w:type="dxa"/>
            <w:gridSpan w:val="2"/>
            <w:tcBorders>
              <w:top w:val="single" w:color="000000" w:sz="4" w:space="0"/>
              <w:left w:val="single" w:color="000000" w:sz="4" w:space="0"/>
              <w:bottom w:val="nil"/>
              <w:right w:val="nil"/>
            </w:tcBorders>
            <w:shd w:val="clear" w:color="000000" w:fill="FFFFFF"/>
            <w:noWrap/>
            <w:vAlign w:val="center"/>
          </w:tcPr>
          <w:p w14:paraId="3E2F8628">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50" w:type="dxa"/>
            <w:gridSpan w:val="2"/>
            <w:tcBorders>
              <w:top w:val="single" w:color="000000" w:sz="4" w:space="0"/>
              <w:left w:val="single" w:color="000000" w:sz="4" w:space="0"/>
              <w:bottom w:val="nil"/>
              <w:right w:val="nil"/>
            </w:tcBorders>
            <w:shd w:val="clear" w:color="000000" w:fill="FFFFFF"/>
            <w:noWrap/>
            <w:vAlign w:val="center"/>
          </w:tcPr>
          <w:p w14:paraId="7D3F83AE">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34" w:type="dxa"/>
            <w:gridSpan w:val="2"/>
            <w:tcBorders>
              <w:top w:val="single" w:color="000000" w:sz="4" w:space="0"/>
              <w:left w:val="single" w:color="000000" w:sz="4" w:space="0"/>
              <w:bottom w:val="nil"/>
              <w:right w:val="single" w:color="000000" w:sz="4" w:space="0"/>
            </w:tcBorders>
            <w:shd w:val="clear" w:color="000000" w:fill="FFFFFF"/>
            <w:noWrap w:val="0"/>
            <w:vAlign w:val="center"/>
          </w:tcPr>
          <w:p w14:paraId="4A8DABF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6B75BD6F">
        <w:tblPrEx>
          <w:tblCellMar>
            <w:top w:w="0" w:type="dxa"/>
            <w:left w:w="108" w:type="dxa"/>
            <w:bottom w:w="0" w:type="dxa"/>
            <w:right w:w="108" w:type="dxa"/>
          </w:tblCellMar>
        </w:tblPrEx>
        <w:trPr>
          <w:trHeight w:val="450" w:hRule="atLeast"/>
        </w:trPr>
        <w:tc>
          <w:tcPr>
            <w:tcW w:w="5118" w:type="dxa"/>
            <w:gridSpan w:val="9"/>
            <w:tcBorders>
              <w:top w:val="single" w:color="000000" w:sz="4" w:space="0"/>
              <w:left w:val="single" w:color="000000" w:sz="4" w:space="0"/>
              <w:bottom w:val="nil"/>
              <w:right w:val="nil"/>
            </w:tcBorders>
            <w:shd w:val="clear" w:color="000000" w:fill="FFFFFF"/>
            <w:noWrap w:val="0"/>
            <w:vAlign w:val="center"/>
          </w:tcPr>
          <w:p w14:paraId="74A98A56">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本页小计</w:t>
            </w:r>
          </w:p>
        </w:tc>
        <w:tc>
          <w:tcPr>
            <w:tcW w:w="851" w:type="dxa"/>
            <w:gridSpan w:val="2"/>
            <w:tcBorders>
              <w:top w:val="single" w:color="000000" w:sz="4" w:space="0"/>
              <w:left w:val="single" w:color="000000" w:sz="4" w:space="0"/>
              <w:bottom w:val="nil"/>
              <w:right w:val="nil"/>
            </w:tcBorders>
            <w:shd w:val="clear" w:color="000000" w:fill="FFFFFF"/>
            <w:noWrap/>
            <w:vAlign w:val="center"/>
          </w:tcPr>
          <w:p w14:paraId="699B8BB0">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50" w:type="dxa"/>
            <w:gridSpan w:val="2"/>
            <w:tcBorders>
              <w:top w:val="single" w:color="000000" w:sz="4" w:space="0"/>
              <w:left w:val="single" w:color="000000" w:sz="4" w:space="0"/>
              <w:bottom w:val="nil"/>
              <w:right w:val="nil"/>
            </w:tcBorders>
            <w:shd w:val="clear" w:color="000000" w:fill="FFFFFF"/>
            <w:noWrap/>
            <w:vAlign w:val="center"/>
          </w:tcPr>
          <w:p w14:paraId="2200852D">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51" w:type="dxa"/>
            <w:gridSpan w:val="2"/>
            <w:tcBorders>
              <w:top w:val="single" w:color="000000" w:sz="4" w:space="0"/>
              <w:left w:val="single" w:color="000000" w:sz="4" w:space="0"/>
              <w:bottom w:val="nil"/>
              <w:right w:val="nil"/>
            </w:tcBorders>
            <w:shd w:val="clear" w:color="000000" w:fill="FFFFFF"/>
            <w:noWrap/>
            <w:vAlign w:val="center"/>
          </w:tcPr>
          <w:p w14:paraId="05EDF57F">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50" w:type="dxa"/>
            <w:gridSpan w:val="2"/>
            <w:tcBorders>
              <w:top w:val="single" w:color="000000" w:sz="4" w:space="0"/>
              <w:left w:val="single" w:color="000000" w:sz="4" w:space="0"/>
              <w:bottom w:val="nil"/>
              <w:right w:val="nil"/>
            </w:tcBorders>
            <w:shd w:val="clear" w:color="000000" w:fill="FFFFFF"/>
            <w:noWrap/>
            <w:vAlign w:val="center"/>
          </w:tcPr>
          <w:p w14:paraId="5CAE7F32">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34" w:type="dxa"/>
            <w:gridSpan w:val="2"/>
            <w:tcBorders>
              <w:top w:val="single" w:color="000000" w:sz="4" w:space="0"/>
              <w:left w:val="single" w:color="000000" w:sz="4" w:space="0"/>
              <w:bottom w:val="nil"/>
              <w:right w:val="single" w:color="000000" w:sz="4" w:space="0"/>
            </w:tcBorders>
            <w:shd w:val="clear" w:color="000000" w:fill="FFFFFF"/>
            <w:noWrap w:val="0"/>
            <w:vAlign w:val="center"/>
          </w:tcPr>
          <w:p w14:paraId="71BAEEEB">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5AA55BEF">
        <w:tblPrEx>
          <w:tblCellMar>
            <w:top w:w="0" w:type="dxa"/>
            <w:left w:w="108" w:type="dxa"/>
            <w:bottom w:w="0" w:type="dxa"/>
            <w:right w:w="108" w:type="dxa"/>
          </w:tblCellMar>
        </w:tblPrEx>
        <w:trPr>
          <w:trHeight w:val="450" w:hRule="atLeast"/>
        </w:trPr>
        <w:tc>
          <w:tcPr>
            <w:tcW w:w="5118" w:type="dxa"/>
            <w:gridSpan w:val="9"/>
            <w:tcBorders>
              <w:top w:val="single" w:color="000000" w:sz="4" w:space="0"/>
              <w:left w:val="single" w:color="000000" w:sz="4" w:space="0"/>
              <w:bottom w:val="single" w:color="000000" w:sz="4" w:space="0"/>
              <w:right w:val="nil"/>
            </w:tcBorders>
            <w:shd w:val="clear" w:color="000000" w:fill="FFFFFF"/>
            <w:noWrap w:val="0"/>
            <w:vAlign w:val="center"/>
          </w:tcPr>
          <w:p w14:paraId="78BB12D3">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合计</w:t>
            </w:r>
          </w:p>
        </w:tc>
        <w:tc>
          <w:tcPr>
            <w:tcW w:w="851" w:type="dxa"/>
            <w:gridSpan w:val="2"/>
            <w:tcBorders>
              <w:top w:val="single" w:color="000000" w:sz="4" w:space="0"/>
              <w:left w:val="single" w:color="000000" w:sz="4" w:space="0"/>
              <w:bottom w:val="single" w:color="000000" w:sz="4" w:space="0"/>
              <w:right w:val="nil"/>
            </w:tcBorders>
            <w:shd w:val="clear" w:color="000000" w:fill="FFFFFF"/>
            <w:noWrap/>
            <w:vAlign w:val="center"/>
          </w:tcPr>
          <w:p w14:paraId="02089094">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50" w:type="dxa"/>
            <w:gridSpan w:val="2"/>
            <w:tcBorders>
              <w:top w:val="single" w:color="000000" w:sz="4" w:space="0"/>
              <w:left w:val="single" w:color="000000" w:sz="4" w:space="0"/>
              <w:bottom w:val="single" w:color="000000" w:sz="4" w:space="0"/>
              <w:right w:val="nil"/>
            </w:tcBorders>
            <w:shd w:val="clear" w:color="000000" w:fill="FFFFFF"/>
            <w:noWrap/>
            <w:vAlign w:val="center"/>
          </w:tcPr>
          <w:p w14:paraId="1D525607">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51" w:type="dxa"/>
            <w:gridSpan w:val="2"/>
            <w:tcBorders>
              <w:top w:val="single" w:color="000000" w:sz="4" w:space="0"/>
              <w:left w:val="single" w:color="000000" w:sz="4" w:space="0"/>
              <w:bottom w:val="single" w:color="000000" w:sz="4" w:space="0"/>
              <w:right w:val="nil"/>
            </w:tcBorders>
            <w:shd w:val="clear" w:color="000000" w:fill="FFFFFF"/>
            <w:noWrap/>
            <w:vAlign w:val="center"/>
          </w:tcPr>
          <w:p w14:paraId="15971DC5">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50" w:type="dxa"/>
            <w:gridSpan w:val="2"/>
            <w:tcBorders>
              <w:top w:val="single" w:color="000000" w:sz="4" w:space="0"/>
              <w:left w:val="single" w:color="000000" w:sz="4" w:space="0"/>
              <w:bottom w:val="single" w:color="000000" w:sz="4" w:space="0"/>
              <w:right w:val="nil"/>
            </w:tcBorders>
            <w:shd w:val="clear" w:color="000000" w:fill="FFFFFF"/>
            <w:noWrap/>
            <w:vAlign w:val="center"/>
          </w:tcPr>
          <w:p w14:paraId="1ED606EA">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34"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E836FB5">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5EC25E5A">
        <w:tblPrEx>
          <w:tblCellMar>
            <w:top w:w="0" w:type="dxa"/>
            <w:left w:w="108" w:type="dxa"/>
            <w:bottom w:w="0" w:type="dxa"/>
            <w:right w:w="108" w:type="dxa"/>
          </w:tblCellMar>
        </w:tblPrEx>
        <w:trPr>
          <w:trHeight w:val="900" w:hRule="atLeast"/>
        </w:trPr>
        <w:tc>
          <w:tcPr>
            <w:tcW w:w="9654" w:type="dxa"/>
            <w:gridSpan w:val="19"/>
            <w:tcBorders>
              <w:top w:val="nil"/>
              <w:left w:val="nil"/>
              <w:bottom w:val="nil"/>
              <w:right w:val="nil"/>
            </w:tcBorders>
            <w:shd w:val="clear" w:color="000000" w:fill="FFFFFF"/>
            <w:noWrap w:val="0"/>
            <w:vAlign w:val="center"/>
          </w:tcPr>
          <w:p w14:paraId="0E46FB61">
            <w:pPr>
              <w:widowControl/>
              <w:jc w:val="left"/>
              <w:rPr>
                <w:rFonts w:hint="eastAsia" w:ascii="宋体" w:hAnsi="宋体" w:eastAsia="宋体" w:cs="宋体"/>
                <w:b w:val="0"/>
                <w:color w:val="auto"/>
                <w:sz w:val="24"/>
                <w:highlight w:val="none"/>
              </w:rPr>
            </w:pPr>
          </w:p>
          <w:p w14:paraId="3F0981B1">
            <w:pPr>
              <w:widowControl/>
              <w:jc w:val="center"/>
              <w:rPr>
                <w:rFonts w:hint="eastAsia" w:ascii="宋体" w:hAnsi="宋体" w:eastAsia="宋体" w:cs="宋体"/>
                <w:b/>
                <w:bCs/>
                <w:color w:val="auto"/>
                <w:kern w:val="0"/>
                <w:sz w:val="36"/>
                <w:szCs w:val="36"/>
                <w:highlight w:val="none"/>
              </w:rPr>
            </w:pPr>
          </w:p>
          <w:p w14:paraId="64441721">
            <w:pPr>
              <w:widowControl/>
              <w:jc w:val="center"/>
              <w:rPr>
                <w:rFonts w:hint="eastAsia" w:ascii="宋体" w:hAnsi="宋体" w:eastAsia="宋体" w:cs="宋体"/>
                <w:b/>
                <w:bCs/>
                <w:color w:val="auto"/>
                <w:kern w:val="0"/>
                <w:sz w:val="40"/>
                <w:szCs w:val="40"/>
                <w:highlight w:val="none"/>
              </w:rPr>
            </w:pPr>
            <w:r>
              <w:rPr>
                <w:rFonts w:hint="eastAsia" w:ascii="宋体" w:hAnsi="宋体" w:eastAsia="宋体" w:cs="宋体"/>
                <w:b/>
                <w:bCs/>
                <w:color w:val="auto"/>
                <w:kern w:val="0"/>
                <w:sz w:val="36"/>
                <w:szCs w:val="36"/>
                <w:highlight w:val="none"/>
              </w:rPr>
              <w:t>施工技术措施项目清单与计价表</w:t>
            </w:r>
          </w:p>
        </w:tc>
      </w:tr>
      <w:tr w14:paraId="4ED5BB9F">
        <w:tblPrEx>
          <w:tblCellMar>
            <w:top w:w="0" w:type="dxa"/>
            <w:left w:w="108" w:type="dxa"/>
            <w:bottom w:w="0" w:type="dxa"/>
            <w:right w:w="108" w:type="dxa"/>
          </w:tblCellMar>
        </w:tblPrEx>
        <w:trPr>
          <w:trHeight w:val="450" w:hRule="atLeast"/>
        </w:trPr>
        <w:tc>
          <w:tcPr>
            <w:tcW w:w="2709" w:type="dxa"/>
            <w:gridSpan w:val="3"/>
            <w:tcBorders>
              <w:top w:val="nil"/>
              <w:left w:val="nil"/>
              <w:bottom w:val="nil"/>
              <w:right w:val="nil"/>
            </w:tcBorders>
            <w:shd w:val="clear" w:color="000000" w:fill="FFFFFF"/>
            <w:noWrap w:val="0"/>
            <w:vAlign w:val="bottom"/>
          </w:tcPr>
          <w:p w14:paraId="5C285A7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单位(专业)工程名称:</w:t>
            </w:r>
          </w:p>
        </w:tc>
        <w:tc>
          <w:tcPr>
            <w:tcW w:w="3402" w:type="dxa"/>
            <w:gridSpan w:val="9"/>
            <w:tcBorders>
              <w:top w:val="nil"/>
              <w:left w:val="nil"/>
              <w:bottom w:val="nil"/>
              <w:right w:val="nil"/>
            </w:tcBorders>
            <w:shd w:val="clear" w:color="000000" w:fill="FFFFFF"/>
            <w:noWrap w:val="0"/>
            <w:vAlign w:val="bottom"/>
          </w:tcPr>
          <w:p w14:paraId="7406B711">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标段:</w:t>
            </w:r>
          </w:p>
        </w:tc>
        <w:tc>
          <w:tcPr>
            <w:tcW w:w="992" w:type="dxa"/>
            <w:gridSpan w:val="2"/>
            <w:tcBorders>
              <w:top w:val="nil"/>
              <w:left w:val="nil"/>
              <w:bottom w:val="nil"/>
              <w:right w:val="nil"/>
            </w:tcBorders>
            <w:shd w:val="clear" w:color="000000" w:fill="FFFFFF"/>
            <w:noWrap w:val="0"/>
            <w:vAlign w:val="bottom"/>
          </w:tcPr>
          <w:p w14:paraId="38038077">
            <w:pPr>
              <w:widowControl/>
              <w:jc w:val="center"/>
              <w:rPr>
                <w:rFonts w:hint="eastAsia" w:ascii="宋体" w:hAnsi="宋体" w:eastAsia="宋体" w:cs="宋体"/>
                <w:color w:val="auto"/>
                <w:kern w:val="0"/>
                <w:sz w:val="18"/>
                <w:szCs w:val="18"/>
                <w:highlight w:val="none"/>
              </w:rPr>
            </w:pPr>
          </w:p>
        </w:tc>
        <w:tc>
          <w:tcPr>
            <w:tcW w:w="2551" w:type="dxa"/>
            <w:gridSpan w:val="5"/>
            <w:tcBorders>
              <w:top w:val="nil"/>
              <w:left w:val="nil"/>
              <w:bottom w:val="nil"/>
              <w:right w:val="nil"/>
            </w:tcBorders>
            <w:shd w:val="clear" w:color="000000" w:fill="FFFFFF"/>
            <w:noWrap w:val="0"/>
            <w:vAlign w:val="bottom"/>
          </w:tcPr>
          <w:p w14:paraId="64F2B110">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第 页 共 页</w:t>
            </w:r>
          </w:p>
        </w:tc>
      </w:tr>
      <w:tr w14:paraId="692D4272">
        <w:tblPrEx>
          <w:tblCellMar>
            <w:top w:w="0" w:type="dxa"/>
            <w:left w:w="108" w:type="dxa"/>
            <w:bottom w:w="0" w:type="dxa"/>
            <w:right w:w="108" w:type="dxa"/>
          </w:tblCellMar>
        </w:tblPrEx>
        <w:trPr>
          <w:trHeight w:val="450" w:hRule="atLeast"/>
        </w:trPr>
        <w:tc>
          <w:tcPr>
            <w:tcW w:w="760" w:type="dxa"/>
            <w:vMerge w:val="restart"/>
            <w:tcBorders>
              <w:top w:val="single" w:color="000000" w:sz="4" w:space="0"/>
              <w:left w:val="single" w:color="000000" w:sz="4" w:space="0"/>
              <w:bottom w:val="nil"/>
              <w:right w:val="nil"/>
            </w:tcBorders>
            <w:shd w:val="clear" w:color="000000" w:fill="FFFFFF"/>
            <w:noWrap w:val="0"/>
            <w:vAlign w:val="center"/>
          </w:tcPr>
          <w:p w14:paraId="054D28B9">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序号</w:t>
            </w:r>
          </w:p>
        </w:tc>
        <w:tc>
          <w:tcPr>
            <w:tcW w:w="956" w:type="dxa"/>
            <w:vMerge w:val="restart"/>
            <w:tcBorders>
              <w:top w:val="single" w:color="000000" w:sz="4" w:space="0"/>
              <w:left w:val="single" w:color="000000" w:sz="4" w:space="0"/>
              <w:bottom w:val="nil"/>
              <w:right w:val="nil"/>
            </w:tcBorders>
            <w:shd w:val="clear" w:color="000000" w:fill="FFFFFF"/>
            <w:noWrap w:val="0"/>
            <w:vAlign w:val="center"/>
          </w:tcPr>
          <w:p w14:paraId="4C4928C6">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项目编码</w:t>
            </w:r>
          </w:p>
        </w:tc>
        <w:tc>
          <w:tcPr>
            <w:tcW w:w="993" w:type="dxa"/>
            <w:vMerge w:val="restart"/>
            <w:tcBorders>
              <w:top w:val="single" w:color="000000" w:sz="4" w:space="0"/>
              <w:left w:val="single" w:color="000000" w:sz="4" w:space="0"/>
              <w:bottom w:val="nil"/>
              <w:right w:val="nil"/>
            </w:tcBorders>
            <w:shd w:val="clear" w:color="000000" w:fill="FFFFFF"/>
            <w:noWrap w:val="0"/>
            <w:vAlign w:val="center"/>
          </w:tcPr>
          <w:p w14:paraId="76FC73D6">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项目名称</w:t>
            </w:r>
          </w:p>
        </w:tc>
        <w:tc>
          <w:tcPr>
            <w:tcW w:w="840" w:type="dxa"/>
            <w:gridSpan w:val="3"/>
            <w:vMerge w:val="restart"/>
            <w:tcBorders>
              <w:top w:val="single" w:color="000000" w:sz="4" w:space="0"/>
              <w:left w:val="single" w:color="000000" w:sz="4" w:space="0"/>
              <w:bottom w:val="nil"/>
              <w:right w:val="nil"/>
            </w:tcBorders>
            <w:shd w:val="clear" w:color="000000" w:fill="FFFFFF"/>
            <w:noWrap w:val="0"/>
            <w:vAlign w:val="center"/>
          </w:tcPr>
          <w:p w14:paraId="05C380DE">
            <w:pPr>
              <w:widowControl/>
              <w:ind w:left="0" w:leftChars="0" w:firstLine="0" w:firstLineChars="0"/>
              <w:jc w:val="both"/>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rPr>
              <w:t>计量</w:t>
            </w:r>
          </w:p>
          <w:p w14:paraId="0A60EB7B">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单位</w:t>
            </w:r>
          </w:p>
        </w:tc>
        <w:tc>
          <w:tcPr>
            <w:tcW w:w="861" w:type="dxa"/>
            <w:gridSpan w:val="2"/>
            <w:vMerge w:val="restart"/>
            <w:tcBorders>
              <w:top w:val="single" w:color="000000" w:sz="4" w:space="0"/>
              <w:left w:val="single" w:color="000000" w:sz="4" w:space="0"/>
              <w:bottom w:val="nil"/>
              <w:right w:val="nil"/>
            </w:tcBorders>
            <w:shd w:val="clear" w:color="000000" w:fill="FFFFFF"/>
            <w:noWrap w:val="0"/>
            <w:vAlign w:val="center"/>
          </w:tcPr>
          <w:p w14:paraId="62CAC97D">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工程量</w:t>
            </w:r>
          </w:p>
        </w:tc>
        <w:tc>
          <w:tcPr>
            <w:tcW w:w="4536" w:type="dxa"/>
            <w:gridSpan w:val="10"/>
            <w:tcBorders>
              <w:top w:val="single" w:color="000000" w:sz="4" w:space="0"/>
              <w:left w:val="single" w:color="000000" w:sz="4" w:space="0"/>
              <w:bottom w:val="nil"/>
              <w:right w:val="nil"/>
            </w:tcBorders>
            <w:shd w:val="clear" w:color="000000" w:fill="FFFFFF"/>
            <w:noWrap w:val="0"/>
            <w:vAlign w:val="center"/>
          </w:tcPr>
          <w:p w14:paraId="51D09FEA">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金 额  (元)</w:t>
            </w:r>
          </w:p>
        </w:tc>
        <w:tc>
          <w:tcPr>
            <w:tcW w:w="708" w:type="dxa"/>
            <w:vMerge w:val="restart"/>
            <w:tcBorders>
              <w:top w:val="single" w:color="000000" w:sz="4" w:space="0"/>
              <w:left w:val="single" w:color="000000" w:sz="4" w:space="0"/>
              <w:bottom w:val="nil"/>
              <w:right w:val="single" w:color="000000" w:sz="4" w:space="0"/>
            </w:tcBorders>
            <w:shd w:val="clear" w:color="000000" w:fill="FFFFFF"/>
            <w:noWrap w:val="0"/>
            <w:vAlign w:val="center"/>
          </w:tcPr>
          <w:p w14:paraId="4DD42313">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备注</w:t>
            </w:r>
          </w:p>
        </w:tc>
      </w:tr>
      <w:tr w14:paraId="54DA9323">
        <w:tblPrEx>
          <w:tblCellMar>
            <w:top w:w="0" w:type="dxa"/>
            <w:left w:w="108" w:type="dxa"/>
            <w:bottom w:w="0" w:type="dxa"/>
            <w:right w:w="108" w:type="dxa"/>
          </w:tblCellMar>
        </w:tblPrEx>
        <w:trPr>
          <w:trHeight w:val="360" w:hRule="atLeast"/>
        </w:trPr>
        <w:tc>
          <w:tcPr>
            <w:tcW w:w="760" w:type="dxa"/>
            <w:vMerge w:val="continue"/>
            <w:tcBorders>
              <w:top w:val="single" w:color="000000" w:sz="4" w:space="0"/>
              <w:left w:val="single" w:color="000000" w:sz="4" w:space="0"/>
              <w:bottom w:val="nil"/>
              <w:right w:val="nil"/>
            </w:tcBorders>
            <w:shd w:val="clear" w:color="auto" w:fill="auto"/>
            <w:noWrap w:val="0"/>
            <w:vAlign w:val="center"/>
          </w:tcPr>
          <w:p w14:paraId="20BC7C1F">
            <w:pPr>
              <w:widowControl/>
              <w:jc w:val="left"/>
              <w:rPr>
                <w:rFonts w:hint="eastAsia" w:ascii="宋体" w:hAnsi="宋体" w:eastAsia="宋体" w:cs="宋体"/>
                <w:color w:val="auto"/>
                <w:kern w:val="0"/>
                <w:sz w:val="18"/>
                <w:szCs w:val="18"/>
                <w:highlight w:val="none"/>
              </w:rPr>
            </w:pPr>
          </w:p>
        </w:tc>
        <w:tc>
          <w:tcPr>
            <w:tcW w:w="956" w:type="dxa"/>
            <w:vMerge w:val="continue"/>
            <w:tcBorders>
              <w:top w:val="single" w:color="000000" w:sz="4" w:space="0"/>
              <w:left w:val="single" w:color="000000" w:sz="4" w:space="0"/>
              <w:bottom w:val="nil"/>
              <w:right w:val="nil"/>
            </w:tcBorders>
            <w:shd w:val="clear" w:color="auto" w:fill="auto"/>
            <w:noWrap w:val="0"/>
            <w:vAlign w:val="center"/>
          </w:tcPr>
          <w:p w14:paraId="4A1AB79E">
            <w:pPr>
              <w:widowControl/>
              <w:jc w:val="left"/>
              <w:rPr>
                <w:rFonts w:hint="eastAsia" w:ascii="宋体" w:hAnsi="宋体" w:eastAsia="宋体" w:cs="宋体"/>
                <w:color w:val="auto"/>
                <w:kern w:val="0"/>
                <w:sz w:val="18"/>
                <w:szCs w:val="18"/>
                <w:highlight w:val="none"/>
              </w:rPr>
            </w:pPr>
          </w:p>
        </w:tc>
        <w:tc>
          <w:tcPr>
            <w:tcW w:w="993" w:type="dxa"/>
            <w:vMerge w:val="continue"/>
            <w:tcBorders>
              <w:top w:val="single" w:color="000000" w:sz="4" w:space="0"/>
              <w:left w:val="single" w:color="000000" w:sz="4" w:space="0"/>
              <w:bottom w:val="nil"/>
              <w:right w:val="nil"/>
            </w:tcBorders>
            <w:shd w:val="clear" w:color="auto" w:fill="auto"/>
            <w:noWrap w:val="0"/>
            <w:vAlign w:val="center"/>
          </w:tcPr>
          <w:p w14:paraId="2C8A23F5">
            <w:pPr>
              <w:widowControl/>
              <w:jc w:val="left"/>
              <w:rPr>
                <w:rFonts w:hint="eastAsia" w:ascii="宋体" w:hAnsi="宋体" w:eastAsia="宋体" w:cs="宋体"/>
                <w:color w:val="auto"/>
                <w:kern w:val="0"/>
                <w:sz w:val="18"/>
                <w:szCs w:val="18"/>
                <w:highlight w:val="none"/>
              </w:rPr>
            </w:pPr>
          </w:p>
        </w:tc>
        <w:tc>
          <w:tcPr>
            <w:tcW w:w="840" w:type="dxa"/>
            <w:gridSpan w:val="3"/>
            <w:vMerge w:val="continue"/>
            <w:tcBorders>
              <w:top w:val="single" w:color="000000" w:sz="4" w:space="0"/>
              <w:left w:val="single" w:color="000000" w:sz="4" w:space="0"/>
              <w:bottom w:val="nil"/>
              <w:right w:val="nil"/>
            </w:tcBorders>
            <w:shd w:val="clear" w:color="auto" w:fill="auto"/>
            <w:noWrap w:val="0"/>
            <w:vAlign w:val="center"/>
          </w:tcPr>
          <w:p w14:paraId="35647E12">
            <w:pPr>
              <w:widowControl/>
              <w:jc w:val="left"/>
              <w:rPr>
                <w:rFonts w:hint="eastAsia" w:ascii="宋体" w:hAnsi="宋体" w:eastAsia="宋体" w:cs="宋体"/>
                <w:color w:val="auto"/>
                <w:kern w:val="0"/>
                <w:sz w:val="18"/>
                <w:szCs w:val="18"/>
                <w:highlight w:val="none"/>
              </w:rPr>
            </w:pPr>
          </w:p>
        </w:tc>
        <w:tc>
          <w:tcPr>
            <w:tcW w:w="861" w:type="dxa"/>
            <w:gridSpan w:val="2"/>
            <w:vMerge w:val="continue"/>
            <w:tcBorders>
              <w:top w:val="single" w:color="000000" w:sz="4" w:space="0"/>
              <w:left w:val="single" w:color="000000" w:sz="4" w:space="0"/>
              <w:bottom w:val="nil"/>
              <w:right w:val="nil"/>
            </w:tcBorders>
            <w:shd w:val="clear" w:color="auto" w:fill="auto"/>
            <w:noWrap w:val="0"/>
            <w:vAlign w:val="center"/>
          </w:tcPr>
          <w:p w14:paraId="506D2ED5">
            <w:pPr>
              <w:widowControl/>
              <w:jc w:val="left"/>
              <w:rPr>
                <w:rFonts w:hint="eastAsia" w:ascii="宋体" w:hAnsi="宋体" w:eastAsia="宋体" w:cs="宋体"/>
                <w:color w:val="auto"/>
                <w:kern w:val="0"/>
                <w:sz w:val="18"/>
                <w:szCs w:val="18"/>
                <w:highlight w:val="none"/>
              </w:rPr>
            </w:pPr>
          </w:p>
        </w:tc>
        <w:tc>
          <w:tcPr>
            <w:tcW w:w="850" w:type="dxa"/>
            <w:gridSpan w:val="2"/>
            <w:vMerge w:val="restart"/>
            <w:tcBorders>
              <w:top w:val="single" w:color="000000" w:sz="4" w:space="0"/>
              <w:left w:val="single" w:color="000000" w:sz="4" w:space="0"/>
              <w:bottom w:val="nil"/>
              <w:right w:val="nil"/>
            </w:tcBorders>
            <w:shd w:val="clear" w:color="000000" w:fill="FFFFFF"/>
            <w:noWrap w:val="0"/>
            <w:vAlign w:val="center"/>
          </w:tcPr>
          <w:p w14:paraId="70CF6A5F">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综合单价</w:t>
            </w:r>
          </w:p>
        </w:tc>
        <w:tc>
          <w:tcPr>
            <w:tcW w:w="851" w:type="dxa"/>
            <w:gridSpan w:val="2"/>
            <w:vMerge w:val="restart"/>
            <w:tcBorders>
              <w:top w:val="single" w:color="000000" w:sz="4" w:space="0"/>
              <w:left w:val="single" w:color="000000" w:sz="4" w:space="0"/>
              <w:bottom w:val="nil"/>
              <w:right w:val="nil"/>
            </w:tcBorders>
            <w:shd w:val="clear" w:color="000000" w:fill="FFFFFF"/>
            <w:noWrap w:val="0"/>
            <w:vAlign w:val="center"/>
          </w:tcPr>
          <w:p w14:paraId="4F93D6D6">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合价</w:t>
            </w:r>
          </w:p>
        </w:tc>
        <w:tc>
          <w:tcPr>
            <w:tcW w:w="2835" w:type="dxa"/>
            <w:gridSpan w:val="6"/>
            <w:tcBorders>
              <w:top w:val="single" w:color="000000" w:sz="4" w:space="0"/>
              <w:left w:val="single" w:color="000000" w:sz="4" w:space="0"/>
              <w:bottom w:val="nil"/>
              <w:right w:val="single" w:color="000000" w:sz="4" w:space="0"/>
            </w:tcBorders>
            <w:shd w:val="clear" w:color="000000" w:fill="FFFFFF"/>
            <w:noWrap w:val="0"/>
            <w:vAlign w:val="center"/>
          </w:tcPr>
          <w:p w14:paraId="3E7C290C">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其中</w:t>
            </w:r>
          </w:p>
        </w:tc>
        <w:tc>
          <w:tcPr>
            <w:tcW w:w="708" w:type="dxa"/>
            <w:vMerge w:val="continue"/>
            <w:tcBorders>
              <w:top w:val="single" w:color="000000" w:sz="4" w:space="0"/>
              <w:left w:val="single" w:color="000000" w:sz="4" w:space="0"/>
              <w:bottom w:val="nil"/>
              <w:right w:val="single" w:color="000000" w:sz="4" w:space="0"/>
            </w:tcBorders>
            <w:noWrap w:val="0"/>
            <w:vAlign w:val="center"/>
          </w:tcPr>
          <w:p w14:paraId="2C415793">
            <w:pPr>
              <w:widowControl/>
              <w:jc w:val="left"/>
              <w:rPr>
                <w:rFonts w:hint="eastAsia" w:ascii="宋体" w:hAnsi="宋体" w:eastAsia="宋体" w:cs="宋体"/>
                <w:color w:val="auto"/>
                <w:kern w:val="0"/>
                <w:sz w:val="18"/>
                <w:szCs w:val="18"/>
                <w:highlight w:val="none"/>
              </w:rPr>
            </w:pPr>
          </w:p>
        </w:tc>
      </w:tr>
      <w:tr w14:paraId="4AAFF8F8">
        <w:tblPrEx>
          <w:tblCellMar>
            <w:top w:w="0" w:type="dxa"/>
            <w:left w:w="108" w:type="dxa"/>
            <w:bottom w:w="0" w:type="dxa"/>
            <w:right w:w="108" w:type="dxa"/>
          </w:tblCellMar>
        </w:tblPrEx>
        <w:trPr>
          <w:trHeight w:val="450" w:hRule="atLeast"/>
        </w:trPr>
        <w:tc>
          <w:tcPr>
            <w:tcW w:w="760" w:type="dxa"/>
            <w:vMerge w:val="continue"/>
            <w:tcBorders>
              <w:top w:val="single" w:color="000000" w:sz="4" w:space="0"/>
              <w:left w:val="single" w:color="000000" w:sz="4" w:space="0"/>
              <w:bottom w:val="nil"/>
              <w:right w:val="nil"/>
            </w:tcBorders>
            <w:shd w:val="clear" w:color="auto" w:fill="auto"/>
            <w:noWrap w:val="0"/>
            <w:vAlign w:val="center"/>
          </w:tcPr>
          <w:p w14:paraId="3D925DD8">
            <w:pPr>
              <w:widowControl/>
              <w:jc w:val="left"/>
              <w:rPr>
                <w:rFonts w:hint="eastAsia" w:ascii="宋体" w:hAnsi="宋体" w:eastAsia="宋体" w:cs="宋体"/>
                <w:color w:val="auto"/>
                <w:kern w:val="0"/>
                <w:sz w:val="18"/>
                <w:szCs w:val="18"/>
                <w:highlight w:val="none"/>
              </w:rPr>
            </w:pPr>
          </w:p>
        </w:tc>
        <w:tc>
          <w:tcPr>
            <w:tcW w:w="956" w:type="dxa"/>
            <w:vMerge w:val="continue"/>
            <w:tcBorders>
              <w:top w:val="single" w:color="000000" w:sz="4" w:space="0"/>
              <w:left w:val="single" w:color="000000" w:sz="4" w:space="0"/>
              <w:bottom w:val="nil"/>
              <w:right w:val="nil"/>
            </w:tcBorders>
            <w:shd w:val="clear" w:color="auto" w:fill="auto"/>
            <w:noWrap w:val="0"/>
            <w:vAlign w:val="center"/>
          </w:tcPr>
          <w:p w14:paraId="1658A238">
            <w:pPr>
              <w:widowControl/>
              <w:jc w:val="left"/>
              <w:rPr>
                <w:rFonts w:hint="eastAsia" w:ascii="宋体" w:hAnsi="宋体" w:eastAsia="宋体" w:cs="宋体"/>
                <w:color w:val="auto"/>
                <w:kern w:val="0"/>
                <w:sz w:val="18"/>
                <w:szCs w:val="18"/>
                <w:highlight w:val="none"/>
              </w:rPr>
            </w:pPr>
          </w:p>
        </w:tc>
        <w:tc>
          <w:tcPr>
            <w:tcW w:w="993" w:type="dxa"/>
            <w:vMerge w:val="continue"/>
            <w:tcBorders>
              <w:top w:val="single" w:color="000000" w:sz="4" w:space="0"/>
              <w:left w:val="single" w:color="000000" w:sz="4" w:space="0"/>
              <w:bottom w:val="nil"/>
              <w:right w:val="nil"/>
            </w:tcBorders>
            <w:shd w:val="clear" w:color="auto" w:fill="auto"/>
            <w:noWrap w:val="0"/>
            <w:vAlign w:val="center"/>
          </w:tcPr>
          <w:p w14:paraId="622F8AF4">
            <w:pPr>
              <w:widowControl/>
              <w:jc w:val="left"/>
              <w:rPr>
                <w:rFonts w:hint="eastAsia" w:ascii="宋体" w:hAnsi="宋体" w:eastAsia="宋体" w:cs="宋体"/>
                <w:color w:val="auto"/>
                <w:kern w:val="0"/>
                <w:sz w:val="18"/>
                <w:szCs w:val="18"/>
                <w:highlight w:val="none"/>
              </w:rPr>
            </w:pPr>
          </w:p>
        </w:tc>
        <w:tc>
          <w:tcPr>
            <w:tcW w:w="840" w:type="dxa"/>
            <w:gridSpan w:val="3"/>
            <w:vMerge w:val="continue"/>
            <w:tcBorders>
              <w:top w:val="single" w:color="000000" w:sz="4" w:space="0"/>
              <w:left w:val="single" w:color="000000" w:sz="4" w:space="0"/>
              <w:bottom w:val="nil"/>
              <w:right w:val="nil"/>
            </w:tcBorders>
            <w:shd w:val="clear" w:color="auto" w:fill="auto"/>
            <w:noWrap w:val="0"/>
            <w:vAlign w:val="center"/>
          </w:tcPr>
          <w:p w14:paraId="2185D897">
            <w:pPr>
              <w:widowControl/>
              <w:jc w:val="left"/>
              <w:rPr>
                <w:rFonts w:hint="eastAsia" w:ascii="宋体" w:hAnsi="宋体" w:eastAsia="宋体" w:cs="宋体"/>
                <w:color w:val="auto"/>
                <w:kern w:val="0"/>
                <w:sz w:val="18"/>
                <w:szCs w:val="18"/>
                <w:highlight w:val="none"/>
              </w:rPr>
            </w:pPr>
          </w:p>
        </w:tc>
        <w:tc>
          <w:tcPr>
            <w:tcW w:w="861" w:type="dxa"/>
            <w:gridSpan w:val="2"/>
            <w:vMerge w:val="continue"/>
            <w:tcBorders>
              <w:top w:val="single" w:color="000000" w:sz="4" w:space="0"/>
              <w:left w:val="single" w:color="000000" w:sz="4" w:space="0"/>
              <w:bottom w:val="nil"/>
              <w:right w:val="nil"/>
            </w:tcBorders>
            <w:shd w:val="clear" w:color="auto" w:fill="auto"/>
            <w:noWrap w:val="0"/>
            <w:vAlign w:val="center"/>
          </w:tcPr>
          <w:p w14:paraId="255906F1">
            <w:pPr>
              <w:widowControl/>
              <w:jc w:val="left"/>
              <w:rPr>
                <w:rFonts w:hint="eastAsia" w:ascii="宋体" w:hAnsi="宋体" w:eastAsia="宋体" w:cs="宋体"/>
                <w:color w:val="auto"/>
                <w:kern w:val="0"/>
                <w:sz w:val="18"/>
                <w:szCs w:val="18"/>
                <w:highlight w:val="none"/>
              </w:rPr>
            </w:pPr>
          </w:p>
        </w:tc>
        <w:tc>
          <w:tcPr>
            <w:tcW w:w="850" w:type="dxa"/>
            <w:gridSpan w:val="2"/>
            <w:vMerge w:val="continue"/>
            <w:tcBorders>
              <w:top w:val="single" w:color="000000" w:sz="4" w:space="0"/>
              <w:left w:val="single" w:color="000000" w:sz="4" w:space="0"/>
              <w:bottom w:val="nil"/>
              <w:right w:val="nil"/>
            </w:tcBorders>
            <w:shd w:val="clear" w:color="auto" w:fill="auto"/>
            <w:noWrap w:val="0"/>
            <w:vAlign w:val="center"/>
          </w:tcPr>
          <w:p w14:paraId="505EAE84">
            <w:pPr>
              <w:widowControl/>
              <w:jc w:val="left"/>
              <w:rPr>
                <w:rFonts w:hint="eastAsia" w:ascii="宋体" w:hAnsi="宋体" w:eastAsia="宋体" w:cs="宋体"/>
                <w:color w:val="auto"/>
                <w:kern w:val="0"/>
                <w:sz w:val="18"/>
                <w:szCs w:val="18"/>
                <w:highlight w:val="none"/>
              </w:rPr>
            </w:pPr>
          </w:p>
        </w:tc>
        <w:tc>
          <w:tcPr>
            <w:tcW w:w="851" w:type="dxa"/>
            <w:gridSpan w:val="2"/>
            <w:vMerge w:val="continue"/>
            <w:tcBorders>
              <w:top w:val="single" w:color="000000" w:sz="4" w:space="0"/>
              <w:left w:val="single" w:color="000000" w:sz="4" w:space="0"/>
              <w:bottom w:val="nil"/>
              <w:right w:val="nil"/>
            </w:tcBorders>
            <w:shd w:val="clear" w:color="auto" w:fill="auto"/>
            <w:noWrap w:val="0"/>
            <w:vAlign w:val="center"/>
          </w:tcPr>
          <w:p w14:paraId="09D7394E">
            <w:pPr>
              <w:widowControl/>
              <w:jc w:val="left"/>
              <w:rPr>
                <w:rFonts w:hint="eastAsia" w:ascii="宋体" w:hAnsi="宋体" w:eastAsia="宋体" w:cs="宋体"/>
                <w:color w:val="auto"/>
                <w:kern w:val="0"/>
                <w:sz w:val="18"/>
                <w:szCs w:val="18"/>
                <w:highlight w:val="none"/>
              </w:rPr>
            </w:pPr>
          </w:p>
        </w:tc>
        <w:tc>
          <w:tcPr>
            <w:tcW w:w="992" w:type="dxa"/>
            <w:gridSpan w:val="2"/>
            <w:tcBorders>
              <w:top w:val="single" w:color="000000" w:sz="4" w:space="0"/>
              <w:left w:val="single" w:color="000000" w:sz="4" w:space="0"/>
              <w:bottom w:val="nil"/>
              <w:right w:val="nil"/>
            </w:tcBorders>
            <w:shd w:val="clear" w:color="000000" w:fill="FFFFFF"/>
            <w:noWrap w:val="0"/>
            <w:vAlign w:val="center"/>
          </w:tcPr>
          <w:p w14:paraId="31192490">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人工费</w:t>
            </w:r>
          </w:p>
        </w:tc>
        <w:tc>
          <w:tcPr>
            <w:tcW w:w="850" w:type="dxa"/>
            <w:gridSpan w:val="2"/>
            <w:tcBorders>
              <w:top w:val="single" w:color="000000" w:sz="4" w:space="0"/>
              <w:left w:val="single" w:color="000000" w:sz="4" w:space="0"/>
              <w:bottom w:val="nil"/>
              <w:right w:val="nil"/>
            </w:tcBorders>
            <w:shd w:val="clear" w:color="000000" w:fill="FFFFFF"/>
            <w:noWrap w:val="0"/>
            <w:vAlign w:val="center"/>
          </w:tcPr>
          <w:p w14:paraId="2083453F">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机械费</w:t>
            </w:r>
          </w:p>
        </w:tc>
        <w:tc>
          <w:tcPr>
            <w:tcW w:w="993" w:type="dxa"/>
            <w:gridSpan w:val="2"/>
            <w:tcBorders>
              <w:top w:val="single" w:color="000000" w:sz="4" w:space="0"/>
              <w:left w:val="single" w:color="000000" w:sz="4" w:space="0"/>
              <w:bottom w:val="nil"/>
              <w:right w:val="single" w:color="000000" w:sz="4" w:space="0"/>
            </w:tcBorders>
            <w:shd w:val="clear" w:color="000000" w:fill="FFFFFF"/>
            <w:noWrap w:val="0"/>
            <w:vAlign w:val="center"/>
          </w:tcPr>
          <w:p w14:paraId="36DBEDCF">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暂估价</w:t>
            </w:r>
          </w:p>
        </w:tc>
        <w:tc>
          <w:tcPr>
            <w:tcW w:w="708" w:type="dxa"/>
            <w:vMerge w:val="continue"/>
            <w:tcBorders>
              <w:top w:val="single" w:color="000000" w:sz="4" w:space="0"/>
              <w:left w:val="single" w:color="000000" w:sz="4" w:space="0"/>
              <w:bottom w:val="nil"/>
              <w:right w:val="single" w:color="000000" w:sz="4" w:space="0"/>
            </w:tcBorders>
            <w:noWrap w:val="0"/>
            <w:vAlign w:val="center"/>
          </w:tcPr>
          <w:p w14:paraId="17B04E8D">
            <w:pPr>
              <w:widowControl/>
              <w:jc w:val="left"/>
              <w:rPr>
                <w:rFonts w:hint="eastAsia" w:ascii="宋体" w:hAnsi="宋体" w:eastAsia="宋体" w:cs="宋体"/>
                <w:color w:val="auto"/>
                <w:kern w:val="0"/>
                <w:sz w:val="18"/>
                <w:szCs w:val="18"/>
                <w:highlight w:val="none"/>
              </w:rPr>
            </w:pPr>
          </w:p>
        </w:tc>
      </w:tr>
      <w:tr w14:paraId="48D9430B">
        <w:tblPrEx>
          <w:tblCellMar>
            <w:top w:w="0" w:type="dxa"/>
            <w:left w:w="108" w:type="dxa"/>
            <w:bottom w:w="0" w:type="dxa"/>
            <w:right w:w="108" w:type="dxa"/>
          </w:tblCellMar>
        </w:tblPrEx>
        <w:trPr>
          <w:trHeight w:val="450" w:hRule="atLeast"/>
        </w:trPr>
        <w:tc>
          <w:tcPr>
            <w:tcW w:w="760" w:type="dxa"/>
            <w:tcBorders>
              <w:top w:val="single" w:color="000000" w:sz="4" w:space="0"/>
              <w:left w:val="single" w:color="000000" w:sz="4" w:space="0"/>
              <w:bottom w:val="nil"/>
              <w:right w:val="nil"/>
            </w:tcBorders>
            <w:shd w:val="clear" w:color="000000" w:fill="FFFFFF"/>
            <w:noWrap w:val="0"/>
            <w:vAlign w:val="center"/>
          </w:tcPr>
          <w:p w14:paraId="0C1A2424">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56" w:type="dxa"/>
            <w:tcBorders>
              <w:top w:val="single" w:color="000000" w:sz="4" w:space="0"/>
              <w:left w:val="single" w:color="000000" w:sz="4" w:space="0"/>
              <w:bottom w:val="nil"/>
              <w:right w:val="nil"/>
            </w:tcBorders>
            <w:shd w:val="clear" w:color="000000" w:fill="FFFFFF"/>
            <w:noWrap w:val="0"/>
            <w:vAlign w:val="center"/>
          </w:tcPr>
          <w:p w14:paraId="6EA8E64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93" w:type="dxa"/>
            <w:tcBorders>
              <w:top w:val="single" w:color="000000" w:sz="4" w:space="0"/>
              <w:left w:val="single" w:color="000000" w:sz="4" w:space="0"/>
              <w:bottom w:val="nil"/>
              <w:right w:val="nil"/>
            </w:tcBorders>
            <w:shd w:val="clear" w:color="000000" w:fill="FFFFFF"/>
            <w:noWrap w:val="0"/>
            <w:vAlign w:val="center"/>
          </w:tcPr>
          <w:p w14:paraId="3BEF6E2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40" w:type="dxa"/>
            <w:gridSpan w:val="3"/>
            <w:tcBorders>
              <w:top w:val="single" w:color="000000" w:sz="4" w:space="0"/>
              <w:left w:val="single" w:color="000000" w:sz="4" w:space="0"/>
              <w:bottom w:val="nil"/>
              <w:right w:val="nil"/>
            </w:tcBorders>
            <w:shd w:val="clear" w:color="000000" w:fill="FFFFFF"/>
            <w:noWrap w:val="0"/>
            <w:vAlign w:val="center"/>
          </w:tcPr>
          <w:p w14:paraId="5FB0BCE5">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61" w:type="dxa"/>
            <w:gridSpan w:val="2"/>
            <w:tcBorders>
              <w:top w:val="single" w:color="000000" w:sz="4" w:space="0"/>
              <w:left w:val="single" w:color="000000" w:sz="4" w:space="0"/>
              <w:bottom w:val="nil"/>
              <w:right w:val="nil"/>
            </w:tcBorders>
            <w:shd w:val="clear" w:color="000000" w:fill="FFFFFF"/>
            <w:noWrap w:val="0"/>
            <w:vAlign w:val="center"/>
          </w:tcPr>
          <w:p w14:paraId="6DD2270C">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50" w:type="dxa"/>
            <w:gridSpan w:val="2"/>
            <w:tcBorders>
              <w:top w:val="single" w:color="000000" w:sz="4" w:space="0"/>
              <w:left w:val="single" w:color="000000" w:sz="4" w:space="0"/>
              <w:bottom w:val="nil"/>
              <w:right w:val="nil"/>
            </w:tcBorders>
            <w:shd w:val="clear" w:color="000000" w:fill="FFFFFF"/>
            <w:noWrap/>
            <w:vAlign w:val="center"/>
          </w:tcPr>
          <w:p w14:paraId="046DD183">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51" w:type="dxa"/>
            <w:gridSpan w:val="2"/>
            <w:tcBorders>
              <w:top w:val="single" w:color="000000" w:sz="4" w:space="0"/>
              <w:left w:val="single" w:color="000000" w:sz="4" w:space="0"/>
              <w:bottom w:val="nil"/>
              <w:right w:val="nil"/>
            </w:tcBorders>
            <w:shd w:val="clear" w:color="000000" w:fill="FFFFFF"/>
            <w:noWrap/>
            <w:vAlign w:val="center"/>
          </w:tcPr>
          <w:p w14:paraId="3613A1BC">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92" w:type="dxa"/>
            <w:gridSpan w:val="2"/>
            <w:tcBorders>
              <w:top w:val="single" w:color="000000" w:sz="4" w:space="0"/>
              <w:left w:val="single" w:color="000000" w:sz="4" w:space="0"/>
              <w:bottom w:val="nil"/>
              <w:right w:val="nil"/>
            </w:tcBorders>
            <w:shd w:val="clear" w:color="000000" w:fill="FFFFFF"/>
            <w:noWrap/>
            <w:vAlign w:val="center"/>
          </w:tcPr>
          <w:p w14:paraId="66C76EC1">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50" w:type="dxa"/>
            <w:gridSpan w:val="2"/>
            <w:tcBorders>
              <w:top w:val="single" w:color="000000" w:sz="4" w:space="0"/>
              <w:left w:val="single" w:color="000000" w:sz="4" w:space="0"/>
              <w:bottom w:val="nil"/>
              <w:right w:val="nil"/>
            </w:tcBorders>
            <w:shd w:val="clear" w:color="000000" w:fill="FFFFFF"/>
            <w:noWrap/>
            <w:vAlign w:val="center"/>
          </w:tcPr>
          <w:p w14:paraId="2C529365">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93" w:type="dxa"/>
            <w:gridSpan w:val="2"/>
            <w:tcBorders>
              <w:top w:val="single" w:color="000000" w:sz="4" w:space="0"/>
              <w:left w:val="single" w:color="000000" w:sz="4" w:space="0"/>
              <w:bottom w:val="nil"/>
              <w:right w:val="nil"/>
            </w:tcBorders>
            <w:shd w:val="clear" w:color="000000" w:fill="FFFFFF"/>
            <w:noWrap/>
            <w:vAlign w:val="center"/>
          </w:tcPr>
          <w:p w14:paraId="6DAB060A">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08" w:type="dxa"/>
            <w:tcBorders>
              <w:top w:val="single" w:color="000000" w:sz="4" w:space="0"/>
              <w:left w:val="single" w:color="000000" w:sz="4" w:space="0"/>
              <w:bottom w:val="nil"/>
              <w:right w:val="single" w:color="000000" w:sz="4" w:space="0"/>
            </w:tcBorders>
            <w:shd w:val="clear" w:color="000000" w:fill="FFFFFF"/>
            <w:noWrap w:val="0"/>
            <w:vAlign w:val="center"/>
          </w:tcPr>
          <w:p w14:paraId="4D00C40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3F779367">
        <w:tblPrEx>
          <w:tblCellMar>
            <w:top w:w="0" w:type="dxa"/>
            <w:left w:w="108" w:type="dxa"/>
            <w:bottom w:w="0" w:type="dxa"/>
            <w:right w:w="108" w:type="dxa"/>
          </w:tblCellMar>
        </w:tblPrEx>
        <w:trPr>
          <w:trHeight w:val="450" w:hRule="atLeast"/>
        </w:trPr>
        <w:tc>
          <w:tcPr>
            <w:tcW w:w="760" w:type="dxa"/>
            <w:tcBorders>
              <w:top w:val="single" w:color="000000" w:sz="4" w:space="0"/>
              <w:left w:val="single" w:color="000000" w:sz="4" w:space="0"/>
              <w:bottom w:val="nil"/>
              <w:right w:val="nil"/>
            </w:tcBorders>
            <w:shd w:val="clear" w:color="000000" w:fill="FFFFFF"/>
            <w:noWrap w:val="0"/>
            <w:vAlign w:val="center"/>
          </w:tcPr>
          <w:p w14:paraId="7F10C297">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56" w:type="dxa"/>
            <w:tcBorders>
              <w:top w:val="single" w:color="000000" w:sz="4" w:space="0"/>
              <w:left w:val="single" w:color="000000" w:sz="4" w:space="0"/>
              <w:bottom w:val="nil"/>
              <w:right w:val="nil"/>
            </w:tcBorders>
            <w:shd w:val="clear" w:color="000000" w:fill="FFFFFF"/>
            <w:noWrap w:val="0"/>
            <w:vAlign w:val="center"/>
          </w:tcPr>
          <w:p w14:paraId="7544B6B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93" w:type="dxa"/>
            <w:tcBorders>
              <w:top w:val="single" w:color="000000" w:sz="4" w:space="0"/>
              <w:left w:val="single" w:color="000000" w:sz="4" w:space="0"/>
              <w:bottom w:val="nil"/>
              <w:right w:val="nil"/>
            </w:tcBorders>
            <w:shd w:val="clear" w:color="000000" w:fill="FFFFFF"/>
            <w:noWrap w:val="0"/>
            <w:vAlign w:val="center"/>
          </w:tcPr>
          <w:p w14:paraId="0202DC0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40" w:type="dxa"/>
            <w:gridSpan w:val="3"/>
            <w:tcBorders>
              <w:top w:val="single" w:color="000000" w:sz="4" w:space="0"/>
              <w:left w:val="single" w:color="000000" w:sz="4" w:space="0"/>
              <w:bottom w:val="nil"/>
              <w:right w:val="nil"/>
            </w:tcBorders>
            <w:shd w:val="clear" w:color="000000" w:fill="FFFFFF"/>
            <w:noWrap w:val="0"/>
            <w:vAlign w:val="center"/>
          </w:tcPr>
          <w:p w14:paraId="5D5D45E9">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61" w:type="dxa"/>
            <w:gridSpan w:val="2"/>
            <w:tcBorders>
              <w:top w:val="single" w:color="000000" w:sz="4" w:space="0"/>
              <w:left w:val="single" w:color="000000" w:sz="4" w:space="0"/>
              <w:bottom w:val="nil"/>
              <w:right w:val="nil"/>
            </w:tcBorders>
            <w:shd w:val="clear" w:color="000000" w:fill="FFFFFF"/>
            <w:noWrap w:val="0"/>
            <w:vAlign w:val="center"/>
          </w:tcPr>
          <w:p w14:paraId="5C04EDBE">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50" w:type="dxa"/>
            <w:gridSpan w:val="2"/>
            <w:tcBorders>
              <w:top w:val="single" w:color="000000" w:sz="4" w:space="0"/>
              <w:left w:val="single" w:color="000000" w:sz="4" w:space="0"/>
              <w:bottom w:val="nil"/>
              <w:right w:val="nil"/>
            </w:tcBorders>
            <w:shd w:val="clear" w:color="000000" w:fill="FFFFFF"/>
            <w:noWrap/>
            <w:vAlign w:val="center"/>
          </w:tcPr>
          <w:p w14:paraId="4E6527A4">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51" w:type="dxa"/>
            <w:gridSpan w:val="2"/>
            <w:tcBorders>
              <w:top w:val="single" w:color="000000" w:sz="4" w:space="0"/>
              <w:left w:val="single" w:color="000000" w:sz="4" w:space="0"/>
              <w:bottom w:val="nil"/>
              <w:right w:val="nil"/>
            </w:tcBorders>
            <w:shd w:val="clear" w:color="000000" w:fill="FFFFFF"/>
            <w:noWrap/>
            <w:vAlign w:val="center"/>
          </w:tcPr>
          <w:p w14:paraId="55D887BE">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92" w:type="dxa"/>
            <w:gridSpan w:val="2"/>
            <w:tcBorders>
              <w:top w:val="single" w:color="000000" w:sz="4" w:space="0"/>
              <w:left w:val="single" w:color="000000" w:sz="4" w:space="0"/>
              <w:bottom w:val="nil"/>
              <w:right w:val="nil"/>
            </w:tcBorders>
            <w:shd w:val="clear" w:color="000000" w:fill="FFFFFF"/>
            <w:noWrap/>
            <w:vAlign w:val="center"/>
          </w:tcPr>
          <w:p w14:paraId="5C7FE45D">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50" w:type="dxa"/>
            <w:gridSpan w:val="2"/>
            <w:tcBorders>
              <w:top w:val="single" w:color="000000" w:sz="4" w:space="0"/>
              <w:left w:val="single" w:color="000000" w:sz="4" w:space="0"/>
              <w:bottom w:val="nil"/>
              <w:right w:val="nil"/>
            </w:tcBorders>
            <w:shd w:val="clear" w:color="000000" w:fill="FFFFFF"/>
            <w:noWrap/>
            <w:vAlign w:val="center"/>
          </w:tcPr>
          <w:p w14:paraId="16213947">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93" w:type="dxa"/>
            <w:gridSpan w:val="2"/>
            <w:tcBorders>
              <w:top w:val="single" w:color="000000" w:sz="4" w:space="0"/>
              <w:left w:val="single" w:color="000000" w:sz="4" w:space="0"/>
              <w:bottom w:val="nil"/>
              <w:right w:val="nil"/>
            </w:tcBorders>
            <w:shd w:val="clear" w:color="000000" w:fill="FFFFFF"/>
            <w:noWrap/>
            <w:vAlign w:val="center"/>
          </w:tcPr>
          <w:p w14:paraId="516C2981">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08" w:type="dxa"/>
            <w:tcBorders>
              <w:top w:val="single" w:color="000000" w:sz="4" w:space="0"/>
              <w:left w:val="single" w:color="000000" w:sz="4" w:space="0"/>
              <w:bottom w:val="nil"/>
              <w:right w:val="single" w:color="000000" w:sz="4" w:space="0"/>
            </w:tcBorders>
            <w:shd w:val="clear" w:color="000000" w:fill="FFFFFF"/>
            <w:noWrap w:val="0"/>
            <w:vAlign w:val="center"/>
          </w:tcPr>
          <w:p w14:paraId="3894372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6E62B75A">
        <w:tblPrEx>
          <w:tblCellMar>
            <w:top w:w="0" w:type="dxa"/>
            <w:left w:w="108" w:type="dxa"/>
            <w:bottom w:w="0" w:type="dxa"/>
            <w:right w:w="108" w:type="dxa"/>
          </w:tblCellMar>
        </w:tblPrEx>
        <w:trPr>
          <w:trHeight w:val="450" w:hRule="atLeast"/>
        </w:trPr>
        <w:tc>
          <w:tcPr>
            <w:tcW w:w="760" w:type="dxa"/>
            <w:tcBorders>
              <w:top w:val="single" w:color="000000" w:sz="4" w:space="0"/>
              <w:left w:val="single" w:color="000000" w:sz="4" w:space="0"/>
              <w:bottom w:val="nil"/>
              <w:right w:val="nil"/>
            </w:tcBorders>
            <w:shd w:val="clear" w:color="000000" w:fill="FFFFFF"/>
            <w:noWrap w:val="0"/>
            <w:vAlign w:val="center"/>
          </w:tcPr>
          <w:p w14:paraId="69D80C79">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56" w:type="dxa"/>
            <w:tcBorders>
              <w:top w:val="single" w:color="000000" w:sz="4" w:space="0"/>
              <w:left w:val="single" w:color="000000" w:sz="4" w:space="0"/>
              <w:bottom w:val="nil"/>
              <w:right w:val="nil"/>
            </w:tcBorders>
            <w:shd w:val="clear" w:color="000000" w:fill="FFFFFF"/>
            <w:noWrap w:val="0"/>
            <w:vAlign w:val="center"/>
          </w:tcPr>
          <w:p w14:paraId="085E424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93" w:type="dxa"/>
            <w:tcBorders>
              <w:top w:val="single" w:color="000000" w:sz="4" w:space="0"/>
              <w:left w:val="single" w:color="000000" w:sz="4" w:space="0"/>
              <w:bottom w:val="nil"/>
              <w:right w:val="nil"/>
            </w:tcBorders>
            <w:shd w:val="clear" w:color="000000" w:fill="FFFFFF"/>
            <w:noWrap w:val="0"/>
            <w:vAlign w:val="center"/>
          </w:tcPr>
          <w:p w14:paraId="48F9377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40" w:type="dxa"/>
            <w:gridSpan w:val="3"/>
            <w:tcBorders>
              <w:top w:val="single" w:color="000000" w:sz="4" w:space="0"/>
              <w:left w:val="single" w:color="000000" w:sz="4" w:space="0"/>
              <w:bottom w:val="nil"/>
              <w:right w:val="nil"/>
            </w:tcBorders>
            <w:shd w:val="clear" w:color="000000" w:fill="FFFFFF"/>
            <w:noWrap w:val="0"/>
            <w:vAlign w:val="center"/>
          </w:tcPr>
          <w:p w14:paraId="7D5139F1">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61" w:type="dxa"/>
            <w:gridSpan w:val="2"/>
            <w:tcBorders>
              <w:top w:val="single" w:color="000000" w:sz="4" w:space="0"/>
              <w:left w:val="single" w:color="000000" w:sz="4" w:space="0"/>
              <w:bottom w:val="nil"/>
              <w:right w:val="nil"/>
            </w:tcBorders>
            <w:shd w:val="clear" w:color="000000" w:fill="FFFFFF"/>
            <w:noWrap w:val="0"/>
            <w:vAlign w:val="center"/>
          </w:tcPr>
          <w:p w14:paraId="2836DB20">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50" w:type="dxa"/>
            <w:gridSpan w:val="2"/>
            <w:tcBorders>
              <w:top w:val="single" w:color="000000" w:sz="4" w:space="0"/>
              <w:left w:val="single" w:color="000000" w:sz="4" w:space="0"/>
              <w:bottom w:val="nil"/>
              <w:right w:val="nil"/>
            </w:tcBorders>
            <w:shd w:val="clear" w:color="000000" w:fill="FFFFFF"/>
            <w:noWrap/>
            <w:vAlign w:val="center"/>
          </w:tcPr>
          <w:p w14:paraId="0FEC286E">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51" w:type="dxa"/>
            <w:gridSpan w:val="2"/>
            <w:tcBorders>
              <w:top w:val="single" w:color="000000" w:sz="4" w:space="0"/>
              <w:left w:val="single" w:color="000000" w:sz="4" w:space="0"/>
              <w:bottom w:val="nil"/>
              <w:right w:val="nil"/>
            </w:tcBorders>
            <w:shd w:val="clear" w:color="000000" w:fill="FFFFFF"/>
            <w:noWrap/>
            <w:vAlign w:val="center"/>
          </w:tcPr>
          <w:p w14:paraId="0F0A2170">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92" w:type="dxa"/>
            <w:gridSpan w:val="2"/>
            <w:tcBorders>
              <w:top w:val="single" w:color="000000" w:sz="4" w:space="0"/>
              <w:left w:val="single" w:color="000000" w:sz="4" w:space="0"/>
              <w:bottom w:val="nil"/>
              <w:right w:val="nil"/>
            </w:tcBorders>
            <w:shd w:val="clear" w:color="000000" w:fill="FFFFFF"/>
            <w:noWrap/>
            <w:vAlign w:val="center"/>
          </w:tcPr>
          <w:p w14:paraId="41B22ACD">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50" w:type="dxa"/>
            <w:gridSpan w:val="2"/>
            <w:tcBorders>
              <w:top w:val="single" w:color="000000" w:sz="4" w:space="0"/>
              <w:left w:val="single" w:color="000000" w:sz="4" w:space="0"/>
              <w:bottom w:val="nil"/>
              <w:right w:val="nil"/>
            </w:tcBorders>
            <w:shd w:val="clear" w:color="000000" w:fill="FFFFFF"/>
            <w:noWrap/>
            <w:vAlign w:val="center"/>
          </w:tcPr>
          <w:p w14:paraId="02A2823B">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93" w:type="dxa"/>
            <w:gridSpan w:val="2"/>
            <w:tcBorders>
              <w:top w:val="single" w:color="000000" w:sz="4" w:space="0"/>
              <w:left w:val="single" w:color="000000" w:sz="4" w:space="0"/>
              <w:bottom w:val="nil"/>
              <w:right w:val="nil"/>
            </w:tcBorders>
            <w:shd w:val="clear" w:color="000000" w:fill="FFFFFF"/>
            <w:noWrap/>
            <w:vAlign w:val="center"/>
          </w:tcPr>
          <w:p w14:paraId="3E15357A">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08" w:type="dxa"/>
            <w:tcBorders>
              <w:top w:val="single" w:color="000000" w:sz="4" w:space="0"/>
              <w:left w:val="single" w:color="000000" w:sz="4" w:space="0"/>
              <w:bottom w:val="nil"/>
              <w:right w:val="single" w:color="000000" w:sz="4" w:space="0"/>
            </w:tcBorders>
            <w:shd w:val="clear" w:color="000000" w:fill="FFFFFF"/>
            <w:noWrap w:val="0"/>
            <w:vAlign w:val="center"/>
          </w:tcPr>
          <w:p w14:paraId="491FA87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22DC8DAB">
        <w:tblPrEx>
          <w:tblCellMar>
            <w:top w:w="0" w:type="dxa"/>
            <w:left w:w="108" w:type="dxa"/>
            <w:bottom w:w="0" w:type="dxa"/>
            <w:right w:w="108" w:type="dxa"/>
          </w:tblCellMar>
        </w:tblPrEx>
        <w:trPr>
          <w:trHeight w:val="450" w:hRule="atLeast"/>
        </w:trPr>
        <w:tc>
          <w:tcPr>
            <w:tcW w:w="760" w:type="dxa"/>
            <w:tcBorders>
              <w:top w:val="single" w:color="000000" w:sz="4" w:space="0"/>
              <w:left w:val="single" w:color="000000" w:sz="4" w:space="0"/>
              <w:bottom w:val="nil"/>
              <w:right w:val="nil"/>
            </w:tcBorders>
            <w:shd w:val="clear" w:color="000000" w:fill="FFFFFF"/>
            <w:noWrap w:val="0"/>
            <w:vAlign w:val="center"/>
          </w:tcPr>
          <w:p w14:paraId="2EAFDE41">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56" w:type="dxa"/>
            <w:tcBorders>
              <w:top w:val="single" w:color="000000" w:sz="4" w:space="0"/>
              <w:left w:val="single" w:color="000000" w:sz="4" w:space="0"/>
              <w:bottom w:val="nil"/>
              <w:right w:val="nil"/>
            </w:tcBorders>
            <w:shd w:val="clear" w:color="000000" w:fill="FFFFFF"/>
            <w:noWrap w:val="0"/>
            <w:vAlign w:val="center"/>
          </w:tcPr>
          <w:p w14:paraId="6534C86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93" w:type="dxa"/>
            <w:tcBorders>
              <w:top w:val="single" w:color="000000" w:sz="4" w:space="0"/>
              <w:left w:val="single" w:color="000000" w:sz="4" w:space="0"/>
              <w:bottom w:val="nil"/>
              <w:right w:val="nil"/>
            </w:tcBorders>
            <w:shd w:val="clear" w:color="000000" w:fill="FFFFFF"/>
            <w:noWrap w:val="0"/>
            <w:vAlign w:val="center"/>
          </w:tcPr>
          <w:p w14:paraId="4F48304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40" w:type="dxa"/>
            <w:gridSpan w:val="3"/>
            <w:tcBorders>
              <w:top w:val="single" w:color="000000" w:sz="4" w:space="0"/>
              <w:left w:val="single" w:color="000000" w:sz="4" w:space="0"/>
              <w:bottom w:val="nil"/>
              <w:right w:val="nil"/>
            </w:tcBorders>
            <w:shd w:val="clear" w:color="000000" w:fill="FFFFFF"/>
            <w:noWrap w:val="0"/>
            <w:vAlign w:val="center"/>
          </w:tcPr>
          <w:p w14:paraId="3A9A4584">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61" w:type="dxa"/>
            <w:gridSpan w:val="2"/>
            <w:tcBorders>
              <w:top w:val="single" w:color="000000" w:sz="4" w:space="0"/>
              <w:left w:val="single" w:color="000000" w:sz="4" w:space="0"/>
              <w:bottom w:val="nil"/>
              <w:right w:val="nil"/>
            </w:tcBorders>
            <w:shd w:val="clear" w:color="000000" w:fill="FFFFFF"/>
            <w:noWrap w:val="0"/>
            <w:vAlign w:val="center"/>
          </w:tcPr>
          <w:p w14:paraId="4C3CFB15">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50" w:type="dxa"/>
            <w:gridSpan w:val="2"/>
            <w:tcBorders>
              <w:top w:val="single" w:color="000000" w:sz="4" w:space="0"/>
              <w:left w:val="single" w:color="000000" w:sz="4" w:space="0"/>
              <w:bottom w:val="nil"/>
              <w:right w:val="nil"/>
            </w:tcBorders>
            <w:shd w:val="clear" w:color="000000" w:fill="FFFFFF"/>
            <w:noWrap/>
            <w:vAlign w:val="center"/>
          </w:tcPr>
          <w:p w14:paraId="7748FDD3">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51" w:type="dxa"/>
            <w:gridSpan w:val="2"/>
            <w:tcBorders>
              <w:top w:val="single" w:color="000000" w:sz="4" w:space="0"/>
              <w:left w:val="single" w:color="000000" w:sz="4" w:space="0"/>
              <w:bottom w:val="nil"/>
              <w:right w:val="nil"/>
            </w:tcBorders>
            <w:shd w:val="clear" w:color="000000" w:fill="FFFFFF"/>
            <w:noWrap/>
            <w:vAlign w:val="center"/>
          </w:tcPr>
          <w:p w14:paraId="3EDB3695">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92" w:type="dxa"/>
            <w:gridSpan w:val="2"/>
            <w:tcBorders>
              <w:top w:val="single" w:color="000000" w:sz="4" w:space="0"/>
              <w:left w:val="single" w:color="000000" w:sz="4" w:space="0"/>
              <w:bottom w:val="nil"/>
              <w:right w:val="nil"/>
            </w:tcBorders>
            <w:shd w:val="clear" w:color="000000" w:fill="FFFFFF"/>
            <w:noWrap/>
            <w:vAlign w:val="center"/>
          </w:tcPr>
          <w:p w14:paraId="12EF2D66">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50" w:type="dxa"/>
            <w:gridSpan w:val="2"/>
            <w:tcBorders>
              <w:top w:val="single" w:color="000000" w:sz="4" w:space="0"/>
              <w:left w:val="single" w:color="000000" w:sz="4" w:space="0"/>
              <w:bottom w:val="nil"/>
              <w:right w:val="nil"/>
            </w:tcBorders>
            <w:shd w:val="clear" w:color="000000" w:fill="FFFFFF"/>
            <w:noWrap/>
            <w:vAlign w:val="center"/>
          </w:tcPr>
          <w:p w14:paraId="15C83D17">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93" w:type="dxa"/>
            <w:gridSpan w:val="2"/>
            <w:tcBorders>
              <w:top w:val="single" w:color="000000" w:sz="4" w:space="0"/>
              <w:left w:val="single" w:color="000000" w:sz="4" w:space="0"/>
              <w:bottom w:val="nil"/>
              <w:right w:val="nil"/>
            </w:tcBorders>
            <w:shd w:val="clear" w:color="000000" w:fill="FFFFFF"/>
            <w:noWrap/>
            <w:vAlign w:val="center"/>
          </w:tcPr>
          <w:p w14:paraId="4045A013">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08" w:type="dxa"/>
            <w:tcBorders>
              <w:top w:val="single" w:color="000000" w:sz="4" w:space="0"/>
              <w:left w:val="single" w:color="000000" w:sz="4" w:space="0"/>
              <w:bottom w:val="nil"/>
              <w:right w:val="single" w:color="000000" w:sz="4" w:space="0"/>
            </w:tcBorders>
            <w:shd w:val="clear" w:color="000000" w:fill="FFFFFF"/>
            <w:noWrap w:val="0"/>
            <w:vAlign w:val="center"/>
          </w:tcPr>
          <w:p w14:paraId="4D7E748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2914FF44">
        <w:tblPrEx>
          <w:tblCellMar>
            <w:top w:w="0" w:type="dxa"/>
            <w:left w:w="108" w:type="dxa"/>
            <w:bottom w:w="0" w:type="dxa"/>
            <w:right w:w="108" w:type="dxa"/>
          </w:tblCellMar>
        </w:tblPrEx>
        <w:trPr>
          <w:trHeight w:val="450" w:hRule="atLeast"/>
        </w:trPr>
        <w:tc>
          <w:tcPr>
            <w:tcW w:w="760" w:type="dxa"/>
            <w:tcBorders>
              <w:top w:val="single" w:color="000000" w:sz="4" w:space="0"/>
              <w:left w:val="single" w:color="000000" w:sz="4" w:space="0"/>
              <w:bottom w:val="nil"/>
              <w:right w:val="nil"/>
            </w:tcBorders>
            <w:shd w:val="clear" w:color="000000" w:fill="FFFFFF"/>
            <w:noWrap w:val="0"/>
            <w:vAlign w:val="center"/>
          </w:tcPr>
          <w:p w14:paraId="4266AC2A">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56" w:type="dxa"/>
            <w:tcBorders>
              <w:top w:val="single" w:color="000000" w:sz="4" w:space="0"/>
              <w:left w:val="single" w:color="000000" w:sz="4" w:space="0"/>
              <w:bottom w:val="nil"/>
              <w:right w:val="nil"/>
            </w:tcBorders>
            <w:shd w:val="clear" w:color="000000" w:fill="FFFFFF"/>
            <w:noWrap w:val="0"/>
            <w:vAlign w:val="center"/>
          </w:tcPr>
          <w:p w14:paraId="2348CD9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93" w:type="dxa"/>
            <w:tcBorders>
              <w:top w:val="single" w:color="000000" w:sz="4" w:space="0"/>
              <w:left w:val="single" w:color="000000" w:sz="4" w:space="0"/>
              <w:bottom w:val="nil"/>
              <w:right w:val="nil"/>
            </w:tcBorders>
            <w:shd w:val="clear" w:color="000000" w:fill="FFFFFF"/>
            <w:noWrap w:val="0"/>
            <w:vAlign w:val="center"/>
          </w:tcPr>
          <w:p w14:paraId="67F1356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40" w:type="dxa"/>
            <w:gridSpan w:val="3"/>
            <w:tcBorders>
              <w:top w:val="single" w:color="000000" w:sz="4" w:space="0"/>
              <w:left w:val="single" w:color="000000" w:sz="4" w:space="0"/>
              <w:bottom w:val="nil"/>
              <w:right w:val="nil"/>
            </w:tcBorders>
            <w:shd w:val="clear" w:color="000000" w:fill="FFFFFF"/>
            <w:noWrap w:val="0"/>
            <w:vAlign w:val="center"/>
          </w:tcPr>
          <w:p w14:paraId="5DD20FE3">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61" w:type="dxa"/>
            <w:gridSpan w:val="2"/>
            <w:tcBorders>
              <w:top w:val="single" w:color="000000" w:sz="4" w:space="0"/>
              <w:left w:val="single" w:color="000000" w:sz="4" w:space="0"/>
              <w:bottom w:val="nil"/>
              <w:right w:val="nil"/>
            </w:tcBorders>
            <w:shd w:val="clear" w:color="000000" w:fill="FFFFFF"/>
            <w:noWrap w:val="0"/>
            <w:vAlign w:val="center"/>
          </w:tcPr>
          <w:p w14:paraId="44F09601">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50" w:type="dxa"/>
            <w:gridSpan w:val="2"/>
            <w:tcBorders>
              <w:top w:val="single" w:color="000000" w:sz="4" w:space="0"/>
              <w:left w:val="single" w:color="000000" w:sz="4" w:space="0"/>
              <w:bottom w:val="nil"/>
              <w:right w:val="nil"/>
            </w:tcBorders>
            <w:shd w:val="clear" w:color="000000" w:fill="FFFFFF"/>
            <w:noWrap/>
            <w:vAlign w:val="center"/>
          </w:tcPr>
          <w:p w14:paraId="6E73BFA8">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51" w:type="dxa"/>
            <w:gridSpan w:val="2"/>
            <w:tcBorders>
              <w:top w:val="single" w:color="000000" w:sz="4" w:space="0"/>
              <w:left w:val="single" w:color="000000" w:sz="4" w:space="0"/>
              <w:bottom w:val="nil"/>
              <w:right w:val="nil"/>
            </w:tcBorders>
            <w:shd w:val="clear" w:color="000000" w:fill="FFFFFF"/>
            <w:noWrap/>
            <w:vAlign w:val="center"/>
          </w:tcPr>
          <w:p w14:paraId="72E0DCC1">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92" w:type="dxa"/>
            <w:gridSpan w:val="2"/>
            <w:tcBorders>
              <w:top w:val="single" w:color="000000" w:sz="4" w:space="0"/>
              <w:left w:val="single" w:color="000000" w:sz="4" w:space="0"/>
              <w:bottom w:val="nil"/>
              <w:right w:val="nil"/>
            </w:tcBorders>
            <w:shd w:val="clear" w:color="000000" w:fill="FFFFFF"/>
            <w:noWrap/>
            <w:vAlign w:val="center"/>
          </w:tcPr>
          <w:p w14:paraId="3E119D24">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50" w:type="dxa"/>
            <w:gridSpan w:val="2"/>
            <w:tcBorders>
              <w:top w:val="single" w:color="000000" w:sz="4" w:space="0"/>
              <w:left w:val="single" w:color="000000" w:sz="4" w:space="0"/>
              <w:bottom w:val="nil"/>
              <w:right w:val="nil"/>
            </w:tcBorders>
            <w:shd w:val="clear" w:color="000000" w:fill="FFFFFF"/>
            <w:noWrap/>
            <w:vAlign w:val="center"/>
          </w:tcPr>
          <w:p w14:paraId="54B2EA6C">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93" w:type="dxa"/>
            <w:gridSpan w:val="2"/>
            <w:tcBorders>
              <w:top w:val="single" w:color="000000" w:sz="4" w:space="0"/>
              <w:left w:val="single" w:color="000000" w:sz="4" w:space="0"/>
              <w:bottom w:val="nil"/>
              <w:right w:val="nil"/>
            </w:tcBorders>
            <w:shd w:val="clear" w:color="000000" w:fill="FFFFFF"/>
            <w:noWrap/>
            <w:vAlign w:val="center"/>
          </w:tcPr>
          <w:p w14:paraId="4664BA1B">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08" w:type="dxa"/>
            <w:tcBorders>
              <w:top w:val="single" w:color="000000" w:sz="4" w:space="0"/>
              <w:left w:val="single" w:color="000000" w:sz="4" w:space="0"/>
              <w:bottom w:val="nil"/>
              <w:right w:val="single" w:color="000000" w:sz="4" w:space="0"/>
            </w:tcBorders>
            <w:shd w:val="clear" w:color="000000" w:fill="FFFFFF"/>
            <w:noWrap w:val="0"/>
            <w:vAlign w:val="center"/>
          </w:tcPr>
          <w:p w14:paraId="300F607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32B9802F">
        <w:tblPrEx>
          <w:tblCellMar>
            <w:top w:w="0" w:type="dxa"/>
            <w:left w:w="108" w:type="dxa"/>
            <w:bottom w:w="0" w:type="dxa"/>
            <w:right w:w="108" w:type="dxa"/>
          </w:tblCellMar>
        </w:tblPrEx>
        <w:trPr>
          <w:trHeight w:val="450" w:hRule="atLeast"/>
        </w:trPr>
        <w:tc>
          <w:tcPr>
            <w:tcW w:w="760" w:type="dxa"/>
            <w:tcBorders>
              <w:top w:val="single" w:color="000000" w:sz="4" w:space="0"/>
              <w:left w:val="single" w:color="000000" w:sz="4" w:space="0"/>
              <w:bottom w:val="nil"/>
              <w:right w:val="nil"/>
            </w:tcBorders>
            <w:shd w:val="clear" w:color="000000" w:fill="FFFFFF"/>
            <w:noWrap w:val="0"/>
            <w:vAlign w:val="center"/>
          </w:tcPr>
          <w:p w14:paraId="1EFA5908">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56" w:type="dxa"/>
            <w:tcBorders>
              <w:top w:val="single" w:color="000000" w:sz="4" w:space="0"/>
              <w:left w:val="single" w:color="000000" w:sz="4" w:space="0"/>
              <w:bottom w:val="nil"/>
              <w:right w:val="nil"/>
            </w:tcBorders>
            <w:shd w:val="clear" w:color="000000" w:fill="FFFFFF"/>
            <w:noWrap w:val="0"/>
            <w:vAlign w:val="center"/>
          </w:tcPr>
          <w:p w14:paraId="726ADBB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93" w:type="dxa"/>
            <w:tcBorders>
              <w:top w:val="single" w:color="000000" w:sz="4" w:space="0"/>
              <w:left w:val="single" w:color="000000" w:sz="4" w:space="0"/>
              <w:bottom w:val="nil"/>
              <w:right w:val="nil"/>
            </w:tcBorders>
            <w:shd w:val="clear" w:color="000000" w:fill="FFFFFF"/>
            <w:noWrap w:val="0"/>
            <w:vAlign w:val="center"/>
          </w:tcPr>
          <w:p w14:paraId="4EF9134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40" w:type="dxa"/>
            <w:gridSpan w:val="3"/>
            <w:tcBorders>
              <w:top w:val="single" w:color="000000" w:sz="4" w:space="0"/>
              <w:left w:val="single" w:color="000000" w:sz="4" w:space="0"/>
              <w:bottom w:val="nil"/>
              <w:right w:val="nil"/>
            </w:tcBorders>
            <w:shd w:val="clear" w:color="000000" w:fill="FFFFFF"/>
            <w:noWrap w:val="0"/>
            <w:vAlign w:val="center"/>
          </w:tcPr>
          <w:p w14:paraId="5501882A">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61" w:type="dxa"/>
            <w:gridSpan w:val="2"/>
            <w:tcBorders>
              <w:top w:val="single" w:color="000000" w:sz="4" w:space="0"/>
              <w:left w:val="single" w:color="000000" w:sz="4" w:space="0"/>
              <w:bottom w:val="nil"/>
              <w:right w:val="nil"/>
            </w:tcBorders>
            <w:shd w:val="clear" w:color="000000" w:fill="FFFFFF"/>
            <w:noWrap w:val="0"/>
            <w:vAlign w:val="center"/>
          </w:tcPr>
          <w:p w14:paraId="6BB52B7E">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50" w:type="dxa"/>
            <w:gridSpan w:val="2"/>
            <w:tcBorders>
              <w:top w:val="single" w:color="000000" w:sz="4" w:space="0"/>
              <w:left w:val="single" w:color="000000" w:sz="4" w:space="0"/>
              <w:bottom w:val="nil"/>
              <w:right w:val="nil"/>
            </w:tcBorders>
            <w:shd w:val="clear" w:color="000000" w:fill="FFFFFF"/>
            <w:noWrap/>
            <w:vAlign w:val="center"/>
          </w:tcPr>
          <w:p w14:paraId="1129B7E9">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51" w:type="dxa"/>
            <w:gridSpan w:val="2"/>
            <w:tcBorders>
              <w:top w:val="single" w:color="000000" w:sz="4" w:space="0"/>
              <w:left w:val="single" w:color="000000" w:sz="4" w:space="0"/>
              <w:bottom w:val="nil"/>
              <w:right w:val="nil"/>
            </w:tcBorders>
            <w:shd w:val="clear" w:color="000000" w:fill="FFFFFF"/>
            <w:noWrap/>
            <w:vAlign w:val="center"/>
          </w:tcPr>
          <w:p w14:paraId="10F37E3D">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92" w:type="dxa"/>
            <w:gridSpan w:val="2"/>
            <w:tcBorders>
              <w:top w:val="single" w:color="000000" w:sz="4" w:space="0"/>
              <w:left w:val="single" w:color="000000" w:sz="4" w:space="0"/>
              <w:bottom w:val="nil"/>
              <w:right w:val="nil"/>
            </w:tcBorders>
            <w:shd w:val="clear" w:color="000000" w:fill="FFFFFF"/>
            <w:noWrap/>
            <w:vAlign w:val="center"/>
          </w:tcPr>
          <w:p w14:paraId="219867A7">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50" w:type="dxa"/>
            <w:gridSpan w:val="2"/>
            <w:tcBorders>
              <w:top w:val="single" w:color="000000" w:sz="4" w:space="0"/>
              <w:left w:val="single" w:color="000000" w:sz="4" w:space="0"/>
              <w:bottom w:val="nil"/>
              <w:right w:val="nil"/>
            </w:tcBorders>
            <w:shd w:val="clear" w:color="000000" w:fill="FFFFFF"/>
            <w:noWrap/>
            <w:vAlign w:val="center"/>
          </w:tcPr>
          <w:p w14:paraId="0DC7DE57">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93" w:type="dxa"/>
            <w:gridSpan w:val="2"/>
            <w:tcBorders>
              <w:top w:val="single" w:color="000000" w:sz="4" w:space="0"/>
              <w:left w:val="single" w:color="000000" w:sz="4" w:space="0"/>
              <w:bottom w:val="nil"/>
              <w:right w:val="nil"/>
            </w:tcBorders>
            <w:shd w:val="clear" w:color="000000" w:fill="FFFFFF"/>
            <w:noWrap/>
            <w:vAlign w:val="center"/>
          </w:tcPr>
          <w:p w14:paraId="2F132D6D">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08" w:type="dxa"/>
            <w:tcBorders>
              <w:top w:val="single" w:color="000000" w:sz="4" w:space="0"/>
              <w:left w:val="single" w:color="000000" w:sz="4" w:space="0"/>
              <w:bottom w:val="nil"/>
              <w:right w:val="single" w:color="000000" w:sz="4" w:space="0"/>
            </w:tcBorders>
            <w:shd w:val="clear" w:color="000000" w:fill="FFFFFF"/>
            <w:noWrap w:val="0"/>
            <w:vAlign w:val="center"/>
          </w:tcPr>
          <w:p w14:paraId="292DCD7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58B2E4AA">
        <w:tblPrEx>
          <w:tblCellMar>
            <w:top w:w="0" w:type="dxa"/>
            <w:left w:w="108" w:type="dxa"/>
            <w:bottom w:w="0" w:type="dxa"/>
            <w:right w:w="108" w:type="dxa"/>
          </w:tblCellMar>
        </w:tblPrEx>
        <w:trPr>
          <w:trHeight w:val="450" w:hRule="atLeast"/>
        </w:trPr>
        <w:tc>
          <w:tcPr>
            <w:tcW w:w="5260" w:type="dxa"/>
            <w:gridSpan w:val="10"/>
            <w:tcBorders>
              <w:top w:val="single" w:color="000000" w:sz="4" w:space="0"/>
              <w:left w:val="single" w:color="000000" w:sz="4" w:space="0"/>
              <w:bottom w:val="nil"/>
              <w:right w:val="nil"/>
            </w:tcBorders>
            <w:shd w:val="clear" w:color="000000" w:fill="FFFFFF"/>
            <w:noWrap w:val="0"/>
            <w:vAlign w:val="center"/>
          </w:tcPr>
          <w:p w14:paraId="388A8479">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本页小计</w:t>
            </w:r>
          </w:p>
        </w:tc>
        <w:tc>
          <w:tcPr>
            <w:tcW w:w="851" w:type="dxa"/>
            <w:gridSpan w:val="2"/>
            <w:tcBorders>
              <w:top w:val="single" w:color="000000" w:sz="4" w:space="0"/>
              <w:left w:val="single" w:color="000000" w:sz="4" w:space="0"/>
              <w:bottom w:val="nil"/>
              <w:right w:val="nil"/>
            </w:tcBorders>
            <w:shd w:val="clear" w:color="000000" w:fill="FFFFFF"/>
            <w:noWrap/>
            <w:vAlign w:val="center"/>
          </w:tcPr>
          <w:p w14:paraId="27E400C7">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92" w:type="dxa"/>
            <w:gridSpan w:val="2"/>
            <w:tcBorders>
              <w:top w:val="single" w:color="000000" w:sz="4" w:space="0"/>
              <w:left w:val="single" w:color="000000" w:sz="4" w:space="0"/>
              <w:bottom w:val="nil"/>
              <w:right w:val="nil"/>
            </w:tcBorders>
            <w:shd w:val="clear" w:color="000000" w:fill="FFFFFF"/>
            <w:noWrap/>
            <w:vAlign w:val="center"/>
          </w:tcPr>
          <w:p w14:paraId="1925C43F">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50" w:type="dxa"/>
            <w:gridSpan w:val="2"/>
            <w:tcBorders>
              <w:top w:val="single" w:color="000000" w:sz="4" w:space="0"/>
              <w:left w:val="single" w:color="000000" w:sz="4" w:space="0"/>
              <w:bottom w:val="nil"/>
              <w:right w:val="nil"/>
            </w:tcBorders>
            <w:shd w:val="clear" w:color="000000" w:fill="FFFFFF"/>
            <w:noWrap/>
            <w:vAlign w:val="center"/>
          </w:tcPr>
          <w:p w14:paraId="51276EEB">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93" w:type="dxa"/>
            <w:gridSpan w:val="2"/>
            <w:tcBorders>
              <w:top w:val="single" w:color="000000" w:sz="4" w:space="0"/>
              <w:left w:val="single" w:color="000000" w:sz="4" w:space="0"/>
              <w:bottom w:val="nil"/>
              <w:right w:val="nil"/>
            </w:tcBorders>
            <w:shd w:val="clear" w:color="000000" w:fill="FFFFFF"/>
            <w:noWrap/>
            <w:vAlign w:val="center"/>
          </w:tcPr>
          <w:p w14:paraId="4B64C9BB">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08" w:type="dxa"/>
            <w:tcBorders>
              <w:top w:val="single" w:color="000000" w:sz="4" w:space="0"/>
              <w:left w:val="single" w:color="000000" w:sz="4" w:space="0"/>
              <w:bottom w:val="nil"/>
              <w:right w:val="single" w:color="000000" w:sz="4" w:space="0"/>
            </w:tcBorders>
            <w:shd w:val="clear" w:color="000000" w:fill="FFFFFF"/>
            <w:noWrap w:val="0"/>
            <w:vAlign w:val="center"/>
          </w:tcPr>
          <w:p w14:paraId="73CB69A0">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54EBEF07">
        <w:tblPrEx>
          <w:tblCellMar>
            <w:top w:w="0" w:type="dxa"/>
            <w:left w:w="108" w:type="dxa"/>
            <w:bottom w:w="0" w:type="dxa"/>
            <w:right w:w="108" w:type="dxa"/>
          </w:tblCellMar>
        </w:tblPrEx>
        <w:trPr>
          <w:trHeight w:val="450" w:hRule="atLeast"/>
        </w:trPr>
        <w:tc>
          <w:tcPr>
            <w:tcW w:w="5260" w:type="dxa"/>
            <w:gridSpan w:val="10"/>
            <w:tcBorders>
              <w:top w:val="single" w:color="000000" w:sz="4" w:space="0"/>
              <w:left w:val="single" w:color="000000" w:sz="4" w:space="0"/>
              <w:bottom w:val="single" w:color="000000" w:sz="4" w:space="0"/>
              <w:right w:val="nil"/>
            </w:tcBorders>
            <w:shd w:val="clear" w:color="000000" w:fill="FFFFFF"/>
            <w:noWrap w:val="0"/>
            <w:vAlign w:val="center"/>
          </w:tcPr>
          <w:p w14:paraId="56D8AF9F">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合计</w:t>
            </w:r>
          </w:p>
        </w:tc>
        <w:tc>
          <w:tcPr>
            <w:tcW w:w="851" w:type="dxa"/>
            <w:gridSpan w:val="2"/>
            <w:tcBorders>
              <w:top w:val="single" w:color="000000" w:sz="4" w:space="0"/>
              <w:left w:val="single" w:color="000000" w:sz="4" w:space="0"/>
              <w:bottom w:val="single" w:color="000000" w:sz="4" w:space="0"/>
              <w:right w:val="nil"/>
            </w:tcBorders>
            <w:shd w:val="clear" w:color="000000" w:fill="FFFFFF"/>
            <w:noWrap/>
            <w:vAlign w:val="center"/>
          </w:tcPr>
          <w:p w14:paraId="052D9032">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92" w:type="dxa"/>
            <w:gridSpan w:val="2"/>
            <w:tcBorders>
              <w:top w:val="single" w:color="000000" w:sz="4" w:space="0"/>
              <w:left w:val="single" w:color="000000" w:sz="4" w:space="0"/>
              <w:bottom w:val="single" w:color="000000" w:sz="4" w:space="0"/>
              <w:right w:val="nil"/>
            </w:tcBorders>
            <w:shd w:val="clear" w:color="000000" w:fill="FFFFFF"/>
            <w:noWrap/>
            <w:vAlign w:val="center"/>
          </w:tcPr>
          <w:p w14:paraId="09279738">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50" w:type="dxa"/>
            <w:gridSpan w:val="2"/>
            <w:tcBorders>
              <w:top w:val="single" w:color="000000" w:sz="4" w:space="0"/>
              <w:left w:val="single" w:color="000000" w:sz="4" w:space="0"/>
              <w:bottom w:val="single" w:color="000000" w:sz="4" w:space="0"/>
              <w:right w:val="nil"/>
            </w:tcBorders>
            <w:shd w:val="clear" w:color="000000" w:fill="FFFFFF"/>
            <w:noWrap/>
            <w:vAlign w:val="center"/>
          </w:tcPr>
          <w:p w14:paraId="6EB819AA">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93" w:type="dxa"/>
            <w:gridSpan w:val="2"/>
            <w:tcBorders>
              <w:top w:val="single" w:color="000000" w:sz="4" w:space="0"/>
              <w:left w:val="single" w:color="000000" w:sz="4" w:space="0"/>
              <w:bottom w:val="single" w:color="000000" w:sz="4" w:space="0"/>
              <w:right w:val="nil"/>
            </w:tcBorders>
            <w:shd w:val="clear" w:color="000000" w:fill="FFFFFF"/>
            <w:noWrap/>
            <w:vAlign w:val="center"/>
          </w:tcPr>
          <w:p w14:paraId="6477B1EE">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0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2786157">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bl>
    <w:p w14:paraId="4F970A54">
      <w:pPr>
        <w:pStyle w:val="37"/>
        <w:widowControl w:val="0"/>
        <w:spacing w:before="0" w:beforeAutospacing="0" w:after="0" w:afterAutospacing="0" w:line="300" w:lineRule="auto"/>
        <w:jc w:val="left"/>
        <w:rPr>
          <w:rFonts w:hint="eastAsia" w:ascii="宋体" w:hAnsi="宋体" w:eastAsia="宋体" w:cs="宋体"/>
          <w:color w:val="auto"/>
          <w:sz w:val="24"/>
          <w:highlight w:val="none"/>
        </w:rPr>
      </w:pPr>
    </w:p>
    <w:p w14:paraId="676D3F8B">
      <w:pPr>
        <w:pStyle w:val="37"/>
        <w:widowControl w:val="0"/>
        <w:spacing w:before="0" w:beforeAutospacing="0" w:after="0" w:afterAutospacing="0" w:line="300" w:lineRule="auto"/>
        <w:jc w:val="left"/>
        <w:rPr>
          <w:rFonts w:hint="eastAsia" w:ascii="宋体" w:hAnsi="宋体" w:eastAsia="宋体" w:cs="宋体"/>
          <w:color w:val="auto"/>
          <w:sz w:val="24"/>
          <w:highlight w:val="none"/>
        </w:rPr>
      </w:pPr>
    </w:p>
    <w:p w14:paraId="334CF2A4">
      <w:pPr>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综合单价计算表</w:t>
      </w:r>
    </w:p>
    <w:tbl>
      <w:tblPr>
        <w:tblStyle w:val="24"/>
        <w:tblW w:w="9513" w:type="dxa"/>
        <w:tblInd w:w="91" w:type="dxa"/>
        <w:tblLayout w:type="fixed"/>
        <w:tblCellMar>
          <w:top w:w="0" w:type="dxa"/>
          <w:left w:w="108" w:type="dxa"/>
          <w:bottom w:w="0" w:type="dxa"/>
          <w:right w:w="108" w:type="dxa"/>
        </w:tblCellMar>
      </w:tblPr>
      <w:tblGrid>
        <w:gridCol w:w="520"/>
        <w:gridCol w:w="1200"/>
        <w:gridCol w:w="1556"/>
        <w:gridCol w:w="600"/>
        <w:gridCol w:w="760"/>
        <w:gridCol w:w="640"/>
        <w:gridCol w:w="835"/>
        <w:gridCol w:w="640"/>
        <w:gridCol w:w="640"/>
        <w:gridCol w:w="640"/>
        <w:gridCol w:w="780"/>
        <w:gridCol w:w="702"/>
      </w:tblGrid>
      <w:tr w14:paraId="4E236AC3">
        <w:tblPrEx>
          <w:tblCellMar>
            <w:top w:w="0" w:type="dxa"/>
            <w:left w:w="108" w:type="dxa"/>
            <w:bottom w:w="0" w:type="dxa"/>
            <w:right w:w="108" w:type="dxa"/>
          </w:tblCellMar>
        </w:tblPrEx>
        <w:trPr>
          <w:trHeight w:val="450" w:hRule="atLeast"/>
        </w:trPr>
        <w:tc>
          <w:tcPr>
            <w:tcW w:w="5276" w:type="dxa"/>
            <w:gridSpan w:val="6"/>
            <w:tcBorders>
              <w:top w:val="nil"/>
              <w:left w:val="nil"/>
              <w:bottom w:val="nil"/>
              <w:right w:val="nil"/>
            </w:tcBorders>
            <w:shd w:val="clear" w:color="000000" w:fill="FFFFFF"/>
            <w:noWrap w:val="0"/>
            <w:vAlign w:val="bottom"/>
          </w:tcPr>
          <w:p w14:paraId="75AF45C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单位(专业)工程名称:</w:t>
            </w:r>
          </w:p>
        </w:tc>
        <w:tc>
          <w:tcPr>
            <w:tcW w:w="2115" w:type="dxa"/>
            <w:gridSpan w:val="3"/>
            <w:tcBorders>
              <w:top w:val="nil"/>
              <w:left w:val="nil"/>
              <w:bottom w:val="nil"/>
              <w:right w:val="nil"/>
            </w:tcBorders>
            <w:shd w:val="clear" w:color="000000" w:fill="FFFFFF"/>
            <w:noWrap w:val="0"/>
            <w:vAlign w:val="bottom"/>
          </w:tcPr>
          <w:p w14:paraId="412B3D2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标段:</w:t>
            </w:r>
          </w:p>
        </w:tc>
        <w:tc>
          <w:tcPr>
            <w:tcW w:w="2122" w:type="dxa"/>
            <w:gridSpan w:val="3"/>
            <w:tcBorders>
              <w:top w:val="nil"/>
              <w:left w:val="nil"/>
              <w:bottom w:val="nil"/>
              <w:right w:val="nil"/>
            </w:tcBorders>
            <w:shd w:val="clear" w:color="000000" w:fill="FFFFFF"/>
            <w:noWrap w:val="0"/>
            <w:vAlign w:val="bottom"/>
          </w:tcPr>
          <w:p w14:paraId="46C86D1A">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第 页 共 页</w:t>
            </w:r>
          </w:p>
        </w:tc>
      </w:tr>
      <w:tr w14:paraId="7DCD02B4">
        <w:tblPrEx>
          <w:tblCellMar>
            <w:top w:w="0" w:type="dxa"/>
            <w:left w:w="108" w:type="dxa"/>
            <w:bottom w:w="0" w:type="dxa"/>
            <w:right w:w="108" w:type="dxa"/>
          </w:tblCellMar>
        </w:tblPrEx>
        <w:trPr>
          <w:trHeight w:val="450" w:hRule="atLeast"/>
        </w:trPr>
        <w:tc>
          <w:tcPr>
            <w:tcW w:w="520" w:type="dxa"/>
            <w:vMerge w:val="restart"/>
            <w:tcBorders>
              <w:top w:val="single" w:color="000000" w:sz="4" w:space="0"/>
              <w:left w:val="single" w:color="000000" w:sz="4" w:space="0"/>
              <w:bottom w:val="nil"/>
              <w:right w:val="nil"/>
            </w:tcBorders>
            <w:shd w:val="clear" w:color="000000" w:fill="FFFFFF"/>
            <w:noWrap w:val="0"/>
            <w:vAlign w:val="center"/>
          </w:tcPr>
          <w:p w14:paraId="1D3DB2F0">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rPr>
              <w:t>清单</w:t>
            </w:r>
          </w:p>
          <w:p w14:paraId="69725CB6">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序号</w:t>
            </w:r>
          </w:p>
        </w:tc>
        <w:tc>
          <w:tcPr>
            <w:tcW w:w="1200" w:type="dxa"/>
            <w:vMerge w:val="restart"/>
            <w:tcBorders>
              <w:top w:val="single" w:color="000000" w:sz="4" w:space="0"/>
              <w:left w:val="single" w:color="000000" w:sz="4" w:space="0"/>
              <w:bottom w:val="nil"/>
              <w:right w:val="nil"/>
            </w:tcBorders>
            <w:shd w:val="clear" w:color="000000" w:fill="FFFFFF"/>
            <w:noWrap w:val="0"/>
            <w:vAlign w:val="center"/>
          </w:tcPr>
          <w:p w14:paraId="73642D74">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rPr>
              <w:t>项目编码</w:t>
            </w:r>
          </w:p>
          <w:p w14:paraId="6637C6BA">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(定额编码)</w:t>
            </w:r>
          </w:p>
        </w:tc>
        <w:tc>
          <w:tcPr>
            <w:tcW w:w="1556" w:type="dxa"/>
            <w:vMerge w:val="restart"/>
            <w:tcBorders>
              <w:top w:val="single" w:color="000000" w:sz="4" w:space="0"/>
              <w:left w:val="single" w:color="000000" w:sz="4" w:space="0"/>
              <w:bottom w:val="nil"/>
              <w:right w:val="nil"/>
            </w:tcBorders>
            <w:shd w:val="clear" w:color="000000" w:fill="FFFFFF"/>
            <w:noWrap w:val="0"/>
            <w:vAlign w:val="center"/>
          </w:tcPr>
          <w:p w14:paraId="493D26BF">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rPr>
              <w:t>清单（定额）</w:t>
            </w:r>
          </w:p>
          <w:p w14:paraId="35F96B95">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项目名称</w:t>
            </w:r>
          </w:p>
        </w:tc>
        <w:tc>
          <w:tcPr>
            <w:tcW w:w="600" w:type="dxa"/>
            <w:vMerge w:val="restart"/>
            <w:tcBorders>
              <w:top w:val="single" w:color="000000" w:sz="4" w:space="0"/>
              <w:left w:val="single" w:color="000000" w:sz="4" w:space="0"/>
              <w:bottom w:val="nil"/>
              <w:right w:val="nil"/>
            </w:tcBorders>
            <w:shd w:val="clear" w:color="000000" w:fill="FFFFFF"/>
            <w:noWrap w:val="0"/>
            <w:vAlign w:val="center"/>
          </w:tcPr>
          <w:p w14:paraId="2C4AA9D9">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rPr>
              <w:t>计量</w:t>
            </w:r>
          </w:p>
          <w:p w14:paraId="4E270975">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单位</w:t>
            </w:r>
          </w:p>
        </w:tc>
        <w:tc>
          <w:tcPr>
            <w:tcW w:w="760" w:type="dxa"/>
            <w:vMerge w:val="restart"/>
            <w:tcBorders>
              <w:top w:val="single" w:color="000000" w:sz="4" w:space="0"/>
              <w:left w:val="single" w:color="000000" w:sz="4" w:space="0"/>
              <w:bottom w:val="nil"/>
              <w:right w:val="nil"/>
            </w:tcBorders>
            <w:shd w:val="clear" w:color="000000" w:fill="FFFFFF"/>
            <w:noWrap w:val="0"/>
            <w:vAlign w:val="center"/>
          </w:tcPr>
          <w:p w14:paraId="58450919">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数量</w:t>
            </w:r>
          </w:p>
        </w:tc>
        <w:tc>
          <w:tcPr>
            <w:tcW w:w="4175" w:type="dxa"/>
            <w:gridSpan w:val="6"/>
            <w:tcBorders>
              <w:top w:val="single" w:color="000000" w:sz="4" w:space="0"/>
              <w:left w:val="single" w:color="000000" w:sz="4" w:space="0"/>
              <w:bottom w:val="nil"/>
              <w:right w:val="nil"/>
            </w:tcBorders>
            <w:shd w:val="clear" w:color="000000" w:fill="FFFFFF"/>
            <w:noWrap w:val="0"/>
            <w:vAlign w:val="center"/>
          </w:tcPr>
          <w:p w14:paraId="50C51F4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综 合 单 价 (元)</w:t>
            </w:r>
          </w:p>
        </w:tc>
        <w:tc>
          <w:tcPr>
            <w:tcW w:w="702" w:type="dxa"/>
            <w:vMerge w:val="restart"/>
            <w:tcBorders>
              <w:top w:val="single" w:color="000000" w:sz="4" w:space="0"/>
              <w:left w:val="single" w:color="000000" w:sz="4" w:space="0"/>
              <w:bottom w:val="nil"/>
              <w:right w:val="single" w:color="000000" w:sz="4" w:space="0"/>
            </w:tcBorders>
            <w:shd w:val="clear" w:color="000000" w:fill="FFFFFF"/>
            <w:noWrap w:val="0"/>
            <w:vAlign w:val="center"/>
          </w:tcPr>
          <w:p w14:paraId="34A5271B">
            <w:pPr>
              <w:widowControl/>
              <w:ind w:left="0" w:leftChars="0" w:firstLine="0" w:firstLineChars="0"/>
              <w:jc w:val="both"/>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rPr>
              <w:t>合计</w:t>
            </w:r>
          </w:p>
          <w:p w14:paraId="0E5404D1">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(元)</w:t>
            </w:r>
          </w:p>
        </w:tc>
      </w:tr>
      <w:tr w14:paraId="2C10AA62">
        <w:tblPrEx>
          <w:tblCellMar>
            <w:top w:w="0" w:type="dxa"/>
            <w:left w:w="108" w:type="dxa"/>
            <w:bottom w:w="0" w:type="dxa"/>
            <w:right w:w="108" w:type="dxa"/>
          </w:tblCellMar>
        </w:tblPrEx>
        <w:trPr>
          <w:trHeight w:val="810" w:hRule="atLeast"/>
        </w:trPr>
        <w:tc>
          <w:tcPr>
            <w:tcW w:w="520" w:type="dxa"/>
            <w:vMerge w:val="continue"/>
            <w:tcBorders>
              <w:top w:val="single" w:color="000000" w:sz="4" w:space="0"/>
              <w:left w:val="single" w:color="000000" w:sz="4" w:space="0"/>
              <w:bottom w:val="nil"/>
              <w:right w:val="nil"/>
            </w:tcBorders>
            <w:shd w:val="clear" w:color="auto" w:fill="auto"/>
            <w:noWrap w:val="0"/>
            <w:vAlign w:val="center"/>
          </w:tcPr>
          <w:p w14:paraId="156E66F2">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18"/>
                <w:szCs w:val="18"/>
                <w:highlight w:val="none"/>
              </w:rPr>
            </w:pPr>
          </w:p>
        </w:tc>
        <w:tc>
          <w:tcPr>
            <w:tcW w:w="1200" w:type="dxa"/>
            <w:vMerge w:val="continue"/>
            <w:tcBorders>
              <w:top w:val="single" w:color="000000" w:sz="4" w:space="0"/>
              <w:left w:val="single" w:color="000000" w:sz="4" w:space="0"/>
              <w:bottom w:val="nil"/>
              <w:right w:val="nil"/>
            </w:tcBorders>
            <w:shd w:val="clear" w:color="auto" w:fill="auto"/>
            <w:noWrap w:val="0"/>
            <w:vAlign w:val="center"/>
          </w:tcPr>
          <w:p w14:paraId="14F7C3DF">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18"/>
                <w:szCs w:val="18"/>
                <w:highlight w:val="none"/>
              </w:rPr>
            </w:pPr>
          </w:p>
        </w:tc>
        <w:tc>
          <w:tcPr>
            <w:tcW w:w="1556" w:type="dxa"/>
            <w:vMerge w:val="continue"/>
            <w:tcBorders>
              <w:top w:val="single" w:color="000000" w:sz="4" w:space="0"/>
              <w:left w:val="single" w:color="000000" w:sz="4" w:space="0"/>
              <w:bottom w:val="nil"/>
              <w:right w:val="nil"/>
            </w:tcBorders>
            <w:shd w:val="clear" w:color="auto" w:fill="auto"/>
            <w:noWrap w:val="0"/>
            <w:vAlign w:val="center"/>
          </w:tcPr>
          <w:p w14:paraId="0D0B92E9">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18"/>
                <w:szCs w:val="18"/>
                <w:highlight w:val="none"/>
              </w:rPr>
            </w:pPr>
          </w:p>
        </w:tc>
        <w:tc>
          <w:tcPr>
            <w:tcW w:w="600" w:type="dxa"/>
            <w:vMerge w:val="continue"/>
            <w:tcBorders>
              <w:top w:val="single" w:color="000000" w:sz="4" w:space="0"/>
              <w:left w:val="single" w:color="000000" w:sz="4" w:space="0"/>
              <w:bottom w:val="nil"/>
              <w:right w:val="nil"/>
            </w:tcBorders>
            <w:shd w:val="clear" w:color="auto" w:fill="auto"/>
            <w:noWrap w:val="0"/>
            <w:vAlign w:val="center"/>
          </w:tcPr>
          <w:p w14:paraId="5AD12554">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18"/>
                <w:szCs w:val="18"/>
                <w:highlight w:val="none"/>
              </w:rPr>
            </w:pPr>
          </w:p>
        </w:tc>
        <w:tc>
          <w:tcPr>
            <w:tcW w:w="760" w:type="dxa"/>
            <w:vMerge w:val="continue"/>
            <w:tcBorders>
              <w:top w:val="single" w:color="000000" w:sz="4" w:space="0"/>
              <w:left w:val="single" w:color="000000" w:sz="4" w:space="0"/>
              <w:bottom w:val="nil"/>
              <w:right w:val="nil"/>
            </w:tcBorders>
            <w:shd w:val="clear" w:color="auto" w:fill="auto"/>
            <w:noWrap w:val="0"/>
            <w:vAlign w:val="center"/>
          </w:tcPr>
          <w:p w14:paraId="2FF87F98">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18"/>
                <w:szCs w:val="18"/>
                <w:highlight w:val="none"/>
              </w:rPr>
            </w:pPr>
          </w:p>
        </w:tc>
        <w:tc>
          <w:tcPr>
            <w:tcW w:w="640" w:type="dxa"/>
            <w:tcBorders>
              <w:top w:val="single" w:color="000000" w:sz="4" w:space="0"/>
              <w:left w:val="single" w:color="000000" w:sz="4" w:space="0"/>
              <w:bottom w:val="nil"/>
              <w:right w:val="nil"/>
            </w:tcBorders>
            <w:shd w:val="clear" w:color="000000" w:fill="FFFFFF"/>
            <w:noWrap w:val="0"/>
            <w:vAlign w:val="center"/>
          </w:tcPr>
          <w:p w14:paraId="0BF8F800">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人工费</w:t>
            </w:r>
          </w:p>
        </w:tc>
        <w:tc>
          <w:tcPr>
            <w:tcW w:w="835" w:type="dxa"/>
            <w:tcBorders>
              <w:top w:val="single" w:color="000000" w:sz="4" w:space="0"/>
              <w:left w:val="single" w:color="000000" w:sz="4" w:space="0"/>
              <w:bottom w:val="nil"/>
              <w:right w:val="nil"/>
            </w:tcBorders>
            <w:shd w:val="clear" w:color="000000" w:fill="FFFFFF"/>
            <w:noWrap w:val="0"/>
            <w:vAlign w:val="center"/>
          </w:tcPr>
          <w:p w14:paraId="29B5DABE">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rPr>
              <w:t>材料</w:t>
            </w:r>
          </w:p>
          <w:p w14:paraId="3819DFAA">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rPr>
              <w:t>(设备)</w:t>
            </w:r>
          </w:p>
          <w:p w14:paraId="33BDB3B3">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费</w:t>
            </w:r>
          </w:p>
        </w:tc>
        <w:tc>
          <w:tcPr>
            <w:tcW w:w="640" w:type="dxa"/>
            <w:tcBorders>
              <w:top w:val="single" w:color="000000" w:sz="4" w:space="0"/>
              <w:left w:val="single" w:color="000000" w:sz="4" w:space="0"/>
              <w:bottom w:val="nil"/>
              <w:right w:val="nil"/>
            </w:tcBorders>
            <w:shd w:val="clear" w:color="000000" w:fill="FFFFFF"/>
            <w:noWrap w:val="0"/>
            <w:vAlign w:val="center"/>
          </w:tcPr>
          <w:p w14:paraId="1AE23174">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机械费</w:t>
            </w:r>
          </w:p>
        </w:tc>
        <w:tc>
          <w:tcPr>
            <w:tcW w:w="640" w:type="dxa"/>
            <w:tcBorders>
              <w:top w:val="single" w:color="000000" w:sz="4" w:space="0"/>
              <w:left w:val="single" w:color="000000" w:sz="4" w:space="0"/>
              <w:bottom w:val="nil"/>
              <w:right w:val="nil"/>
            </w:tcBorders>
            <w:shd w:val="clear" w:color="000000" w:fill="FFFFFF"/>
            <w:noWrap w:val="0"/>
            <w:vAlign w:val="center"/>
          </w:tcPr>
          <w:p w14:paraId="05BC9DBE">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管理费</w:t>
            </w:r>
          </w:p>
        </w:tc>
        <w:tc>
          <w:tcPr>
            <w:tcW w:w="640" w:type="dxa"/>
            <w:tcBorders>
              <w:top w:val="single" w:color="000000" w:sz="4" w:space="0"/>
              <w:left w:val="single" w:color="000000" w:sz="4" w:space="0"/>
              <w:bottom w:val="nil"/>
              <w:right w:val="nil"/>
            </w:tcBorders>
            <w:shd w:val="clear" w:color="000000" w:fill="FFFFFF"/>
            <w:noWrap w:val="0"/>
            <w:vAlign w:val="center"/>
          </w:tcPr>
          <w:p w14:paraId="3DA98C39">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利润</w:t>
            </w:r>
          </w:p>
        </w:tc>
        <w:tc>
          <w:tcPr>
            <w:tcW w:w="780" w:type="dxa"/>
            <w:tcBorders>
              <w:top w:val="single" w:color="000000" w:sz="4" w:space="0"/>
              <w:left w:val="single" w:color="000000" w:sz="4" w:space="0"/>
              <w:bottom w:val="nil"/>
              <w:right w:val="single" w:color="000000" w:sz="4" w:space="0"/>
            </w:tcBorders>
            <w:shd w:val="clear" w:color="000000" w:fill="FFFFFF"/>
            <w:noWrap w:val="0"/>
            <w:vAlign w:val="center"/>
          </w:tcPr>
          <w:p w14:paraId="6D97EA9C">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小计</w:t>
            </w:r>
          </w:p>
        </w:tc>
        <w:tc>
          <w:tcPr>
            <w:tcW w:w="702" w:type="dxa"/>
            <w:vMerge w:val="continue"/>
            <w:tcBorders>
              <w:top w:val="single" w:color="000000" w:sz="4" w:space="0"/>
              <w:left w:val="single" w:color="000000" w:sz="4" w:space="0"/>
              <w:bottom w:val="nil"/>
              <w:right w:val="single" w:color="000000" w:sz="4" w:space="0"/>
            </w:tcBorders>
            <w:noWrap w:val="0"/>
            <w:vAlign w:val="center"/>
          </w:tcPr>
          <w:p w14:paraId="6CC45586">
            <w:pPr>
              <w:widowControl/>
              <w:jc w:val="left"/>
              <w:rPr>
                <w:rFonts w:hint="eastAsia" w:ascii="宋体" w:hAnsi="宋体" w:eastAsia="宋体" w:cs="宋体"/>
                <w:color w:val="auto"/>
                <w:kern w:val="0"/>
                <w:sz w:val="18"/>
                <w:szCs w:val="18"/>
                <w:highlight w:val="none"/>
              </w:rPr>
            </w:pPr>
          </w:p>
        </w:tc>
      </w:tr>
      <w:tr w14:paraId="450BFE0F">
        <w:tblPrEx>
          <w:tblCellMar>
            <w:top w:w="0" w:type="dxa"/>
            <w:left w:w="108" w:type="dxa"/>
            <w:bottom w:w="0" w:type="dxa"/>
            <w:right w:w="108" w:type="dxa"/>
          </w:tblCellMar>
        </w:tblPrEx>
        <w:trPr>
          <w:trHeight w:val="397" w:hRule="atLeast"/>
        </w:trPr>
        <w:tc>
          <w:tcPr>
            <w:tcW w:w="520" w:type="dxa"/>
            <w:tcBorders>
              <w:top w:val="single" w:color="000000" w:sz="4" w:space="0"/>
              <w:left w:val="single" w:color="000000" w:sz="4" w:space="0"/>
              <w:bottom w:val="nil"/>
              <w:right w:val="nil"/>
            </w:tcBorders>
            <w:shd w:val="clear" w:color="000000" w:fill="FFFFFF"/>
            <w:noWrap w:val="0"/>
            <w:vAlign w:val="center"/>
          </w:tcPr>
          <w:p w14:paraId="760355ED">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00" w:type="dxa"/>
            <w:tcBorders>
              <w:top w:val="single" w:color="000000" w:sz="4" w:space="0"/>
              <w:left w:val="single" w:color="000000" w:sz="4" w:space="0"/>
              <w:bottom w:val="nil"/>
              <w:right w:val="nil"/>
            </w:tcBorders>
            <w:shd w:val="clear" w:color="000000" w:fill="FFFFFF"/>
            <w:noWrap w:val="0"/>
            <w:vAlign w:val="center"/>
          </w:tcPr>
          <w:p w14:paraId="2B5374A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556" w:type="dxa"/>
            <w:tcBorders>
              <w:top w:val="single" w:color="000000" w:sz="4" w:space="0"/>
              <w:left w:val="single" w:color="000000" w:sz="4" w:space="0"/>
              <w:bottom w:val="nil"/>
              <w:right w:val="nil"/>
            </w:tcBorders>
            <w:shd w:val="clear" w:color="000000" w:fill="FFFFFF"/>
            <w:noWrap w:val="0"/>
            <w:vAlign w:val="center"/>
          </w:tcPr>
          <w:p w14:paraId="52734BA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600" w:type="dxa"/>
            <w:tcBorders>
              <w:top w:val="single" w:color="000000" w:sz="4" w:space="0"/>
              <w:left w:val="single" w:color="000000" w:sz="4" w:space="0"/>
              <w:bottom w:val="nil"/>
              <w:right w:val="nil"/>
            </w:tcBorders>
            <w:shd w:val="clear" w:color="000000" w:fill="FFFFFF"/>
            <w:noWrap w:val="0"/>
            <w:vAlign w:val="center"/>
          </w:tcPr>
          <w:p w14:paraId="2EC33340">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60" w:type="dxa"/>
            <w:tcBorders>
              <w:top w:val="single" w:color="000000" w:sz="4" w:space="0"/>
              <w:left w:val="single" w:color="000000" w:sz="4" w:space="0"/>
              <w:bottom w:val="nil"/>
              <w:right w:val="nil"/>
            </w:tcBorders>
            <w:shd w:val="clear" w:color="000000" w:fill="FFFFFF"/>
            <w:noWrap/>
            <w:vAlign w:val="center"/>
          </w:tcPr>
          <w:p w14:paraId="4493A945">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640" w:type="dxa"/>
            <w:tcBorders>
              <w:top w:val="single" w:color="000000" w:sz="4" w:space="0"/>
              <w:left w:val="single" w:color="000000" w:sz="4" w:space="0"/>
              <w:bottom w:val="nil"/>
              <w:right w:val="nil"/>
            </w:tcBorders>
            <w:shd w:val="clear" w:color="000000" w:fill="FFFFFF"/>
            <w:noWrap/>
            <w:vAlign w:val="center"/>
          </w:tcPr>
          <w:p w14:paraId="79308591">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35" w:type="dxa"/>
            <w:tcBorders>
              <w:top w:val="single" w:color="000000" w:sz="4" w:space="0"/>
              <w:left w:val="single" w:color="000000" w:sz="4" w:space="0"/>
              <w:bottom w:val="nil"/>
              <w:right w:val="nil"/>
            </w:tcBorders>
            <w:shd w:val="clear" w:color="000000" w:fill="FFFFFF"/>
            <w:noWrap/>
            <w:vAlign w:val="center"/>
          </w:tcPr>
          <w:p w14:paraId="3E11C04C">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640" w:type="dxa"/>
            <w:tcBorders>
              <w:top w:val="single" w:color="000000" w:sz="4" w:space="0"/>
              <w:left w:val="single" w:color="000000" w:sz="4" w:space="0"/>
              <w:bottom w:val="nil"/>
              <w:right w:val="nil"/>
            </w:tcBorders>
            <w:shd w:val="clear" w:color="000000" w:fill="FFFFFF"/>
            <w:noWrap/>
            <w:vAlign w:val="center"/>
          </w:tcPr>
          <w:p w14:paraId="7AC3E680">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640" w:type="dxa"/>
            <w:tcBorders>
              <w:top w:val="single" w:color="000000" w:sz="4" w:space="0"/>
              <w:left w:val="single" w:color="000000" w:sz="4" w:space="0"/>
              <w:bottom w:val="nil"/>
              <w:right w:val="nil"/>
            </w:tcBorders>
            <w:shd w:val="clear" w:color="000000" w:fill="FFFFFF"/>
            <w:noWrap/>
            <w:vAlign w:val="center"/>
          </w:tcPr>
          <w:p w14:paraId="59ECEEEA">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640" w:type="dxa"/>
            <w:tcBorders>
              <w:top w:val="single" w:color="000000" w:sz="4" w:space="0"/>
              <w:left w:val="single" w:color="000000" w:sz="4" w:space="0"/>
              <w:bottom w:val="nil"/>
              <w:right w:val="nil"/>
            </w:tcBorders>
            <w:shd w:val="clear" w:color="000000" w:fill="FFFFFF"/>
            <w:noWrap/>
            <w:vAlign w:val="center"/>
          </w:tcPr>
          <w:p w14:paraId="548AF041">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80" w:type="dxa"/>
            <w:tcBorders>
              <w:top w:val="single" w:color="000000" w:sz="4" w:space="0"/>
              <w:left w:val="single" w:color="000000" w:sz="4" w:space="0"/>
              <w:bottom w:val="nil"/>
              <w:right w:val="nil"/>
            </w:tcBorders>
            <w:shd w:val="clear" w:color="000000" w:fill="FFFFFF"/>
            <w:noWrap/>
            <w:vAlign w:val="center"/>
          </w:tcPr>
          <w:p w14:paraId="19837878">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02" w:type="dxa"/>
            <w:tcBorders>
              <w:top w:val="single" w:color="000000" w:sz="4" w:space="0"/>
              <w:left w:val="single" w:color="000000" w:sz="4" w:space="0"/>
              <w:bottom w:val="nil"/>
              <w:right w:val="single" w:color="000000" w:sz="4" w:space="0"/>
            </w:tcBorders>
            <w:shd w:val="clear" w:color="000000" w:fill="FFFFFF"/>
            <w:noWrap/>
            <w:vAlign w:val="center"/>
          </w:tcPr>
          <w:p w14:paraId="70D6AD5D">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54AF4930">
        <w:tblPrEx>
          <w:tblCellMar>
            <w:top w:w="0" w:type="dxa"/>
            <w:left w:w="108" w:type="dxa"/>
            <w:bottom w:w="0" w:type="dxa"/>
            <w:right w:w="108" w:type="dxa"/>
          </w:tblCellMar>
        </w:tblPrEx>
        <w:trPr>
          <w:trHeight w:val="397" w:hRule="atLeast"/>
        </w:trPr>
        <w:tc>
          <w:tcPr>
            <w:tcW w:w="520" w:type="dxa"/>
            <w:tcBorders>
              <w:top w:val="single" w:color="000000" w:sz="4" w:space="0"/>
              <w:left w:val="single" w:color="000000" w:sz="4" w:space="0"/>
              <w:bottom w:val="nil"/>
              <w:right w:val="nil"/>
            </w:tcBorders>
            <w:shd w:val="clear" w:color="000000" w:fill="FFFFFF"/>
            <w:noWrap w:val="0"/>
            <w:vAlign w:val="center"/>
          </w:tcPr>
          <w:p w14:paraId="5B7A9C84">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00" w:type="dxa"/>
            <w:tcBorders>
              <w:top w:val="single" w:color="000000" w:sz="4" w:space="0"/>
              <w:left w:val="single" w:color="000000" w:sz="4" w:space="0"/>
              <w:bottom w:val="nil"/>
              <w:right w:val="nil"/>
            </w:tcBorders>
            <w:shd w:val="clear" w:color="000000" w:fill="FFFFFF"/>
            <w:noWrap w:val="0"/>
            <w:vAlign w:val="center"/>
          </w:tcPr>
          <w:p w14:paraId="32D4708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556" w:type="dxa"/>
            <w:tcBorders>
              <w:top w:val="single" w:color="000000" w:sz="4" w:space="0"/>
              <w:left w:val="single" w:color="000000" w:sz="4" w:space="0"/>
              <w:bottom w:val="nil"/>
              <w:right w:val="nil"/>
            </w:tcBorders>
            <w:shd w:val="clear" w:color="000000" w:fill="FFFFFF"/>
            <w:noWrap w:val="0"/>
            <w:vAlign w:val="center"/>
          </w:tcPr>
          <w:p w14:paraId="0109F72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600" w:type="dxa"/>
            <w:tcBorders>
              <w:top w:val="single" w:color="000000" w:sz="4" w:space="0"/>
              <w:left w:val="single" w:color="000000" w:sz="4" w:space="0"/>
              <w:bottom w:val="nil"/>
              <w:right w:val="nil"/>
            </w:tcBorders>
            <w:shd w:val="clear" w:color="000000" w:fill="FFFFFF"/>
            <w:noWrap w:val="0"/>
            <w:vAlign w:val="center"/>
          </w:tcPr>
          <w:p w14:paraId="572228DE">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60" w:type="dxa"/>
            <w:tcBorders>
              <w:top w:val="single" w:color="000000" w:sz="4" w:space="0"/>
              <w:left w:val="single" w:color="000000" w:sz="4" w:space="0"/>
              <w:bottom w:val="nil"/>
              <w:right w:val="nil"/>
            </w:tcBorders>
            <w:shd w:val="clear" w:color="000000" w:fill="FFFFFF"/>
            <w:noWrap/>
            <w:vAlign w:val="center"/>
          </w:tcPr>
          <w:p w14:paraId="71D3F36C">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640" w:type="dxa"/>
            <w:tcBorders>
              <w:top w:val="single" w:color="000000" w:sz="4" w:space="0"/>
              <w:left w:val="single" w:color="000000" w:sz="4" w:space="0"/>
              <w:bottom w:val="nil"/>
              <w:right w:val="nil"/>
            </w:tcBorders>
            <w:shd w:val="clear" w:color="000000" w:fill="FFFFFF"/>
            <w:noWrap/>
            <w:vAlign w:val="center"/>
          </w:tcPr>
          <w:p w14:paraId="502FFAB0">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35" w:type="dxa"/>
            <w:tcBorders>
              <w:top w:val="single" w:color="000000" w:sz="4" w:space="0"/>
              <w:left w:val="single" w:color="000000" w:sz="4" w:space="0"/>
              <w:bottom w:val="nil"/>
              <w:right w:val="nil"/>
            </w:tcBorders>
            <w:shd w:val="clear" w:color="000000" w:fill="FFFFFF"/>
            <w:noWrap/>
            <w:vAlign w:val="center"/>
          </w:tcPr>
          <w:p w14:paraId="4D3480D6">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640" w:type="dxa"/>
            <w:tcBorders>
              <w:top w:val="single" w:color="000000" w:sz="4" w:space="0"/>
              <w:left w:val="single" w:color="000000" w:sz="4" w:space="0"/>
              <w:bottom w:val="nil"/>
              <w:right w:val="nil"/>
            </w:tcBorders>
            <w:shd w:val="clear" w:color="000000" w:fill="FFFFFF"/>
            <w:noWrap/>
            <w:vAlign w:val="center"/>
          </w:tcPr>
          <w:p w14:paraId="6EC0B2B0">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640" w:type="dxa"/>
            <w:tcBorders>
              <w:top w:val="single" w:color="000000" w:sz="4" w:space="0"/>
              <w:left w:val="single" w:color="000000" w:sz="4" w:space="0"/>
              <w:bottom w:val="nil"/>
              <w:right w:val="nil"/>
            </w:tcBorders>
            <w:shd w:val="clear" w:color="000000" w:fill="FFFFFF"/>
            <w:noWrap/>
            <w:vAlign w:val="center"/>
          </w:tcPr>
          <w:p w14:paraId="1767E399">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640" w:type="dxa"/>
            <w:tcBorders>
              <w:top w:val="single" w:color="000000" w:sz="4" w:space="0"/>
              <w:left w:val="single" w:color="000000" w:sz="4" w:space="0"/>
              <w:bottom w:val="nil"/>
              <w:right w:val="nil"/>
            </w:tcBorders>
            <w:shd w:val="clear" w:color="000000" w:fill="FFFFFF"/>
            <w:noWrap/>
            <w:vAlign w:val="center"/>
          </w:tcPr>
          <w:p w14:paraId="03E5724D">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80" w:type="dxa"/>
            <w:tcBorders>
              <w:top w:val="single" w:color="000000" w:sz="4" w:space="0"/>
              <w:left w:val="single" w:color="000000" w:sz="4" w:space="0"/>
              <w:bottom w:val="nil"/>
              <w:right w:val="nil"/>
            </w:tcBorders>
            <w:shd w:val="clear" w:color="000000" w:fill="FFFFFF"/>
            <w:noWrap/>
            <w:vAlign w:val="center"/>
          </w:tcPr>
          <w:p w14:paraId="1BF6EABD">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02" w:type="dxa"/>
            <w:tcBorders>
              <w:top w:val="single" w:color="000000" w:sz="4" w:space="0"/>
              <w:left w:val="single" w:color="000000" w:sz="4" w:space="0"/>
              <w:bottom w:val="nil"/>
              <w:right w:val="single" w:color="000000" w:sz="4" w:space="0"/>
            </w:tcBorders>
            <w:shd w:val="clear" w:color="000000" w:fill="FFFFFF"/>
            <w:noWrap/>
            <w:vAlign w:val="center"/>
          </w:tcPr>
          <w:p w14:paraId="2CB8358F">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53F7B2CD">
        <w:tblPrEx>
          <w:tblCellMar>
            <w:top w:w="0" w:type="dxa"/>
            <w:left w:w="108" w:type="dxa"/>
            <w:bottom w:w="0" w:type="dxa"/>
            <w:right w:w="108" w:type="dxa"/>
          </w:tblCellMar>
        </w:tblPrEx>
        <w:trPr>
          <w:trHeight w:val="397" w:hRule="atLeast"/>
        </w:trPr>
        <w:tc>
          <w:tcPr>
            <w:tcW w:w="520" w:type="dxa"/>
            <w:tcBorders>
              <w:top w:val="single" w:color="000000" w:sz="4" w:space="0"/>
              <w:left w:val="single" w:color="000000" w:sz="4" w:space="0"/>
              <w:bottom w:val="nil"/>
              <w:right w:val="nil"/>
            </w:tcBorders>
            <w:shd w:val="clear" w:color="000000" w:fill="FFFFFF"/>
            <w:noWrap w:val="0"/>
            <w:vAlign w:val="center"/>
          </w:tcPr>
          <w:p w14:paraId="70D8F5AB">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00" w:type="dxa"/>
            <w:tcBorders>
              <w:top w:val="single" w:color="000000" w:sz="4" w:space="0"/>
              <w:left w:val="single" w:color="000000" w:sz="4" w:space="0"/>
              <w:bottom w:val="nil"/>
              <w:right w:val="nil"/>
            </w:tcBorders>
            <w:shd w:val="clear" w:color="000000" w:fill="FFFFFF"/>
            <w:noWrap w:val="0"/>
            <w:vAlign w:val="center"/>
          </w:tcPr>
          <w:p w14:paraId="2129CCA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556" w:type="dxa"/>
            <w:tcBorders>
              <w:top w:val="single" w:color="000000" w:sz="4" w:space="0"/>
              <w:left w:val="single" w:color="000000" w:sz="4" w:space="0"/>
              <w:bottom w:val="nil"/>
              <w:right w:val="nil"/>
            </w:tcBorders>
            <w:shd w:val="clear" w:color="000000" w:fill="FFFFFF"/>
            <w:noWrap w:val="0"/>
            <w:vAlign w:val="center"/>
          </w:tcPr>
          <w:p w14:paraId="1E66CBE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600" w:type="dxa"/>
            <w:tcBorders>
              <w:top w:val="single" w:color="000000" w:sz="4" w:space="0"/>
              <w:left w:val="single" w:color="000000" w:sz="4" w:space="0"/>
              <w:bottom w:val="nil"/>
              <w:right w:val="nil"/>
            </w:tcBorders>
            <w:shd w:val="clear" w:color="000000" w:fill="FFFFFF"/>
            <w:noWrap w:val="0"/>
            <w:vAlign w:val="center"/>
          </w:tcPr>
          <w:p w14:paraId="13FFD342">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60" w:type="dxa"/>
            <w:tcBorders>
              <w:top w:val="single" w:color="000000" w:sz="4" w:space="0"/>
              <w:left w:val="single" w:color="000000" w:sz="4" w:space="0"/>
              <w:bottom w:val="nil"/>
              <w:right w:val="nil"/>
            </w:tcBorders>
            <w:shd w:val="clear" w:color="000000" w:fill="FFFFFF"/>
            <w:noWrap/>
            <w:vAlign w:val="center"/>
          </w:tcPr>
          <w:p w14:paraId="13D6EE12">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640" w:type="dxa"/>
            <w:tcBorders>
              <w:top w:val="single" w:color="000000" w:sz="4" w:space="0"/>
              <w:left w:val="single" w:color="000000" w:sz="4" w:space="0"/>
              <w:bottom w:val="nil"/>
              <w:right w:val="nil"/>
            </w:tcBorders>
            <w:shd w:val="clear" w:color="000000" w:fill="FFFFFF"/>
            <w:noWrap/>
            <w:vAlign w:val="center"/>
          </w:tcPr>
          <w:p w14:paraId="30CE63D5">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35" w:type="dxa"/>
            <w:tcBorders>
              <w:top w:val="single" w:color="000000" w:sz="4" w:space="0"/>
              <w:left w:val="single" w:color="000000" w:sz="4" w:space="0"/>
              <w:bottom w:val="nil"/>
              <w:right w:val="nil"/>
            </w:tcBorders>
            <w:shd w:val="clear" w:color="000000" w:fill="FFFFFF"/>
            <w:noWrap/>
            <w:vAlign w:val="center"/>
          </w:tcPr>
          <w:p w14:paraId="5E4A4449">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640" w:type="dxa"/>
            <w:tcBorders>
              <w:top w:val="single" w:color="000000" w:sz="4" w:space="0"/>
              <w:left w:val="single" w:color="000000" w:sz="4" w:space="0"/>
              <w:bottom w:val="nil"/>
              <w:right w:val="nil"/>
            </w:tcBorders>
            <w:shd w:val="clear" w:color="000000" w:fill="FFFFFF"/>
            <w:noWrap/>
            <w:vAlign w:val="center"/>
          </w:tcPr>
          <w:p w14:paraId="7E9D70C2">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640" w:type="dxa"/>
            <w:tcBorders>
              <w:top w:val="single" w:color="000000" w:sz="4" w:space="0"/>
              <w:left w:val="single" w:color="000000" w:sz="4" w:space="0"/>
              <w:bottom w:val="nil"/>
              <w:right w:val="nil"/>
            </w:tcBorders>
            <w:shd w:val="clear" w:color="000000" w:fill="FFFFFF"/>
            <w:noWrap/>
            <w:vAlign w:val="center"/>
          </w:tcPr>
          <w:p w14:paraId="6750679C">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640" w:type="dxa"/>
            <w:tcBorders>
              <w:top w:val="single" w:color="000000" w:sz="4" w:space="0"/>
              <w:left w:val="single" w:color="000000" w:sz="4" w:space="0"/>
              <w:bottom w:val="nil"/>
              <w:right w:val="nil"/>
            </w:tcBorders>
            <w:shd w:val="clear" w:color="000000" w:fill="FFFFFF"/>
            <w:noWrap/>
            <w:vAlign w:val="center"/>
          </w:tcPr>
          <w:p w14:paraId="73C496C9">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80" w:type="dxa"/>
            <w:tcBorders>
              <w:top w:val="single" w:color="000000" w:sz="4" w:space="0"/>
              <w:left w:val="single" w:color="000000" w:sz="4" w:space="0"/>
              <w:bottom w:val="nil"/>
              <w:right w:val="nil"/>
            </w:tcBorders>
            <w:shd w:val="clear" w:color="000000" w:fill="FFFFFF"/>
            <w:noWrap/>
            <w:vAlign w:val="center"/>
          </w:tcPr>
          <w:p w14:paraId="66367EBE">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02" w:type="dxa"/>
            <w:tcBorders>
              <w:top w:val="single" w:color="000000" w:sz="4" w:space="0"/>
              <w:left w:val="single" w:color="000000" w:sz="4" w:space="0"/>
              <w:bottom w:val="nil"/>
              <w:right w:val="single" w:color="000000" w:sz="4" w:space="0"/>
            </w:tcBorders>
            <w:shd w:val="clear" w:color="000000" w:fill="FFFFFF"/>
            <w:noWrap/>
            <w:vAlign w:val="center"/>
          </w:tcPr>
          <w:p w14:paraId="17226D87">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7D90D712">
        <w:tblPrEx>
          <w:tblCellMar>
            <w:top w:w="0" w:type="dxa"/>
            <w:left w:w="108" w:type="dxa"/>
            <w:bottom w:w="0" w:type="dxa"/>
            <w:right w:w="108" w:type="dxa"/>
          </w:tblCellMar>
        </w:tblPrEx>
        <w:trPr>
          <w:trHeight w:val="397" w:hRule="atLeast"/>
        </w:trPr>
        <w:tc>
          <w:tcPr>
            <w:tcW w:w="520" w:type="dxa"/>
            <w:tcBorders>
              <w:top w:val="single" w:color="000000" w:sz="4" w:space="0"/>
              <w:left w:val="single" w:color="000000" w:sz="4" w:space="0"/>
              <w:bottom w:val="nil"/>
              <w:right w:val="nil"/>
            </w:tcBorders>
            <w:shd w:val="clear" w:color="000000" w:fill="FFFFFF"/>
            <w:noWrap w:val="0"/>
            <w:vAlign w:val="center"/>
          </w:tcPr>
          <w:p w14:paraId="52E4DFCB">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00" w:type="dxa"/>
            <w:tcBorders>
              <w:top w:val="single" w:color="000000" w:sz="4" w:space="0"/>
              <w:left w:val="single" w:color="000000" w:sz="4" w:space="0"/>
              <w:bottom w:val="nil"/>
              <w:right w:val="nil"/>
            </w:tcBorders>
            <w:shd w:val="clear" w:color="000000" w:fill="FFFFFF"/>
            <w:noWrap w:val="0"/>
            <w:vAlign w:val="center"/>
          </w:tcPr>
          <w:p w14:paraId="1CC0148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556" w:type="dxa"/>
            <w:tcBorders>
              <w:top w:val="single" w:color="000000" w:sz="4" w:space="0"/>
              <w:left w:val="single" w:color="000000" w:sz="4" w:space="0"/>
              <w:bottom w:val="nil"/>
              <w:right w:val="nil"/>
            </w:tcBorders>
            <w:shd w:val="clear" w:color="000000" w:fill="FFFFFF"/>
            <w:noWrap w:val="0"/>
            <w:vAlign w:val="center"/>
          </w:tcPr>
          <w:p w14:paraId="75647A3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600" w:type="dxa"/>
            <w:tcBorders>
              <w:top w:val="single" w:color="000000" w:sz="4" w:space="0"/>
              <w:left w:val="single" w:color="000000" w:sz="4" w:space="0"/>
              <w:bottom w:val="nil"/>
              <w:right w:val="nil"/>
            </w:tcBorders>
            <w:shd w:val="clear" w:color="000000" w:fill="FFFFFF"/>
            <w:noWrap w:val="0"/>
            <w:vAlign w:val="center"/>
          </w:tcPr>
          <w:p w14:paraId="45A9C2B7">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60" w:type="dxa"/>
            <w:tcBorders>
              <w:top w:val="single" w:color="000000" w:sz="4" w:space="0"/>
              <w:left w:val="single" w:color="000000" w:sz="4" w:space="0"/>
              <w:bottom w:val="nil"/>
              <w:right w:val="nil"/>
            </w:tcBorders>
            <w:shd w:val="clear" w:color="000000" w:fill="FFFFFF"/>
            <w:noWrap/>
            <w:vAlign w:val="center"/>
          </w:tcPr>
          <w:p w14:paraId="3450278D">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640" w:type="dxa"/>
            <w:tcBorders>
              <w:top w:val="single" w:color="000000" w:sz="4" w:space="0"/>
              <w:left w:val="single" w:color="000000" w:sz="4" w:space="0"/>
              <w:bottom w:val="nil"/>
              <w:right w:val="nil"/>
            </w:tcBorders>
            <w:shd w:val="clear" w:color="000000" w:fill="FFFFFF"/>
            <w:noWrap/>
            <w:vAlign w:val="center"/>
          </w:tcPr>
          <w:p w14:paraId="36864EF3">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35" w:type="dxa"/>
            <w:tcBorders>
              <w:top w:val="single" w:color="000000" w:sz="4" w:space="0"/>
              <w:left w:val="single" w:color="000000" w:sz="4" w:space="0"/>
              <w:bottom w:val="nil"/>
              <w:right w:val="nil"/>
            </w:tcBorders>
            <w:shd w:val="clear" w:color="000000" w:fill="FFFFFF"/>
            <w:noWrap/>
            <w:vAlign w:val="center"/>
          </w:tcPr>
          <w:p w14:paraId="3D2BC894">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640" w:type="dxa"/>
            <w:tcBorders>
              <w:top w:val="single" w:color="000000" w:sz="4" w:space="0"/>
              <w:left w:val="single" w:color="000000" w:sz="4" w:space="0"/>
              <w:bottom w:val="nil"/>
              <w:right w:val="nil"/>
            </w:tcBorders>
            <w:shd w:val="clear" w:color="000000" w:fill="FFFFFF"/>
            <w:noWrap/>
            <w:vAlign w:val="center"/>
          </w:tcPr>
          <w:p w14:paraId="699E9225">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640" w:type="dxa"/>
            <w:tcBorders>
              <w:top w:val="single" w:color="000000" w:sz="4" w:space="0"/>
              <w:left w:val="single" w:color="000000" w:sz="4" w:space="0"/>
              <w:bottom w:val="nil"/>
              <w:right w:val="nil"/>
            </w:tcBorders>
            <w:shd w:val="clear" w:color="000000" w:fill="FFFFFF"/>
            <w:noWrap/>
            <w:vAlign w:val="center"/>
          </w:tcPr>
          <w:p w14:paraId="3456A0B8">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640" w:type="dxa"/>
            <w:tcBorders>
              <w:top w:val="single" w:color="000000" w:sz="4" w:space="0"/>
              <w:left w:val="single" w:color="000000" w:sz="4" w:space="0"/>
              <w:bottom w:val="nil"/>
              <w:right w:val="nil"/>
            </w:tcBorders>
            <w:shd w:val="clear" w:color="000000" w:fill="FFFFFF"/>
            <w:noWrap/>
            <w:vAlign w:val="center"/>
          </w:tcPr>
          <w:p w14:paraId="3B528263">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80" w:type="dxa"/>
            <w:tcBorders>
              <w:top w:val="single" w:color="000000" w:sz="4" w:space="0"/>
              <w:left w:val="single" w:color="000000" w:sz="4" w:space="0"/>
              <w:bottom w:val="nil"/>
              <w:right w:val="nil"/>
            </w:tcBorders>
            <w:shd w:val="clear" w:color="000000" w:fill="FFFFFF"/>
            <w:noWrap/>
            <w:vAlign w:val="center"/>
          </w:tcPr>
          <w:p w14:paraId="35026F1F">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02" w:type="dxa"/>
            <w:tcBorders>
              <w:top w:val="single" w:color="000000" w:sz="4" w:space="0"/>
              <w:left w:val="single" w:color="000000" w:sz="4" w:space="0"/>
              <w:bottom w:val="nil"/>
              <w:right w:val="single" w:color="000000" w:sz="4" w:space="0"/>
            </w:tcBorders>
            <w:shd w:val="clear" w:color="000000" w:fill="FFFFFF"/>
            <w:noWrap/>
            <w:vAlign w:val="center"/>
          </w:tcPr>
          <w:p w14:paraId="30987CD0">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43EBD636">
        <w:tblPrEx>
          <w:tblCellMar>
            <w:top w:w="0" w:type="dxa"/>
            <w:left w:w="108" w:type="dxa"/>
            <w:bottom w:w="0" w:type="dxa"/>
            <w:right w:w="108" w:type="dxa"/>
          </w:tblCellMar>
        </w:tblPrEx>
        <w:trPr>
          <w:trHeight w:val="397" w:hRule="atLeast"/>
        </w:trPr>
        <w:tc>
          <w:tcPr>
            <w:tcW w:w="520" w:type="dxa"/>
            <w:tcBorders>
              <w:top w:val="single" w:color="000000" w:sz="4" w:space="0"/>
              <w:left w:val="single" w:color="000000" w:sz="4" w:space="0"/>
              <w:bottom w:val="nil"/>
              <w:right w:val="nil"/>
            </w:tcBorders>
            <w:shd w:val="clear" w:color="000000" w:fill="FFFFFF"/>
            <w:noWrap w:val="0"/>
            <w:vAlign w:val="center"/>
          </w:tcPr>
          <w:p w14:paraId="4A65B37B">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00" w:type="dxa"/>
            <w:tcBorders>
              <w:top w:val="single" w:color="000000" w:sz="4" w:space="0"/>
              <w:left w:val="single" w:color="000000" w:sz="4" w:space="0"/>
              <w:bottom w:val="nil"/>
              <w:right w:val="nil"/>
            </w:tcBorders>
            <w:shd w:val="clear" w:color="000000" w:fill="FFFFFF"/>
            <w:noWrap w:val="0"/>
            <w:vAlign w:val="center"/>
          </w:tcPr>
          <w:p w14:paraId="0CD4A28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556" w:type="dxa"/>
            <w:tcBorders>
              <w:top w:val="single" w:color="000000" w:sz="4" w:space="0"/>
              <w:left w:val="single" w:color="000000" w:sz="4" w:space="0"/>
              <w:bottom w:val="nil"/>
              <w:right w:val="nil"/>
            </w:tcBorders>
            <w:shd w:val="clear" w:color="000000" w:fill="FFFFFF"/>
            <w:noWrap w:val="0"/>
            <w:vAlign w:val="center"/>
          </w:tcPr>
          <w:p w14:paraId="1AEDDE1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600" w:type="dxa"/>
            <w:tcBorders>
              <w:top w:val="single" w:color="000000" w:sz="4" w:space="0"/>
              <w:left w:val="single" w:color="000000" w:sz="4" w:space="0"/>
              <w:bottom w:val="nil"/>
              <w:right w:val="nil"/>
            </w:tcBorders>
            <w:shd w:val="clear" w:color="000000" w:fill="FFFFFF"/>
            <w:noWrap w:val="0"/>
            <w:vAlign w:val="center"/>
          </w:tcPr>
          <w:p w14:paraId="5047F0CD">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60" w:type="dxa"/>
            <w:tcBorders>
              <w:top w:val="single" w:color="000000" w:sz="4" w:space="0"/>
              <w:left w:val="single" w:color="000000" w:sz="4" w:space="0"/>
              <w:bottom w:val="nil"/>
              <w:right w:val="nil"/>
            </w:tcBorders>
            <w:shd w:val="clear" w:color="000000" w:fill="FFFFFF"/>
            <w:noWrap/>
            <w:vAlign w:val="center"/>
          </w:tcPr>
          <w:p w14:paraId="2C36CFDB">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640" w:type="dxa"/>
            <w:tcBorders>
              <w:top w:val="single" w:color="000000" w:sz="4" w:space="0"/>
              <w:left w:val="single" w:color="000000" w:sz="4" w:space="0"/>
              <w:bottom w:val="nil"/>
              <w:right w:val="nil"/>
            </w:tcBorders>
            <w:shd w:val="clear" w:color="000000" w:fill="FFFFFF"/>
            <w:noWrap/>
            <w:vAlign w:val="center"/>
          </w:tcPr>
          <w:p w14:paraId="4FC2F803">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35" w:type="dxa"/>
            <w:tcBorders>
              <w:top w:val="single" w:color="000000" w:sz="4" w:space="0"/>
              <w:left w:val="single" w:color="000000" w:sz="4" w:space="0"/>
              <w:bottom w:val="nil"/>
              <w:right w:val="nil"/>
            </w:tcBorders>
            <w:shd w:val="clear" w:color="000000" w:fill="FFFFFF"/>
            <w:noWrap/>
            <w:vAlign w:val="center"/>
          </w:tcPr>
          <w:p w14:paraId="38748FD7">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640" w:type="dxa"/>
            <w:tcBorders>
              <w:top w:val="single" w:color="000000" w:sz="4" w:space="0"/>
              <w:left w:val="single" w:color="000000" w:sz="4" w:space="0"/>
              <w:bottom w:val="nil"/>
              <w:right w:val="nil"/>
            </w:tcBorders>
            <w:shd w:val="clear" w:color="000000" w:fill="FFFFFF"/>
            <w:noWrap/>
            <w:vAlign w:val="center"/>
          </w:tcPr>
          <w:p w14:paraId="6E6613AE">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640" w:type="dxa"/>
            <w:tcBorders>
              <w:top w:val="single" w:color="000000" w:sz="4" w:space="0"/>
              <w:left w:val="single" w:color="000000" w:sz="4" w:space="0"/>
              <w:bottom w:val="nil"/>
              <w:right w:val="nil"/>
            </w:tcBorders>
            <w:shd w:val="clear" w:color="000000" w:fill="FFFFFF"/>
            <w:noWrap/>
            <w:vAlign w:val="center"/>
          </w:tcPr>
          <w:p w14:paraId="569D7F5E">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640" w:type="dxa"/>
            <w:tcBorders>
              <w:top w:val="single" w:color="000000" w:sz="4" w:space="0"/>
              <w:left w:val="single" w:color="000000" w:sz="4" w:space="0"/>
              <w:bottom w:val="nil"/>
              <w:right w:val="nil"/>
            </w:tcBorders>
            <w:shd w:val="clear" w:color="000000" w:fill="FFFFFF"/>
            <w:noWrap/>
            <w:vAlign w:val="center"/>
          </w:tcPr>
          <w:p w14:paraId="0CA1F1A5">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80" w:type="dxa"/>
            <w:tcBorders>
              <w:top w:val="single" w:color="000000" w:sz="4" w:space="0"/>
              <w:left w:val="single" w:color="000000" w:sz="4" w:space="0"/>
              <w:bottom w:val="nil"/>
              <w:right w:val="nil"/>
            </w:tcBorders>
            <w:shd w:val="clear" w:color="000000" w:fill="FFFFFF"/>
            <w:noWrap/>
            <w:vAlign w:val="center"/>
          </w:tcPr>
          <w:p w14:paraId="7F41E509">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02" w:type="dxa"/>
            <w:tcBorders>
              <w:top w:val="single" w:color="000000" w:sz="4" w:space="0"/>
              <w:left w:val="single" w:color="000000" w:sz="4" w:space="0"/>
              <w:bottom w:val="nil"/>
              <w:right w:val="single" w:color="000000" w:sz="4" w:space="0"/>
            </w:tcBorders>
            <w:shd w:val="clear" w:color="000000" w:fill="FFFFFF"/>
            <w:noWrap/>
            <w:vAlign w:val="center"/>
          </w:tcPr>
          <w:p w14:paraId="680F78B3">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16ED3C9A">
        <w:tblPrEx>
          <w:tblCellMar>
            <w:top w:w="0" w:type="dxa"/>
            <w:left w:w="108" w:type="dxa"/>
            <w:bottom w:w="0" w:type="dxa"/>
            <w:right w:w="108" w:type="dxa"/>
          </w:tblCellMar>
        </w:tblPrEx>
        <w:trPr>
          <w:trHeight w:val="397" w:hRule="atLeast"/>
        </w:trPr>
        <w:tc>
          <w:tcPr>
            <w:tcW w:w="520" w:type="dxa"/>
            <w:tcBorders>
              <w:top w:val="single" w:color="000000" w:sz="4" w:space="0"/>
              <w:left w:val="single" w:color="000000" w:sz="4" w:space="0"/>
              <w:bottom w:val="nil"/>
              <w:right w:val="nil"/>
            </w:tcBorders>
            <w:shd w:val="clear" w:color="000000" w:fill="FFFFFF"/>
            <w:noWrap w:val="0"/>
            <w:vAlign w:val="center"/>
          </w:tcPr>
          <w:p w14:paraId="7E0B9F37">
            <w:pPr>
              <w:widowControl/>
              <w:jc w:val="center"/>
              <w:rPr>
                <w:rFonts w:hint="eastAsia" w:ascii="宋体" w:hAnsi="宋体" w:eastAsia="宋体" w:cs="宋体"/>
                <w:color w:val="auto"/>
                <w:kern w:val="0"/>
                <w:sz w:val="18"/>
                <w:szCs w:val="18"/>
                <w:highlight w:val="none"/>
              </w:rPr>
            </w:pPr>
          </w:p>
        </w:tc>
        <w:tc>
          <w:tcPr>
            <w:tcW w:w="1200" w:type="dxa"/>
            <w:tcBorders>
              <w:top w:val="single" w:color="000000" w:sz="4" w:space="0"/>
              <w:left w:val="single" w:color="000000" w:sz="4" w:space="0"/>
              <w:bottom w:val="nil"/>
              <w:right w:val="nil"/>
            </w:tcBorders>
            <w:shd w:val="clear" w:color="000000" w:fill="FFFFFF"/>
            <w:noWrap w:val="0"/>
            <w:vAlign w:val="center"/>
          </w:tcPr>
          <w:p w14:paraId="0E771D14">
            <w:pPr>
              <w:widowControl/>
              <w:jc w:val="left"/>
              <w:rPr>
                <w:rFonts w:hint="eastAsia" w:ascii="宋体" w:hAnsi="宋体" w:eastAsia="宋体" w:cs="宋体"/>
                <w:color w:val="auto"/>
                <w:kern w:val="0"/>
                <w:sz w:val="18"/>
                <w:szCs w:val="18"/>
                <w:highlight w:val="none"/>
              </w:rPr>
            </w:pPr>
          </w:p>
        </w:tc>
        <w:tc>
          <w:tcPr>
            <w:tcW w:w="1556" w:type="dxa"/>
            <w:tcBorders>
              <w:top w:val="single" w:color="000000" w:sz="4" w:space="0"/>
              <w:left w:val="single" w:color="000000" w:sz="4" w:space="0"/>
              <w:bottom w:val="nil"/>
              <w:right w:val="nil"/>
            </w:tcBorders>
            <w:shd w:val="clear" w:color="000000" w:fill="FFFFFF"/>
            <w:noWrap w:val="0"/>
            <w:vAlign w:val="center"/>
          </w:tcPr>
          <w:p w14:paraId="2F323302">
            <w:pPr>
              <w:widowControl/>
              <w:jc w:val="left"/>
              <w:rPr>
                <w:rFonts w:hint="eastAsia" w:ascii="宋体" w:hAnsi="宋体" w:eastAsia="宋体" w:cs="宋体"/>
                <w:color w:val="auto"/>
                <w:kern w:val="0"/>
                <w:sz w:val="18"/>
                <w:szCs w:val="18"/>
                <w:highlight w:val="none"/>
              </w:rPr>
            </w:pPr>
          </w:p>
        </w:tc>
        <w:tc>
          <w:tcPr>
            <w:tcW w:w="600" w:type="dxa"/>
            <w:tcBorders>
              <w:top w:val="single" w:color="000000" w:sz="4" w:space="0"/>
              <w:left w:val="single" w:color="000000" w:sz="4" w:space="0"/>
              <w:bottom w:val="nil"/>
              <w:right w:val="nil"/>
            </w:tcBorders>
            <w:shd w:val="clear" w:color="000000" w:fill="FFFFFF"/>
            <w:noWrap w:val="0"/>
            <w:vAlign w:val="center"/>
          </w:tcPr>
          <w:p w14:paraId="71843DD6">
            <w:pPr>
              <w:widowControl/>
              <w:jc w:val="center"/>
              <w:rPr>
                <w:rFonts w:hint="eastAsia" w:ascii="宋体" w:hAnsi="宋体" w:eastAsia="宋体" w:cs="宋体"/>
                <w:color w:val="auto"/>
                <w:kern w:val="0"/>
                <w:sz w:val="18"/>
                <w:szCs w:val="18"/>
                <w:highlight w:val="none"/>
              </w:rPr>
            </w:pPr>
          </w:p>
        </w:tc>
        <w:tc>
          <w:tcPr>
            <w:tcW w:w="760" w:type="dxa"/>
            <w:tcBorders>
              <w:top w:val="single" w:color="000000" w:sz="4" w:space="0"/>
              <w:left w:val="single" w:color="000000" w:sz="4" w:space="0"/>
              <w:bottom w:val="nil"/>
              <w:right w:val="nil"/>
            </w:tcBorders>
            <w:shd w:val="clear" w:color="000000" w:fill="FFFFFF"/>
            <w:noWrap/>
            <w:vAlign w:val="center"/>
          </w:tcPr>
          <w:p w14:paraId="777157EB">
            <w:pPr>
              <w:widowControl/>
              <w:jc w:val="right"/>
              <w:rPr>
                <w:rFonts w:hint="eastAsia" w:ascii="宋体" w:hAnsi="宋体" w:eastAsia="宋体" w:cs="宋体"/>
                <w:color w:val="auto"/>
                <w:kern w:val="0"/>
                <w:sz w:val="18"/>
                <w:szCs w:val="18"/>
                <w:highlight w:val="none"/>
              </w:rPr>
            </w:pPr>
          </w:p>
        </w:tc>
        <w:tc>
          <w:tcPr>
            <w:tcW w:w="640" w:type="dxa"/>
            <w:tcBorders>
              <w:top w:val="single" w:color="000000" w:sz="4" w:space="0"/>
              <w:left w:val="single" w:color="000000" w:sz="4" w:space="0"/>
              <w:bottom w:val="nil"/>
              <w:right w:val="nil"/>
            </w:tcBorders>
            <w:shd w:val="clear" w:color="000000" w:fill="FFFFFF"/>
            <w:noWrap/>
            <w:vAlign w:val="center"/>
          </w:tcPr>
          <w:p w14:paraId="6D2AF669">
            <w:pPr>
              <w:widowControl/>
              <w:jc w:val="right"/>
              <w:rPr>
                <w:rFonts w:hint="eastAsia" w:ascii="宋体" w:hAnsi="宋体" w:eastAsia="宋体" w:cs="宋体"/>
                <w:color w:val="auto"/>
                <w:kern w:val="0"/>
                <w:sz w:val="18"/>
                <w:szCs w:val="18"/>
                <w:highlight w:val="none"/>
              </w:rPr>
            </w:pPr>
          </w:p>
        </w:tc>
        <w:tc>
          <w:tcPr>
            <w:tcW w:w="835" w:type="dxa"/>
            <w:tcBorders>
              <w:top w:val="single" w:color="000000" w:sz="4" w:space="0"/>
              <w:left w:val="single" w:color="000000" w:sz="4" w:space="0"/>
              <w:bottom w:val="nil"/>
              <w:right w:val="nil"/>
            </w:tcBorders>
            <w:shd w:val="clear" w:color="000000" w:fill="FFFFFF"/>
            <w:noWrap/>
            <w:vAlign w:val="center"/>
          </w:tcPr>
          <w:p w14:paraId="07C54277">
            <w:pPr>
              <w:widowControl/>
              <w:jc w:val="right"/>
              <w:rPr>
                <w:rFonts w:hint="eastAsia" w:ascii="宋体" w:hAnsi="宋体" w:eastAsia="宋体" w:cs="宋体"/>
                <w:color w:val="auto"/>
                <w:kern w:val="0"/>
                <w:sz w:val="18"/>
                <w:szCs w:val="18"/>
                <w:highlight w:val="none"/>
              </w:rPr>
            </w:pPr>
          </w:p>
        </w:tc>
        <w:tc>
          <w:tcPr>
            <w:tcW w:w="640" w:type="dxa"/>
            <w:tcBorders>
              <w:top w:val="single" w:color="000000" w:sz="4" w:space="0"/>
              <w:left w:val="single" w:color="000000" w:sz="4" w:space="0"/>
              <w:bottom w:val="nil"/>
              <w:right w:val="nil"/>
            </w:tcBorders>
            <w:shd w:val="clear" w:color="000000" w:fill="FFFFFF"/>
            <w:noWrap/>
            <w:vAlign w:val="center"/>
          </w:tcPr>
          <w:p w14:paraId="17066F13">
            <w:pPr>
              <w:widowControl/>
              <w:jc w:val="right"/>
              <w:rPr>
                <w:rFonts w:hint="eastAsia" w:ascii="宋体" w:hAnsi="宋体" w:eastAsia="宋体" w:cs="宋体"/>
                <w:color w:val="auto"/>
                <w:kern w:val="0"/>
                <w:sz w:val="18"/>
                <w:szCs w:val="18"/>
                <w:highlight w:val="none"/>
              </w:rPr>
            </w:pPr>
          </w:p>
        </w:tc>
        <w:tc>
          <w:tcPr>
            <w:tcW w:w="640" w:type="dxa"/>
            <w:tcBorders>
              <w:top w:val="single" w:color="000000" w:sz="4" w:space="0"/>
              <w:left w:val="single" w:color="000000" w:sz="4" w:space="0"/>
              <w:bottom w:val="nil"/>
              <w:right w:val="nil"/>
            </w:tcBorders>
            <w:shd w:val="clear" w:color="000000" w:fill="FFFFFF"/>
            <w:noWrap/>
            <w:vAlign w:val="center"/>
          </w:tcPr>
          <w:p w14:paraId="41F9DE9A">
            <w:pPr>
              <w:widowControl/>
              <w:jc w:val="right"/>
              <w:rPr>
                <w:rFonts w:hint="eastAsia" w:ascii="宋体" w:hAnsi="宋体" w:eastAsia="宋体" w:cs="宋体"/>
                <w:color w:val="auto"/>
                <w:kern w:val="0"/>
                <w:sz w:val="18"/>
                <w:szCs w:val="18"/>
                <w:highlight w:val="none"/>
              </w:rPr>
            </w:pPr>
          </w:p>
        </w:tc>
        <w:tc>
          <w:tcPr>
            <w:tcW w:w="640" w:type="dxa"/>
            <w:tcBorders>
              <w:top w:val="single" w:color="000000" w:sz="4" w:space="0"/>
              <w:left w:val="single" w:color="000000" w:sz="4" w:space="0"/>
              <w:bottom w:val="nil"/>
              <w:right w:val="nil"/>
            </w:tcBorders>
            <w:shd w:val="clear" w:color="000000" w:fill="FFFFFF"/>
            <w:noWrap/>
            <w:vAlign w:val="center"/>
          </w:tcPr>
          <w:p w14:paraId="0FA56ED1">
            <w:pPr>
              <w:widowControl/>
              <w:jc w:val="right"/>
              <w:rPr>
                <w:rFonts w:hint="eastAsia" w:ascii="宋体" w:hAnsi="宋体" w:eastAsia="宋体" w:cs="宋体"/>
                <w:color w:val="auto"/>
                <w:kern w:val="0"/>
                <w:sz w:val="18"/>
                <w:szCs w:val="18"/>
                <w:highlight w:val="none"/>
              </w:rPr>
            </w:pPr>
          </w:p>
        </w:tc>
        <w:tc>
          <w:tcPr>
            <w:tcW w:w="780" w:type="dxa"/>
            <w:tcBorders>
              <w:top w:val="single" w:color="000000" w:sz="4" w:space="0"/>
              <w:left w:val="single" w:color="000000" w:sz="4" w:space="0"/>
              <w:bottom w:val="nil"/>
              <w:right w:val="nil"/>
            </w:tcBorders>
            <w:shd w:val="clear" w:color="000000" w:fill="FFFFFF"/>
            <w:noWrap/>
            <w:vAlign w:val="center"/>
          </w:tcPr>
          <w:p w14:paraId="5AD0C096">
            <w:pPr>
              <w:widowControl/>
              <w:jc w:val="right"/>
              <w:rPr>
                <w:rFonts w:hint="eastAsia" w:ascii="宋体" w:hAnsi="宋体" w:eastAsia="宋体" w:cs="宋体"/>
                <w:color w:val="auto"/>
                <w:kern w:val="0"/>
                <w:sz w:val="18"/>
                <w:szCs w:val="18"/>
                <w:highlight w:val="none"/>
              </w:rPr>
            </w:pPr>
          </w:p>
        </w:tc>
        <w:tc>
          <w:tcPr>
            <w:tcW w:w="702" w:type="dxa"/>
            <w:tcBorders>
              <w:top w:val="single" w:color="000000" w:sz="4" w:space="0"/>
              <w:left w:val="single" w:color="000000" w:sz="4" w:space="0"/>
              <w:bottom w:val="nil"/>
              <w:right w:val="single" w:color="000000" w:sz="4" w:space="0"/>
            </w:tcBorders>
            <w:shd w:val="clear" w:color="000000" w:fill="FFFFFF"/>
            <w:noWrap/>
            <w:vAlign w:val="center"/>
          </w:tcPr>
          <w:p w14:paraId="4A6B96DF">
            <w:pPr>
              <w:widowControl/>
              <w:jc w:val="right"/>
              <w:rPr>
                <w:rFonts w:hint="eastAsia" w:ascii="宋体" w:hAnsi="宋体" w:eastAsia="宋体" w:cs="宋体"/>
                <w:color w:val="auto"/>
                <w:kern w:val="0"/>
                <w:sz w:val="18"/>
                <w:szCs w:val="18"/>
                <w:highlight w:val="none"/>
              </w:rPr>
            </w:pPr>
          </w:p>
        </w:tc>
      </w:tr>
      <w:tr w14:paraId="412447BA">
        <w:tblPrEx>
          <w:tblCellMar>
            <w:top w:w="0" w:type="dxa"/>
            <w:left w:w="108" w:type="dxa"/>
            <w:bottom w:w="0" w:type="dxa"/>
            <w:right w:w="108" w:type="dxa"/>
          </w:tblCellMar>
        </w:tblPrEx>
        <w:trPr>
          <w:trHeight w:val="397" w:hRule="atLeast"/>
        </w:trPr>
        <w:tc>
          <w:tcPr>
            <w:tcW w:w="520" w:type="dxa"/>
            <w:tcBorders>
              <w:top w:val="single" w:color="000000" w:sz="4" w:space="0"/>
              <w:left w:val="single" w:color="000000" w:sz="4" w:space="0"/>
              <w:bottom w:val="nil"/>
              <w:right w:val="nil"/>
            </w:tcBorders>
            <w:shd w:val="clear" w:color="000000" w:fill="FFFFFF"/>
            <w:noWrap w:val="0"/>
            <w:vAlign w:val="center"/>
          </w:tcPr>
          <w:p w14:paraId="27E6F777">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00" w:type="dxa"/>
            <w:tcBorders>
              <w:top w:val="single" w:color="000000" w:sz="4" w:space="0"/>
              <w:left w:val="single" w:color="000000" w:sz="4" w:space="0"/>
              <w:bottom w:val="nil"/>
              <w:right w:val="nil"/>
            </w:tcBorders>
            <w:shd w:val="clear" w:color="000000" w:fill="FFFFFF"/>
            <w:noWrap w:val="0"/>
            <w:vAlign w:val="center"/>
          </w:tcPr>
          <w:p w14:paraId="4DD9EB8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556" w:type="dxa"/>
            <w:tcBorders>
              <w:top w:val="single" w:color="000000" w:sz="4" w:space="0"/>
              <w:left w:val="single" w:color="000000" w:sz="4" w:space="0"/>
              <w:bottom w:val="nil"/>
              <w:right w:val="nil"/>
            </w:tcBorders>
            <w:shd w:val="clear" w:color="000000" w:fill="FFFFFF"/>
            <w:noWrap w:val="0"/>
            <w:vAlign w:val="center"/>
          </w:tcPr>
          <w:p w14:paraId="545BDAD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600" w:type="dxa"/>
            <w:tcBorders>
              <w:top w:val="single" w:color="000000" w:sz="4" w:space="0"/>
              <w:left w:val="single" w:color="000000" w:sz="4" w:space="0"/>
              <w:bottom w:val="nil"/>
              <w:right w:val="nil"/>
            </w:tcBorders>
            <w:shd w:val="clear" w:color="000000" w:fill="FFFFFF"/>
            <w:noWrap w:val="0"/>
            <w:vAlign w:val="center"/>
          </w:tcPr>
          <w:p w14:paraId="7BCC3886">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60" w:type="dxa"/>
            <w:tcBorders>
              <w:top w:val="single" w:color="000000" w:sz="4" w:space="0"/>
              <w:left w:val="single" w:color="000000" w:sz="4" w:space="0"/>
              <w:bottom w:val="nil"/>
              <w:right w:val="nil"/>
            </w:tcBorders>
            <w:shd w:val="clear" w:color="000000" w:fill="FFFFFF"/>
            <w:noWrap/>
            <w:vAlign w:val="center"/>
          </w:tcPr>
          <w:p w14:paraId="370ADB4A">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640" w:type="dxa"/>
            <w:tcBorders>
              <w:top w:val="single" w:color="000000" w:sz="4" w:space="0"/>
              <w:left w:val="single" w:color="000000" w:sz="4" w:space="0"/>
              <w:bottom w:val="nil"/>
              <w:right w:val="nil"/>
            </w:tcBorders>
            <w:shd w:val="clear" w:color="000000" w:fill="FFFFFF"/>
            <w:noWrap/>
            <w:vAlign w:val="center"/>
          </w:tcPr>
          <w:p w14:paraId="0E74AC13">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35" w:type="dxa"/>
            <w:tcBorders>
              <w:top w:val="single" w:color="000000" w:sz="4" w:space="0"/>
              <w:left w:val="single" w:color="000000" w:sz="4" w:space="0"/>
              <w:bottom w:val="nil"/>
              <w:right w:val="nil"/>
            </w:tcBorders>
            <w:shd w:val="clear" w:color="000000" w:fill="FFFFFF"/>
            <w:noWrap/>
            <w:vAlign w:val="center"/>
          </w:tcPr>
          <w:p w14:paraId="618588A3">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640" w:type="dxa"/>
            <w:tcBorders>
              <w:top w:val="single" w:color="000000" w:sz="4" w:space="0"/>
              <w:left w:val="single" w:color="000000" w:sz="4" w:space="0"/>
              <w:bottom w:val="nil"/>
              <w:right w:val="nil"/>
            </w:tcBorders>
            <w:shd w:val="clear" w:color="000000" w:fill="FFFFFF"/>
            <w:noWrap/>
            <w:vAlign w:val="center"/>
          </w:tcPr>
          <w:p w14:paraId="3E7D2A54">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640" w:type="dxa"/>
            <w:tcBorders>
              <w:top w:val="single" w:color="000000" w:sz="4" w:space="0"/>
              <w:left w:val="single" w:color="000000" w:sz="4" w:space="0"/>
              <w:bottom w:val="nil"/>
              <w:right w:val="nil"/>
            </w:tcBorders>
            <w:shd w:val="clear" w:color="000000" w:fill="FFFFFF"/>
            <w:noWrap/>
            <w:vAlign w:val="center"/>
          </w:tcPr>
          <w:p w14:paraId="169C54CD">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640" w:type="dxa"/>
            <w:tcBorders>
              <w:top w:val="single" w:color="000000" w:sz="4" w:space="0"/>
              <w:left w:val="single" w:color="000000" w:sz="4" w:space="0"/>
              <w:bottom w:val="nil"/>
              <w:right w:val="nil"/>
            </w:tcBorders>
            <w:shd w:val="clear" w:color="000000" w:fill="FFFFFF"/>
            <w:noWrap/>
            <w:vAlign w:val="center"/>
          </w:tcPr>
          <w:p w14:paraId="1C2B609F">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80" w:type="dxa"/>
            <w:tcBorders>
              <w:top w:val="single" w:color="000000" w:sz="4" w:space="0"/>
              <w:left w:val="single" w:color="000000" w:sz="4" w:space="0"/>
              <w:bottom w:val="nil"/>
              <w:right w:val="nil"/>
            </w:tcBorders>
            <w:shd w:val="clear" w:color="000000" w:fill="FFFFFF"/>
            <w:noWrap/>
            <w:vAlign w:val="center"/>
          </w:tcPr>
          <w:p w14:paraId="6CC4C7AE">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02" w:type="dxa"/>
            <w:tcBorders>
              <w:top w:val="single" w:color="000000" w:sz="4" w:space="0"/>
              <w:left w:val="single" w:color="000000" w:sz="4" w:space="0"/>
              <w:bottom w:val="nil"/>
              <w:right w:val="single" w:color="000000" w:sz="4" w:space="0"/>
            </w:tcBorders>
            <w:shd w:val="clear" w:color="000000" w:fill="FFFFFF"/>
            <w:noWrap/>
            <w:vAlign w:val="center"/>
          </w:tcPr>
          <w:p w14:paraId="2B86E60B">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7EAD8BF6">
        <w:tblPrEx>
          <w:tblCellMar>
            <w:top w:w="0" w:type="dxa"/>
            <w:left w:w="108" w:type="dxa"/>
            <w:bottom w:w="0" w:type="dxa"/>
            <w:right w:w="108" w:type="dxa"/>
          </w:tblCellMar>
        </w:tblPrEx>
        <w:trPr>
          <w:trHeight w:val="397" w:hRule="atLeast"/>
        </w:trPr>
        <w:tc>
          <w:tcPr>
            <w:tcW w:w="8811" w:type="dxa"/>
            <w:gridSpan w:val="11"/>
            <w:tcBorders>
              <w:top w:val="single" w:color="000000" w:sz="4" w:space="0"/>
              <w:left w:val="single" w:color="000000" w:sz="4" w:space="0"/>
              <w:bottom w:val="single" w:color="000000" w:sz="4" w:space="0"/>
              <w:right w:val="nil"/>
            </w:tcBorders>
            <w:shd w:val="clear" w:color="000000" w:fill="FFFFFF"/>
            <w:noWrap w:val="0"/>
            <w:vAlign w:val="center"/>
          </w:tcPr>
          <w:p w14:paraId="69C9E9A6">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合计</w:t>
            </w:r>
          </w:p>
        </w:tc>
        <w:tc>
          <w:tcPr>
            <w:tcW w:w="702"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5E66ABBD">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bl>
    <w:p w14:paraId="32229B4C">
      <w:pPr>
        <w:pStyle w:val="37"/>
        <w:widowControl w:val="0"/>
        <w:spacing w:before="0" w:beforeAutospacing="0" w:after="0" w:afterAutospacing="0" w:line="300" w:lineRule="auto"/>
        <w:jc w:val="left"/>
        <w:rPr>
          <w:rFonts w:hint="eastAsia" w:ascii="宋体" w:hAnsi="宋体" w:eastAsia="宋体" w:cs="宋体"/>
          <w:color w:val="auto"/>
          <w:sz w:val="24"/>
          <w:highlight w:val="none"/>
        </w:rPr>
      </w:pPr>
    </w:p>
    <w:p w14:paraId="158019B7">
      <w:pPr>
        <w:jc w:val="center"/>
        <w:rPr>
          <w:rFonts w:hint="eastAsia" w:ascii="宋体" w:hAnsi="宋体" w:eastAsia="宋体" w:cs="宋体"/>
          <w:b/>
          <w:bCs/>
          <w:color w:val="auto"/>
          <w:sz w:val="36"/>
          <w:szCs w:val="36"/>
          <w:highlight w:val="none"/>
        </w:rPr>
      </w:pPr>
    </w:p>
    <w:p w14:paraId="393282B5">
      <w:pPr>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综合单价工料机分析表</w:t>
      </w:r>
    </w:p>
    <w:tbl>
      <w:tblPr>
        <w:tblStyle w:val="24"/>
        <w:tblW w:w="9583"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822"/>
        <w:gridCol w:w="8"/>
        <w:gridCol w:w="19"/>
        <w:gridCol w:w="2174"/>
        <w:gridCol w:w="19"/>
        <w:gridCol w:w="10"/>
        <w:gridCol w:w="565"/>
        <w:gridCol w:w="16"/>
        <w:gridCol w:w="870"/>
        <w:gridCol w:w="21"/>
        <w:gridCol w:w="918"/>
        <w:gridCol w:w="1"/>
        <w:gridCol w:w="28"/>
        <w:gridCol w:w="1072"/>
        <w:gridCol w:w="1060"/>
        <w:gridCol w:w="1160"/>
      </w:tblGrid>
      <w:tr w14:paraId="5A8B3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4437" w:type="dxa"/>
            <w:gridSpan w:val="8"/>
            <w:tcBorders>
              <w:top w:val="nil"/>
              <w:left w:val="nil"/>
              <w:right w:val="nil"/>
            </w:tcBorders>
            <w:shd w:val="clear" w:color="000000" w:fill="FFFFFF"/>
            <w:noWrap w:val="0"/>
            <w:vAlign w:val="bottom"/>
          </w:tcPr>
          <w:p w14:paraId="11371B7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单位(专业)工程名称: </w:t>
            </w:r>
          </w:p>
        </w:tc>
        <w:tc>
          <w:tcPr>
            <w:tcW w:w="1826" w:type="dxa"/>
            <w:gridSpan w:val="5"/>
            <w:tcBorders>
              <w:top w:val="nil"/>
              <w:left w:val="nil"/>
              <w:right w:val="nil"/>
            </w:tcBorders>
            <w:shd w:val="clear" w:color="000000" w:fill="FFFFFF"/>
            <w:noWrap w:val="0"/>
            <w:vAlign w:val="bottom"/>
          </w:tcPr>
          <w:p w14:paraId="434F36E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标段:</w:t>
            </w:r>
          </w:p>
        </w:tc>
        <w:tc>
          <w:tcPr>
            <w:tcW w:w="3320" w:type="dxa"/>
            <w:gridSpan w:val="4"/>
            <w:tcBorders>
              <w:top w:val="nil"/>
              <w:left w:val="nil"/>
              <w:right w:val="nil"/>
            </w:tcBorders>
            <w:shd w:val="clear" w:color="000000" w:fill="FFFFFF"/>
            <w:noWrap w:val="0"/>
            <w:vAlign w:val="bottom"/>
          </w:tcPr>
          <w:p w14:paraId="24636860">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第 页 共 页</w:t>
            </w:r>
          </w:p>
        </w:tc>
      </w:tr>
      <w:tr w14:paraId="64182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583" w:type="dxa"/>
            <w:gridSpan w:val="17"/>
            <w:shd w:val="clear" w:color="000000" w:fill="FFFFFF"/>
            <w:noWrap w:val="0"/>
            <w:vAlign w:val="center"/>
          </w:tcPr>
          <w:p w14:paraId="12151FB5">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子目综合单价组成明细</w:t>
            </w:r>
          </w:p>
        </w:tc>
      </w:tr>
      <w:tr w14:paraId="6D6B7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20" w:type="dxa"/>
            <w:vMerge w:val="restart"/>
            <w:shd w:val="clear" w:color="000000" w:fill="FFFFFF"/>
            <w:noWrap w:val="0"/>
            <w:vAlign w:val="center"/>
          </w:tcPr>
          <w:p w14:paraId="2FECB3C4">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序号</w:t>
            </w:r>
          </w:p>
        </w:tc>
        <w:tc>
          <w:tcPr>
            <w:tcW w:w="3023" w:type="dxa"/>
            <w:gridSpan w:val="4"/>
            <w:vMerge w:val="restart"/>
            <w:shd w:val="clear" w:color="000000" w:fill="FFFFFF"/>
            <w:noWrap w:val="0"/>
            <w:vAlign w:val="center"/>
          </w:tcPr>
          <w:p w14:paraId="18CCB1FF">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名称及规格、型号</w:t>
            </w:r>
          </w:p>
        </w:tc>
        <w:tc>
          <w:tcPr>
            <w:tcW w:w="594" w:type="dxa"/>
            <w:gridSpan w:val="3"/>
            <w:vMerge w:val="restart"/>
            <w:shd w:val="clear" w:color="000000" w:fill="FFFFFF"/>
            <w:noWrap w:val="0"/>
            <w:vAlign w:val="center"/>
          </w:tcPr>
          <w:p w14:paraId="10F30462">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单位</w:t>
            </w:r>
          </w:p>
        </w:tc>
        <w:tc>
          <w:tcPr>
            <w:tcW w:w="886" w:type="dxa"/>
            <w:gridSpan w:val="2"/>
            <w:vMerge w:val="restart"/>
            <w:shd w:val="clear" w:color="000000" w:fill="FFFFFF"/>
            <w:noWrap w:val="0"/>
            <w:vAlign w:val="center"/>
          </w:tcPr>
          <w:p w14:paraId="416EFF00">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数量</w:t>
            </w:r>
          </w:p>
        </w:tc>
        <w:tc>
          <w:tcPr>
            <w:tcW w:w="940" w:type="dxa"/>
            <w:gridSpan w:val="3"/>
            <w:vMerge w:val="restart"/>
            <w:shd w:val="clear" w:color="000000" w:fill="FFFFFF"/>
            <w:noWrap w:val="0"/>
            <w:vAlign w:val="center"/>
          </w:tcPr>
          <w:p w14:paraId="3021AD7F">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rPr>
              <w:t>单价</w:t>
            </w:r>
          </w:p>
          <w:p w14:paraId="1F00BA1A">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（元）</w:t>
            </w:r>
          </w:p>
        </w:tc>
        <w:tc>
          <w:tcPr>
            <w:tcW w:w="1100" w:type="dxa"/>
            <w:gridSpan w:val="2"/>
            <w:shd w:val="clear" w:color="000000" w:fill="FFFFFF"/>
            <w:noWrap w:val="0"/>
            <w:vAlign w:val="center"/>
          </w:tcPr>
          <w:p w14:paraId="12324EE2">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其中</w:t>
            </w:r>
          </w:p>
        </w:tc>
        <w:tc>
          <w:tcPr>
            <w:tcW w:w="1060" w:type="dxa"/>
            <w:vMerge w:val="restart"/>
            <w:shd w:val="clear" w:color="000000" w:fill="FFFFFF"/>
            <w:noWrap w:val="0"/>
            <w:vAlign w:val="center"/>
          </w:tcPr>
          <w:p w14:paraId="471C38B5">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合价(元)</w:t>
            </w:r>
          </w:p>
        </w:tc>
        <w:tc>
          <w:tcPr>
            <w:tcW w:w="1160" w:type="dxa"/>
            <w:shd w:val="clear" w:color="000000" w:fill="FFFFFF"/>
            <w:noWrap w:val="0"/>
            <w:vAlign w:val="center"/>
          </w:tcPr>
          <w:p w14:paraId="168FA9B6">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其中</w:t>
            </w:r>
          </w:p>
        </w:tc>
      </w:tr>
      <w:tr w14:paraId="1B604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20" w:type="dxa"/>
            <w:vMerge w:val="continue"/>
            <w:shd w:val="clear" w:color="auto" w:fill="auto"/>
            <w:noWrap w:val="0"/>
            <w:vAlign w:val="center"/>
          </w:tcPr>
          <w:p w14:paraId="5A2CB5B2">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18"/>
                <w:szCs w:val="18"/>
                <w:highlight w:val="none"/>
              </w:rPr>
            </w:pPr>
          </w:p>
        </w:tc>
        <w:tc>
          <w:tcPr>
            <w:tcW w:w="3023" w:type="dxa"/>
            <w:gridSpan w:val="4"/>
            <w:vMerge w:val="continue"/>
            <w:shd w:val="clear" w:color="auto" w:fill="auto"/>
            <w:noWrap w:val="0"/>
            <w:vAlign w:val="center"/>
          </w:tcPr>
          <w:p w14:paraId="6BED0AD6">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18"/>
                <w:szCs w:val="18"/>
                <w:highlight w:val="none"/>
              </w:rPr>
            </w:pPr>
          </w:p>
        </w:tc>
        <w:tc>
          <w:tcPr>
            <w:tcW w:w="594" w:type="dxa"/>
            <w:gridSpan w:val="3"/>
            <w:vMerge w:val="continue"/>
            <w:shd w:val="clear" w:color="auto" w:fill="auto"/>
            <w:noWrap w:val="0"/>
            <w:vAlign w:val="center"/>
          </w:tcPr>
          <w:p w14:paraId="023DD130">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18"/>
                <w:szCs w:val="18"/>
                <w:highlight w:val="none"/>
              </w:rPr>
            </w:pPr>
          </w:p>
        </w:tc>
        <w:tc>
          <w:tcPr>
            <w:tcW w:w="886" w:type="dxa"/>
            <w:gridSpan w:val="2"/>
            <w:vMerge w:val="continue"/>
            <w:shd w:val="clear" w:color="auto" w:fill="auto"/>
            <w:noWrap w:val="0"/>
            <w:vAlign w:val="center"/>
          </w:tcPr>
          <w:p w14:paraId="750DE336">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18"/>
                <w:szCs w:val="18"/>
                <w:highlight w:val="none"/>
              </w:rPr>
            </w:pPr>
          </w:p>
        </w:tc>
        <w:tc>
          <w:tcPr>
            <w:tcW w:w="940" w:type="dxa"/>
            <w:gridSpan w:val="3"/>
            <w:vMerge w:val="continue"/>
            <w:shd w:val="clear" w:color="auto" w:fill="auto"/>
            <w:noWrap w:val="0"/>
            <w:vAlign w:val="center"/>
          </w:tcPr>
          <w:p w14:paraId="7928B75A">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18"/>
                <w:szCs w:val="18"/>
                <w:highlight w:val="none"/>
              </w:rPr>
            </w:pPr>
          </w:p>
        </w:tc>
        <w:tc>
          <w:tcPr>
            <w:tcW w:w="1100" w:type="dxa"/>
            <w:gridSpan w:val="2"/>
            <w:shd w:val="clear" w:color="000000" w:fill="FFFFFF"/>
            <w:noWrap w:val="0"/>
            <w:vAlign w:val="center"/>
          </w:tcPr>
          <w:p w14:paraId="53BBD4F8">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rPr>
              <w:t>暂估单价</w:t>
            </w:r>
          </w:p>
          <w:p w14:paraId="62196A67">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（元）</w:t>
            </w:r>
          </w:p>
        </w:tc>
        <w:tc>
          <w:tcPr>
            <w:tcW w:w="1060" w:type="dxa"/>
            <w:vMerge w:val="continue"/>
            <w:shd w:val="clear" w:color="auto" w:fill="auto"/>
            <w:noWrap w:val="0"/>
            <w:vAlign w:val="center"/>
          </w:tcPr>
          <w:p w14:paraId="0525A300">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18"/>
                <w:szCs w:val="18"/>
                <w:highlight w:val="none"/>
              </w:rPr>
            </w:pPr>
          </w:p>
        </w:tc>
        <w:tc>
          <w:tcPr>
            <w:tcW w:w="1160" w:type="dxa"/>
            <w:shd w:val="clear" w:color="000000" w:fill="FFFFFF"/>
            <w:noWrap w:val="0"/>
            <w:vAlign w:val="center"/>
          </w:tcPr>
          <w:p w14:paraId="2251DCFA">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rPr>
              <w:t>暂估合价</w:t>
            </w:r>
          </w:p>
          <w:p w14:paraId="28A246CF">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（元）</w:t>
            </w:r>
          </w:p>
        </w:tc>
      </w:tr>
      <w:tr w14:paraId="663E7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20" w:type="dxa"/>
            <w:vMerge w:val="restart"/>
            <w:shd w:val="clear" w:color="000000" w:fill="FFFFFF"/>
            <w:noWrap w:val="0"/>
            <w:vAlign w:val="center"/>
          </w:tcPr>
          <w:p w14:paraId="5E5B5002">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822" w:type="dxa"/>
            <w:shd w:val="clear" w:color="000000" w:fill="FFFFFF"/>
            <w:noWrap w:val="0"/>
            <w:vAlign w:val="center"/>
          </w:tcPr>
          <w:p w14:paraId="2EA48B2C">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lang w:eastAsia="zh-CN"/>
              </w:rPr>
              <w:t>人工</w:t>
            </w:r>
          </w:p>
        </w:tc>
        <w:tc>
          <w:tcPr>
            <w:tcW w:w="2201" w:type="dxa"/>
            <w:gridSpan w:val="3"/>
            <w:shd w:val="clear" w:color="000000" w:fill="FFFFFF"/>
            <w:noWrap w:val="0"/>
            <w:vAlign w:val="center"/>
          </w:tcPr>
          <w:p w14:paraId="5730719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rPr>
            </w:pPr>
          </w:p>
        </w:tc>
        <w:tc>
          <w:tcPr>
            <w:tcW w:w="594" w:type="dxa"/>
            <w:gridSpan w:val="3"/>
            <w:shd w:val="clear" w:color="000000" w:fill="FFFFFF"/>
            <w:noWrap w:val="0"/>
            <w:vAlign w:val="center"/>
          </w:tcPr>
          <w:p w14:paraId="0846516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rPr>
            </w:pPr>
          </w:p>
        </w:tc>
        <w:tc>
          <w:tcPr>
            <w:tcW w:w="886" w:type="dxa"/>
            <w:gridSpan w:val="2"/>
            <w:shd w:val="clear" w:color="000000" w:fill="FFFFFF"/>
            <w:noWrap w:val="0"/>
            <w:vAlign w:val="center"/>
          </w:tcPr>
          <w:p w14:paraId="2AF5DE4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rPr>
            </w:pPr>
          </w:p>
        </w:tc>
        <w:tc>
          <w:tcPr>
            <w:tcW w:w="939" w:type="dxa"/>
            <w:gridSpan w:val="2"/>
            <w:shd w:val="clear" w:color="000000" w:fill="FFFFFF"/>
            <w:noWrap w:val="0"/>
            <w:vAlign w:val="center"/>
          </w:tcPr>
          <w:p w14:paraId="00945A8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rPr>
            </w:pPr>
          </w:p>
        </w:tc>
        <w:tc>
          <w:tcPr>
            <w:tcW w:w="1101" w:type="dxa"/>
            <w:gridSpan w:val="3"/>
            <w:shd w:val="clear" w:color="000000" w:fill="FFFFFF"/>
            <w:noWrap w:val="0"/>
            <w:vAlign w:val="center"/>
          </w:tcPr>
          <w:p w14:paraId="3A6E7C1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w:t>
            </w:r>
          </w:p>
        </w:tc>
        <w:tc>
          <w:tcPr>
            <w:tcW w:w="1060" w:type="dxa"/>
            <w:shd w:val="clear" w:color="000000" w:fill="FFFFFF"/>
            <w:noWrap/>
            <w:vAlign w:val="center"/>
          </w:tcPr>
          <w:p w14:paraId="191369FD">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auto"/>
                <w:kern w:val="0"/>
                <w:sz w:val="18"/>
                <w:szCs w:val="18"/>
                <w:highlight w:val="none"/>
              </w:rPr>
            </w:pPr>
          </w:p>
        </w:tc>
        <w:tc>
          <w:tcPr>
            <w:tcW w:w="1160" w:type="dxa"/>
            <w:shd w:val="clear" w:color="000000" w:fill="FFFFFF"/>
            <w:noWrap w:val="0"/>
            <w:vAlign w:val="center"/>
          </w:tcPr>
          <w:p w14:paraId="6818D3A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w:t>
            </w:r>
          </w:p>
        </w:tc>
      </w:tr>
      <w:tr w14:paraId="47078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20" w:type="dxa"/>
            <w:vMerge w:val="continue"/>
            <w:shd w:val="clear" w:color="000000" w:fill="FFFFFF"/>
            <w:noWrap w:val="0"/>
            <w:vAlign w:val="center"/>
          </w:tcPr>
          <w:p w14:paraId="605B6E9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rPr>
            </w:pPr>
          </w:p>
        </w:tc>
        <w:tc>
          <w:tcPr>
            <w:tcW w:w="6543" w:type="dxa"/>
            <w:gridSpan w:val="14"/>
            <w:shd w:val="clear" w:color="000000" w:fill="FFFFFF"/>
            <w:noWrap w:val="0"/>
            <w:vAlign w:val="center"/>
          </w:tcPr>
          <w:p w14:paraId="1E805BE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人工费小计</w:t>
            </w:r>
          </w:p>
        </w:tc>
        <w:tc>
          <w:tcPr>
            <w:tcW w:w="1060" w:type="dxa"/>
            <w:shd w:val="clear" w:color="000000" w:fill="FFFFFF"/>
            <w:noWrap/>
            <w:vAlign w:val="center"/>
          </w:tcPr>
          <w:p w14:paraId="68733641">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60" w:type="dxa"/>
            <w:shd w:val="clear" w:color="000000" w:fill="FFFFFF"/>
            <w:noWrap w:val="0"/>
            <w:vAlign w:val="center"/>
          </w:tcPr>
          <w:p w14:paraId="7543525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rPr>
            </w:pPr>
          </w:p>
        </w:tc>
      </w:tr>
      <w:tr w14:paraId="7C2C4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820" w:type="dxa"/>
            <w:vMerge w:val="restart"/>
            <w:shd w:val="clear" w:color="000000" w:fill="FFFFFF"/>
            <w:noWrap w:val="0"/>
            <w:vAlign w:val="center"/>
          </w:tcPr>
          <w:p w14:paraId="5B6BAE0E">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w:t>
            </w:r>
          </w:p>
        </w:tc>
        <w:tc>
          <w:tcPr>
            <w:tcW w:w="849" w:type="dxa"/>
            <w:gridSpan w:val="3"/>
            <w:shd w:val="clear" w:color="000000" w:fill="FFFFFF"/>
            <w:noWrap w:val="0"/>
            <w:vAlign w:val="center"/>
          </w:tcPr>
          <w:p w14:paraId="216558A9">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材料（工程设备）</w:t>
            </w:r>
          </w:p>
        </w:tc>
        <w:tc>
          <w:tcPr>
            <w:tcW w:w="2193" w:type="dxa"/>
            <w:gridSpan w:val="2"/>
            <w:shd w:val="clear" w:color="000000" w:fill="FFFFFF"/>
            <w:noWrap w:val="0"/>
            <w:vAlign w:val="center"/>
          </w:tcPr>
          <w:p w14:paraId="17E95DC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rPr>
            </w:pPr>
          </w:p>
        </w:tc>
        <w:tc>
          <w:tcPr>
            <w:tcW w:w="575" w:type="dxa"/>
            <w:gridSpan w:val="2"/>
            <w:shd w:val="clear" w:color="000000" w:fill="FFFFFF"/>
            <w:noWrap w:val="0"/>
            <w:vAlign w:val="center"/>
          </w:tcPr>
          <w:p w14:paraId="795EBA5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rPr>
            </w:pPr>
          </w:p>
        </w:tc>
        <w:tc>
          <w:tcPr>
            <w:tcW w:w="886" w:type="dxa"/>
            <w:gridSpan w:val="2"/>
            <w:shd w:val="clear" w:color="000000" w:fill="FFFFFF"/>
            <w:noWrap w:val="0"/>
            <w:vAlign w:val="center"/>
          </w:tcPr>
          <w:p w14:paraId="4CED7A8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rPr>
            </w:pPr>
          </w:p>
        </w:tc>
        <w:tc>
          <w:tcPr>
            <w:tcW w:w="968" w:type="dxa"/>
            <w:gridSpan w:val="4"/>
            <w:shd w:val="clear" w:color="000000" w:fill="FFFFFF"/>
            <w:noWrap w:val="0"/>
            <w:vAlign w:val="center"/>
          </w:tcPr>
          <w:p w14:paraId="11E29AC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rPr>
            </w:pPr>
          </w:p>
        </w:tc>
        <w:tc>
          <w:tcPr>
            <w:tcW w:w="1072" w:type="dxa"/>
            <w:shd w:val="clear" w:color="000000" w:fill="FFFFFF"/>
            <w:noWrap w:val="0"/>
            <w:vAlign w:val="center"/>
          </w:tcPr>
          <w:p w14:paraId="27ECC0D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rPr>
            </w:pPr>
          </w:p>
        </w:tc>
        <w:tc>
          <w:tcPr>
            <w:tcW w:w="1060" w:type="dxa"/>
            <w:shd w:val="clear" w:color="000000" w:fill="FFFFFF"/>
            <w:noWrap/>
            <w:vAlign w:val="center"/>
          </w:tcPr>
          <w:p w14:paraId="635BEC5E">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60" w:type="dxa"/>
            <w:shd w:val="clear" w:color="000000" w:fill="FFFFFF"/>
            <w:noWrap w:val="0"/>
            <w:vAlign w:val="center"/>
          </w:tcPr>
          <w:p w14:paraId="07D3214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rPr>
            </w:pPr>
          </w:p>
        </w:tc>
      </w:tr>
      <w:tr w14:paraId="2ECA5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20" w:type="dxa"/>
            <w:vMerge w:val="continue"/>
            <w:shd w:val="clear" w:color="000000" w:fill="FFFFFF"/>
            <w:noWrap w:val="0"/>
            <w:vAlign w:val="center"/>
          </w:tcPr>
          <w:p w14:paraId="1AEC94A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rPr>
            </w:pPr>
          </w:p>
        </w:tc>
        <w:tc>
          <w:tcPr>
            <w:tcW w:w="6543" w:type="dxa"/>
            <w:gridSpan w:val="14"/>
            <w:shd w:val="clear" w:color="000000" w:fill="FFFFFF"/>
            <w:noWrap w:val="0"/>
            <w:vAlign w:val="center"/>
          </w:tcPr>
          <w:p w14:paraId="2970FE5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材料（工程设备）费小计</w:t>
            </w:r>
          </w:p>
        </w:tc>
        <w:tc>
          <w:tcPr>
            <w:tcW w:w="1060" w:type="dxa"/>
            <w:shd w:val="clear" w:color="000000" w:fill="FFFFFF"/>
            <w:noWrap/>
            <w:vAlign w:val="center"/>
          </w:tcPr>
          <w:p w14:paraId="6AD427CE">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auto"/>
                <w:kern w:val="0"/>
                <w:sz w:val="18"/>
                <w:szCs w:val="18"/>
                <w:highlight w:val="none"/>
              </w:rPr>
            </w:pPr>
          </w:p>
        </w:tc>
        <w:tc>
          <w:tcPr>
            <w:tcW w:w="1160" w:type="dxa"/>
            <w:shd w:val="clear" w:color="000000" w:fill="FFFFFF"/>
            <w:noWrap w:val="0"/>
            <w:vAlign w:val="center"/>
          </w:tcPr>
          <w:p w14:paraId="5B1DE11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rPr>
            </w:pPr>
          </w:p>
        </w:tc>
      </w:tr>
      <w:tr w14:paraId="7CC97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820" w:type="dxa"/>
            <w:vMerge w:val="restart"/>
            <w:shd w:val="clear" w:color="000000" w:fill="FFFFFF"/>
            <w:noWrap w:val="0"/>
            <w:vAlign w:val="center"/>
          </w:tcPr>
          <w:p w14:paraId="70013671">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w:t>
            </w:r>
          </w:p>
        </w:tc>
        <w:tc>
          <w:tcPr>
            <w:tcW w:w="830" w:type="dxa"/>
            <w:gridSpan w:val="2"/>
            <w:shd w:val="clear" w:color="000000" w:fill="FFFFFF"/>
            <w:noWrap w:val="0"/>
            <w:vAlign w:val="center"/>
          </w:tcPr>
          <w:p w14:paraId="2B9E3809">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lang w:eastAsia="zh-CN"/>
              </w:rPr>
              <w:t>机械</w:t>
            </w:r>
          </w:p>
        </w:tc>
        <w:tc>
          <w:tcPr>
            <w:tcW w:w="2222" w:type="dxa"/>
            <w:gridSpan w:val="4"/>
            <w:shd w:val="clear" w:color="000000" w:fill="FFFFFF"/>
            <w:noWrap w:val="0"/>
            <w:vAlign w:val="center"/>
          </w:tcPr>
          <w:p w14:paraId="69A5905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rPr>
            </w:pPr>
          </w:p>
        </w:tc>
        <w:tc>
          <w:tcPr>
            <w:tcW w:w="581" w:type="dxa"/>
            <w:gridSpan w:val="2"/>
            <w:shd w:val="clear" w:color="000000" w:fill="FFFFFF"/>
            <w:noWrap w:val="0"/>
            <w:vAlign w:val="center"/>
          </w:tcPr>
          <w:p w14:paraId="11856EA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rPr>
            </w:pPr>
          </w:p>
        </w:tc>
        <w:tc>
          <w:tcPr>
            <w:tcW w:w="891" w:type="dxa"/>
            <w:gridSpan w:val="2"/>
            <w:shd w:val="clear" w:color="000000" w:fill="FFFFFF"/>
            <w:noWrap w:val="0"/>
            <w:vAlign w:val="center"/>
          </w:tcPr>
          <w:p w14:paraId="5BB27A2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rPr>
            </w:pPr>
          </w:p>
        </w:tc>
        <w:tc>
          <w:tcPr>
            <w:tcW w:w="947" w:type="dxa"/>
            <w:gridSpan w:val="3"/>
            <w:shd w:val="clear" w:color="000000" w:fill="FFFFFF"/>
            <w:noWrap w:val="0"/>
            <w:vAlign w:val="center"/>
          </w:tcPr>
          <w:p w14:paraId="418AE80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rPr>
            </w:pPr>
          </w:p>
        </w:tc>
        <w:tc>
          <w:tcPr>
            <w:tcW w:w="1072" w:type="dxa"/>
            <w:shd w:val="clear" w:color="000000" w:fill="FFFFFF"/>
            <w:noWrap w:val="0"/>
            <w:vAlign w:val="center"/>
          </w:tcPr>
          <w:p w14:paraId="38640BA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w:t>
            </w:r>
          </w:p>
        </w:tc>
        <w:tc>
          <w:tcPr>
            <w:tcW w:w="1060" w:type="dxa"/>
            <w:shd w:val="clear" w:color="000000" w:fill="FFFFFF"/>
            <w:noWrap/>
            <w:vAlign w:val="center"/>
          </w:tcPr>
          <w:p w14:paraId="7973CE05">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60" w:type="dxa"/>
            <w:shd w:val="clear" w:color="000000" w:fill="FFFFFF"/>
            <w:noWrap w:val="0"/>
            <w:vAlign w:val="center"/>
          </w:tcPr>
          <w:p w14:paraId="37281A1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w:t>
            </w:r>
          </w:p>
        </w:tc>
      </w:tr>
      <w:tr w14:paraId="1219A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820" w:type="dxa"/>
            <w:vMerge w:val="continue"/>
            <w:shd w:val="clear" w:color="000000" w:fill="FFFFFF"/>
            <w:noWrap w:val="0"/>
            <w:vAlign w:val="center"/>
          </w:tcPr>
          <w:p w14:paraId="2A39CD1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rPr>
            </w:pPr>
          </w:p>
        </w:tc>
        <w:tc>
          <w:tcPr>
            <w:tcW w:w="6543" w:type="dxa"/>
            <w:gridSpan w:val="14"/>
            <w:shd w:val="clear" w:color="000000" w:fill="FFFFFF"/>
            <w:noWrap w:val="0"/>
            <w:vAlign w:val="center"/>
          </w:tcPr>
          <w:p w14:paraId="72C5319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机械费小计</w:t>
            </w:r>
          </w:p>
        </w:tc>
        <w:tc>
          <w:tcPr>
            <w:tcW w:w="1060" w:type="dxa"/>
            <w:shd w:val="clear" w:color="000000" w:fill="FFFFFF"/>
            <w:noWrap/>
            <w:vAlign w:val="center"/>
          </w:tcPr>
          <w:p w14:paraId="2CBC0961">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auto"/>
                <w:kern w:val="0"/>
                <w:sz w:val="18"/>
                <w:szCs w:val="18"/>
                <w:highlight w:val="none"/>
              </w:rPr>
            </w:pPr>
          </w:p>
        </w:tc>
        <w:tc>
          <w:tcPr>
            <w:tcW w:w="1160" w:type="dxa"/>
            <w:shd w:val="clear" w:color="000000" w:fill="FFFFFF"/>
            <w:noWrap w:val="0"/>
            <w:vAlign w:val="bottom"/>
          </w:tcPr>
          <w:p w14:paraId="5102F753">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18"/>
                <w:szCs w:val="18"/>
                <w:highlight w:val="none"/>
              </w:rPr>
            </w:pPr>
          </w:p>
        </w:tc>
      </w:tr>
      <w:tr w14:paraId="6B410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20" w:type="dxa"/>
            <w:shd w:val="clear" w:color="000000" w:fill="FFFFFF"/>
            <w:noWrap w:val="0"/>
            <w:vAlign w:val="center"/>
          </w:tcPr>
          <w:p w14:paraId="2AB3B8A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4</w:t>
            </w:r>
          </w:p>
        </w:tc>
        <w:tc>
          <w:tcPr>
            <w:tcW w:w="6543" w:type="dxa"/>
            <w:gridSpan w:val="14"/>
            <w:shd w:val="clear" w:color="000000" w:fill="FFFFFF"/>
            <w:noWrap w:val="0"/>
            <w:vAlign w:val="center"/>
          </w:tcPr>
          <w:p w14:paraId="131A1AC8">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工料机费用合计(1+2+3)</w:t>
            </w:r>
          </w:p>
        </w:tc>
        <w:tc>
          <w:tcPr>
            <w:tcW w:w="1060" w:type="dxa"/>
            <w:shd w:val="clear" w:color="000000" w:fill="FFFFFF"/>
            <w:noWrap/>
            <w:vAlign w:val="center"/>
          </w:tcPr>
          <w:p w14:paraId="4D735818">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60" w:type="dxa"/>
            <w:shd w:val="clear" w:color="000000" w:fill="FFFFFF"/>
            <w:noWrap w:val="0"/>
            <w:vAlign w:val="center"/>
          </w:tcPr>
          <w:p w14:paraId="61124E2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rPr>
            </w:pPr>
          </w:p>
        </w:tc>
      </w:tr>
      <w:tr w14:paraId="2812A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20" w:type="dxa"/>
            <w:shd w:val="clear" w:color="000000" w:fill="FFFFFF"/>
            <w:noWrap w:val="0"/>
            <w:vAlign w:val="center"/>
          </w:tcPr>
          <w:p w14:paraId="6BA9AE8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w:t>
            </w:r>
          </w:p>
        </w:tc>
        <w:tc>
          <w:tcPr>
            <w:tcW w:w="6543" w:type="dxa"/>
            <w:gridSpan w:val="14"/>
            <w:shd w:val="clear" w:color="000000" w:fill="FFFFFF"/>
            <w:noWrap w:val="0"/>
            <w:vAlign w:val="center"/>
          </w:tcPr>
          <w:p w14:paraId="66763626">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管理费（人工费+机械费）×  %</w:t>
            </w:r>
          </w:p>
        </w:tc>
        <w:tc>
          <w:tcPr>
            <w:tcW w:w="1060" w:type="dxa"/>
            <w:shd w:val="clear" w:color="000000" w:fill="FFFFFF"/>
            <w:noWrap/>
            <w:vAlign w:val="center"/>
          </w:tcPr>
          <w:p w14:paraId="055E934C">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60" w:type="dxa"/>
            <w:shd w:val="clear" w:color="000000" w:fill="FFFFFF"/>
            <w:noWrap w:val="0"/>
            <w:vAlign w:val="center"/>
          </w:tcPr>
          <w:p w14:paraId="4FE2499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r>
      <w:tr w14:paraId="55770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20" w:type="dxa"/>
            <w:shd w:val="clear" w:color="000000" w:fill="FFFFFF"/>
            <w:noWrap w:val="0"/>
            <w:vAlign w:val="center"/>
          </w:tcPr>
          <w:p w14:paraId="55A8A94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6</w:t>
            </w:r>
          </w:p>
        </w:tc>
        <w:tc>
          <w:tcPr>
            <w:tcW w:w="6543" w:type="dxa"/>
            <w:gridSpan w:val="14"/>
            <w:shd w:val="clear" w:color="000000" w:fill="FFFFFF"/>
            <w:noWrap w:val="0"/>
            <w:vAlign w:val="center"/>
          </w:tcPr>
          <w:p w14:paraId="10F1D20C">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利润（人工费+机械费）× %</w:t>
            </w:r>
          </w:p>
        </w:tc>
        <w:tc>
          <w:tcPr>
            <w:tcW w:w="1060" w:type="dxa"/>
            <w:shd w:val="clear" w:color="000000" w:fill="FFFFFF"/>
            <w:noWrap/>
            <w:vAlign w:val="center"/>
          </w:tcPr>
          <w:p w14:paraId="0004B0B0">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60" w:type="dxa"/>
            <w:shd w:val="clear" w:color="000000" w:fill="FFFFFF"/>
            <w:noWrap w:val="0"/>
            <w:vAlign w:val="center"/>
          </w:tcPr>
          <w:p w14:paraId="44B60C3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r>
      <w:tr w14:paraId="5D586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20" w:type="dxa"/>
            <w:shd w:val="clear" w:color="000000" w:fill="FFFFFF"/>
            <w:noWrap w:val="0"/>
            <w:vAlign w:val="center"/>
          </w:tcPr>
          <w:p w14:paraId="4CF59FE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7</w:t>
            </w:r>
          </w:p>
        </w:tc>
        <w:tc>
          <w:tcPr>
            <w:tcW w:w="6543" w:type="dxa"/>
            <w:gridSpan w:val="14"/>
            <w:shd w:val="clear" w:color="000000" w:fill="FFFFFF"/>
            <w:noWrap w:val="0"/>
            <w:vAlign w:val="center"/>
          </w:tcPr>
          <w:p w14:paraId="304D90C7">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综合单价(4+5+6)</w:t>
            </w:r>
          </w:p>
        </w:tc>
        <w:tc>
          <w:tcPr>
            <w:tcW w:w="1060" w:type="dxa"/>
            <w:shd w:val="clear" w:color="000000" w:fill="FFFFFF"/>
            <w:noWrap/>
            <w:vAlign w:val="center"/>
          </w:tcPr>
          <w:p w14:paraId="19815C98">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60" w:type="dxa"/>
            <w:shd w:val="clear" w:color="000000" w:fill="FFFFFF"/>
            <w:noWrap w:val="0"/>
            <w:vAlign w:val="center"/>
          </w:tcPr>
          <w:p w14:paraId="0A066E7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r>
    </w:tbl>
    <w:p w14:paraId="11FEF46C">
      <w:pPr>
        <w:spacing w:line="300" w:lineRule="auto"/>
        <w:jc w:val="center"/>
        <w:rPr>
          <w:rFonts w:hint="eastAsia" w:ascii="宋体" w:hAnsi="宋体" w:eastAsia="宋体" w:cs="宋体"/>
          <w:b/>
          <w:bCs/>
          <w:color w:val="auto"/>
          <w:sz w:val="28"/>
          <w:highlight w:val="none"/>
        </w:rPr>
        <w:sectPr>
          <w:pgSz w:w="11906" w:h="16838"/>
          <w:pgMar w:top="1440" w:right="1077" w:bottom="1440" w:left="1077" w:header="737" w:footer="737" w:gutter="340"/>
          <w:pgBorders>
            <w:top w:val="none" w:sz="0" w:space="0"/>
            <w:left w:val="none" w:sz="0" w:space="0"/>
            <w:bottom w:val="none" w:sz="0" w:space="0"/>
            <w:right w:val="none" w:sz="0" w:space="0"/>
          </w:pgBorders>
          <w:pgNumType w:fmt="decimal"/>
          <w:cols w:space="720" w:num="1"/>
          <w:docGrid w:linePitch="245" w:charSpace="-3687"/>
        </w:sectPr>
      </w:pPr>
    </w:p>
    <w:tbl>
      <w:tblPr>
        <w:tblStyle w:val="24"/>
        <w:tblW w:w="9744" w:type="dxa"/>
        <w:tblInd w:w="91" w:type="dxa"/>
        <w:tblLayout w:type="fixed"/>
        <w:tblCellMar>
          <w:top w:w="0" w:type="dxa"/>
          <w:left w:w="108" w:type="dxa"/>
          <w:bottom w:w="0" w:type="dxa"/>
          <w:right w:w="108" w:type="dxa"/>
        </w:tblCellMar>
      </w:tblPr>
      <w:tblGrid>
        <w:gridCol w:w="740"/>
        <w:gridCol w:w="1580"/>
        <w:gridCol w:w="2340"/>
        <w:gridCol w:w="2020"/>
        <w:gridCol w:w="820"/>
        <w:gridCol w:w="1304"/>
        <w:gridCol w:w="940"/>
      </w:tblGrid>
      <w:tr w14:paraId="6EF7E9D9">
        <w:tblPrEx>
          <w:tblCellMar>
            <w:top w:w="0" w:type="dxa"/>
            <w:left w:w="108" w:type="dxa"/>
            <w:bottom w:w="0" w:type="dxa"/>
            <w:right w:w="108" w:type="dxa"/>
          </w:tblCellMar>
        </w:tblPrEx>
        <w:trPr>
          <w:trHeight w:val="579" w:hRule="atLeast"/>
        </w:trPr>
        <w:tc>
          <w:tcPr>
            <w:tcW w:w="9744" w:type="dxa"/>
            <w:gridSpan w:val="7"/>
            <w:tcBorders>
              <w:top w:val="nil"/>
              <w:left w:val="nil"/>
              <w:bottom w:val="nil"/>
              <w:right w:val="nil"/>
            </w:tcBorders>
            <w:shd w:val="clear" w:color="000000" w:fill="FFFFFF"/>
            <w:noWrap w:val="0"/>
            <w:vAlign w:val="center"/>
          </w:tcPr>
          <w:p w14:paraId="47D40DAD">
            <w:pPr>
              <w:widowControl/>
              <w:jc w:val="center"/>
              <w:rPr>
                <w:rFonts w:hint="eastAsia" w:ascii="宋体" w:hAnsi="宋体" w:eastAsia="宋体" w:cs="宋体"/>
                <w:b/>
                <w:bCs/>
                <w:color w:val="auto"/>
                <w:kern w:val="0"/>
                <w:sz w:val="32"/>
                <w:szCs w:val="32"/>
                <w:highlight w:val="none"/>
              </w:rPr>
            </w:pPr>
          </w:p>
          <w:p w14:paraId="32859272">
            <w:pPr>
              <w:widowControl/>
              <w:jc w:val="center"/>
              <w:rPr>
                <w:rFonts w:hint="eastAsia" w:ascii="宋体" w:hAnsi="宋体" w:eastAsia="宋体" w:cs="宋体"/>
                <w:b/>
                <w:bCs/>
                <w:color w:val="auto"/>
                <w:kern w:val="0"/>
                <w:sz w:val="40"/>
                <w:szCs w:val="40"/>
                <w:highlight w:val="none"/>
              </w:rPr>
            </w:pPr>
            <w:r>
              <w:rPr>
                <w:rFonts w:hint="eastAsia" w:ascii="宋体" w:hAnsi="宋体" w:eastAsia="宋体" w:cs="宋体"/>
                <w:b/>
                <w:bCs/>
                <w:color w:val="auto"/>
                <w:kern w:val="0"/>
                <w:sz w:val="32"/>
                <w:szCs w:val="32"/>
                <w:highlight w:val="none"/>
              </w:rPr>
              <w:t>施工组织（总价）措施项目清单与计价表</w:t>
            </w:r>
          </w:p>
        </w:tc>
      </w:tr>
      <w:tr w14:paraId="661F212F">
        <w:tblPrEx>
          <w:tblCellMar>
            <w:top w:w="0" w:type="dxa"/>
            <w:left w:w="108" w:type="dxa"/>
            <w:bottom w:w="0" w:type="dxa"/>
            <w:right w:w="108" w:type="dxa"/>
          </w:tblCellMar>
        </w:tblPrEx>
        <w:trPr>
          <w:trHeight w:val="435" w:hRule="atLeast"/>
        </w:trPr>
        <w:tc>
          <w:tcPr>
            <w:tcW w:w="4660" w:type="dxa"/>
            <w:gridSpan w:val="3"/>
            <w:tcBorders>
              <w:top w:val="nil"/>
              <w:left w:val="nil"/>
              <w:bottom w:val="nil"/>
              <w:right w:val="nil"/>
            </w:tcBorders>
            <w:shd w:val="clear" w:color="000000" w:fill="FFFFFF"/>
            <w:noWrap w:val="0"/>
            <w:vAlign w:val="bottom"/>
          </w:tcPr>
          <w:p w14:paraId="2BF7F3A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工程名称: </w:t>
            </w:r>
          </w:p>
        </w:tc>
        <w:tc>
          <w:tcPr>
            <w:tcW w:w="2020" w:type="dxa"/>
            <w:tcBorders>
              <w:top w:val="nil"/>
              <w:left w:val="nil"/>
              <w:bottom w:val="nil"/>
              <w:right w:val="nil"/>
            </w:tcBorders>
            <w:shd w:val="clear" w:color="000000" w:fill="FFFFFF"/>
            <w:noWrap w:val="0"/>
            <w:vAlign w:val="bottom"/>
          </w:tcPr>
          <w:p w14:paraId="4D70A71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标段:</w:t>
            </w:r>
          </w:p>
        </w:tc>
        <w:tc>
          <w:tcPr>
            <w:tcW w:w="3064" w:type="dxa"/>
            <w:gridSpan w:val="3"/>
            <w:tcBorders>
              <w:top w:val="nil"/>
              <w:left w:val="nil"/>
              <w:bottom w:val="nil"/>
              <w:right w:val="nil"/>
            </w:tcBorders>
            <w:shd w:val="clear" w:color="000000" w:fill="FFFFFF"/>
            <w:noWrap w:val="0"/>
            <w:vAlign w:val="bottom"/>
          </w:tcPr>
          <w:p w14:paraId="006886DE">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第 页 共 </w:t>
            </w:r>
            <w:r>
              <w:rPr>
                <w:rFonts w:hint="eastAsia" w:ascii="宋体" w:hAnsi="宋体" w:eastAsia="宋体" w:cs="宋体"/>
                <w:color w:val="auto"/>
                <w:kern w:val="0"/>
                <w:sz w:val="18"/>
                <w:szCs w:val="18"/>
                <w:highlight w:val="none"/>
                <w:lang w:val="en-US" w:eastAsia="zh-CN"/>
              </w:rPr>
              <w:t xml:space="preserve"> </w:t>
            </w:r>
            <w:r>
              <w:rPr>
                <w:rFonts w:hint="eastAsia" w:ascii="宋体" w:hAnsi="宋体" w:eastAsia="宋体" w:cs="宋体"/>
                <w:color w:val="auto"/>
                <w:kern w:val="0"/>
                <w:sz w:val="18"/>
                <w:szCs w:val="18"/>
                <w:highlight w:val="none"/>
              </w:rPr>
              <w:t>页</w:t>
            </w:r>
          </w:p>
        </w:tc>
      </w:tr>
      <w:tr w14:paraId="5C8A6898">
        <w:tblPrEx>
          <w:tblCellMar>
            <w:top w:w="0" w:type="dxa"/>
            <w:left w:w="108" w:type="dxa"/>
            <w:bottom w:w="0" w:type="dxa"/>
            <w:right w:w="108" w:type="dxa"/>
          </w:tblCellMar>
        </w:tblPrEx>
        <w:trPr>
          <w:trHeight w:val="598" w:hRule="atLeast"/>
        </w:trPr>
        <w:tc>
          <w:tcPr>
            <w:tcW w:w="740" w:type="dxa"/>
            <w:tcBorders>
              <w:top w:val="single" w:color="000000" w:sz="4" w:space="0"/>
              <w:left w:val="single" w:color="000000" w:sz="4" w:space="0"/>
              <w:bottom w:val="nil"/>
              <w:right w:val="nil"/>
            </w:tcBorders>
            <w:shd w:val="clear" w:color="000000" w:fill="FFFFFF"/>
            <w:noWrap w:val="0"/>
            <w:vAlign w:val="center"/>
          </w:tcPr>
          <w:p w14:paraId="458D5D1F">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序号</w:t>
            </w:r>
          </w:p>
        </w:tc>
        <w:tc>
          <w:tcPr>
            <w:tcW w:w="1580" w:type="dxa"/>
            <w:tcBorders>
              <w:top w:val="single" w:color="000000" w:sz="4" w:space="0"/>
              <w:left w:val="single" w:color="000000" w:sz="4" w:space="0"/>
              <w:bottom w:val="nil"/>
              <w:right w:val="nil"/>
            </w:tcBorders>
            <w:shd w:val="clear" w:color="000000" w:fill="FFFFFF"/>
            <w:noWrap w:val="0"/>
            <w:vAlign w:val="center"/>
          </w:tcPr>
          <w:p w14:paraId="491F55E9">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项目编号</w:t>
            </w:r>
          </w:p>
        </w:tc>
        <w:tc>
          <w:tcPr>
            <w:tcW w:w="2340" w:type="dxa"/>
            <w:tcBorders>
              <w:top w:val="single" w:color="000000" w:sz="4" w:space="0"/>
              <w:left w:val="single" w:color="000000" w:sz="4" w:space="0"/>
              <w:bottom w:val="nil"/>
              <w:right w:val="nil"/>
            </w:tcBorders>
            <w:shd w:val="clear" w:color="000000" w:fill="FFFFFF"/>
            <w:noWrap w:val="0"/>
            <w:vAlign w:val="center"/>
          </w:tcPr>
          <w:p w14:paraId="1A176298">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项目名称</w:t>
            </w:r>
          </w:p>
        </w:tc>
        <w:tc>
          <w:tcPr>
            <w:tcW w:w="2020" w:type="dxa"/>
            <w:tcBorders>
              <w:top w:val="single" w:color="000000" w:sz="4" w:space="0"/>
              <w:left w:val="single" w:color="000000" w:sz="4" w:space="0"/>
              <w:bottom w:val="nil"/>
              <w:right w:val="nil"/>
            </w:tcBorders>
            <w:shd w:val="clear" w:color="000000" w:fill="FFFFFF"/>
            <w:noWrap w:val="0"/>
            <w:vAlign w:val="center"/>
          </w:tcPr>
          <w:p w14:paraId="4AC06A6C">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计算基础</w:t>
            </w:r>
          </w:p>
        </w:tc>
        <w:tc>
          <w:tcPr>
            <w:tcW w:w="820" w:type="dxa"/>
            <w:tcBorders>
              <w:top w:val="single" w:color="000000" w:sz="4" w:space="0"/>
              <w:left w:val="single" w:color="000000" w:sz="4" w:space="0"/>
              <w:bottom w:val="nil"/>
              <w:right w:val="nil"/>
            </w:tcBorders>
            <w:shd w:val="clear" w:color="000000" w:fill="FFFFFF"/>
            <w:noWrap w:val="0"/>
            <w:vAlign w:val="center"/>
          </w:tcPr>
          <w:p w14:paraId="2B5B0E25">
            <w:pPr>
              <w:widowControl/>
              <w:ind w:left="0" w:leftChars="0" w:firstLine="0" w:firstLineChars="0"/>
              <w:jc w:val="both"/>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rPr>
              <w:t>费率</w:t>
            </w:r>
          </w:p>
          <w:p w14:paraId="1E7C8DA6">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1304" w:type="dxa"/>
            <w:tcBorders>
              <w:top w:val="single" w:color="000000" w:sz="4" w:space="0"/>
              <w:left w:val="single" w:color="000000" w:sz="4" w:space="0"/>
              <w:bottom w:val="nil"/>
              <w:right w:val="nil"/>
            </w:tcBorders>
            <w:shd w:val="clear" w:color="000000" w:fill="FFFFFF"/>
            <w:noWrap w:val="0"/>
            <w:vAlign w:val="center"/>
          </w:tcPr>
          <w:p w14:paraId="6DFDC9B1">
            <w:pPr>
              <w:widowControl/>
              <w:ind w:left="0" w:leftChars="0" w:firstLine="0" w:firstLineChars="0"/>
              <w:jc w:val="both"/>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rPr>
              <w:t>金额</w:t>
            </w:r>
          </w:p>
          <w:p w14:paraId="5465E803">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(元)</w:t>
            </w:r>
          </w:p>
        </w:tc>
        <w:tc>
          <w:tcPr>
            <w:tcW w:w="940" w:type="dxa"/>
            <w:tcBorders>
              <w:top w:val="single" w:color="000000" w:sz="4" w:space="0"/>
              <w:left w:val="single" w:color="000000" w:sz="4" w:space="0"/>
              <w:bottom w:val="nil"/>
              <w:right w:val="single" w:color="000000" w:sz="4" w:space="0"/>
            </w:tcBorders>
            <w:shd w:val="clear" w:color="000000" w:fill="FFFFFF"/>
            <w:noWrap w:val="0"/>
            <w:vAlign w:val="center"/>
          </w:tcPr>
          <w:p w14:paraId="6A9AD412">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备注</w:t>
            </w:r>
          </w:p>
        </w:tc>
      </w:tr>
      <w:tr w14:paraId="34D73FB3">
        <w:tblPrEx>
          <w:tblCellMar>
            <w:top w:w="0" w:type="dxa"/>
            <w:left w:w="108" w:type="dxa"/>
            <w:bottom w:w="0" w:type="dxa"/>
            <w:right w:w="108" w:type="dxa"/>
          </w:tblCellMar>
        </w:tblPrEx>
        <w:trPr>
          <w:trHeight w:val="454" w:hRule="exact"/>
        </w:trPr>
        <w:tc>
          <w:tcPr>
            <w:tcW w:w="740" w:type="dxa"/>
            <w:tcBorders>
              <w:top w:val="single" w:color="000000" w:sz="4" w:space="0"/>
              <w:left w:val="single" w:color="000000" w:sz="4" w:space="0"/>
              <w:bottom w:val="nil"/>
              <w:right w:val="nil"/>
            </w:tcBorders>
            <w:shd w:val="clear" w:color="000000" w:fill="FFFFFF"/>
            <w:noWrap w:val="0"/>
            <w:vAlign w:val="center"/>
          </w:tcPr>
          <w:p w14:paraId="2B5205CA">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1580" w:type="dxa"/>
            <w:tcBorders>
              <w:top w:val="single" w:color="000000" w:sz="4" w:space="0"/>
              <w:left w:val="single" w:color="000000" w:sz="4" w:space="0"/>
              <w:bottom w:val="nil"/>
              <w:right w:val="nil"/>
            </w:tcBorders>
            <w:shd w:val="clear" w:color="000000" w:fill="FFFFFF"/>
            <w:noWrap w:val="0"/>
            <w:vAlign w:val="center"/>
          </w:tcPr>
          <w:p w14:paraId="3D89FD6E">
            <w:pPr>
              <w:widowControl/>
              <w:jc w:val="left"/>
              <w:rPr>
                <w:rFonts w:hint="eastAsia" w:ascii="宋体" w:hAnsi="宋体" w:eastAsia="宋体" w:cs="宋体"/>
                <w:color w:val="auto"/>
                <w:kern w:val="0"/>
                <w:sz w:val="18"/>
                <w:szCs w:val="18"/>
                <w:highlight w:val="none"/>
              </w:rPr>
            </w:pPr>
          </w:p>
        </w:tc>
        <w:tc>
          <w:tcPr>
            <w:tcW w:w="2340" w:type="dxa"/>
            <w:tcBorders>
              <w:top w:val="single" w:color="000000" w:sz="4" w:space="0"/>
              <w:left w:val="single" w:color="000000" w:sz="4" w:space="0"/>
              <w:bottom w:val="nil"/>
              <w:right w:val="nil"/>
            </w:tcBorders>
            <w:shd w:val="clear" w:color="000000" w:fill="FFFFFF"/>
            <w:noWrap w:val="0"/>
            <w:vAlign w:val="center"/>
          </w:tcPr>
          <w:p w14:paraId="240EAA9C">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安全文明施工费</w:t>
            </w:r>
          </w:p>
        </w:tc>
        <w:tc>
          <w:tcPr>
            <w:tcW w:w="2020" w:type="dxa"/>
            <w:tcBorders>
              <w:top w:val="single" w:color="000000" w:sz="4" w:space="0"/>
              <w:left w:val="single" w:color="000000" w:sz="4" w:space="0"/>
              <w:bottom w:val="nil"/>
              <w:right w:val="nil"/>
            </w:tcBorders>
            <w:shd w:val="clear" w:color="000000" w:fill="FFFFFF"/>
            <w:noWrap w:val="0"/>
            <w:vAlign w:val="center"/>
          </w:tcPr>
          <w:p w14:paraId="3DC2EE71">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20" w:type="dxa"/>
            <w:tcBorders>
              <w:top w:val="single" w:color="000000" w:sz="4" w:space="0"/>
              <w:left w:val="single" w:color="000000" w:sz="4" w:space="0"/>
              <w:bottom w:val="nil"/>
              <w:right w:val="nil"/>
            </w:tcBorders>
            <w:shd w:val="clear" w:color="000000" w:fill="FFFFFF"/>
            <w:noWrap w:val="0"/>
            <w:vAlign w:val="center"/>
          </w:tcPr>
          <w:p w14:paraId="6CD16298">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304" w:type="dxa"/>
            <w:tcBorders>
              <w:top w:val="single" w:color="000000" w:sz="4" w:space="0"/>
              <w:left w:val="single" w:color="000000" w:sz="4" w:space="0"/>
              <w:bottom w:val="nil"/>
              <w:right w:val="nil"/>
            </w:tcBorders>
            <w:shd w:val="clear" w:color="000000" w:fill="FFFFFF"/>
            <w:noWrap/>
            <w:vAlign w:val="center"/>
          </w:tcPr>
          <w:p w14:paraId="4DE55027">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40" w:type="dxa"/>
            <w:tcBorders>
              <w:top w:val="single" w:color="000000" w:sz="4" w:space="0"/>
              <w:left w:val="single" w:color="000000" w:sz="4" w:space="0"/>
              <w:bottom w:val="nil"/>
              <w:right w:val="single" w:color="000000" w:sz="4" w:space="0"/>
            </w:tcBorders>
            <w:shd w:val="clear" w:color="000000" w:fill="FFFFFF"/>
            <w:noWrap w:val="0"/>
            <w:vAlign w:val="center"/>
          </w:tcPr>
          <w:p w14:paraId="6D3B2587">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7E542748">
        <w:tblPrEx>
          <w:tblCellMar>
            <w:top w:w="0" w:type="dxa"/>
            <w:left w:w="108" w:type="dxa"/>
            <w:bottom w:w="0" w:type="dxa"/>
            <w:right w:w="108" w:type="dxa"/>
          </w:tblCellMar>
        </w:tblPrEx>
        <w:trPr>
          <w:trHeight w:val="454" w:hRule="exact"/>
        </w:trPr>
        <w:tc>
          <w:tcPr>
            <w:tcW w:w="740" w:type="dxa"/>
            <w:tcBorders>
              <w:top w:val="single" w:color="000000" w:sz="4" w:space="0"/>
              <w:left w:val="single" w:color="000000" w:sz="4" w:space="0"/>
              <w:bottom w:val="nil"/>
              <w:right w:val="nil"/>
            </w:tcBorders>
            <w:shd w:val="clear" w:color="000000" w:fill="FFFFFF"/>
            <w:noWrap w:val="0"/>
            <w:vAlign w:val="center"/>
          </w:tcPr>
          <w:p w14:paraId="2D17EA9C">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1.1</w:t>
            </w:r>
          </w:p>
        </w:tc>
        <w:tc>
          <w:tcPr>
            <w:tcW w:w="1580" w:type="dxa"/>
            <w:tcBorders>
              <w:top w:val="single" w:color="000000" w:sz="4" w:space="0"/>
              <w:left w:val="single" w:color="000000" w:sz="4" w:space="0"/>
              <w:bottom w:val="nil"/>
              <w:right w:val="nil"/>
            </w:tcBorders>
            <w:shd w:val="clear" w:color="000000" w:fill="FFFFFF"/>
            <w:noWrap w:val="0"/>
            <w:vAlign w:val="center"/>
          </w:tcPr>
          <w:p w14:paraId="201703D9">
            <w:pPr>
              <w:widowControl/>
              <w:jc w:val="left"/>
              <w:rPr>
                <w:rFonts w:hint="eastAsia" w:ascii="宋体" w:hAnsi="宋体" w:eastAsia="宋体" w:cs="宋体"/>
                <w:color w:val="auto"/>
                <w:kern w:val="0"/>
                <w:sz w:val="18"/>
                <w:szCs w:val="18"/>
                <w:highlight w:val="none"/>
              </w:rPr>
            </w:pPr>
          </w:p>
        </w:tc>
        <w:tc>
          <w:tcPr>
            <w:tcW w:w="2340" w:type="dxa"/>
            <w:tcBorders>
              <w:top w:val="single" w:color="000000" w:sz="4" w:space="0"/>
              <w:left w:val="single" w:color="000000" w:sz="4" w:space="0"/>
              <w:bottom w:val="nil"/>
              <w:right w:val="nil"/>
            </w:tcBorders>
            <w:shd w:val="clear" w:color="000000" w:fill="FFFFFF"/>
            <w:noWrap w:val="0"/>
            <w:vAlign w:val="center"/>
          </w:tcPr>
          <w:p w14:paraId="0DF46A67">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安全文明施工基本费</w:t>
            </w:r>
          </w:p>
        </w:tc>
        <w:tc>
          <w:tcPr>
            <w:tcW w:w="2020" w:type="dxa"/>
            <w:tcBorders>
              <w:top w:val="single" w:color="000000" w:sz="4" w:space="0"/>
              <w:left w:val="single" w:color="000000" w:sz="4" w:space="0"/>
              <w:bottom w:val="nil"/>
              <w:right w:val="nil"/>
            </w:tcBorders>
            <w:shd w:val="clear" w:color="000000" w:fill="FFFFFF"/>
            <w:noWrap w:val="0"/>
            <w:vAlign w:val="center"/>
          </w:tcPr>
          <w:p w14:paraId="594C776B">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人工费+机械费</w:t>
            </w:r>
          </w:p>
        </w:tc>
        <w:tc>
          <w:tcPr>
            <w:tcW w:w="820" w:type="dxa"/>
            <w:tcBorders>
              <w:top w:val="single" w:color="000000" w:sz="4" w:space="0"/>
              <w:left w:val="single" w:color="000000" w:sz="4" w:space="0"/>
              <w:bottom w:val="nil"/>
              <w:right w:val="nil"/>
            </w:tcBorders>
            <w:shd w:val="clear" w:color="000000" w:fill="FFFFFF"/>
            <w:noWrap w:val="0"/>
            <w:vAlign w:val="bottom"/>
          </w:tcPr>
          <w:p w14:paraId="246493FA">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304" w:type="dxa"/>
            <w:tcBorders>
              <w:top w:val="single" w:color="000000" w:sz="4" w:space="0"/>
              <w:left w:val="single" w:color="000000" w:sz="4" w:space="0"/>
              <w:bottom w:val="nil"/>
              <w:right w:val="nil"/>
            </w:tcBorders>
            <w:shd w:val="clear" w:color="000000" w:fill="FFFFFF"/>
            <w:noWrap/>
            <w:vAlign w:val="center"/>
          </w:tcPr>
          <w:p w14:paraId="5980CDAF">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40" w:type="dxa"/>
            <w:tcBorders>
              <w:top w:val="single" w:color="000000" w:sz="4" w:space="0"/>
              <w:left w:val="single" w:color="000000" w:sz="4" w:space="0"/>
              <w:bottom w:val="nil"/>
              <w:right w:val="single" w:color="000000" w:sz="4" w:space="0"/>
            </w:tcBorders>
            <w:shd w:val="clear" w:color="000000" w:fill="FFFFFF"/>
            <w:noWrap w:val="0"/>
            <w:vAlign w:val="center"/>
          </w:tcPr>
          <w:p w14:paraId="254A676A">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47F358BD">
        <w:tblPrEx>
          <w:tblCellMar>
            <w:top w:w="0" w:type="dxa"/>
            <w:left w:w="108" w:type="dxa"/>
            <w:bottom w:w="0" w:type="dxa"/>
            <w:right w:w="108" w:type="dxa"/>
          </w:tblCellMar>
        </w:tblPrEx>
        <w:trPr>
          <w:trHeight w:val="454" w:hRule="exact"/>
        </w:trPr>
        <w:tc>
          <w:tcPr>
            <w:tcW w:w="740" w:type="dxa"/>
            <w:tcBorders>
              <w:top w:val="single" w:color="000000" w:sz="4" w:space="0"/>
              <w:left w:val="single" w:color="000000" w:sz="4" w:space="0"/>
              <w:bottom w:val="nil"/>
              <w:right w:val="nil"/>
            </w:tcBorders>
            <w:shd w:val="clear" w:color="000000" w:fill="FFFFFF"/>
            <w:noWrap w:val="0"/>
            <w:vAlign w:val="center"/>
          </w:tcPr>
          <w:p w14:paraId="67E95EEF">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w:t>
            </w:r>
          </w:p>
        </w:tc>
        <w:tc>
          <w:tcPr>
            <w:tcW w:w="1580" w:type="dxa"/>
            <w:tcBorders>
              <w:top w:val="single" w:color="000000" w:sz="4" w:space="0"/>
              <w:left w:val="single" w:color="000000" w:sz="4" w:space="0"/>
              <w:bottom w:val="nil"/>
              <w:right w:val="nil"/>
            </w:tcBorders>
            <w:shd w:val="clear" w:color="000000" w:fill="FFFFFF"/>
            <w:noWrap w:val="0"/>
            <w:vAlign w:val="center"/>
          </w:tcPr>
          <w:p w14:paraId="0E16DD5D">
            <w:pPr>
              <w:widowControl/>
              <w:jc w:val="left"/>
              <w:rPr>
                <w:rFonts w:hint="eastAsia" w:ascii="宋体" w:hAnsi="宋体" w:eastAsia="宋体" w:cs="宋体"/>
                <w:color w:val="auto"/>
                <w:kern w:val="0"/>
                <w:sz w:val="18"/>
                <w:szCs w:val="18"/>
                <w:highlight w:val="none"/>
              </w:rPr>
            </w:pPr>
          </w:p>
        </w:tc>
        <w:tc>
          <w:tcPr>
            <w:tcW w:w="2340" w:type="dxa"/>
            <w:tcBorders>
              <w:top w:val="single" w:color="000000" w:sz="4" w:space="0"/>
              <w:left w:val="single" w:color="000000" w:sz="4" w:space="0"/>
              <w:bottom w:val="nil"/>
              <w:right w:val="nil"/>
            </w:tcBorders>
            <w:shd w:val="clear" w:color="000000" w:fill="FFFFFF"/>
            <w:noWrap w:val="0"/>
            <w:vAlign w:val="center"/>
          </w:tcPr>
          <w:p w14:paraId="3132CF06">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提前竣工增加费</w:t>
            </w:r>
          </w:p>
        </w:tc>
        <w:tc>
          <w:tcPr>
            <w:tcW w:w="2020" w:type="dxa"/>
            <w:tcBorders>
              <w:top w:val="single" w:color="000000" w:sz="4" w:space="0"/>
              <w:left w:val="single" w:color="000000" w:sz="4" w:space="0"/>
              <w:bottom w:val="nil"/>
              <w:right w:val="nil"/>
            </w:tcBorders>
            <w:shd w:val="clear" w:color="000000" w:fill="FFFFFF"/>
            <w:noWrap w:val="0"/>
            <w:vAlign w:val="center"/>
          </w:tcPr>
          <w:p w14:paraId="168395A1">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人工费+机械费</w:t>
            </w:r>
          </w:p>
        </w:tc>
        <w:tc>
          <w:tcPr>
            <w:tcW w:w="820" w:type="dxa"/>
            <w:tcBorders>
              <w:top w:val="single" w:color="000000" w:sz="4" w:space="0"/>
              <w:left w:val="single" w:color="000000" w:sz="4" w:space="0"/>
              <w:bottom w:val="nil"/>
              <w:right w:val="nil"/>
            </w:tcBorders>
            <w:shd w:val="clear" w:color="000000" w:fill="FFFFFF"/>
            <w:noWrap w:val="0"/>
            <w:vAlign w:val="center"/>
          </w:tcPr>
          <w:p w14:paraId="732629CD">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304" w:type="dxa"/>
            <w:tcBorders>
              <w:top w:val="single" w:color="000000" w:sz="4" w:space="0"/>
              <w:left w:val="single" w:color="000000" w:sz="4" w:space="0"/>
              <w:bottom w:val="nil"/>
              <w:right w:val="nil"/>
            </w:tcBorders>
            <w:shd w:val="clear" w:color="000000" w:fill="FFFFFF"/>
            <w:noWrap/>
            <w:vAlign w:val="center"/>
          </w:tcPr>
          <w:p w14:paraId="7E172D6F">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40" w:type="dxa"/>
            <w:tcBorders>
              <w:top w:val="single" w:color="000000" w:sz="4" w:space="0"/>
              <w:left w:val="single" w:color="000000" w:sz="4" w:space="0"/>
              <w:bottom w:val="nil"/>
              <w:right w:val="single" w:color="000000" w:sz="4" w:space="0"/>
            </w:tcBorders>
            <w:shd w:val="clear" w:color="000000" w:fill="FFFFFF"/>
            <w:noWrap w:val="0"/>
            <w:vAlign w:val="center"/>
          </w:tcPr>
          <w:p w14:paraId="21542870">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438AA3CA">
        <w:tblPrEx>
          <w:tblCellMar>
            <w:top w:w="0" w:type="dxa"/>
            <w:left w:w="108" w:type="dxa"/>
            <w:bottom w:w="0" w:type="dxa"/>
            <w:right w:w="108" w:type="dxa"/>
          </w:tblCellMar>
        </w:tblPrEx>
        <w:trPr>
          <w:trHeight w:val="454" w:hRule="exact"/>
        </w:trPr>
        <w:tc>
          <w:tcPr>
            <w:tcW w:w="740" w:type="dxa"/>
            <w:tcBorders>
              <w:top w:val="single" w:color="000000" w:sz="4" w:space="0"/>
              <w:left w:val="single" w:color="000000" w:sz="4" w:space="0"/>
              <w:bottom w:val="nil"/>
              <w:right w:val="nil"/>
            </w:tcBorders>
            <w:shd w:val="clear" w:color="000000" w:fill="FFFFFF"/>
            <w:noWrap w:val="0"/>
            <w:vAlign w:val="center"/>
          </w:tcPr>
          <w:p w14:paraId="6AF02F21">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w:t>
            </w:r>
          </w:p>
        </w:tc>
        <w:tc>
          <w:tcPr>
            <w:tcW w:w="1580" w:type="dxa"/>
            <w:tcBorders>
              <w:top w:val="single" w:color="000000" w:sz="4" w:space="0"/>
              <w:left w:val="single" w:color="000000" w:sz="4" w:space="0"/>
              <w:bottom w:val="nil"/>
              <w:right w:val="nil"/>
            </w:tcBorders>
            <w:shd w:val="clear" w:color="000000" w:fill="FFFFFF"/>
            <w:noWrap w:val="0"/>
            <w:vAlign w:val="center"/>
          </w:tcPr>
          <w:p w14:paraId="399B64B9">
            <w:pPr>
              <w:widowControl/>
              <w:jc w:val="left"/>
              <w:rPr>
                <w:rFonts w:hint="eastAsia" w:ascii="宋体" w:hAnsi="宋体" w:eastAsia="宋体" w:cs="宋体"/>
                <w:color w:val="auto"/>
                <w:kern w:val="0"/>
                <w:sz w:val="18"/>
                <w:szCs w:val="18"/>
                <w:highlight w:val="none"/>
              </w:rPr>
            </w:pPr>
          </w:p>
        </w:tc>
        <w:tc>
          <w:tcPr>
            <w:tcW w:w="2340" w:type="dxa"/>
            <w:tcBorders>
              <w:top w:val="single" w:color="000000" w:sz="4" w:space="0"/>
              <w:left w:val="single" w:color="000000" w:sz="4" w:space="0"/>
              <w:bottom w:val="nil"/>
              <w:right w:val="nil"/>
            </w:tcBorders>
            <w:shd w:val="clear" w:color="000000" w:fill="FFFFFF"/>
            <w:noWrap w:val="0"/>
            <w:vAlign w:val="center"/>
          </w:tcPr>
          <w:p w14:paraId="3F825E37">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二次搬运费</w:t>
            </w:r>
          </w:p>
        </w:tc>
        <w:tc>
          <w:tcPr>
            <w:tcW w:w="2020" w:type="dxa"/>
            <w:tcBorders>
              <w:top w:val="single" w:color="000000" w:sz="4" w:space="0"/>
              <w:left w:val="single" w:color="000000" w:sz="4" w:space="0"/>
              <w:bottom w:val="nil"/>
              <w:right w:val="nil"/>
            </w:tcBorders>
            <w:shd w:val="clear" w:color="000000" w:fill="FFFFFF"/>
            <w:noWrap w:val="0"/>
            <w:vAlign w:val="center"/>
          </w:tcPr>
          <w:p w14:paraId="34DFA331">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人工费+机械费</w:t>
            </w:r>
          </w:p>
        </w:tc>
        <w:tc>
          <w:tcPr>
            <w:tcW w:w="820" w:type="dxa"/>
            <w:tcBorders>
              <w:top w:val="single" w:color="000000" w:sz="4" w:space="0"/>
              <w:left w:val="single" w:color="000000" w:sz="4" w:space="0"/>
              <w:bottom w:val="nil"/>
              <w:right w:val="nil"/>
            </w:tcBorders>
            <w:shd w:val="clear" w:color="000000" w:fill="FFFFFF"/>
            <w:noWrap w:val="0"/>
            <w:vAlign w:val="center"/>
          </w:tcPr>
          <w:p w14:paraId="29BD05EF">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304" w:type="dxa"/>
            <w:tcBorders>
              <w:top w:val="single" w:color="000000" w:sz="4" w:space="0"/>
              <w:left w:val="single" w:color="000000" w:sz="4" w:space="0"/>
              <w:bottom w:val="nil"/>
              <w:right w:val="nil"/>
            </w:tcBorders>
            <w:shd w:val="clear" w:color="000000" w:fill="FFFFFF"/>
            <w:noWrap/>
            <w:vAlign w:val="center"/>
          </w:tcPr>
          <w:p w14:paraId="414367D1">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40" w:type="dxa"/>
            <w:tcBorders>
              <w:top w:val="single" w:color="000000" w:sz="4" w:space="0"/>
              <w:left w:val="single" w:color="000000" w:sz="4" w:space="0"/>
              <w:bottom w:val="nil"/>
              <w:right w:val="single" w:color="000000" w:sz="4" w:space="0"/>
            </w:tcBorders>
            <w:shd w:val="clear" w:color="000000" w:fill="FFFFFF"/>
            <w:noWrap w:val="0"/>
            <w:vAlign w:val="center"/>
          </w:tcPr>
          <w:p w14:paraId="14878498">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336677C8">
        <w:tblPrEx>
          <w:tblCellMar>
            <w:top w:w="0" w:type="dxa"/>
            <w:left w:w="108" w:type="dxa"/>
            <w:bottom w:w="0" w:type="dxa"/>
            <w:right w:w="108" w:type="dxa"/>
          </w:tblCellMar>
        </w:tblPrEx>
        <w:trPr>
          <w:trHeight w:val="454" w:hRule="exact"/>
        </w:trPr>
        <w:tc>
          <w:tcPr>
            <w:tcW w:w="740" w:type="dxa"/>
            <w:tcBorders>
              <w:top w:val="single" w:color="000000" w:sz="4" w:space="0"/>
              <w:left w:val="single" w:color="000000" w:sz="4" w:space="0"/>
              <w:bottom w:val="nil"/>
              <w:right w:val="nil"/>
            </w:tcBorders>
            <w:shd w:val="clear" w:color="000000" w:fill="FFFFFF"/>
            <w:noWrap w:val="0"/>
            <w:vAlign w:val="center"/>
          </w:tcPr>
          <w:p w14:paraId="794F777B">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4</w:t>
            </w:r>
          </w:p>
        </w:tc>
        <w:tc>
          <w:tcPr>
            <w:tcW w:w="1580" w:type="dxa"/>
            <w:tcBorders>
              <w:top w:val="single" w:color="000000" w:sz="4" w:space="0"/>
              <w:left w:val="single" w:color="000000" w:sz="4" w:space="0"/>
              <w:bottom w:val="nil"/>
              <w:right w:val="nil"/>
            </w:tcBorders>
            <w:shd w:val="clear" w:color="000000" w:fill="FFFFFF"/>
            <w:noWrap w:val="0"/>
            <w:vAlign w:val="center"/>
          </w:tcPr>
          <w:p w14:paraId="522AD3BF">
            <w:pPr>
              <w:widowControl/>
              <w:jc w:val="left"/>
              <w:rPr>
                <w:rFonts w:hint="eastAsia" w:ascii="宋体" w:hAnsi="宋体" w:eastAsia="宋体" w:cs="宋体"/>
                <w:color w:val="auto"/>
                <w:kern w:val="0"/>
                <w:sz w:val="18"/>
                <w:szCs w:val="18"/>
                <w:highlight w:val="none"/>
              </w:rPr>
            </w:pPr>
          </w:p>
        </w:tc>
        <w:tc>
          <w:tcPr>
            <w:tcW w:w="2340" w:type="dxa"/>
            <w:tcBorders>
              <w:top w:val="single" w:color="000000" w:sz="4" w:space="0"/>
              <w:left w:val="single" w:color="000000" w:sz="4" w:space="0"/>
              <w:bottom w:val="nil"/>
              <w:right w:val="nil"/>
            </w:tcBorders>
            <w:shd w:val="clear" w:color="000000" w:fill="FFFFFF"/>
            <w:noWrap w:val="0"/>
            <w:vAlign w:val="center"/>
          </w:tcPr>
          <w:p w14:paraId="306C1B61">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冬雨季施工增加费</w:t>
            </w:r>
          </w:p>
        </w:tc>
        <w:tc>
          <w:tcPr>
            <w:tcW w:w="2020" w:type="dxa"/>
            <w:tcBorders>
              <w:top w:val="single" w:color="000000" w:sz="4" w:space="0"/>
              <w:left w:val="single" w:color="000000" w:sz="4" w:space="0"/>
              <w:bottom w:val="nil"/>
              <w:right w:val="nil"/>
            </w:tcBorders>
            <w:shd w:val="clear" w:color="000000" w:fill="FFFFFF"/>
            <w:noWrap w:val="0"/>
            <w:vAlign w:val="center"/>
          </w:tcPr>
          <w:p w14:paraId="69C9C633">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人工费+机械费</w:t>
            </w:r>
          </w:p>
        </w:tc>
        <w:tc>
          <w:tcPr>
            <w:tcW w:w="820" w:type="dxa"/>
            <w:tcBorders>
              <w:top w:val="single" w:color="000000" w:sz="4" w:space="0"/>
              <w:left w:val="single" w:color="000000" w:sz="4" w:space="0"/>
              <w:bottom w:val="nil"/>
              <w:right w:val="nil"/>
            </w:tcBorders>
            <w:shd w:val="clear" w:color="000000" w:fill="FFFFFF"/>
            <w:noWrap w:val="0"/>
            <w:vAlign w:val="center"/>
          </w:tcPr>
          <w:p w14:paraId="1DCD5EF5">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304" w:type="dxa"/>
            <w:tcBorders>
              <w:top w:val="single" w:color="000000" w:sz="4" w:space="0"/>
              <w:left w:val="single" w:color="000000" w:sz="4" w:space="0"/>
              <w:bottom w:val="nil"/>
              <w:right w:val="nil"/>
            </w:tcBorders>
            <w:shd w:val="clear" w:color="000000" w:fill="FFFFFF"/>
            <w:noWrap/>
            <w:vAlign w:val="center"/>
          </w:tcPr>
          <w:p w14:paraId="74E67F5D">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40" w:type="dxa"/>
            <w:tcBorders>
              <w:top w:val="single" w:color="000000" w:sz="4" w:space="0"/>
              <w:left w:val="single" w:color="000000" w:sz="4" w:space="0"/>
              <w:bottom w:val="nil"/>
              <w:right w:val="single" w:color="000000" w:sz="4" w:space="0"/>
            </w:tcBorders>
            <w:shd w:val="clear" w:color="000000" w:fill="FFFFFF"/>
            <w:noWrap w:val="0"/>
            <w:vAlign w:val="center"/>
          </w:tcPr>
          <w:p w14:paraId="7E09B51C">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5BDA9935">
        <w:tblPrEx>
          <w:tblCellMar>
            <w:top w:w="0" w:type="dxa"/>
            <w:left w:w="108" w:type="dxa"/>
            <w:bottom w:w="0" w:type="dxa"/>
            <w:right w:w="108" w:type="dxa"/>
          </w:tblCellMar>
        </w:tblPrEx>
        <w:trPr>
          <w:trHeight w:val="454" w:hRule="exact"/>
        </w:trPr>
        <w:tc>
          <w:tcPr>
            <w:tcW w:w="740" w:type="dxa"/>
            <w:tcBorders>
              <w:top w:val="single" w:color="000000" w:sz="4" w:space="0"/>
              <w:left w:val="single" w:color="000000" w:sz="4" w:space="0"/>
              <w:bottom w:val="nil"/>
              <w:right w:val="nil"/>
            </w:tcBorders>
            <w:shd w:val="clear" w:color="000000" w:fill="FFFFFF"/>
            <w:noWrap w:val="0"/>
            <w:vAlign w:val="center"/>
          </w:tcPr>
          <w:p w14:paraId="71406E0F">
            <w:pPr>
              <w:widowControl/>
              <w:ind w:left="0" w:leftChars="0" w:firstLine="0" w:firstLineChars="0"/>
              <w:jc w:val="left"/>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5</w:t>
            </w:r>
          </w:p>
        </w:tc>
        <w:tc>
          <w:tcPr>
            <w:tcW w:w="1580" w:type="dxa"/>
            <w:tcBorders>
              <w:top w:val="single" w:color="000000" w:sz="4" w:space="0"/>
              <w:left w:val="single" w:color="000000" w:sz="4" w:space="0"/>
              <w:bottom w:val="nil"/>
              <w:right w:val="nil"/>
            </w:tcBorders>
            <w:shd w:val="clear" w:color="000000" w:fill="FFFFFF"/>
            <w:noWrap w:val="0"/>
            <w:vAlign w:val="center"/>
          </w:tcPr>
          <w:p w14:paraId="644D9600">
            <w:pPr>
              <w:widowControl/>
              <w:jc w:val="left"/>
              <w:rPr>
                <w:rFonts w:hint="eastAsia" w:ascii="宋体" w:hAnsi="宋体" w:eastAsia="宋体" w:cs="宋体"/>
                <w:color w:val="auto"/>
                <w:kern w:val="0"/>
                <w:sz w:val="18"/>
                <w:szCs w:val="18"/>
                <w:highlight w:val="none"/>
              </w:rPr>
            </w:pPr>
          </w:p>
        </w:tc>
        <w:tc>
          <w:tcPr>
            <w:tcW w:w="2340" w:type="dxa"/>
            <w:tcBorders>
              <w:top w:val="single" w:color="000000" w:sz="4" w:space="0"/>
              <w:left w:val="single" w:color="000000" w:sz="4" w:space="0"/>
              <w:bottom w:val="nil"/>
              <w:right w:val="nil"/>
            </w:tcBorders>
            <w:shd w:val="clear" w:color="000000" w:fill="FFFFFF"/>
            <w:noWrap w:val="0"/>
            <w:vAlign w:val="center"/>
          </w:tcPr>
          <w:p w14:paraId="22EDB08C">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行车、行人干扰增加费</w:t>
            </w:r>
          </w:p>
        </w:tc>
        <w:tc>
          <w:tcPr>
            <w:tcW w:w="2020" w:type="dxa"/>
            <w:tcBorders>
              <w:top w:val="single" w:color="000000" w:sz="4" w:space="0"/>
              <w:left w:val="single" w:color="000000" w:sz="4" w:space="0"/>
              <w:bottom w:val="nil"/>
              <w:right w:val="nil"/>
            </w:tcBorders>
            <w:shd w:val="clear" w:color="000000" w:fill="FFFFFF"/>
            <w:noWrap w:val="0"/>
            <w:vAlign w:val="center"/>
          </w:tcPr>
          <w:p w14:paraId="5944299C">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人工费+机械费</w:t>
            </w:r>
          </w:p>
        </w:tc>
        <w:tc>
          <w:tcPr>
            <w:tcW w:w="820" w:type="dxa"/>
            <w:tcBorders>
              <w:top w:val="single" w:color="000000" w:sz="4" w:space="0"/>
              <w:left w:val="single" w:color="000000" w:sz="4" w:space="0"/>
              <w:bottom w:val="nil"/>
              <w:right w:val="nil"/>
            </w:tcBorders>
            <w:shd w:val="clear" w:color="000000" w:fill="FFFFFF"/>
            <w:noWrap w:val="0"/>
            <w:vAlign w:val="center"/>
          </w:tcPr>
          <w:p w14:paraId="1A9537FC">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304" w:type="dxa"/>
            <w:tcBorders>
              <w:top w:val="single" w:color="000000" w:sz="4" w:space="0"/>
              <w:left w:val="single" w:color="000000" w:sz="4" w:space="0"/>
              <w:bottom w:val="nil"/>
              <w:right w:val="nil"/>
            </w:tcBorders>
            <w:shd w:val="clear" w:color="000000" w:fill="FFFFFF"/>
            <w:noWrap/>
            <w:vAlign w:val="center"/>
          </w:tcPr>
          <w:p w14:paraId="592D3F58">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40" w:type="dxa"/>
            <w:tcBorders>
              <w:top w:val="single" w:color="000000" w:sz="4" w:space="0"/>
              <w:left w:val="single" w:color="000000" w:sz="4" w:space="0"/>
              <w:bottom w:val="nil"/>
              <w:right w:val="single" w:color="000000" w:sz="4" w:space="0"/>
            </w:tcBorders>
            <w:shd w:val="clear" w:color="000000" w:fill="FFFFFF"/>
            <w:noWrap w:val="0"/>
            <w:vAlign w:val="center"/>
          </w:tcPr>
          <w:p w14:paraId="47FAC8CF">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7C15A9B9">
        <w:tblPrEx>
          <w:tblCellMar>
            <w:top w:w="0" w:type="dxa"/>
            <w:left w:w="108" w:type="dxa"/>
            <w:bottom w:w="0" w:type="dxa"/>
            <w:right w:w="108" w:type="dxa"/>
          </w:tblCellMar>
        </w:tblPrEx>
        <w:trPr>
          <w:trHeight w:val="454" w:hRule="exact"/>
        </w:trPr>
        <w:tc>
          <w:tcPr>
            <w:tcW w:w="740" w:type="dxa"/>
            <w:tcBorders>
              <w:top w:val="single" w:color="000000" w:sz="4" w:space="0"/>
              <w:left w:val="single" w:color="000000" w:sz="4" w:space="0"/>
              <w:bottom w:val="nil"/>
              <w:right w:val="nil"/>
            </w:tcBorders>
            <w:shd w:val="clear" w:color="000000" w:fill="FFFFFF"/>
            <w:noWrap w:val="0"/>
            <w:vAlign w:val="center"/>
          </w:tcPr>
          <w:p w14:paraId="2B8BFB39">
            <w:pPr>
              <w:widowControl/>
              <w:ind w:left="0" w:leftChars="0" w:firstLine="0" w:firstLineChars="0"/>
              <w:jc w:val="left"/>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lang w:val="en-US" w:eastAsia="zh-CN"/>
              </w:rPr>
              <w:t>6</w:t>
            </w:r>
          </w:p>
        </w:tc>
        <w:tc>
          <w:tcPr>
            <w:tcW w:w="1580" w:type="dxa"/>
            <w:tcBorders>
              <w:top w:val="single" w:color="000000" w:sz="4" w:space="0"/>
              <w:left w:val="single" w:color="000000" w:sz="4" w:space="0"/>
              <w:bottom w:val="nil"/>
              <w:right w:val="nil"/>
            </w:tcBorders>
            <w:shd w:val="clear" w:color="000000" w:fill="FFFFFF"/>
            <w:noWrap w:val="0"/>
            <w:vAlign w:val="center"/>
          </w:tcPr>
          <w:p w14:paraId="6B3F7A7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340" w:type="dxa"/>
            <w:tcBorders>
              <w:top w:val="single" w:color="000000" w:sz="4" w:space="0"/>
              <w:left w:val="single" w:color="000000" w:sz="4" w:space="0"/>
              <w:bottom w:val="nil"/>
              <w:right w:val="nil"/>
            </w:tcBorders>
            <w:shd w:val="clear" w:color="000000" w:fill="FFFFFF"/>
            <w:noWrap w:val="0"/>
            <w:vAlign w:val="center"/>
          </w:tcPr>
          <w:p w14:paraId="0E404D0B">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其他施工组织措施费</w:t>
            </w:r>
          </w:p>
        </w:tc>
        <w:tc>
          <w:tcPr>
            <w:tcW w:w="2020" w:type="dxa"/>
            <w:tcBorders>
              <w:top w:val="single" w:color="000000" w:sz="4" w:space="0"/>
              <w:left w:val="single" w:color="000000" w:sz="4" w:space="0"/>
              <w:bottom w:val="nil"/>
              <w:right w:val="nil"/>
            </w:tcBorders>
            <w:shd w:val="clear" w:color="000000" w:fill="FFFFFF"/>
            <w:noWrap w:val="0"/>
            <w:vAlign w:val="center"/>
          </w:tcPr>
          <w:p w14:paraId="36CC6D95">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按相关规定计算</w:t>
            </w:r>
          </w:p>
        </w:tc>
        <w:tc>
          <w:tcPr>
            <w:tcW w:w="820" w:type="dxa"/>
            <w:tcBorders>
              <w:top w:val="single" w:color="000000" w:sz="4" w:space="0"/>
              <w:left w:val="single" w:color="000000" w:sz="4" w:space="0"/>
              <w:bottom w:val="nil"/>
              <w:right w:val="nil"/>
            </w:tcBorders>
            <w:shd w:val="clear" w:color="000000" w:fill="FFFFFF"/>
            <w:noWrap w:val="0"/>
            <w:vAlign w:val="center"/>
          </w:tcPr>
          <w:p w14:paraId="3165C0C0">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304" w:type="dxa"/>
            <w:tcBorders>
              <w:top w:val="single" w:color="000000" w:sz="4" w:space="0"/>
              <w:left w:val="single" w:color="000000" w:sz="4" w:space="0"/>
              <w:bottom w:val="nil"/>
              <w:right w:val="nil"/>
            </w:tcBorders>
            <w:shd w:val="clear" w:color="000000" w:fill="FFFFFF"/>
            <w:noWrap/>
            <w:vAlign w:val="center"/>
          </w:tcPr>
          <w:p w14:paraId="20AC77BB">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40" w:type="dxa"/>
            <w:tcBorders>
              <w:top w:val="single" w:color="000000" w:sz="4" w:space="0"/>
              <w:left w:val="single" w:color="000000" w:sz="4" w:space="0"/>
              <w:bottom w:val="nil"/>
              <w:right w:val="single" w:color="000000" w:sz="4" w:space="0"/>
            </w:tcBorders>
            <w:shd w:val="clear" w:color="000000" w:fill="FFFFFF"/>
            <w:noWrap w:val="0"/>
            <w:vAlign w:val="center"/>
          </w:tcPr>
          <w:p w14:paraId="62624020">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2AFF520B">
        <w:tblPrEx>
          <w:tblCellMar>
            <w:top w:w="0" w:type="dxa"/>
            <w:left w:w="108" w:type="dxa"/>
            <w:bottom w:w="0" w:type="dxa"/>
            <w:right w:w="108" w:type="dxa"/>
          </w:tblCellMar>
        </w:tblPrEx>
        <w:trPr>
          <w:trHeight w:val="454" w:hRule="exact"/>
        </w:trPr>
        <w:tc>
          <w:tcPr>
            <w:tcW w:w="7500" w:type="dxa"/>
            <w:gridSpan w:val="5"/>
            <w:tcBorders>
              <w:top w:val="single" w:color="000000" w:sz="4" w:space="0"/>
              <w:left w:val="single" w:color="000000" w:sz="4" w:space="0"/>
              <w:bottom w:val="single" w:color="000000" w:sz="4" w:space="0"/>
              <w:right w:val="nil"/>
            </w:tcBorders>
            <w:shd w:val="clear" w:color="000000" w:fill="FFFFFF"/>
            <w:noWrap w:val="0"/>
            <w:vAlign w:val="center"/>
          </w:tcPr>
          <w:p w14:paraId="1CC54203">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合    计</w:t>
            </w:r>
          </w:p>
        </w:tc>
        <w:tc>
          <w:tcPr>
            <w:tcW w:w="1304" w:type="dxa"/>
            <w:tcBorders>
              <w:top w:val="single" w:color="000000" w:sz="4" w:space="0"/>
              <w:left w:val="single" w:color="000000" w:sz="4" w:space="0"/>
              <w:bottom w:val="single" w:color="000000" w:sz="4" w:space="0"/>
              <w:right w:val="nil"/>
            </w:tcBorders>
            <w:shd w:val="clear" w:color="000000" w:fill="FFFFFF"/>
            <w:noWrap/>
            <w:vAlign w:val="center"/>
          </w:tcPr>
          <w:p w14:paraId="7C1626B0">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4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C341F44">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bl>
    <w:p w14:paraId="284C7D9A">
      <w:pPr>
        <w:spacing w:line="300" w:lineRule="auto"/>
        <w:jc w:val="left"/>
        <w:rPr>
          <w:rFonts w:hint="eastAsia" w:ascii="宋体" w:hAnsi="宋体" w:eastAsia="宋体" w:cs="宋体"/>
          <w:b/>
          <w:color w:val="auto"/>
          <w:sz w:val="24"/>
          <w:highlight w:val="none"/>
        </w:rPr>
      </w:pPr>
    </w:p>
    <w:tbl>
      <w:tblPr>
        <w:tblStyle w:val="24"/>
        <w:tblW w:w="9733" w:type="dxa"/>
        <w:tblInd w:w="91" w:type="dxa"/>
        <w:tblLayout w:type="fixed"/>
        <w:tblCellMar>
          <w:top w:w="0" w:type="dxa"/>
          <w:left w:w="108" w:type="dxa"/>
          <w:bottom w:w="0" w:type="dxa"/>
          <w:right w:w="108" w:type="dxa"/>
        </w:tblCellMar>
      </w:tblPr>
      <w:tblGrid>
        <w:gridCol w:w="660"/>
        <w:gridCol w:w="3608"/>
        <w:gridCol w:w="2658"/>
        <w:gridCol w:w="2807"/>
      </w:tblGrid>
      <w:tr w14:paraId="685B7BDE">
        <w:tblPrEx>
          <w:tblCellMar>
            <w:top w:w="0" w:type="dxa"/>
            <w:left w:w="108" w:type="dxa"/>
            <w:bottom w:w="0" w:type="dxa"/>
            <w:right w:w="108" w:type="dxa"/>
          </w:tblCellMar>
        </w:tblPrEx>
        <w:trPr>
          <w:trHeight w:val="440" w:hRule="atLeast"/>
        </w:trPr>
        <w:tc>
          <w:tcPr>
            <w:tcW w:w="9733" w:type="dxa"/>
            <w:gridSpan w:val="4"/>
            <w:tcBorders>
              <w:top w:val="nil"/>
              <w:left w:val="nil"/>
              <w:bottom w:val="nil"/>
              <w:right w:val="nil"/>
            </w:tcBorders>
            <w:shd w:val="clear" w:color="000000" w:fill="FFFFFF"/>
            <w:noWrap w:val="0"/>
            <w:vAlign w:val="center"/>
          </w:tcPr>
          <w:p w14:paraId="46C883D8">
            <w:pPr>
              <w:widowControl/>
              <w:jc w:val="center"/>
              <w:rPr>
                <w:rFonts w:hint="eastAsia" w:ascii="宋体" w:hAnsi="宋体" w:eastAsia="宋体" w:cs="宋体"/>
                <w:b/>
                <w:bCs/>
                <w:color w:val="auto"/>
                <w:kern w:val="0"/>
                <w:sz w:val="40"/>
                <w:szCs w:val="40"/>
                <w:highlight w:val="none"/>
              </w:rPr>
            </w:pPr>
            <w:r>
              <w:rPr>
                <w:rFonts w:hint="eastAsia" w:ascii="宋体" w:hAnsi="宋体" w:eastAsia="宋体" w:cs="宋体"/>
                <w:b/>
                <w:bCs/>
                <w:color w:val="auto"/>
                <w:kern w:val="0"/>
                <w:sz w:val="32"/>
                <w:szCs w:val="32"/>
                <w:highlight w:val="none"/>
              </w:rPr>
              <w:t>其他项目清单与计价汇总表</w:t>
            </w:r>
          </w:p>
        </w:tc>
      </w:tr>
      <w:tr w14:paraId="38452C4B">
        <w:tblPrEx>
          <w:tblCellMar>
            <w:top w:w="0" w:type="dxa"/>
            <w:left w:w="108" w:type="dxa"/>
            <w:bottom w:w="0" w:type="dxa"/>
            <w:right w:w="108" w:type="dxa"/>
          </w:tblCellMar>
        </w:tblPrEx>
        <w:trPr>
          <w:trHeight w:val="435" w:hRule="atLeast"/>
        </w:trPr>
        <w:tc>
          <w:tcPr>
            <w:tcW w:w="4268" w:type="dxa"/>
            <w:gridSpan w:val="2"/>
            <w:tcBorders>
              <w:top w:val="nil"/>
              <w:left w:val="nil"/>
              <w:bottom w:val="nil"/>
              <w:right w:val="nil"/>
            </w:tcBorders>
            <w:shd w:val="clear" w:color="000000" w:fill="FFFFFF"/>
            <w:noWrap w:val="0"/>
            <w:vAlign w:val="bottom"/>
          </w:tcPr>
          <w:p w14:paraId="56D6531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工程名称: </w:t>
            </w:r>
          </w:p>
        </w:tc>
        <w:tc>
          <w:tcPr>
            <w:tcW w:w="2658" w:type="dxa"/>
            <w:tcBorders>
              <w:top w:val="nil"/>
              <w:left w:val="nil"/>
              <w:bottom w:val="nil"/>
              <w:right w:val="nil"/>
            </w:tcBorders>
            <w:shd w:val="clear" w:color="000000" w:fill="FFFFFF"/>
            <w:noWrap w:val="0"/>
            <w:vAlign w:val="bottom"/>
          </w:tcPr>
          <w:p w14:paraId="62D06CA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标段:</w:t>
            </w:r>
          </w:p>
        </w:tc>
        <w:tc>
          <w:tcPr>
            <w:tcW w:w="2807" w:type="dxa"/>
            <w:tcBorders>
              <w:top w:val="nil"/>
              <w:left w:val="nil"/>
              <w:bottom w:val="nil"/>
              <w:right w:val="nil"/>
            </w:tcBorders>
            <w:shd w:val="clear" w:color="000000" w:fill="FFFFFF"/>
            <w:noWrap w:val="0"/>
            <w:vAlign w:val="bottom"/>
          </w:tcPr>
          <w:p w14:paraId="44104F95">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第 页 共 页</w:t>
            </w:r>
          </w:p>
        </w:tc>
      </w:tr>
      <w:tr w14:paraId="4B50961B">
        <w:tblPrEx>
          <w:tblCellMar>
            <w:top w:w="0" w:type="dxa"/>
            <w:left w:w="108" w:type="dxa"/>
            <w:bottom w:w="0" w:type="dxa"/>
            <w:right w:w="108" w:type="dxa"/>
          </w:tblCellMar>
        </w:tblPrEx>
        <w:trPr>
          <w:trHeight w:val="397" w:hRule="atLeast"/>
        </w:trPr>
        <w:tc>
          <w:tcPr>
            <w:tcW w:w="660" w:type="dxa"/>
            <w:tcBorders>
              <w:top w:val="single" w:color="000000" w:sz="4" w:space="0"/>
              <w:left w:val="single" w:color="000000" w:sz="4" w:space="0"/>
              <w:bottom w:val="nil"/>
              <w:right w:val="nil"/>
            </w:tcBorders>
            <w:shd w:val="clear" w:color="000000" w:fill="FFFFFF"/>
            <w:noWrap w:val="0"/>
            <w:vAlign w:val="center"/>
          </w:tcPr>
          <w:p w14:paraId="5B0B5BB2">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序号</w:t>
            </w:r>
          </w:p>
        </w:tc>
        <w:tc>
          <w:tcPr>
            <w:tcW w:w="3608" w:type="dxa"/>
            <w:tcBorders>
              <w:top w:val="single" w:color="000000" w:sz="4" w:space="0"/>
              <w:left w:val="single" w:color="000000" w:sz="4" w:space="0"/>
              <w:bottom w:val="nil"/>
              <w:right w:val="nil"/>
            </w:tcBorders>
            <w:shd w:val="clear" w:color="000000" w:fill="FFFFFF"/>
            <w:noWrap w:val="0"/>
            <w:vAlign w:val="center"/>
          </w:tcPr>
          <w:p w14:paraId="6E3F4EDE">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项 目 名 称</w:t>
            </w:r>
          </w:p>
        </w:tc>
        <w:tc>
          <w:tcPr>
            <w:tcW w:w="2658" w:type="dxa"/>
            <w:tcBorders>
              <w:top w:val="single" w:color="000000" w:sz="4" w:space="0"/>
              <w:left w:val="single" w:color="000000" w:sz="4" w:space="0"/>
              <w:bottom w:val="nil"/>
              <w:right w:val="nil"/>
            </w:tcBorders>
            <w:shd w:val="clear" w:color="000000" w:fill="FFFFFF"/>
            <w:noWrap w:val="0"/>
            <w:vAlign w:val="center"/>
          </w:tcPr>
          <w:p w14:paraId="5B58B007">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金额(元)</w:t>
            </w:r>
          </w:p>
        </w:tc>
        <w:tc>
          <w:tcPr>
            <w:tcW w:w="2807" w:type="dxa"/>
            <w:tcBorders>
              <w:top w:val="single" w:color="000000" w:sz="4" w:space="0"/>
              <w:left w:val="single" w:color="000000" w:sz="4" w:space="0"/>
              <w:bottom w:val="nil"/>
              <w:right w:val="single" w:color="000000" w:sz="4" w:space="0"/>
            </w:tcBorders>
            <w:shd w:val="clear" w:color="000000" w:fill="FFFFFF"/>
            <w:noWrap w:val="0"/>
            <w:vAlign w:val="center"/>
          </w:tcPr>
          <w:p w14:paraId="50853D3A">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备注</w:t>
            </w:r>
          </w:p>
        </w:tc>
      </w:tr>
      <w:tr w14:paraId="53B34C01">
        <w:tblPrEx>
          <w:tblCellMar>
            <w:top w:w="0" w:type="dxa"/>
            <w:left w:w="108" w:type="dxa"/>
            <w:bottom w:w="0" w:type="dxa"/>
            <w:right w:w="108" w:type="dxa"/>
          </w:tblCellMar>
        </w:tblPrEx>
        <w:trPr>
          <w:trHeight w:val="397" w:hRule="atLeast"/>
        </w:trPr>
        <w:tc>
          <w:tcPr>
            <w:tcW w:w="660" w:type="dxa"/>
            <w:tcBorders>
              <w:top w:val="single" w:color="000000" w:sz="4" w:space="0"/>
              <w:left w:val="single" w:color="000000" w:sz="4" w:space="0"/>
              <w:bottom w:val="nil"/>
              <w:right w:val="nil"/>
            </w:tcBorders>
            <w:shd w:val="clear" w:color="000000" w:fill="FFFFFF"/>
            <w:noWrap w:val="0"/>
            <w:vAlign w:val="center"/>
          </w:tcPr>
          <w:p w14:paraId="15A95D00">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3608" w:type="dxa"/>
            <w:tcBorders>
              <w:top w:val="single" w:color="000000" w:sz="4" w:space="0"/>
              <w:left w:val="single" w:color="000000" w:sz="4" w:space="0"/>
              <w:bottom w:val="nil"/>
              <w:right w:val="nil"/>
            </w:tcBorders>
            <w:shd w:val="clear" w:color="000000" w:fill="FFFFFF"/>
            <w:noWrap w:val="0"/>
            <w:vAlign w:val="center"/>
          </w:tcPr>
          <w:p w14:paraId="71BE7E88">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暂列金额</w:t>
            </w:r>
          </w:p>
        </w:tc>
        <w:tc>
          <w:tcPr>
            <w:tcW w:w="2658" w:type="dxa"/>
            <w:tcBorders>
              <w:top w:val="single" w:color="000000" w:sz="4" w:space="0"/>
              <w:left w:val="single" w:color="000000" w:sz="4" w:space="0"/>
              <w:bottom w:val="nil"/>
              <w:right w:val="nil"/>
            </w:tcBorders>
            <w:shd w:val="clear" w:color="000000" w:fill="FFFFFF"/>
            <w:noWrap/>
            <w:vAlign w:val="center"/>
          </w:tcPr>
          <w:p w14:paraId="5D670864">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807" w:type="dxa"/>
            <w:tcBorders>
              <w:top w:val="single" w:color="000000" w:sz="4" w:space="0"/>
              <w:left w:val="single" w:color="000000" w:sz="4" w:space="0"/>
              <w:bottom w:val="nil"/>
              <w:right w:val="single" w:color="000000" w:sz="4" w:space="0"/>
            </w:tcBorders>
            <w:shd w:val="clear" w:color="000000" w:fill="FFFFFF"/>
            <w:noWrap w:val="0"/>
            <w:vAlign w:val="center"/>
          </w:tcPr>
          <w:p w14:paraId="61A8EB6D">
            <w:pPr>
              <w:widowControl/>
              <w:jc w:val="center"/>
              <w:rPr>
                <w:rFonts w:hint="eastAsia" w:ascii="宋体" w:hAnsi="宋体" w:eastAsia="宋体" w:cs="宋体"/>
                <w:color w:val="auto"/>
                <w:kern w:val="0"/>
                <w:sz w:val="18"/>
                <w:szCs w:val="18"/>
                <w:highlight w:val="none"/>
              </w:rPr>
            </w:pPr>
          </w:p>
        </w:tc>
      </w:tr>
      <w:tr w14:paraId="776C0515">
        <w:tblPrEx>
          <w:tblCellMar>
            <w:top w:w="0" w:type="dxa"/>
            <w:left w:w="108" w:type="dxa"/>
            <w:bottom w:w="0" w:type="dxa"/>
            <w:right w:w="108" w:type="dxa"/>
          </w:tblCellMar>
        </w:tblPrEx>
        <w:trPr>
          <w:trHeight w:val="397" w:hRule="atLeast"/>
        </w:trPr>
        <w:tc>
          <w:tcPr>
            <w:tcW w:w="660" w:type="dxa"/>
            <w:tcBorders>
              <w:top w:val="single" w:color="000000" w:sz="4" w:space="0"/>
              <w:left w:val="single" w:color="000000" w:sz="4" w:space="0"/>
              <w:bottom w:val="nil"/>
              <w:right w:val="nil"/>
            </w:tcBorders>
            <w:shd w:val="clear" w:color="000000" w:fill="FFFFFF"/>
            <w:noWrap w:val="0"/>
            <w:vAlign w:val="center"/>
          </w:tcPr>
          <w:p w14:paraId="753BDF88">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1.1</w:t>
            </w:r>
          </w:p>
        </w:tc>
        <w:tc>
          <w:tcPr>
            <w:tcW w:w="3608" w:type="dxa"/>
            <w:tcBorders>
              <w:top w:val="single" w:color="000000" w:sz="4" w:space="0"/>
              <w:left w:val="single" w:color="000000" w:sz="4" w:space="0"/>
              <w:bottom w:val="nil"/>
              <w:right w:val="nil"/>
            </w:tcBorders>
            <w:shd w:val="clear" w:color="000000" w:fill="FFFFFF"/>
            <w:noWrap w:val="0"/>
            <w:vAlign w:val="center"/>
          </w:tcPr>
          <w:p w14:paraId="1B3E67E7">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标化工地增加费</w:t>
            </w:r>
          </w:p>
        </w:tc>
        <w:tc>
          <w:tcPr>
            <w:tcW w:w="2658" w:type="dxa"/>
            <w:tcBorders>
              <w:top w:val="single" w:color="000000" w:sz="4" w:space="0"/>
              <w:left w:val="single" w:color="000000" w:sz="4" w:space="0"/>
              <w:bottom w:val="nil"/>
              <w:right w:val="nil"/>
            </w:tcBorders>
            <w:shd w:val="clear" w:color="000000" w:fill="FFFFFF"/>
            <w:noWrap/>
            <w:vAlign w:val="center"/>
          </w:tcPr>
          <w:p w14:paraId="236982F1">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807" w:type="dxa"/>
            <w:tcBorders>
              <w:top w:val="single" w:color="000000" w:sz="4" w:space="0"/>
              <w:left w:val="single" w:color="000000" w:sz="4" w:space="0"/>
              <w:bottom w:val="nil"/>
              <w:right w:val="single" w:color="000000" w:sz="4" w:space="0"/>
            </w:tcBorders>
            <w:shd w:val="clear" w:color="000000" w:fill="FFFFFF"/>
            <w:noWrap w:val="0"/>
            <w:vAlign w:val="center"/>
          </w:tcPr>
          <w:p w14:paraId="5A9E8690">
            <w:pPr>
              <w:widowControl/>
              <w:jc w:val="center"/>
              <w:rPr>
                <w:rFonts w:hint="eastAsia" w:ascii="宋体" w:hAnsi="宋体" w:eastAsia="宋体" w:cs="宋体"/>
                <w:color w:val="auto"/>
                <w:kern w:val="0"/>
                <w:sz w:val="18"/>
                <w:szCs w:val="18"/>
                <w:highlight w:val="none"/>
              </w:rPr>
            </w:pPr>
          </w:p>
        </w:tc>
      </w:tr>
      <w:tr w14:paraId="59381E97">
        <w:tblPrEx>
          <w:tblCellMar>
            <w:top w:w="0" w:type="dxa"/>
            <w:left w:w="108" w:type="dxa"/>
            <w:bottom w:w="0" w:type="dxa"/>
            <w:right w:w="108" w:type="dxa"/>
          </w:tblCellMar>
        </w:tblPrEx>
        <w:trPr>
          <w:trHeight w:val="397" w:hRule="atLeast"/>
        </w:trPr>
        <w:tc>
          <w:tcPr>
            <w:tcW w:w="660" w:type="dxa"/>
            <w:tcBorders>
              <w:top w:val="single" w:color="000000" w:sz="4" w:space="0"/>
              <w:left w:val="single" w:color="000000" w:sz="4" w:space="0"/>
              <w:bottom w:val="nil"/>
              <w:right w:val="nil"/>
            </w:tcBorders>
            <w:shd w:val="clear" w:color="000000" w:fill="FFFFFF"/>
            <w:noWrap w:val="0"/>
            <w:vAlign w:val="center"/>
          </w:tcPr>
          <w:p w14:paraId="022567BD">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1.2</w:t>
            </w:r>
          </w:p>
        </w:tc>
        <w:tc>
          <w:tcPr>
            <w:tcW w:w="3608" w:type="dxa"/>
            <w:tcBorders>
              <w:top w:val="single" w:color="000000" w:sz="4" w:space="0"/>
              <w:left w:val="single" w:color="000000" w:sz="4" w:space="0"/>
              <w:bottom w:val="nil"/>
              <w:right w:val="nil"/>
            </w:tcBorders>
            <w:shd w:val="clear" w:color="000000" w:fill="FFFFFF"/>
            <w:noWrap w:val="0"/>
            <w:vAlign w:val="center"/>
          </w:tcPr>
          <w:p w14:paraId="3117FB57">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优质工程增加费</w:t>
            </w:r>
          </w:p>
        </w:tc>
        <w:tc>
          <w:tcPr>
            <w:tcW w:w="2658" w:type="dxa"/>
            <w:tcBorders>
              <w:top w:val="single" w:color="000000" w:sz="4" w:space="0"/>
              <w:left w:val="single" w:color="000000" w:sz="4" w:space="0"/>
              <w:bottom w:val="nil"/>
              <w:right w:val="nil"/>
            </w:tcBorders>
            <w:shd w:val="clear" w:color="000000" w:fill="FFFFFF"/>
            <w:noWrap/>
            <w:vAlign w:val="center"/>
          </w:tcPr>
          <w:p w14:paraId="21173726">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807" w:type="dxa"/>
            <w:tcBorders>
              <w:top w:val="single" w:color="000000" w:sz="4" w:space="0"/>
              <w:left w:val="single" w:color="000000" w:sz="4" w:space="0"/>
              <w:bottom w:val="nil"/>
              <w:right w:val="single" w:color="000000" w:sz="4" w:space="0"/>
            </w:tcBorders>
            <w:shd w:val="clear" w:color="000000" w:fill="FFFFFF"/>
            <w:noWrap w:val="0"/>
            <w:vAlign w:val="center"/>
          </w:tcPr>
          <w:p w14:paraId="3445CD52">
            <w:pPr>
              <w:widowControl/>
              <w:jc w:val="center"/>
              <w:rPr>
                <w:rFonts w:hint="eastAsia" w:ascii="宋体" w:hAnsi="宋体" w:eastAsia="宋体" w:cs="宋体"/>
                <w:color w:val="auto"/>
                <w:kern w:val="0"/>
                <w:sz w:val="18"/>
                <w:szCs w:val="18"/>
                <w:highlight w:val="none"/>
              </w:rPr>
            </w:pPr>
          </w:p>
        </w:tc>
      </w:tr>
      <w:tr w14:paraId="7E1A49CC">
        <w:tblPrEx>
          <w:tblCellMar>
            <w:top w:w="0" w:type="dxa"/>
            <w:left w:w="108" w:type="dxa"/>
            <w:bottom w:w="0" w:type="dxa"/>
            <w:right w:w="108" w:type="dxa"/>
          </w:tblCellMar>
        </w:tblPrEx>
        <w:trPr>
          <w:trHeight w:val="397" w:hRule="atLeast"/>
        </w:trPr>
        <w:tc>
          <w:tcPr>
            <w:tcW w:w="660" w:type="dxa"/>
            <w:tcBorders>
              <w:top w:val="single" w:color="000000" w:sz="4" w:space="0"/>
              <w:left w:val="single" w:color="000000" w:sz="4" w:space="0"/>
              <w:bottom w:val="nil"/>
              <w:right w:val="nil"/>
            </w:tcBorders>
            <w:shd w:val="clear" w:color="000000" w:fill="FFFFFF"/>
            <w:noWrap w:val="0"/>
            <w:vAlign w:val="center"/>
          </w:tcPr>
          <w:p w14:paraId="026ED91D">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1.3</w:t>
            </w:r>
          </w:p>
        </w:tc>
        <w:tc>
          <w:tcPr>
            <w:tcW w:w="3608" w:type="dxa"/>
            <w:tcBorders>
              <w:top w:val="single" w:color="000000" w:sz="4" w:space="0"/>
              <w:left w:val="single" w:color="000000" w:sz="4" w:space="0"/>
              <w:bottom w:val="nil"/>
              <w:right w:val="nil"/>
            </w:tcBorders>
            <w:shd w:val="clear" w:color="000000" w:fill="FFFFFF"/>
            <w:noWrap w:val="0"/>
            <w:vAlign w:val="center"/>
          </w:tcPr>
          <w:p w14:paraId="55322A62">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其他暂列金额</w:t>
            </w:r>
          </w:p>
        </w:tc>
        <w:tc>
          <w:tcPr>
            <w:tcW w:w="2658" w:type="dxa"/>
            <w:tcBorders>
              <w:top w:val="single" w:color="000000" w:sz="4" w:space="0"/>
              <w:left w:val="single" w:color="000000" w:sz="4" w:space="0"/>
              <w:bottom w:val="nil"/>
              <w:right w:val="nil"/>
            </w:tcBorders>
            <w:shd w:val="clear" w:color="000000" w:fill="FFFFFF"/>
            <w:noWrap/>
            <w:vAlign w:val="center"/>
          </w:tcPr>
          <w:p w14:paraId="503E3AC7">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807" w:type="dxa"/>
            <w:tcBorders>
              <w:top w:val="single" w:color="000000" w:sz="4" w:space="0"/>
              <w:left w:val="single" w:color="000000" w:sz="4" w:space="0"/>
              <w:bottom w:val="nil"/>
              <w:right w:val="single" w:color="000000" w:sz="4" w:space="0"/>
            </w:tcBorders>
            <w:shd w:val="clear" w:color="000000" w:fill="FFFFFF"/>
            <w:noWrap w:val="0"/>
            <w:vAlign w:val="center"/>
          </w:tcPr>
          <w:p w14:paraId="43991176">
            <w:pPr>
              <w:widowControl/>
              <w:jc w:val="center"/>
              <w:rPr>
                <w:rFonts w:hint="eastAsia" w:ascii="宋体" w:hAnsi="宋体" w:eastAsia="宋体" w:cs="宋体"/>
                <w:color w:val="auto"/>
                <w:kern w:val="0"/>
                <w:sz w:val="18"/>
                <w:szCs w:val="18"/>
                <w:highlight w:val="none"/>
              </w:rPr>
            </w:pPr>
          </w:p>
        </w:tc>
      </w:tr>
      <w:tr w14:paraId="7DCBFE5E">
        <w:tblPrEx>
          <w:tblCellMar>
            <w:top w:w="0" w:type="dxa"/>
            <w:left w:w="108" w:type="dxa"/>
            <w:bottom w:w="0" w:type="dxa"/>
            <w:right w:w="108" w:type="dxa"/>
          </w:tblCellMar>
        </w:tblPrEx>
        <w:trPr>
          <w:trHeight w:val="397" w:hRule="atLeast"/>
        </w:trPr>
        <w:tc>
          <w:tcPr>
            <w:tcW w:w="660" w:type="dxa"/>
            <w:tcBorders>
              <w:top w:val="single" w:color="000000" w:sz="4" w:space="0"/>
              <w:left w:val="single" w:color="000000" w:sz="4" w:space="0"/>
              <w:bottom w:val="nil"/>
              <w:right w:val="nil"/>
            </w:tcBorders>
            <w:shd w:val="clear" w:color="000000" w:fill="FFFFFF"/>
            <w:noWrap w:val="0"/>
            <w:vAlign w:val="center"/>
          </w:tcPr>
          <w:p w14:paraId="66168EDB">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w:t>
            </w:r>
          </w:p>
        </w:tc>
        <w:tc>
          <w:tcPr>
            <w:tcW w:w="3608" w:type="dxa"/>
            <w:tcBorders>
              <w:top w:val="single" w:color="000000" w:sz="4" w:space="0"/>
              <w:left w:val="single" w:color="000000" w:sz="4" w:space="0"/>
              <w:bottom w:val="nil"/>
              <w:right w:val="nil"/>
            </w:tcBorders>
            <w:shd w:val="clear" w:color="000000" w:fill="FFFFFF"/>
            <w:noWrap w:val="0"/>
            <w:vAlign w:val="center"/>
          </w:tcPr>
          <w:p w14:paraId="7518C7EF">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暂估价</w:t>
            </w:r>
          </w:p>
        </w:tc>
        <w:tc>
          <w:tcPr>
            <w:tcW w:w="2658" w:type="dxa"/>
            <w:tcBorders>
              <w:top w:val="single" w:color="000000" w:sz="4" w:space="0"/>
              <w:left w:val="single" w:color="000000" w:sz="4" w:space="0"/>
              <w:bottom w:val="nil"/>
              <w:right w:val="nil"/>
            </w:tcBorders>
            <w:shd w:val="clear" w:color="000000" w:fill="FFFFFF"/>
            <w:noWrap/>
            <w:vAlign w:val="center"/>
          </w:tcPr>
          <w:p w14:paraId="688821F6">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807" w:type="dxa"/>
            <w:tcBorders>
              <w:top w:val="single" w:color="000000" w:sz="4" w:space="0"/>
              <w:left w:val="single" w:color="000000" w:sz="4" w:space="0"/>
              <w:bottom w:val="nil"/>
              <w:right w:val="single" w:color="000000" w:sz="4" w:space="0"/>
            </w:tcBorders>
            <w:shd w:val="clear" w:color="000000" w:fill="FFFFFF"/>
            <w:noWrap w:val="0"/>
            <w:vAlign w:val="center"/>
          </w:tcPr>
          <w:p w14:paraId="4F9035A2">
            <w:pPr>
              <w:widowControl/>
              <w:jc w:val="center"/>
              <w:rPr>
                <w:rFonts w:hint="eastAsia" w:ascii="宋体" w:hAnsi="宋体" w:eastAsia="宋体" w:cs="宋体"/>
                <w:color w:val="auto"/>
                <w:kern w:val="0"/>
                <w:sz w:val="18"/>
                <w:szCs w:val="18"/>
                <w:highlight w:val="none"/>
              </w:rPr>
            </w:pPr>
          </w:p>
        </w:tc>
      </w:tr>
      <w:tr w14:paraId="5182129F">
        <w:tblPrEx>
          <w:tblCellMar>
            <w:top w:w="0" w:type="dxa"/>
            <w:left w:w="108" w:type="dxa"/>
            <w:bottom w:w="0" w:type="dxa"/>
            <w:right w:w="108" w:type="dxa"/>
          </w:tblCellMar>
        </w:tblPrEx>
        <w:trPr>
          <w:trHeight w:val="397" w:hRule="atLeast"/>
        </w:trPr>
        <w:tc>
          <w:tcPr>
            <w:tcW w:w="660" w:type="dxa"/>
            <w:tcBorders>
              <w:top w:val="single" w:color="000000" w:sz="4" w:space="0"/>
              <w:left w:val="single" w:color="000000" w:sz="4" w:space="0"/>
              <w:bottom w:val="nil"/>
              <w:right w:val="nil"/>
            </w:tcBorders>
            <w:shd w:val="clear" w:color="000000" w:fill="FFFFFF"/>
            <w:noWrap w:val="0"/>
            <w:vAlign w:val="center"/>
          </w:tcPr>
          <w:p w14:paraId="3B5C9411">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2.1</w:t>
            </w:r>
          </w:p>
        </w:tc>
        <w:tc>
          <w:tcPr>
            <w:tcW w:w="3608" w:type="dxa"/>
            <w:tcBorders>
              <w:top w:val="single" w:color="000000" w:sz="4" w:space="0"/>
              <w:left w:val="single" w:color="000000" w:sz="4" w:space="0"/>
              <w:bottom w:val="nil"/>
              <w:right w:val="nil"/>
            </w:tcBorders>
            <w:shd w:val="clear" w:color="000000" w:fill="FFFFFF"/>
            <w:noWrap w:val="0"/>
            <w:vAlign w:val="center"/>
          </w:tcPr>
          <w:p w14:paraId="5D42B203">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材料（设备）暂估价</w:t>
            </w:r>
          </w:p>
        </w:tc>
        <w:tc>
          <w:tcPr>
            <w:tcW w:w="2658" w:type="dxa"/>
            <w:tcBorders>
              <w:top w:val="single" w:color="000000" w:sz="4" w:space="0"/>
              <w:left w:val="single" w:color="000000" w:sz="4" w:space="0"/>
              <w:bottom w:val="nil"/>
              <w:right w:val="nil"/>
            </w:tcBorders>
            <w:shd w:val="clear" w:color="000000" w:fill="FFFFFF"/>
            <w:noWrap/>
            <w:vAlign w:val="center"/>
          </w:tcPr>
          <w:p w14:paraId="3533B6B1">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807" w:type="dxa"/>
            <w:tcBorders>
              <w:top w:val="single" w:color="000000" w:sz="4" w:space="0"/>
              <w:left w:val="single" w:color="000000" w:sz="4" w:space="0"/>
              <w:bottom w:val="nil"/>
              <w:right w:val="single" w:color="000000" w:sz="4" w:space="0"/>
            </w:tcBorders>
            <w:shd w:val="clear" w:color="000000" w:fill="FFFFFF"/>
            <w:noWrap w:val="0"/>
            <w:vAlign w:val="center"/>
          </w:tcPr>
          <w:p w14:paraId="305E8070">
            <w:pPr>
              <w:widowControl/>
              <w:jc w:val="center"/>
              <w:rPr>
                <w:rFonts w:hint="eastAsia" w:ascii="宋体" w:hAnsi="宋体" w:eastAsia="宋体" w:cs="宋体"/>
                <w:color w:val="auto"/>
                <w:kern w:val="0"/>
                <w:sz w:val="18"/>
                <w:szCs w:val="18"/>
                <w:highlight w:val="none"/>
              </w:rPr>
            </w:pPr>
          </w:p>
        </w:tc>
      </w:tr>
      <w:tr w14:paraId="4C7E28DD">
        <w:tblPrEx>
          <w:tblCellMar>
            <w:top w:w="0" w:type="dxa"/>
            <w:left w:w="108" w:type="dxa"/>
            <w:bottom w:w="0" w:type="dxa"/>
            <w:right w:w="108" w:type="dxa"/>
          </w:tblCellMar>
        </w:tblPrEx>
        <w:trPr>
          <w:trHeight w:val="397" w:hRule="atLeast"/>
        </w:trPr>
        <w:tc>
          <w:tcPr>
            <w:tcW w:w="660" w:type="dxa"/>
            <w:tcBorders>
              <w:top w:val="single" w:color="000000" w:sz="4" w:space="0"/>
              <w:left w:val="single" w:color="000000" w:sz="4" w:space="0"/>
              <w:bottom w:val="nil"/>
              <w:right w:val="nil"/>
            </w:tcBorders>
            <w:shd w:val="clear" w:color="000000" w:fill="FFFFFF"/>
            <w:noWrap w:val="0"/>
            <w:vAlign w:val="center"/>
          </w:tcPr>
          <w:p w14:paraId="6C01BBAE">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2.2</w:t>
            </w:r>
          </w:p>
        </w:tc>
        <w:tc>
          <w:tcPr>
            <w:tcW w:w="3608" w:type="dxa"/>
            <w:tcBorders>
              <w:top w:val="single" w:color="000000" w:sz="4" w:space="0"/>
              <w:left w:val="single" w:color="000000" w:sz="4" w:space="0"/>
              <w:bottom w:val="nil"/>
              <w:right w:val="nil"/>
            </w:tcBorders>
            <w:shd w:val="clear" w:color="000000" w:fill="FFFFFF"/>
            <w:noWrap w:val="0"/>
            <w:vAlign w:val="center"/>
          </w:tcPr>
          <w:p w14:paraId="7EB3A845">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专业工程暂估价</w:t>
            </w:r>
          </w:p>
        </w:tc>
        <w:tc>
          <w:tcPr>
            <w:tcW w:w="2658" w:type="dxa"/>
            <w:tcBorders>
              <w:top w:val="single" w:color="000000" w:sz="4" w:space="0"/>
              <w:left w:val="single" w:color="000000" w:sz="4" w:space="0"/>
              <w:bottom w:val="nil"/>
              <w:right w:val="nil"/>
            </w:tcBorders>
            <w:shd w:val="clear" w:color="000000" w:fill="FFFFFF"/>
            <w:noWrap/>
            <w:vAlign w:val="center"/>
          </w:tcPr>
          <w:p w14:paraId="032DF15F">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807" w:type="dxa"/>
            <w:tcBorders>
              <w:top w:val="single" w:color="000000" w:sz="4" w:space="0"/>
              <w:left w:val="single" w:color="000000" w:sz="4" w:space="0"/>
              <w:bottom w:val="nil"/>
              <w:right w:val="single" w:color="000000" w:sz="4" w:space="0"/>
            </w:tcBorders>
            <w:shd w:val="clear" w:color="000000" w:fill="FFFFFF"/>
            <w:noWrap w:val="0"/>
            <w:vAlign w:val="center"/>
          </w:tcPr>
          <w:p w14:paraId="61635160">
            <w:pPr>
              <w:widowControl/>
              <w:jc w:val="center"/>
              <w:rPr>
                <w:rFonts w:hint="eastAsia" w:ascii="宋体" w:hAnsi="宋体" w:eastAsia="宋体" w:cs="宋体"/>
                <w:color w:val="auto"/>
                <w:kern w:val="0"/>
                <w:sz w:val="18"/>
                <w:szCs w:val="18"/>
                <w:highlight w:val="none"/>
              </w:rPr>
            </w:pPr>
          </w:p>
        </w:tc>
      </w:tr>
      <w:tr w14:paraId="2183BD50">
        <w:tblPrEx>
          <w:tblCellMar>
            <w:top w:w="0" w:type="dxa"/>
            <w:left w:w="108" w:type="dxa"/>
            <w:bottom w:w="0" w:type="dxa"/>
            <w:right w:w="108" w:type="dxa"/>
          </w:tblCellMar>
        </w:tblPrEx>
        <w:trPr>
          <w:trHeight w:val="397" w:hRule="atLeast"/>
        </w:trPr>
        <w:tc>
          <w:tcPr>
            <w:tcW w:w="660" w:type="dxa"/>
            <w:tcBorders>
              <w:top w:val="single" w:color="000000" w:sz="4" w:space="0"/>
              <w:left w:val="single" w:color="000000" w:sz="4" w:space="0"/>
              <w:bottom w:val="nil"/>
              <w:right w:val="nil"/>
            </w:tcBorders>
            <w:shd w:val="clear" w:color="000000" w:fill="FFFFFF"/>
            <w:noWrap w:val="0"/>
            <w:vAlign w:val="center"/>
          </w:tcPr>
          <w:p w14:paraId="554B64CC">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2.3</w:t>
            </w:r>
          </w:p>
        </w:tc>
        <w:tc>
          <w:tcPr>
            <w:tcW w:w="3608" w:type="dxa"/>
            <w:tcBorders>
              <w:top w:val="single" w:color="000000" w:sz="4" w:space="0"/>
              <w:left w:val="single" w:color="000000" w:sz="4" w:space="0"/>
              <w:bottom w:val="nil"/>
              <w:right w:val="nil"/>
            </w:tcBorders>
            <w:shd w:val="clear" w:color="000000" w:fill="FFFFFF"/>
            <w:noWrap w:val="0"/>
            <w:vAlign w:val="center"/>
          </w:tcPr>
          <w:p w14:paraId="32F04ADF">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专项技术措施暂估价</w:t>
            </w:r>
          </w:p>
        </w:tc>
        <w:tc>
          <w:tcPr>
            <w:tcW w:w="2658" w:type="dxa"/>
            <w:tcBorders>
              <w:top w:val="single" w:color="000000" w:sz="4" w:space="0"/>
              <w:left w:val="single" w:color="000000" w:sz="4" w:space="0"/>
              <w:bottom w:val="nil"/>
              <w:right w:val="nil"/>
            </w:tcBorders>
            <w:shd w:val="clear" w:color="000000" w:fill="FFFFFF"/>
            <w:noWrap/>
            <w:vAlign w:val="center"/>
          </w:tcPr>
          <w:p w14:paraId="19F03CD9">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807" w:type="dxa"/>
            <w:tcBorders>
              <w:top w:val="single" w:color="000000" w:sz="4" w:space="0"/>
              <w:left w:val="single" w:color="000000" w:sz="4" w:space="0"/>
              <w:bottom w:val="nil"/>
              <w:right w:val="single" w:color="000000" w:sz="4" w:space="0"/>
            </w:tcBorders>
            <w:shd w:val="clear" w:color="000000" w:fill="FFFFFF"/>
            <w:noWrap w:val="0"/>
            <w:vAlign w:val="center"/>
          </w:tcPr>
          <w:p w14:paraId="6A1C231A">
            <w:pPr>
              <w:widowControl/>
              <w:jc w:val="center"/>
              <w:rPr>
                <w:rFonts w:hint="eastAsia" w:ascii="宋体" w:hAnsi="宋体" w:eastAsia="宋体" w:cs="宋体"/>
                <w:color w:val="auto"/>
                <w:kern w:val="0"/>
                <w:sz w:val="18"/>
                <w:szCs w:val="18"/>
                <w:highlight w:val="none"/>
              </w:rPr>
            </w:pPr>
          </w:p>
        </w:tc>
      </w:tr>
      <w:tr w14:paraId="6520FD6C">
        <w:tblPrEx>
          <w:tblCellMar>
            <w:top w:w="0" w:type="dxa"/>
            <w:left w:w="108" w:type="dxa"/>
            <w:bottom w:w="0" w:type="dxa"/>
            <w:right w:w="108" w:type="dxa"/>
          </w:tblCellMar>
        </w:tblPrEx>
        <w:trPr>
          <w:trHeight w:val="397" w:hRule="atLeast"/>
        </w:trPr>
        <w:tc>
          <w:tcPr>
            <w:tcW w:w="660" w:type="dxa"/>
            <w:tcBorders>
              <w:top w:val="single" w:color="000000" w:sz="4" w:space="0"/>
              <w:left w:val="single" w:color="000000" w:sz="4" w:space="0"/>
              <w:bottom w:val="nil"/>
              <w:right w:val="nil"/>
            </w:tcBorders>
            <w:shd w:val="clear" w:color="000000" w:fill="FFFFFF"/>
            <w:noWrap w:val="0"/>
            <w:vAlign w:val="center"/>
          </w:tcPr>
          <w:p w14:paraId="469E4340">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w:t>
            </w:r>
          </w:p>
        </w:tc>
        <w:tc>
          <w:tcPr>
            <w:tcW w:w="3608" w:type="dxa"/>
            <w:tcBorders>
              <w:top w:val="single" w:color="000000" w:sz="4" w:space="0"/>
              <w:left w:val="single" w:color="000000" w:sz="4" w:space="0"/>
              <w:bottom w:val="nil"/>
              <w:right w:val="nil"/>
            </w:tcBorders>
            <w:shd w:val="clear" w:color="000000" w:fill="FFFFFF"/>
            <w:noWrap w:val="0"/>
            <w:vAlign w:val="center"/>
          </w:tcPr>
          <w:p w14:paraId="01DC26D7">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计日工</w:t>
            </w:r>
          </w:p>
        </w:tc>
        <w:tc>
          <w:tcPr>
            <w:tcW w:w="2658" w:type="dxa"/>
            <w:tcBorders>
              <w:top w:val="single" w:color="000000" w:sz="4" w:space="0"/>
              <w:left w:val="single" w:color="000000" w:sz="4" w:space="0"/>
              <w:bottom w:val="nil"/>
              <w:right w:val="nil"/>
            </w:tcBorders>
            <w:shd w:val="clear" w:color="000000" w:fill="FFFFFF"/>
            <w:noWrap/>
            <w:vAlign w:val="center"/>
          </w:tcPr>
          <w:p w14:paraId="171AC443">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807" w:type="dxa"/>
            <w:tcBorders>
              <w:top w:val="single" w:color="000000" w:sz="4" w:space="0"/>
              <w:left w:val="single" w:color="000000" w:sz="4" w:space="0"/>
              <w:bottom w:val="nil"/>
              <w:right w:val="single" w:color="000000" w:sz="4" w:space="0"/>
            </w:tcBorders>
            <w:shd w:val="clear" w:color="000000" w:fill="FFFFFF"/>
            <w:noWrap w:val="0"/>
            <w:vAlign w:val="center"/>
          </w:tcPr>
          <w:p w14:paraId="519650AB">
            <w:pPr>
              <w:widowControl/>
              <w:jc w:val="center"/>
              <w:rPr>
                <w:rFonts w:hint="eastAsia" w:ascii="宋体" w:hAnsi="宋体" w:eastAsia="宋体" w:cs="宋体"/>
                <w:color w:val="auto"/>
                <w:kern w:val="0"/>
                <w:sz w:val="18"/>
                <w:szCs w:val="18"/>
                <w:highlight w:val="none"/>
              </w:rPr>
            </w:pPr>
          </w:p>
        </w:tc>
      </w:tr>
      <w:tr w14:paraId="7FE57669">
        <w:tblPrEx>
          <w:tblCellMar>
            <w:top w:w="0" w:type="dxa"/>
            <w:left w:w="108" w:type="dxa"/>
            <w:bottom w:w="0" w:type="dxa"/>
            <w:right w:w="108" w:type="dxa"/>
          </w:tblCellMar>
        </w:tblPrEx>
        <w:trPr>
          <w:trHeight w:val="397" w:hRule="atLeast"/>
        </w:trPr>
        <w:tc>
          <w:tcPr>
            <w:tcW w:w="660" w:type="dxa"/>
            <w:tcBorders>
              <w:top w:val="single" w:color="000000" w:sz="4" w:space="0"/>
              <w:left w:val="single" w:color="000000" w:sz="4" w:space="0"/>
              <w:bottom w:val="nil"/>
              <w:right w:val="nil"/>
            </w:tcBorders>
            <w:shd w:val="clear" w:color="000000" w:fill="FFFFFF"/>
            <w:noWrap w:val="0"/>
            <w:vAlign w:val="center"/>
          </w:tcPr>
          <w:p w14:paraId="73A4EA8D">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4</w:t>
            </w:r>
          </w:p>
        </w:tc>
        <w:tc>
          <w:tcPr>
            <w:tcW w:w="3608" w:type="dxa"/>
            <w:tcBorders>
              <w:top w:val="single" w:color="000000" w:sz="4" w:space="0"/>
              <w:left w:val="single" w:color="000000" w:sz="4" w:space="0"/>
              <w:bottom w:val="nil"/>
              <w:right w:val="nil"/>
            </w:tcBorders>
            <w:shd w:val="clear" w:color="000000" w:fill="FFFFFF"/>
            <w:noWrap w:val="0"/>
            <w:vAlign w:val="center"/>
          </w:tcPr>
          <w:p w14:paraId="6297A99D">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总承包服务费</w:t>
            </w:r>
          </w:p>
        </w:tc>
        <w:tc>
          <w:tcPr>
            <w:tcW w:w="2658" w:type="dxa"/>
            <w:tcBorders>
              <w:top w:val="single" w:color="000000" w:sz="4" w:space="0"/>
              <w:left w:val="single" w:color="000000" w:sz="4" w:space="0"/>
              <w:bottom w:val="nil"/>
              <w:right w:val="nil"/>
            </w:tcBorders>
            <w:shd w:val="clear" w:color="000000" w:fill="FFFFFF"/>
            <w:noWrap/>
            <w:vAlign w:val="center"/>
          </w:tcPr>
          <w:p w14:paraId="1A4EC859">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807" w:type="dxa"/>
            <w:tcBorders>
              <w:top w:val="single" w:color="000000" w:sz="4" w:space="0"/>
              <w:left w:val="single" w:color="000000" w:sz="4" w:space="0"/>
              <w:bottom w:val="nil"/>
              <w:right w:val="single" w:color="000000" w:sz="4" w:space="0"/>
            </w:tcBorders>
            <w:shd w:val="clear" w:color="000000" w:fill="FFFFFF"/>
            <w:noWrap w:val="0"/>
            <w:vAlign w:val="center"/>
          </w:tcPr>
          <w:p w14:paraId="167993E6">
            <w:pPr>
              <w:widowControl/>
              <w:jc w:val="center"/>
              <w:rPr>
                <w:rFonts w:hint="eastAsia" w:ascii="宋体" w:hAnsi="宋体" w:eastAsia="宋体" w:cs="宋体"/>
                <w:color w:val="auto"/>
                <w:kern w:val="0"/>
                <w:sz w:val="18"/>
                <w:szCs w:val="18"/>
                <w:highlight w:val="none"/>
              </w:rPr>
            </w:pPr>
          </w:p>
        </w:tc>
      </w:tr>
      <w:tr w14:paraId="02513922">
        <w:tblPrEx>
          <w:tblCellMar>
            <w:top w:w="0" w:type="dxa"/>
            <w:left w:w="108" w:type="dxa"/>
            <w:bottom w:w="0" w:type="dxa"/>
            <w:right w:w="108" w:type="dxa"/>
          </w:tblCellMar>
        </w:tblPrEx>
        <w:trPr>
          <w:trHeight w:val="397" w:hRule="atLeast"/>
        </w:trPr>
        <w:tc>
          <w:tcPr>
            <w:tcW w:w="660" w:type="dxa"/>
            <w:tcBorders>
              <w:top w:val="single" w:color="000000" w:sz="4" w:space="0"/>
              <w:left w:val="single" w:color="000000" w:sz="4" w:space="0"/>
              <w:bottom w:val="nil"/>
              <w:right w:val="nil"/>
            </w:tcBorders>
            <w:shd w:val="clear" w:color="000000" w:fill="FFFFFF"/>
            <w:noWrap w:val="0"/>
            <w:vAlign w:val="center"/>
          </w:tcPr>
          <w:p w14:paraId="4E807D6D">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3608" w:type="dxa"/>
            <w:tcBorders>
              <w:top w:val="single" w:color="000000" w:sz="4" w:space="0"/>
              <w:left w:val="single" w:color="000000" w:sz="4" w:space="0"/>
              <w:bottom w:val="nil"/>
              <w:right w:val="nil"/>
            </w:tcBorders>
            <w:shd w:val="clear" w:color="000000" w:fill="FFFFFF"/>
            <w:noWrap w:val="0"/>
            <w:vAlign w:val="center"/>
          </w:tcPr>
          <w:p w14:paraId="6009CD6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658" w:type="dxa"/>
            <w:tcBorders>
              <w:top w:val="single" w:color="000000" w:sz="4" w:space="0"/>
              <w:left w:val="single" w:color="000000" w:sz="4" w:space="0"/>
              <w:bottom w:val="nil"/>
              <w:right w:val="nil"/>
            </w:tcBorders>
            <w:shd w:val="clear" w:color="000000" w:fill="FFFFFF"/>
            <w:noWrap/>
            <w:vAlign w:val="center"/>
          </w:tcPr>
          <w:p w14:paraId="7DD20316">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807" w:type="dxa"/>
            <w:tcBorders>
              <w:top w:val="single" w:color="000000" w:sz="4" w:space="0"/>
              <w:left w:val="single" w:color="000000" w:sz="4" w:space="0"/>
              <w:bottom w:val="nil"/>
              <w:right w:val="single" w:color="000000" w:sz="4" w:space="0"/>
            </w:tcBorders>
            <w:shd w:val="clear" w:color="000000" w:fill="FFFFFF"/>
            <w:noWrap w:val="0"/>
            <w:vAlign w:val="center"/>
          </w:tcPr>
          <w:p w14:paraId="763718A2">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4AC1156F">
        <w:tblPrEx>
          <w:tblCellMar>
            <w:top w:w="0" w:type="dxa"/>
            <w:left w:w="108" w:type="dxa"/>
            <w:bottom w:w="0" w:type="dxa"/>
            <w:right w:w="108" w:type="dxa"/>
          </w:tblCellMar>
        </w:tblPrEx>
        <w:trPr>
          <w:trHeight w:val="397" w:hRule="atLeast"/>
        </w:trPr>
        <w:tc>
          <w:tcPr>
            <w:tcW w:w="4268" w:type="dxa"/>
            <w:gridSpan w:val="2"/>
            <w:tcBorders>
              <w:top w:val="single" w:color="000000" w:sz="4" w:space="0"/>
              <w:left w:val="single" w:color="000000" w:sz="4" w:space="0"/>
              <w:bottom w:val="single" w:color="000000" w:sz="4" w:space="0"/>
              <w:right w:val="nil"/>
            </w:tcBorders>
            <w:shd w:val="clear" w:color="000000" w:fill="FFFFFF"/>
            <w:noWrap w:val="0"/>
            <w:vAlign w:val="center"/>
          </w:tcPr>
          <w:p w14:paraId="1B7B46A1">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合    计</w:t>
            </w:r>
          </w:p>
        </w:tc>
        <w:tc>
          <w:tcPr>
            <w:tcW w:w="2658" w:type="dxa"/>
            <w:tcBorders>
              <w:top w:val="single" w:color="000000" w:sz="4" w:space="0"/>
              <w:left w:val="single" w:color="000000" w:sz="4" w:space="0"/>
              <w:bottom w:val="single" w:color="000000" w:sz="4" w:space="0"/>
              <w:right w:val="nil"/>
            </w:tcBorders>
            <w:shd w:val="clear" w:color="000000" w:fill="FFFFFF"/>
            <w:noWrap/>
            <w:vAlign w:val="center"/>
          </w:tcPr>
          <w:p w14:paraId="3B8852B1">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80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39DCAE83">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bl>
    <w:p w14:paraId="7C222149">
      <w:pPr>
        <w:spacing w:line="300" w:lineRule="auto"/>
        <w:jc w:val="center"/>
        <w:rPr>
          <w:rFonts w:hint="eastAsia" w:ascii="宋体" w:hAnsi="宋体" w:eastAsia="宋体" w:cs="宋体"/>
          <w:b/>
          <w:bCs/>
          <w:color w:val="auto"/>
          <w:sz w:val="28"/>
          <w:highlight w:val="none"/>
        </w:rPr>
      </w:pPr>
      <w:r>
        <w:rPr>
          <w:rFonts w:hint="eastAsia" w:ascii="宋体" w:hAnsi="宋体" w:eastAsia="宋体" w:cs="宋体"/>
          <w:bCs/>
          <w:color w:val="auto"/>
          <w:sz w:val="21"/>
          <w:highlight w:val="none"/>
        </w:rPr>
        <w:br w:type="page"/>
      </w:r>
    </w:p>
    <w:tbl>
      <w:tblPr>
        <w:tblStyle w:val="24"/>
        <w:tblW w:w="9513" w:type="dxa"/>
        <w:tblInd w:w="93" w:type="dxa"/>
        <w:tblLayout w:type="fixed"/>
        <w:tblCellMar>
          <w:top w:w="0" w:type="dxa"/>
          <w:left w:w="108" w:type="dxa"/>
          <w:bottom w:w="0" w:type="dxa"/>
          <w:right w:w="108" w:type="dxa"/>
        </w:tblCellMar>
      </w:tblPr>
      <w:tblGrid>
        <w:gridCol w:w="620"/>
        <w:gridCol w:w="20"/>
        <w:gridCol w:w="2500"/>
        <w:gridCol w:w="980"/>
        <w:gridCol w:w="40"/>
        <w:gridCol w:w="1140"/>
        <w:gridCol w:w="40"/>
        <w:gridCol w:w="1180"/>
        <w:gridCol w:w="980"/>
        <w:gridCol w:w="260"/>
        <w:gridCol w:w="1753"/>
      </w:tblGrid>
      <w:tr w14:paraId="2540D441">
        <w:tblPrEx>
          <w:tblCellMar>
            <w:top w:w="0" w:type="dxa"/>
            <w:left w:w="108" w:type="dxa"/>
            <w:bottom w:w="0" w:type="dxa"/>
            <w:right w:w="108" w:type="dxa"/>
          </w:tblCellMar>
        </w:tblPrEx>
        <w:trPr>
          <w:trHeight w:val="900" w:hRule="atLeast"/>
        </w:trPr>
        <w:tc>
          <w:tcPr>
            <w:tcW w:w="9513" w:type="dxa"/>
            <w:gridSpan w:val="11"/>
            <w:tcBorders>
              <w:top w:val="nil"/>
              <w:left w:val="nil"/>
              <w:bottom w:val="nil"/>
              <w:right w:val="nil"/>
            </w:tcBorders>
            <w:shd w:val="clear" w:color="000000" w:fill="FFFFFF"/>
            <w:noWrap w:val="0"/>
            <w:vAlign w:val="center"/>
          </w:tcPr>
          <w:p w14:paraId="5269B1E4">
            <w:pPr>
              <w:widowControl/>
              <w:jc w:val="center"/>
              <w:rPr>
                <w:rFonts w:hint="eastAsia" w:ascii="宋体" w:hAnsi="宋体" w:eastAsia="宋体" w:cs="宋体"/>
                <w:b/>
                <w:bCs/>
                <w:color w:val="auto"/>
                <w:kern w:val="0"/>
                <w:sz w:val="40"/>
                <w:szCs w:val="40"/>
                <w:highlight w:val="none"/>
              </w:rPr>
            </w:pPr>
            <w:r>
              <w:rPr>
                <w:rFonts w:hint="eastAsia" w:ascii="宋体" w:hAnsi="宋体" w:eastAsia="宋体" w:cs="宋体"/>
                <w:b/>
                <w:bCs/>
                <w:color w:val="auto"/>
                <w:kern w:val="0"/>
                <w:sz w:val="32"/>
                <w:szCs w:val="32"/>
                <w:highlight w:val="none"/>
              </w:rPr>
              <w:t>暂列金额明细表</w:t>
            </w:r>
          </w:p>
        </w:tc>
      </w:tr>
      <w:tr w14:paraId="64A2AA7A">
        <w:tblPrEx>
          <w:tblCellMar>
            <w:top w:w="0" w:type="dxa"/>
            <w:left w:w="108" w:type="dxa"/>
            <w:bottom w:w="0" w:type="dxa"/>
            <w:right w:w="108" w:type="dxa"/>
          </w:tblCellMar>
        </w:tblPrEx>
        <w:trPr>
          <w:trHeight w:val="495" w:hRule="atLeast"/>
        </w:trPr>
        <w:tc>
          <w:tcPr>
            <w:tcW w:w="5300" w:type="dxa"/>
            <w:gridSpan w:val="6"/>
            <w:tcBorders>
              <w:top w:val="nil"/>
              <w:left w:val="nil"/>
              <w:bottom w:val="nil"/>
              <w:right w:val="nil"/>
            </w:tcBorders>
            <w:shd w:val="clear" w:color="000000" w:fill="FFFFFF"/>
            <w:noWrap w:val="0"/>
            <w:vAlign w:val="bottom"/>
          </w:tcPr>
          <w:p w14:paraId="5999872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工程名称: </w:t>
            </w:r>
          </w:p>
        </w:tc>
        <w:tc>
          <w:tcPr>
            <w:tcW w:w="2200" w:type="dxa"/>
            <w:gridSpan w:val="3"/>
            <w:tcBorders>
              <w:top w:val="nil"/>
              <w:left w:val="nil"/>
              <w:bottom w:val="nil"/>
              <w:right w:val="nil"/>
            </w:tcBorders>
            <w:shd w:val="clear" w:color="000000" w:fill="FFFFFF"/>
            <w:noWrap w:val="0"/>
            <w:vAlign w:val="bottom"/>
          </w:tcPr>
          <w:p w14:paraId="37B59A3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标段:</w:t>
            </w:r>
          </w:p>
        </w:tc>
        <w:tc>
          <w:tcPr>
            <w:tcW w:w="2013" w:type="dxa"/>
            <w:gridSpan w:val="2"/>
            <w:tcBorders>
              <w:top w:val="nil"/>
              <w:left w:val="nil"/>
              <w:bottom w:val="nil"/>
              <w:right w:val="nil"/>
            </w:tcBorders>
            <w:shd w:val="clear" w:color="000000" w:fill="FFFFFF"/>
            <w:noWrap w:val="0"/>
            <w:vAlign w:val="bottom"/>
          </w:tcPr>
          <w:p w14:paraId="12EBF680">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第 页 共 页</w:t>
            </w:r>
          </w:p>
        </w:tc>
      </w:tr>
      <w:tr w14:paraId="43A8B97A">
        <w:tblPrEx>
          <w:tblCellMar>
            <w:top w:w="0" w:type="dxa"/>
            <w:left w:w="108" w:type="dxa"/>
            <w:bottom w:w="0" w:type="dxa"/>
            <w:right w:w="108" w:type="dxa"/>
          </w:tblCellMar>
        </w:tblPrEx>
        <w:trPr>
          <w:trHeight w:val="525" w:hRule="atLeast"/>
        </w:trPr>
        <w:tc>
          <w:tcPr>
            <w:tcW w:w="620" w:type="dxa"/>
            <w:tcBorders>
              <w:top w:val="single" w:color="000000" w:sz="4" w:space="0"/>
              <w:left w:val="single" w:color="000000" w:sz="4" w:space="0"/>
              <w:bottom w:val="nil"/>
              <w:right w:val="nil"/>
            </w:tcBorders>
            <w:shd w:val="clear" w:color="000000" w:fill="FFFFFF"/>
            <w:noWrap w:val="0"/>
            <w:vAlign w:val="center"/>
          </w:tcPr>
          <w:p w14:paraId="21242075">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序号</w:t>
            </w:r>
          </w:p>
        </w:tc>
        <w:tc>
          <w:tcPr>
            <w:tcW w:w="3500" w:type="dxa"/>
            <w:gridSpan w:val="3"/>
            <w:tcBorders>
              <w:top w:val="single" w:color="000000" w:sz="4" w:space="0"/>
              <w:left w:val="single" w:color="000000" w:sz="4" w:space="0"/>
              <w:bottom w:val="nil"/>
              <w:right w:val="nil"/>
            </w:tcBorders>
            <w:shd w:val="clear" w:color="000000" w:fill="FFFFFF"/>
            <w:noWrap w:val="0"/>
            <w:vAlign w:val="center"/>
          </w:tcPr>
          <w:p w14:paraId="2583489B">
            <w:pPr>
              <w:widowControl/>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项 目 名 称</w:t>
            </w:r>
          </w:p>
        </w:tc>
        <w:tc>
          <w:tcPr>
            <w:tcW w:w="1180" w:type="dxa"/>
            <w:gridSpan w:val="2"/>
            <w:tcBorders>
              <w:top w:val="single" w:color="000000" w:sz="4" w:space="0"/>
              <w:left w:val="single" w:color="000000" w:sz="4" w:space="0"/>
              <w:bottom w:val="nil"/>
              <w:right w:val="nil"/>
            </w:tcBorders>
            <w:shd w:val="clear" w:color="000000" w:fill="FFFFFF"/>
            <w:noWrap w:val="0"/>
            <w:vAlign w:val="center"/>
          </w:tcPr>
          <w:p w14:paraId="262B8942">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计量单位</w:t>
            </w:r>
          </w:p>
        </w:tc>
        <w:tc>
          <w:tcPr>
            <w:tcW w:w="2200" w:type="dxa"/>
            <w:gridSpan w:val="3"/>
            <w:tcBorders>
              <w:top w:val="single" w:color="000000" w:sz="4" w:space="0"/>
              <w:left w:val="single" w:color="000000" w:sz="4" w:space="0"/>
              <w:bottom w:val="nil"/>
              <w:right w:val="nil"/>
            </w:tcBorders>
            <w:shd w:val="clear" w:color="000000" w:fill="FFFFFF"/>
            <w:noWrap w:val="0"/>
            <w:vAlign w:val="center"/>
          </w:tcPr>
          <w:p w14:paraId="54625C89">
            <w:pPr>
              <w:widowControl/>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暂定金额(元)</w:t>
            </w:r>
          </w:p>
        </w:tc>
        <w:tc>
          <w:tcPr>
            <w:tcW w:w="2013" w:type="dxa"/>
            <w:gridSpan w:val="2"/>
            <w:tcBorders>
              <w:top w:val="single" w:color="000000" w:sz="4" w:space="0"/>
              <w:left w:val="single" w:color="000000" w:sz="4" w:space="0"/>
              <w:bottom w:val="nil"/>
              <w:right w:val="single" w:color="000000" w:sz="4" w:space="0"/>
            </w:tcBorders>
            <w:shd w:val="clear" w:color="000000" w:fill="FFFFFF"/>
            <w:noWrap w:val="0"/>
            <w:vAlign w:val="center"/>
          </w:tcPr>
          <w:p w14:paraId="41169EE6">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备注</w:t>
            </w:r>
          </w:p>
        </w:tc>
      </w:tr>
      <w:tr w14:paraId="04EC8ECC">
        <w:tblPrEx>
          <w:tblCellMar>
            <w:top w:w="0" w:type="dxa"/>
            <w:left w:w="108" w:type="dxa"/>
            <w:bottom w:w="0" w:type="dxa"/>
            <w:right w:w="108" w:type="dxa"/>
          </w:tblCellMar>
        </w:tblPrEx>
        <w:trPr>
          <w:trHeight w:val="525" w:hRule="atLeast"/>
        </w:trPr>
        <w:tc>
          <w:tcPr>
            <w:tcW w:w="620" w:type="dxa"/>
            <w:tcBorders>
              <w:top w:val="single" w:color="000000" w:sz="4" w:space="0"/>
              <w:left w:val="single" w:color="000000" w:sz="4" w:space="0"/>
              <w:bottom w:val="nil"/>
              <w:right w:val="nil"/>
            </w:tcBorders>
            <w:shd w:val="clear" w:color="000000" w:fill="FFFFFF"/>
            <w:noWrap w:val="0"/>
            <w:vAlign w:val="center"/>
          </w:tcPr>
          <w:p w14:paraId="156E0591">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3500" w:type="dxa"/>
            <w:gridSpan w:val="3"/>
            <w:tcBorders>
              <w:top w:val="single" w:color="000000" w:sz="4" w:space="0"/>
              <w:left w:val="single" w:color="000000" w:sz="4" w:space="0"/>
              <w:bottom w:val="nil"/>
              <w:right w:val="nil"/>
            </w:tcBorders>
            <w:shd w:val="clear" w:color="000000" w:fill="FFFFFF"/>
            <w:noWrap w:val="0"/>
            <w:vAlign w:val="center"/>
          </w:tcPr>
          <w:p w14:paraId="2A6E4809">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标化工地增加费</w:t>
            </w:r>
          </w:p>
        </w:tc>
        <w:tc>
          <w:tcPr>
            <w:tcW w:w="1180" w:type="dxa"/>
            <w:gridSpan w:val="2"/>
            <w:tcBorders>
              <w:top w:val="single" w:color="000000" w:sz="4" w:space="0"/>
              <w:left w:val="single" w:color="000000" w:sz="4" w:space="0"/>
              <w:bottom w:val="nil"/>
              <w:right w:val="nil"/>
            </w:tcBorders>
            <w:shd w:val="clear" w:color="000000" w:fill="FFFFFF"/>
            <w:noWrap w:val="0"/>
            <w:vAlign w:val="center"/>
          </w:tcPr>
          <w:p w14:paraId="02646A7C">
            <w:pPr>
              <w:widowControl/>
              <w:ind w:left="0" w:leftChars="0" w:firstLine="360" w:firstLineChars="20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项</w:t>
            </w:r>
          </w:p>
        </w:tc>
        <w:tc>
          <w:tcPr>
            <w:tcW w:w="2200" w:type="dxa"/>
            <w:gridSpan w:val="3"/>
            <w:tcBorders>
              <w:top w:val="single" w:color="000000" w:sz="4" w:space="0"/>
              <w:left w:val="single" w:color="000000" w:sz="4" w:space="0"/>
              <w:bottom w:val="nil"/>
              <w:right w:val="nil"/>
            </w:tcBorders>
            <w:shd w:val="clear" w:color="000000" w:fill="FFFFFF"/>
            <w:noWrap/>
            <w:vAlign w:val="center"/>
          </w:tcPr>
          <w:p w14:paraId="18927517">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013" w:type="dxa"/>
            <w:gridSpan w:val="2"/>
            <w:tcBorders>
              <w:top w:val="single" w:color="000000" w:sz="4" w:space="0"/>
              <w:left w:val="single" w:color="000000" w:sz="4" w:space="0"/>
              <w:bottom w:val="nil"/>
              <w:right w:val="single" w:color="000000" w:sz="4" w:space="0"/>
            </w:tcBorders>
            <w:shd w:val="clear" w:color="000000" w:fill="FFFFFF"/>
            <w:noWrap w:val="0"/>
            <w:vAlign w:val="center"/>
          </w:tcPr>
          <w:p w14:paraId="1B1EECA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67CA84AC">
        <w:tblPrEx>
          <w:tblCellMar>
            <w:top w:w="0" w:type="dxa"/>
            <w:left w:w="108" w:type="dxa"/>
            <w:bottom w:w="0" w:type="dxa"/>
            <w:right w:w="108" w:type="dxa"/>
          </w:tblCellMar>
        </w:tblPrEx>
        <w:trPr>
          <w:trHeight w:val="525" w:hRule="atLeast"/>
        </w:trPr>
        <w:tc>
          <w:tcPr>
            <w:tcW w:w="620" w:type="dxa"/>
            <w:tcBorders>
              <w:top w:val="single" w:color="000000" w:sz="4" w:space="0"/>
              <w:left w:val="single" w:color="000000" w:sz="4" w:space="0"/>
              <w:bottom w:val="nil"/>
              <w:right w:val="nil"/>
            </w:tcBorders>
            <w:shd w:val="clear" w:color="000000" w:fill="FFFFFF"/>
            <w:noWrap w:val="0"/>
            <w:vAlign w:val="center"/>
          </w:tcPr>
          <w:p w14:paraId="58688CC0">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w:t>
            </w:r>
          </w:p>
        </w:tc>
        <w:tc>
          <w:tcPr>
            <w:tcW w:w="3500" w:type="dxa"/>
            <w:gridSpan w:val="3"/>
            <w:tcBorders>
              <w:top w:val="single" w:color="000000" w:sz="4" w:space="0"/>
              <w:left w:val="single" w:color="000000" w:sz="4" w:space="0"/>
              <w:bottom w:val="nil"/>
              <w:right w:val="nil"/>
            </w:tcBorders>
            <w:shd w:val="clear" w:color="000000" w:fill="FFFFFF"/>
            <w:noWrap w:val="0"/>
            <w:vAlign w:val="center"/>
          </w:tcPr>
          <w:p w14:paraId="6369E2E2">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优质工程增加费</w:t>
            </w:r>
          </w:p>
        </w:tc>
        <w:tc>
          <w:tcPr>
            <w:tcW w:w="1180" w:type="dxa"/>
            <w:gridSpan w:val="2"/>
            <w:tcBorders>
              <w:top w:val="single" w:color="000000" w:sz="4" w:space="0"/>
              <w:left w:val="single" w:color="000000" w:sz="4" w:space="0"/>
              <w:bottom w:val="nil"/>
              <w:right w:val="nil"/>
            </w:tcBorders>
            <w:shd w:val="clear" w:color="000000" w:fill="FFFFFF"/>
            <w:noWrap w:val="0"/>
            <w:vAlign w:val="center"/>
          </w:tcPr>
          <w:p w14:paraId="4A0D246C">
            <w:pPr>
              <w:widowControl/>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项</w:t>
            </w:r>
          </w:p>
        </w:tc>
        <w:tc>
          <w:tcPr>
            <w:tcW w:w="2200" w:type="dxa"/>
            <w:gridSpan w:val="3"/>
            <w:tcBorders>
              <w:top w:val="single" w:color="000000" w:sz="4" w:space="0"/>
              <w:left w:val="single" w:color="000000" w:sz="4" w:space="0"/>
              <w:bottom w:val="nil"/>
              <w:right w:val="nil"/>
            </w:tcBorders>
            <w:shd w:val="clear" w:color="000000" w:fill="FFFFFF"/>
            <w:noWrap/>
            <w:vAlign w:val="center"/>
          </w:tcPr>
          <w:p w14:paraId="34995F01">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013" w:type="dxa"/>
            <w:gridSpan w:val="2"/>
            <w:tcBorders>
              <w:top w:val="single" w:color="000000" w:sz="4" w:space="0"/>
              <w:left w:val="single" w:color="000000" w:sz="4" w:space="0"/>
              <w:bottom w:val="nil"/>
              <w:right w:val="single" w:color="000000" w:sz="4" w:space="0"/>
            </w:tcBorders>
            <w:shd w:val="clear" w:color="000000" w:fill="FFFFFF"/>
            <w:noWrap w:val="0"/>
            <w:vAlign w:val="center"/>
          </w:tcPr>
          <w:p w14:paraId="2CB7156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02693E7D">
        <w:tblPrEx>
          <w:tblCellMar>
            <w:top w:w="0" w:type="dxa"/>
            <w:left w:w="108" w:type="dxa"/>
            <w:bottom w:w="0" w:type="dxa"/>
            <w:right w:w="108" w:type="dxa"/>
          </w:tblCellMar>
        </w:tblPrEx>
        <w:trPr>
          <w:trHeight w:val="525" w:hRule="atLeast"/>
        </w:trPr>
        <w:tc>
          <w:tcPr>
            <w:tcW w:w="620" w:type="dxa"/>
            <w:tcBorders>
              <w:top w:val="single" w:color="000000" w:sz="4" w:space="0"/>
              <w:left w:val="single" w:color="000000" w:sz="4" w:space="0"/>
              <w:bottom w:val="nil"/>
              <w:right w:val="nil"/>
            </w:tcBorders>
            <w:shd w:val="clear" w:color="000000" w:fill="FFFFFF"/>
            <w:noWrap w:val="0"/>
            <w:vAlign w:val="center"/>
          </w:tcPr>
          <w:p w14:paraId="7F8BB1A5">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w:t>
            </w:r>
          </w:p>
        </w:tc>
        <w:tc>
          <w:tcPr>
            <w:tcW w:w="3500" w:type="dxa"/>
            <w:gridSpan w:val="3"/>
            <w:tcBorders>
              <w:top w:val="single" w:color="000000" w:sz="4" w:space="0"/>
              <w:left w:val="single" w:color="000000" w:sz="4" w:space="0"/>
              <w:bottom w:val="nil"/>
              <w:right w:val="nil"/>
            </w:tcBorders>
            <w:shd w:val="clear" w:color="000000" w:fill="FFFFFF"/>
            <w:noWrap w:val="0"/>
            <w:vAlign w:val="center"/>
          </w:tcPr>
          <w:p w14:paraId="718FBE19">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其他暂列金额</w:t>
            </w:r>
          </w:p>
        </w:tc>
        <w:tc>
          <w:tcPr>
            <w:tcW w:w="1180" w:type="dxa"/>
            <w:gridSpan w:val="2"/>
            <w:tcBorders>
              <w:top w:val="single" w:color="000000" w:sz="4" w:space="0"/>
              <w:left w:val="single" w:color="000000" w:sz="4" w:space="0"/>
              <w:bottom w:val="nil"/>
              <w:right w:val="nil"/>
            </w:tcBorders>
            <w:shd w:val="clear" w:color="000000" w:fill="FFFFFF"/>
            <w:noWrap w:val="0"/>
            <w:vAlign w:val="center"/>
          </w:tcPr>
          <w:p w14:paraId="3F4D9294">
            <w:pPr>
              <w:widowControl/>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项</w:t>
            </w:r>
          </w:p>
        </w:tc>
        <w:tc>
          <w:tcPr>
            <w:tcW w:w="2200" w:type="dxa"/>
            <w:gridSpan w:val="3"/>
            <w:tcBorders>
              <w:top w:val="single" w:color="000000" w:sz="4" w:space="0"/>
              <w:left w:val="single" w:color="000000" w:sz="4" w:space="0"/>
              <w:bottom w:val="nil"/>
              <w:right w:val="nil"/>
            </w:tcBorders>
            <w:shd w:val="clear" w:color="000000" w:fill="FFFFFF"/>
            <w:noWrap/>
            <w:vAlign w:val="center"/>
          </w:tcPr>
          <w:p w14:paraId="46F6B949">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013" w:type="dxa"/>
            <w:gridSpan w:val="2"/>
            <w:tcBorders>
              <w:top w:val="single" w:color="000000" w:sz="4" w:space="0"/>
              <w:left w:val="single" w:color="000000" w:sz="4" w:space="0"/>
              <w:bottom w:val="nil"/>
              <w:right w:val="single" w:color="000000" w:sz="4" w:space="0"/>
            </w:tcBorders>
            <w:shd w:val="clear" w:color="000000" w:fill="FFFFFF"/>
            <w:noWrap w:val="0"/>
            <w:vAlign w:val="center"/>
          </w:tcPr>
          <w:p w14:paraId="5E14FF0C">
            <w:pPr>
              <w:widowControl/>
              <w:jc w:val="left"/>
              <w:rPr>
                <w:rFonts w:hint="eastAsia" w:ascii="宋体" w:hAnsi="宋体" w:eastAsia="宋体" w:cs="宋体"/>
                <w:color w:val="auto"/>
                <w:kern w:val="0"/>
                <w:sz w:val="18"/>
                <w:szCs w:val="18"/>
                <w:highlight w:val="none"/>
              </w:rPr>
            </w:pPr>
          </w:p>
        </w:tc>
      </w:tr>
      <w:tr w14:paraId="6C921B58">
        <w:tblPrEx>
          <w:tblCellMar>
            <w:top w:w="0" w:type="dxa"/>
            <w:left w:w="108" w:type="dxa"/>
            <w:bottom w:w="0" w:type="dxa"/>
            <w:right w:w="108" w:type="dxa"/>
          </w:tblCellMar>
        </w:tblPrEx>
        <w:trPr>
          <w:trHeight w:val="525" w:hRule="atLeast"/>
        </w:trPr>
        <w:tc>
          <w:tcPr>
            <w:tcW w:w="620" w:type="dxa"/>
            <w:tcBorders>
              <w:top w:val="single" w:color="000000" w:sz="4" w:space="0"/>
              <w:left w:val="single" w:color="000000" w:sz="4" w:space="0"/>
              <w:bottom w:val="nil"/>
              <w:right w:val="nil"/>
            </w:tcBorders>
            <w:shd w:val="clear" w:color="000000" w:fill="FFFFFF"/>
            <w:noWrap w:val="0"/>
            <w:vAlign w:val="center"/>
          </w:tcPr>
          <w:p w14:paraId="21581CAF">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3.1</w:t>
            </w:r>
          </w:p>
        </w:tc>
        <w:tc>
          <w:tcPr>
            <w:tcW w:w="3500" w:type="dxa"/>
            <w:gridSpan w:val="3"/>
            <w:tcBorders>
              <w:top w:val="single" w:color="000000" w:sz="4" w:space="0"/>
              <w:left w:val="single" w:color="000000" w:sz="4" w:space="0"/>
              <w:bottom w:val="nil"/>
              <w:right w:val="nil"/>
            </w:tcBorders>
            <w:shd w:val="clear" w:color="000000" w:fill="FFFFFF"/>
            <w:noWrap w:val="0"/>
            <w:vAlign w:val="center"/>
          </w:tcPr>
          <w:p w14:paraId="4136A33E">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其他暂列金额</w:t>
            </w:r>
          </w:p>
        </w:tc>
        <w:tc>
          <w:tcPr>
            <w:tcW w:w="1180" w:type="dxa"/>
            <w:gridSpan w:val="2"/>
            <w:tcBorders>
              <w:top w:val="single" w:color="000000" w:sz="4" w:space="0"/>
              <w:left w:val="single" w:color="000000" w:sz="4" w:space="0"/>
              <w:bottom w:val="nil"/>
              <w:right w:val="nil"/>
            </w:tcBorders>
            <w:shd w:val="clear" w:color="000000" w:fill="FFFFFF"/>
            <w:noWrap w:val="0"/>
            <w:vAlign w:val="center"/>
          </w:tcPr>
          <w:p w14:paraId="35C06689">
            <w:pPr>
              <w:widowControl/>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项</w:t>
            </w:r>
          </w:p>
        </w:tc>
        <w:tc>
          <w:tcPr>
            <w:tcW w:w="2200" w:type="dxa"/>
            <w:gridSpan w:val="3"/>
            <w:tcBorders>
              <w:top w:val="single" w:color="000000" w:sz="4" w:space="0"/>
              <w:left w:val="single" w:color="000000" w:sz="4" w:space="0"/>
              <w:bottom w:val="nil"/>
              <w:right w:val="nil"/>
            </w:tcBorders>
            <w:shd w:val="clear" w:color="000000" w:fill="FFFFFF"/>
            <w:noWrap/>
            <w:vAlign w:val="center"/>
          </w:tcPr>
          <w:p w14:paraId="3D09B442">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013" w:type="dxa"/>
            <w:gridSpan w:val="2"/>
            <w:tcBorders>
              <w:top w:val="single" w:color="000000" w:sz="4" w:space="0"/>
              <w:left w:val="single" w:color="000000" w:sz="4" w:space="0"/>
              <w:bottom w:val="nil"/>
              <w:right w:val="single" w:color="000000" w:sz="4" w:space="0"/>
            </w:tcBorders>
            <w:shd w:val="clear" w:color="000000" w:fill="FFFFFF"/>
            <w:noWrap w:val="0"/>
            <w:vAlign w:val="center"/>
          </w:tcPr>
          <w:p w14:paraId="42CCD90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34DEB225">
        <w:tblPrEx>
          <w:tblCellMar>
            <w:top w:w="0" w:type="dxa"/>
            <w:left w:w="108" w:type="dxa"/>
            <w:bottom w:w="0" w:type="dxa"/>
            <w:right w:w="108" w:type="dxa"/>
          </w:tblCellMar>
        </w:tblPrEx>
        <w:trPr>
          <w:trHeight w:val="525" w:hRule="atLeast"/>
        </w:trPr>
        <w:tc>
          <w:tcPr>
            <w:tcW w:w="620" w:type="dxa"/>
            <w:tcBorders>
              <w:top w:val="single" w:color="000000" w:sz="4" w:space="0"/>
              <w:left w:val="single" w:color="000000" w:sz="4" w:space="0"/>
              <w:bottom w:val="nil"/>
              <w:right w:val="nil"/>
            </w:tcBorders>
            <w:shd w:val="clear" w:color="000000" w:fill="FFFFFF"/>
            <w:noWrap w:val="0"/>
            <w:vAlign w:val="center"/>
          </w:tcPr>
          <w:p w14:paraId="1C737674">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3500" w:type="dxa"/>
            <w:gridSpan w:val="3"/>
            <w:tcBorders>
              <w:top w:val="single" w:color="000000" w:sz="4" w:space="0"/>
              <w:left w:val="single" w:color="000000" w:sz="4" w:space="0"/>
              <w:bottom w:val="nil"/>
              <w:right w:val="nil"/>
            </w:tcBorders>
            <w:shd w:val="clear" w:color="000000" w:fill="FFFFFF"/>
            <w:noWrap w:val="0"/>
            <w:vAlign w:val="center"/>
          </w:tcPr>
          <w:p w14:paraId="19FF386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80" w:type="dxa"/>
            <w:gridSpan w:val="2"/>
            <w:tcBorders>
              <w:top w:val="single" w:color="000000" w:sz="4" w:space="0"/>
              <w:left w:val="single" w:color="000000" w:sz="4" w:space="0"/>
              <w:bottom w:val="nil"/>
              <w:right w:val="nil"/>
            </w:tcBorders>
            <w:shd w:val="clear" w:color="000000" w:fill="FFFFFF"/>
            <w:noWrap w:val="0"/>
            <w:vAlign w:val="center"/>
          </w:tcPr>
          <w:p w14:paraId="2B4D6EBF">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200" w:type="dxa"/>
            <w:gridSpan w:val="3"/>
            <w:tcBorders>
              <w:top w:val="single" w:color="000000" w:sz="4" w:space="0"/>
              <w:left w:val="single" w:color="000000" w:sz="4" w:space="0"/>
              <w:bottom w:val="nil"/>
              <w:right w:val="nil"/>
            </w:tcBorders>
            <w:shd w:val="clear" w:color="000000" w:fill="FFFFFF"/>
            <w:noWrap/>
            <w:vAlign w:val="center"/>
          </w:tcPr>
          <w:p w14:paraId="43EED0F2">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013" w:type="dxa"/>
            <w:gridSpan w:val="2"/>
            <w:tcBorders>
              <w:top w:val="single" w:color="000000" w:sz="4" w:space="0"/>
              <w:left w:val="single" w:color="000000" w:sz="4" w:space="0"/>
              <w:bottom w:val="nil"/>
              <w:right w:val="single" w:color="000000" w:sz="4" w:space="0"/>
            </w:tcBorders>
            <w:shd w:val="clear" w:color="000000" w:fill="FFFFFF"/>
            <w:noWrap w:val="0"/>
            <w:vAlign w:val="center"/>
          </w:tcPr>
          <w:p w14:paraId="085A4C7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2AE96B37">
        <w:tblPrEx>
          <w:tblCellMar>
            <w:top w:w="0" w:type="dxa"/>
            <w:left w:w="108" w:type="dxa"/>
            <w:bottom w:w="0" w:type="dxa"/>
            <w:right w:w="108" w:type="dxa"/>
          </w:tblCellMar>
        </w:tblPrEx>
        <w:trPr>
          <w:trHeight w:val="525" w:hRule="atLeast"/>
        </w:trPr>
        <w:tc>
          <w:tcPr>
            <w:tcW w:w="620" w:type="dxa"/>
            <w:tcBorders>
              <w:top w:val="single" w:color="000000" w:sz="4" w:space="0"/>
              <w:left w:val="single" w:color="000000" w:sz="4" w:space="0"/>
              <w:bottom w:val="nil"/>
              <w:right w:val="nil"/>
            </w:tcBorders>
            <w:shd w:val="clear" w:color="000000" w:fill="FFFFFF"/>
            <w:noWrap w:val="0"/>
            <w:vAlign w:val="center"/>
          </w:tcPr>
          <w:p w14:paraId="090AA4C4">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3500" w:type="dxa"/>
            <w:gridSpan w:val="3"/>
            <w:tcBorders>
              <w:top w:val="single" w:color="000000" w:sz="4" w:space="0"/>
              <w:left w:val="single" w:color="000000" w:sz="4" w:space="0"/>
              <w:bottom w:val="nil"/>
              <w:right w:val="nil"/>
            </w:tcBorders>
            <w:shd w:val="clear" w:color="000000" w:fill="FFFFFF"/>
            <w:noWrap w:val="0"/>
            <w:vAlign w:val="center"/>
          </w:tcPr>
          <w:p w14:paraId="39F9CBF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80" w:type="dxa"/>
            <w:gridSpan w:val="2"/>
            <w:tcBorders>
              <w:top w:val="single" w:color="000000" w:sz="4" w:space="0"/>
              <w:left w:val="single" w:color="000000" w:sz="4" w:space="0"/>
              <w:bottom w:val="nil"/>
              <w:right w:val="nil"/>
            </w:tcBorders>
            <w:shd w:val="clear" w:color="000000" w:fill="FFFFFF"/>
            <w:noWrap w:val="0"/>
            <w:vAlign w:val="center"/>
          </w:tcPr>
          <w:p w14:paraId="4E6537CB">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200" w:type="dxa"/>
            <w:gridSpan w:val="3"/>
            <w:tcBorders>
              <w:top w:val="single" w:color="000000" w:sz="4" w:space="0"/>
              <w:left w:val="single" w:color="000000" w:sz="4" w:space="0"/>
              <w:bottom w:val="nil"/>
              <w:right w:val="nil"/>
            </w:tcBorders>
            <w:shd w:val="clear" w:color="000000" w:fill="FFFFFF"/>
            <w:noWrap/>
            <w:vAlign w:val="center"/>
          </w:tcPr>
          <w:p w14:paraId="238F99E1">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013" w:type="dxa"/>
            <w:gridSpan w:val="2"/>
            <w:tcBorders>
              <w:top w:val="single" w:color="000000" w:sz="4" w:space="0"/>
              <w:left w:val="single" w:color="000000" w:sz="4" w:space="0"/>
              <w:bottom w:val="nil"/>
              <w:right w:val="single" w:color="000000" w:sz="4" w:space="0"/>
            </w:tcBorders>
            <w:shd w:val="clear" w:color="000000" w:fill="FFFFFF"/>
            <w:noWrap w:val="0"/>
            <w:vAlign w:val="center"/>
          </w:tcPr>
          <w:p w14:paraId="69CFEBC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5237632B">
        <w:tblPrEx>
          <w:tblCellMar>
            <w:top w:w="0" w:type="dxa"/>
            <w:left w:w="108" w:type="dxa"/>
            <w:bottom w:w="0" w:type="dxa"/>
            <w:right w:w="108" w:type="dxa"/>
          </w:tblCellMar>
        </w:tblPrEx>
        <w:trPr>
          <w:trHeight w:val="525" w:hRule="atLeast"/>
        </w:trPr>
        <w:tc>
          <w:tcPr>
            <w:tcW w:w="620" w:type="dxa"/>
            <w:tcBorders>
              <w:top w:val="single" w:color="000000" w:sz="4" w:space="0"/>
              <w:left w:val="single" w:color="000000" w:sz="4" w:space="0"/>
              <w:bottom w:val="nil"/>
              <w:right w:val="nil"/>
            </w:tcBorders>
            <w:shd w:val="clear" w:color="000000" w:fill="FFFFFF"/>
            <w:noWrap w:val="0"/>
            <w:vAlign w:val="center"/>
          </w:tcPr>
          <w:p w14:paraId="39201C07">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3500" w:type="dxa"/>
            <w:gridSpan w:val="3"/>
            <w:tcBorders>
              <w:top w:val="single" w:color="000000" w:sz="4" w:space="0"/>
              <w:left w:val="single" w:color="000000" w:sz="4" w:space="0"/>
              <w:bottom w:val="nil"/>
              <w:right w:val="nil"/>
            </w:tcBorders>
            <w:shd w:val="clear" w:color="000000" w:fill="FFFFFF"/>
            <w:noWrap w:val="0"/>
            <w:vAlign w:val="center"/>
          </w:tcPr>
          <w:p w14:paraId="35297E6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80" w:type="dxa"/>
            <w:gridSpan w:val="2"/>
            <w:tcBorders>
              <w:top w:val="single" w:color="000000" w:sz="4" w:space="0"/>
              <w:left w:val="single" w:color="000000" w:sz="4" w:space="0"/>
              <w:bottom w:val="nil"/>
              <w:right w:val="nil"/>
            </w:tcBorders>
            <w:shd w:val="clear" w:color="000000" w:fill="FFFFFF"/>
            <w:noWrap w:val="0"/>
            <w:vAlign w:val="center"/>
          </w:tcPr>
          <w:p w14:paraId="0D6A3F39">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200" w:type="dxa"/>
            <w:gridSpan w:val="3"/>
            <w:tcBorders>
              <w:top w:val="single" w:color="000000" w:sz="4" w:space="0"/>
              <w:left w:val="single" w:color="000000" w:sz="4" w:space="0"/>
              <w:bottom w:val="nil"/>
              <w:right w:val="nil"/>
            </w:tcBorders>
            <w:shd w:val="clear" w:color="000000" w:fill="FFFFFF"/>
            <w:noWrap/>
            <w:vAlign w:val="center"/>
          </w:tcPr>
          <w:p w14:paraId="6F3A4056">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013" w:type="dxa"/>
            <w:gridSpan w:val="2"/>
            <w:tcBorders>
              <w:top w:val="single" w:color="000000" w:sz="4" w:space="0"/>
              <w:left w:val="single" w:color="000000" w:sz="4" w:space="0"/>
              <w:bottom w:val="nil"/>
              <w:right w:val="single" w:color="000000" w:sz="4" w:space="0"/>
            </w:tcBorders>
            <w:shd w:val="clear" w:color="000000" w:fill="FFFFFF"/>
            <w:noWrap w:val="0"/>
            <w:vAlign w:val="center"/>
          </w:tcPr>
          <w:p w14:paraId="411B071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4A554C08">
        <w:tblPrEx>
          <w:tblCellMar>
            <w:top w:w="0" w:type="dxa"/>
            <w:left w:w="108" w:type="dxa"/>
            <w:bottom w:w="0" w:type="dxa"/>
            <w:right w:w="108" w:type="dxa"/>
          </w:tblCellMar>
        </w:tblPrEx>
        <w:trPr>
          <w:trHeight w:val="525" w:hRule="atLeast"/>
        </w:trPr>
        <w:tc>
          <w:tcPr>
            <w:tcW w:w="620" w:type="dxa"/>
            <w:tcBorders>
              <w:top w:val="single" w:color="000000" w:sz="4" w:space="0"/>
              <w:left w:val="single" w:color="000000" w:sz="4" w:space="0"/>
              <w:bottom w:val="nil"/>
              <w:right w:val="nil"/>
            </w:tcBorders>
            <w:shd w:val="clear" w:color="000000" w:fill="FFFFFF"/>
            <w:noWrap w:val="0"/>
            <w:vAlign w:val="center"/>
          </w:tcPr>
          <w:p w14:paraId="336FD18B">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3500" w:type="dxa"/>
            <w:gridSpan w:val="3"/>
            <w:tcBorders>
              <w:top w:val="single" w:color="000000" w:sz="4" w:space="0"/>
              <w:left w:val="single" w:color="000000" w:sz="4" w:space="0"/>
              <w:bottom w:val="nil"/>
              <w:right w:val="nil"/>
            </w:tcBorders>
            <w:shd w:val="clear" w:color="000000" w:fill="FFFFFF"/>
            <w:noWrap w:val="0"/>
            <w:vAlign w:val="center"/>
          </w:tcPr>
          <w:p w14:paraId="3ED3F1D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80" w:type="dxa"/>
            <w:gridSpan w:val="2"/>
            <w:tcBorders>
              <w:top w:val="single" w:color="000000" w:sz="4" w:space="0"/>
              <w:left w:val="single" w:color="000000" w:sz="4" w:space="0"/>
              <w:bottom w:val="nil"/>
              <w:right w:val="nil"/>
            </w:tcBorders>
            <w:shd w:val="clear" w:color="000000" w:fill="FFFFFF"/>
            <w:noWrap w:val="0"/>
            <w:vAlign w:val="center"/>
          </w:tcPr>
          <w:p w14:paraId="19DF3EE5">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200" w:type="dxa"/>
            <w:gridSpan w:val="3"/>
            <w:tcBorders>
              <w:top w:val="single" w:color="000000" w:sz="4" w:space="0"/>
              <w:left w:val="single" w:color="000000" w:sz="4" w:space="0"/>
              <w:bottom w:val="nil"/>
              <w:right w:val="nil"/>
            </w:tcBorders>
            <w:shd w:val="clear" w:color="000000" w:fill="FFFFFF"/>
            <w:noWrap/>
            <w:vAlign w:val="center"/>
          </w:tcPr>
          <w:p w14:paraId="2E13D9D6">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013" w:type="dxa"/>
            <w:gridSpan w:val="2"/>
            <w:tcBorders>
              <w:top w:val="single" w:color="000000" w:sz="4" w:space="0"/>
              <w:left w:val="single" w:color="000000" w:sz="4" w:space="0"/>
              <w:bottom w:val="nil"/>
              <w:right w:val="single" w:color="000000" w:sz="4" w:space="0"/>
            </w:tcBorders>
            <w:shd w:val="clear" w:color="000000" w:fill="FFFFFF"/>
            <w:noWrap w:val="0"/>
            <w:vAlign w:val="center"/>
          </w:tcPr>
          <w:p w14:paraId="2EC0EA8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38967A9E">
        <w:tblPrEx>
          <w:tblCellMar>
            <w:top w:w="0" w:type="dxa"/>
            <w:left w:w="108" w:type="dxa"/>
            <w:bottom w:w="0" w:type="dxa"/>
            <w:right w:w="108" w:type="dxa"/>
          </w:tblCellMar>
        </w:tblPrEx>
        <w:trPr>
          <w:trHeight w:val="525" w:hRule="atLeast"/>
        </w:trPr>
        <w:tc>
          <w:tcPr>
            <w:tcW w:w="4120" w:type="dxa"/>
            <w:gridSpan w:val="4"/>
            <w:tcBorders>
              <w:top w:val="single" w:color="000000" w:sz="4" w:space="0"/>
              <w:left w:val="single" w:color="000000" w:sz="4" w:space="0"/>
              <w:bottom w:val="single" w:color="000000" w:sz="4" w:space="0"/>
              <w:right w:val="nil"/>
            </w:tcBorders>
            <w:shd w:val="clear" w:color="000000" w:fill="FFFFFF"/>
            <w:noWrap w:val="0"/>
            <w:vAlign w:val="center"/>
          </w:tcPr>
          <w:p w14:paraId="48F267CD">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合计</w:t>
            </w:r>
          </w:p>
        </w:tc>
        <w:tc>
          <w:tcPr>
            <w:tcW w:w="1180" w:type="dxa"/>
            <w:gridSpan w:val="2"/>
            <w:tcBorders>
              <w:top w:val="single" w:color="000000" w:sz="4" w:space="0"/>
              <w:left w:val="single" w:color="000000" w:sz="4" w:space="0"/>
              <w:bottom w:val="single" w:color="000000" w:sz="4" w:space="0"/>
              <w:right w:val="nil"/>
            </w:tcBorders>
            <w:shd w:val="clear" w:color="000000" w:fill="FFFFFF"/>
            <w:noWrap w:val="0"/>
            <w:vAlign w:val="center"/>
          </w:tcPr>
          <w:p w14:paraId="1B5819CA">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200" w:type="dxa"/>
            <w:gridSpan w:val="3"/>
            <w:tcBorders>
              <w:top w:val="single" w:color="000000" w:sz="4" w:space="0"/>
              <w:left w:val="single" w:color="000000" w:sz="4" w:space="0"/>
              <w:bottom w:val="single" w:color="000000" w:sz="4" w:space="0"/>
              <w:right w:val="nil"/>
            </w:tcBorders>
            <w:shd w:val="clear" w:color="000000" w:fill="FFFFFF"/>
            <w:noWrap/>
            <w:vAlign w:val="center"/>
          </w:tcPr>
          <w:p w14:paraId="48C35814">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013"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4CD3D9D">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r>
      <w:tr w14:paraId="1D2F9152">
        <w:tblPrEx>
          <w:tblCellMar>
            <w:top w:w="0" w:type="dxa"/>
            <w:left w:w="108" w:type="dxa"/>
            <w:bottom w:w="0" w:type="dxa"/>
            <w:right w:w="108" w:type="dxa"/>
          </w:tblCellMar>
        </w:tblPrEx>
        <w:trPr>
          <w:trHeight w:val="900" w:hRule="atLeast"/>
        </w:trPr>
        <w:tc>
          <w:tcPr>
            <w:tcW w:w="9513" w:type="dxa"/>
            <w:gridSpan w:val="11"/>
            <w:tcBorders>
              <w:top w:val="nil"/>
              <w:left w:val="nil"/>
              <w:bottom w:val="nil"/>
              <w:right w:val="nil"/>
            </w:tcBorders>
            <w:shd w:val="clear" w:color="000000" w:fill="FFFFFF"/>
            <w:noWrap w:val="0"/>
            <w:vAlign w:val="center"/>
          </w:tcPr>
          <w:p w14:paraId="44EB8CC3">
            <w:pPr>
              <w:spacing w:line="300" w:lineRule="auto"/>
              <w:jc w:val="left"/>
              <w:rPr>
                <w:rFonts w:hint="eastAsia" w:ascii="宋体" w:hAnsi="宋体" w:eastAsia="宋体" w:cs="宋体"/>
                <w:b/>
                <w:color w:val="auto"/>
                <w:sz w:val="24"/>
                <w:highlight w:val="none"/>
              </w:rPr>
            </w:pPr>
          </w:p>
          <w:p w14:paraId="65630F83">
            <w:pPr>
              <w:widowControl/>
              <w:jc w:val="center"/>
              <w:rPr>
                <w:rFonts w:hint="eastAsia" w:ascii="宋体" w:hAnsi="宋体" w:eastAsia="宋体" w:cs="宋体"/>
                <w:b/>
                <w:bCs/>
                <w:color w:val="auto"/>
                <w:kern w:val="0"/>
                <w:sz w:val="40"/>
                <w:szCs w:val="40"/>
                <w:highlight w:val="none"/>
              </w:rPr>
            </w:pPr>
            <w:r>
              <w:rPr>
                <w:rFonts w:hint="eastAsia" w:ascii="宋体" w:hAnsi="宋体" w:eastAsia="宋体" w:cs="宋体"/>
                <w:b/>
                <w:bCs/>
                <w:color w:val="auto"/>
                <w:kern w:val="0"/>
                <w:sz w:val="32"/>
                <w:szCs w:val="32"/>
                <w:highlight w:val="none"/>
              </w:rPr>
              <w:t>材料（工程设备）暂估单价表</w:t>
            </w:r>
          </w:p>
        </w:tc>
      </w:tr>
      <w:tr w14:paraId="77319F47">
        <w:tblPrEx>
          <w:tblCellMar>
            <w:top w:w="0" w:type="dxa"/>
            <w:left w:w="108" w:type="dxa"/>
            <w:bottom w:w="0" w:type="dxa"/>
            <w:right w:w="108" w:type="dxa"/>
          </w:tblCellMar>
        </w:tblPrEx>
        <w:trPr>
          <w:trHeight w:val="435" w:hRule="atLeast"/>
        </w:trPr>
        <w:tc>
          <w:tcPr>
            <w:tcW w:w="4160" w:type="dxa"/>
            <w:gridSpan w:val="5"/>
            <w:tcBorders>
              <w:top w:val="nil"/>
              <w:left w:val="nil"/>
              <w:bottom w:val="nil"/>
              <w:right w:val="nil"/>
            </w:tcBorders>
            <w:shd w:val="clear" w:color="000000" w:fill="FFFFFF"/>
            <w:noWrap w:val="0"/>
            <w:vAlign w:val="bottom"/>
          </w:tcPr>
          <w:p w14:paraId="53436AC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单位(专业)工程名称: </w:t>
            </w:r>
          </w:p>
        </w:tc>
        <w:tc>
          <w:tcPr>
            <w:tcW w:w="1180" w:type="dxa"/>
            <w:gridSpan w:val="2"/>
            <w:tcBorders>
              <w:top w:val="nil"/>
              <w:left w:val="nil"/>
              <w:bottom w:val="nil"/>
              <w:right w:val="nil"/>
            </w:tcBorders>
            <w:shd w:val="clear" w:color="000000" w:fill="FFFFFF"/>
            <w:noWrap w:val="0"/>
            <w:vAlign w:val="bottom"/>
          </w:tcPr>
          <w:p w14:paraId="45F6A1C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80" w:type="dxa"/>
            <w:tcBorders>
              <w:top w:val="nil"/>
              <w:left w:val="nil"/>
              <w:bottom w:val="nil"/>
              <w:right w:val="nil"/>
            </w:tcBorders>
            <w:shd w:val="clear" w:color="000000" w:fill="FFFFFF"/>
            <w:noWrap w:val="0"/>
            <w:vAlign w:val="bottom"/>
          </w:tcPr>
          <w:p w14:paraId="59AC126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标段:</w:t>
            </w:r>
          </w:p>
        </w:tc>
        <w:tc>
          <w:tcPr>
            <w:tcW w:w="2993" w:type="dxa"/>
            <w:gridSpan w:val="3"/>
            <w:tcBorders>
              <w:top w:val="nil"/>
              <w:left w:val="nil"/>
              <w:bottom w:val="nil"/>
              <w:right w:val="nil"/>
            </w:tcBorders>
            <w:shd w:val="clear" w:color="000000" w:fill="FFFFFF"/>
            <w:noWrap w:val="0"/>
            <w:vAlign w:val="bottom"/>
          </w:tcPr>
          <w:p w14:paraId="4583C5CF">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第 页 共 页</w:t>
            </w:r>
          </w:p>
        </w:tc>
      </w:tr>
      <w:tr w14:paraId="4952BCA1">
        <w:tblPrEx>
          <w:tblCellMar>
            <w:top w:w="0" w:type="dxa"/>
            <w:left w:w="108" w:type="dxa"/>
            <w:bottom w:w="0" w:type="dxa"/>
            <w:right w:w="108" w:type="dxa"/>
          </w:tblCellMar>
        </w:tblPrEx>
        <w:trPr>
          <w:trHeight w:val="885" w:hRule="atLeast"/>
        </w:trPr>
        <w:tc>
          <w:tcPr>
            <w:tcW w:w="640" w:type="dxa"/>
            <w:gridSpan w:val="2"/>
            <w:tcBorders>
              <w:top w:val="single" w:color="000000" w:sz="4" w:space="0"/>
              <w:left w:val="single" w:color="000000" w:sz="4" w:space="0"/>
              <w:bottom w:val="nil"/>
              <w:right w:val="nil"/>
            </w:tcBorders>
            <w:shd w:val="clear" w:color="000000" w:fill="FFFFFF"/>
            <w:noWrap w:val="0"/>
            <w:vAlign w:val="center"/>
          </w:tcPr>
          <w:p w14:paraId="1678F3E8">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序号</w:t>
            </w:r>
          </w:p>
        </w:tc>
        <w:tc>
          <w:tcPr>
            <w:tcW w:w="2500" w:type="dxa"/>
            <w:tcBorders>
              <w:top w:val="single" w:color="000000" w:sz="4" w:space="0"/>
              <w:left w:val="single" w:color="000000" w:sz="4" w:space="0"/>
              <w:bottom w:val="nil"/>
              <w:right w:val="nil"/>
            </w:tcBorders>
            <w:shd w:val="clear" w:color="000000" w:fill="FFFFFF"/>
            <w:noWrap w:val="0"/>
            <w:vAlign w:val="center"/>
          </w:tcPr>
          <w:p w14:paraId="2B1004DD">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材料（工程设备）名称、规格、型号</w:t>
            </w:r>
          </w:p>
        </w:tc>
        <w:tc>
          <w:tcPr>
            <w:tcW w:w="1020" w:type="dxa"/>
            <w:gridSpan w:val="2"/>
            <w:tcBorders>
              <w:top w:val="single" w:color="000000" w:sz="4" w:space="0"/>
              <w:left w:val="single" w:color="000000" w:sz="4" w:space="0"/>
              <w:bottom w:val="nil"/>
              <w:right w:val="nil"/>
            </w:tcBorders>
            <w:shd w:val="clear" w:color="000000" w:fill="FFFFFF"/>
            <w:noWrap w:val="0"/>
            <w:vAlign w:val="center"/>
          </w:tcPr>
          <w:p w14:paraId="04140F30">
            <w:pPr>
              <w:widowControl/>
              <w:ind w:left="0" w:leftChars="0" w:firstLine="0" w:firstLineChars="0"/>
              <w:jc w:val="both"/>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rPr>
              <w:t>计量</w:t>
            </w:r>
          </w:p>
          <w:p w14:paraId="203C7F93">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单位</w:t>
            </w:r>
          </w:p>
        </w:tc>
        <w:tc>
          <w:tcPr>
            <w:tcW w:w="1180" w:type="dxa"/>
            <w:gridSpan w:val="2"/>
            <w:tcBorders>
              <w:top w:val="single" w:color="000000" w:sz="4" w:space="0"/>
              <w:left w:val="single" w:color="000000" w:sz="4" w:space="0"/>
              <w:bottom w:val="nil"/>
              <w:right w:val="nil"/>
            </w:tcBorders>
            <w:shd w:val="clear" w:color="000000" w:fill="FFFFFF"/>
            <w:noWrap w:val="0"/>
            <w:vAlign w:val="center"/>
          </w:tcPr>
          <w:p w14:paraId="1D7EFDC1">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数量</w:t>
            </w:r>
          </w:p>
        </w:tc>
        <w:tc>
          <w:tcPr>
            <w:tcW w:w="1180" w:type="dxa"/>
            <w:tcBorders>
              <w:top w:val="single" w:color="000000" w:sz="4" w:space="0"/>
              <w:left w:val="single" w:color="000000" w:sz="4" w:space="0"/>
              <w:bottom w:val="nil"/>
              <w:right w:val="nil"/>
            </w:tcBorders>
            <w:shd w:val="clear" w:color="000000" w:fill="FFFFFF"/>
            <w:noWrap w:val="0"/>
            <w:vAlign w:val="center"/>
          </w:tcPr>
          <w:p w14:paraId="5C271805">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单价</w:t>
            </w:r>
          </w:p>
        </w:tc>
        <w:tc>
          <w:tcPr>
            <w:tcW w:w="1240" w:type="dxa"/>
            <w:gridSpan w:val="2"/>
            <w:tcBorders>
              <w:top w:val="single" w:color="000000" w:sz="4" w:space="0"/>
              <w:left w:val="single" w:color="000000" w:sz="4" w:space="0"/>
              <w:bottom w:val="nil"/>
              <w:right w:val="nil"/>
            </w:tcBorders>
            <w:shd w:val="clear" w:color="000000" w:fill="FFFFFF"/>
            <w:noWrap w:val="0"/>
            <w:vAlign w:val="center"/>
          </w:tcPr>
          <w:p w14:paraId="48C28CAF">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合价</w:t>
            </w:r>
          </w:p>
        </w:tc>
        <w:tc>
          <w:tcPr>
            <w:tcW w:w="1753" w:type="dxa"/>
            <w:tcBorders>
              <w:top w:val="single" w:color="000000" w:sz="4" w:space="0"/>
              <w:left w:val="single" w:color="000000" w:sz="4" w:space="0"/>
              <w:bottom w:val="nil"/>
              <w:right w:val="single" w:color="000000" w:sz="4" w:space="0"/>
            </w:tcBorders>
            <w:shd w:val="clear" w:color="000000" w:fill="FFFFFF"/>
            <w:noWrap w:val="0"/>
            <w:vAlign w:val="center"/>
          </w:tcPr>
          <w:p w14:paraId="20813361">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备注</w:t>
            </w:r>
          </w:p>
        </w:tc>
      </w:tr>
      <w:tr w14:paraId="11D4BFA1">
        <w:tblPrEx>
          <w:tblCellMar>
            <w:top w:w="0" w:type="dxa"/>
            <w:left w:w="108" w:type="dxa"/>
            <w:bottom w:w="0" w:type="dxa"/>
            <w:right w:w="108" w:type="dxa"/>
          </w:tblCellMar>
        </w:tblPrEx>
        <w:trPr>
          <w:trHeight w:val="435" w:hRule="atLeast"/>
        </w:trPr>
        <w:tc>
          <w:tcPr>
            <w:tcW w:w="640" w:type="dxa"/>
            <w:gridSpan w:val="2"/>
            <w:tcBorders>
              <w:top w:val="single" w:color="000000" w:sz="4" w:space="0"/>
              <w:left w:val="single" w:color="000000" w:sz="4" w:space="0"/>
              <w:bottom w:val="nil"/>
              <w:right w:val="nil"/>
            </w:tcBorders>
            <w:shd w:val="clear" w:color="000000" w:fill="FFFFFF"/>
            <w:noWrap w:val="0"/>
            <w:vAlign w:val="center"/>
          </w:tcPr>
          <w:p w14:paraId="11C4D409">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500" w:type="dxa"/>
            <w:tcBorders>
              <w:top w:val="single" w:color="000000" w:sz="4" w:space="0"/>
              <w:left w:val="single" w:color="000000" w:sz="4" w:space="0"/>
              <w:bottom w:val="nil"/>
              <w:right w:val="nil"/>
            </w:tcBorders>
            <w:shd w:val="clear" w:color="000000" w:fill="FFFFFF"/>
            <w:noWrap w:val="0"/>
            <w:vAlign w:val="center"/>
          </w:tcPr>
          <w:p w14:paraId="59C19FE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020" w:type="dxa"/>
            <w:gridSpan w:val="2"/>
            <w:tcBorders>
              <w:top w:val="single" w:color="000000" w:sz="4" w:space="0"/>
              <w:left w:val="single" w:color="000000" w:sz="4" w:space="0"/>
              <w:bottom w:val="nil"/>
              <w:right w:val="nil"/>
            </w:tcBorders>
            <w:shd w:val="clear" w:color="000000" w:fill="FFFFFF"/>
            <w:noWrap w:val="0"/>
            <w:vAlign w:val="center"/>
          </w:tcPr>
          <w:p w14:paraId="75B07163">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80" w:type="dxa"/>
            <w:gridSpan w:val="2"/>
            <w:tcBorders>
              <w:top w:val="single" w:color="000000" w:sz="4" w:space="0"/>
              <w:left w:val="single" w:color="000000" w:sz="4" w:space="0"/>
              <w:bottom w:val="nil"/>
              <w:right w:val="nil"/>
            </w:tcBorders>
            <w:shd w:val="clear" w:color="000000" w:fill="FFFFFF"/>
            <w:noWrap/>
            <w:vAlign w:val="center"/>
          </w:tcPr>
          <w:p w14:paraId="1259DC9D">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80" w:type="dxa"/>
            <w:tcBorders>
              <w:top w:val="single" w:color="000000" w:sz="4" w:space="0"/>
              <w:left w:val="single" w:color="000000" w:sz="4" w:space="0"/>
              <w:bottom w:val="nil"/>
              <w:right w:val="nil"/>
            </w:tcBorders>
            <w:shd w:val="clear" w:color="000000" w:fill="FFFFFF"/>
            <w:noWrap/>
            <w:vAlign w:val="center"/>
          </w:tcPr>
          <w:p w14:paraId="6D851A41">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40" w:type="dxa"/>
            <w:gridSpan w:val="2"/>
            <w:tcBorders>
              <w:top w:val="single" w:color="000000" w:sz="4" w:space="0"/>
              <w:left w:val="single" w:color="000000" w:sz="4" w:space="0"/>
              <w:bottom w:val="nil"/>
              <w:right w:val="nil"/>
            </w:tcBorders>
            <w:shd w:val="clear" w:color="000000" w:fill="FFFFFF"/>
            <w:noWrap/>
            <w:vAlign w:val="center"/>
          </w:tcPr>
          <w:p w14:paraId="3A026C60">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753" w:type="dxa"/>
            <w:tcBorders>
              <w:top w:val="single" w:color="000000" w:sz="4" w:space="0"/>
              <w:left w:val="single" w:color="000000" w:sz="4" w:space="0"/>
              <w:bottom w:val="nil"/>
              <w:right w:val="single" w:color="000000" w:sz="4" w:space="0"/>
            </w:tcBorders>
            <w:shd w:val="clear" w:color="000000" w:fill="FFFFFF"/>
            <w:noWrap w:val="0"/>
            <w:vAlign w:val="center"/>
          </w:tcPr>
          <w:p w14:paraId="3F4B93A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2EFD4267">
        <w:tblPrEx>
          <w:tblCellMar>
            <w:top w:w="0" w:type="dxa"/>
            <w:left w:w="108" w:type="dxa"/>
            <w:bottom w:w="0" w:type="dxa"/>
            <w:right w:w="108" w:type="dxa"/>
          </w:tblCellMar>
        </w:tblPrEx>
        <w:trPr>
          <w:trHeight w:val="435" w:hRule="atLeast"/>
        </w:trPr>
        <w:tc>
          <w:tcPr>
            <w:tcW w:w="640" w:type="dxa"/>
            <w:gridSpan w:val="2"/>
            <w:tcBorders>
              <w:top w:val="single" w:color="000000" w:sz="4" w:space="0"/>
              <w:left w:val="single" w:color="000000" w:sz="4" w:space="0"/>
              <w:bottom w:val="nil"/>
              <w:right w:val="nil"/>
            </w:tcBorders>
            <w:shd w:val="clear" w:color="000000" w:fill="FFFFFF"/>
            <w:noWrap w:val="0"/>
            <w:vAlign w:val="center"/>
          </w:tcPr>
          <w:p w14:paraId="7A33D802">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500" w:type="dxa"/>
            <w:tcBorders>
              <w:top w:val="single" w:color="000000" w:sz="4" w:space="0"/>
              <w:left w:val="single" w:color="000000" w:sz="4" w:space="0"/>
              <w:bottom w:val="nil"/>
              <w:right w:val="nil"/>
            </w:tcBorders>
            <w:shd w:val="clear" w:color="000000" w:fill="FFFFFF"/>
            <w:noWrap w:val="0"/>
            <w:vAlign w:val="center"/>
          </w:tcPr>
          <w:p w14:paraId="6725DBD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020" w:type="dxa"/>
            <w:gridSpan w:val="2"/>
            <w:tcBorders>
              <w:top w:val="single" w:color="000000" w:sz="4" w:space="0"/>
              <w:left w:val="single" w:color="000000" w:sz="4" w:space="0"/>
              <w:bottom w:val="nil"/>
              <w:right w:val="nil"/>
            </w:tcBorders>
            <w:shd w:val="clear" w:color="000000" w:fill="FFFFFF"/>
            <w:noWrap w:val="0"/>
            <w:vAlign w:val="center"/>
          </w:tcPr>
          <w:p w14:paraId="393161B5">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80" w:type="dxa"/>
            <w:gridSpan w:val="2"/>
            <w:tcBorders>
              <w:top w:val="single" w:color="000000" w:sz="4" w:space="0"/>
              <w:left w:val="single" w:color="000000" w:sz="4" w:space="0"/>
              <w:bottom w:val="nil"/>
              <w:right w:val="nil"/>
            </w:tcBorders>
            <w:shd w:val="clear" w:color="000000" w:fill="FFFFFF"/>
            <w:noWrap/>
            <w:vAlign w:val="center"/>
          </w:tcPr>
          <w:p w14:paraId="5E8514AB">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80" w:type="dxa"/>
            <w:tcBorders>
              <w:top w:val="single" w:color="000000" w:sz="4" w:space="0"/>
              <w:left w:val="single" w:color="000000" w:sz="4" w:space="0"/>
              <w:bottom w:val="nil"/>
              <w:right w:val="nil"/>
            </w:tcBorders>
            <w:shd w:val="clear" w:color="000000" w:fill="FFFFFF"/>
            <w:noWrap/>
            <w:vAlign w:val="center"/>
          </w:tcPr>
          <w:p w14:paraId="53D33B0D">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40" w:type="dxa"/>
            <w:gridSpan w:val="2"/>
            <w:tcBorders>
              <w:top w:val="single" w:color="000000" w:sz="4" w:space="0"/>
              <w:left w:val="single" w:color="000000" w:sz="4" w:space="0"/>
              <w:bottom w:val="nil"/>
              <w:right w:val="nil"/>
            </w:tcBorders>
            <w:shd w:val="clear" w:color="000000" w:fill="FFFFFF"/>
            <w:noWrap/>
            <w:vAlign w:val="center"/>
          </w:tcPr>
          <w:p w14:paraId="11EDF9E4">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753" w:type="dxa"/>
            <w:tcBorders>
              <w:top w:val="single" w:color="000000" w:sz="4" w:space="0"/>
              <w:left w:val="single" w:color="000000" w:sz="4" w:space="0"/>
              <w:bottom w:val="nil"/>
              <w:right w:val="single" w:color="000000" w:sz="4" w:space="0"/>
            </w:tcBorders>
            <w:shd w:val="clear" w:color="000000" w:fill="FFFFFF"/>
            <w:noWrap w:val="0"/>
            <w:vAlign w:val="center"/>
          </w:tcPr>
          <w:p w14:paraId="2994B8D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2DBD4162">
        <w:tblPrEx>
          <w:tblCellMar>
            <w:top w:w="0" w:type="dxa"/>
            <w:left w:w="108" w:type="dxa"/>
            <w:bottom w:w="0" w:type="dxa"/>
            <w:right w:w="108" w:type="dxa"/>
          </w:tblCellMar>
        </w:tblPrEx>
        <w:trPr>
          <w:trHeight w:val="435" w:hRule="atLeast"/>
        </w:trPr>
        <w:tc>
          <w:tcPr>
            <w:tcW w:w="640" w:type="dxa"/>
            <w:gridSpan w:val="2"/>
            <w:tcBorders>
              <w:top w:val="single" w:color="000000" w:sz="4" w:space="0"/>
              <w:left w:val="single" w:color="000000" w:sz="4" w:space="0"/>
              <w:bottom w:val="nil"/>
              <w:right w:val="nil"/>
            </w:tcBorders>
            <w:shd w:val="clear" w:color="000000" w:fill="FFFFFF"/>
            <w:noWrap w:val="0"/>
            <w:vAlign w:val="center"/>
          </w:tcPr>
          <w:p w14:paraId="4FCEE562">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500" w:type="dxa"/>
            <w:tcBorders>
              <w:top w:val="single" w:color="000000" w:sz="4" w:space="0"/>
              <w:left w:val="single" w:color="000000" w:sz="4" w:space="0"/>
              <w:bottom w:val="nil"/>
              <w:right w:val="nil"/>
            </w:tcBorders>
            <w:shd w:val="clear" w:color="000000" w:fill="FFFFFF"/>
            <w:noWrap w:val="0"/>
            <w:vAlign w:val="center"/>
          </w:tcPr>
          <w:p w14:paraId="26ED1B6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020" w:type="dxa"/>
            <w:gridSpan w:val="2"/>
            <w:tcBorders>
              <w:top w:val="single" w:color="000000" w:sz="4" w:space="0"/>
              <w:left w:val="single" w:color="000000" w:sz="4" w:space="0"/>
              <w:bottom w:val="nil"/>
              <w:right w:val="nil"/>
            </w:tcBorders>
            <w:shd w:val="clear" w:color="000000" w:fill="FFFFFF"/>
            <w:noWrap w:val="0"/>
            <w:vAlign w:val="center"/>
          </w:tcPr>
          <w:p w14:paraId="026BD518">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80" w:type="dxa"/>
            <w:gridSpan w:val="2"/>
            <w:tcBorders>
              <w:top w:val="single" w:color="000000" w:sz="4" w:space="0"/>
              <w:left w:val="single" w:color="000000" w:sz="4" w:space="0"/>
              <w:bottom w:val="nil"/>
              <w:right w:val="nil"/>
            </w:tcBorders>
            <w:shd w:val="clear" w:color="000000" w:fill="FFFFFF"/>
            <w:noWrap/>
            <w:vAlign w:val="center"/>
          </w:tcPr>
          <w:p w14:paraId="3BD24828">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80" w:type="dxa"/>
            <w:tcBorders>
              <w:top w:val="single" w:color="000000" w:sz="4" w:space="0"/>
              <w:left w:val="single" w:color="000000" w:sz="4" w:space="0"/>
              <w:bottom w:val="nil"/>
              <w:right w:val="nil"/>
            </w:tcBorders>
            <w:shd w:val="clear" w:color="000000" w:fill="FFFFFF"/>
            <w:noWrap/>
            <w:vAlign w:val="center"/>
          </w:tcPr>
          <w:p w14:paraId="4496FBE8">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40" w:type="dxa"/>
            <w:gridSpan w:val="2"/>
            <w:tcBorders>
              <w:top w:val="single" w:color="000000" w:sz="4" w:space="0"/>
              <w:left w:val="single" w:color="000000" w:sz="4" w:space="0"/>
              <w:bottom w:val="nil"/>
              <w:right w:val="nil"/>
            </w:tcBorders>
            <w:shd w:val="clear" w:color="000000" w:fill="FFFFFF"/>
            <w:noWrap/>
            <w:vAlign w:val="center"/>
          </w:tcPr>
          <w:p w14:paraId="3263DF9C">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753" w:type="dxa"/>
            <w:tcBorders>
              <w:top w:val="single" w:color="000000" w:sz="4" w:space="0"/>
              <w:left w:val="single" w:color="000000" w:sz="4" w:space="0"/>
              <w:bottom w:val="nil"/>
              <w:right w:val="single" w:color="000000" w:sz="4" w:space="0"/>
            </w:tcBorders>
            <w:shd w:val="clear" w:color="000000" w:fill="FFFFFF"/>
            <w:noWrap w:val="0"/>
            <w:vAlign w:val="center"/>
          </w:tcPr>
          <w:p w14:paraId="4EFC8D0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7FF414FC">
        <w:tblPrEx>
          <w:tblCellMar>
            <w:top w:w="0" w:type="dxa"/>
            <w:left w:w="108" w:type="dxa"/>
            <w:bottom w:w="0" w:type="dxa"/>
            <w:right w:w="108" w:type="dxa"/>
          </w:tblCellMar>
        </w:tblPrEx>
        <w:trPr>
          <w:trHeight w:val="435" w:hRule="atLeast"/>
        </w:trPr>
        <w:tc>
          <w:tcPr>
            <w:tcW w:w="640" w:type="dxa"/>
            <w:gridSpan w:val="2"/>
            <w:tcBorders>
              <w:top w:val="single" w:color="000000" w:sz="4" w:space="0"/>
              <w:left w:val="single" w:color="000000" w:sz="4" w:space="0"/>
              <w:bottom w:val="nil"/>
              <w:right w:val="nil"/>
            </w:tcBorders>
            <w:shd w:val="clear" w:color="000000" w:fill="FFFFFF"/>
            <w:noWrap w:val="0"/>
            <w:vAlign w:val="center"/>
          </w:tcPr>
          <w:p w14:paraId="657187A3">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500" w:type="dxa"/>
            <w:tcBorders>
              <w:top w:val="single" w:color="000000" w:sz="4" w:space="0"/>
              <w:left w:val="single" w:color="000000" w:sz="4" w:space="0"/>
              <w:bottom w:val="nil"/>
              <w:right w:val="nil"/>
            </w:tcBorders>
            <w:shd w:val="clear" w:color="000000" w:fill="FFFFFF"/>
            <w:noWrap w:val="0"/>
            <w:vAlign w:val="center"/>
          </w:tcPr>
          <w:p w14:paraId="0ACEF40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020" w:type="dxa"/>
            <w:gridSpan w:val="2"/>
            <w:tcBorders>
              <w:top w:val="single" w:color="000000" w:sz="4" w:space="0"/>
              <w:left w:val="single" w:color="000000" w:sz="4" w:space="0"/>
              <w:bottom w:val="nil"/>
              <w:right w:val="nil"/>
            </w:tcBorders>
            <w:shd w:val="clear" w:color="000000" w:fill="FFFFFF"/>
            <w:noWrap w:val="0"/>
            <w:vAlign w:val="center"/>
          </w:tcPr>
          <w:p w14:paraId="15494DCD">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80" w:type="dxa"/>
            <w:gridSpan w:val="2"/>
            <w:tcBorders>
              <w:top w:val="single" w:color="000000" w:sz="4" w:space="0"/>
              <w:left w:val="single" w:color="000000" w:sz="4" w:space="0"/>
              <w:bottom w:val="nil"/>
              <w:right w:val="nil"/>
            </w:tcBorders>
            <w:shd w:val="clear" w:color="000000" w:fill="FFFFFF"/>
            <w:noWrap/>
            <w:vAlign w:val="center"/>
          </w:tcPr>
          <w:p w14:paraId="3410D25E">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80" w:type="dxa"/>
            <w:tcBorders>
              <w:top w:val="single" w:color="000000" w:sz="4" w:space="0"/>
              <w:left w:val="single" w:color="000000" w:sz="4" w:space="0"/>
              <w:bottom w:val="nil"/>
              <w:right w:val="nil"/>
            </w:tcBorders>
            <w:shd w:val="clear" w:color="000000" w:fill="FFFFFF"/>
            <w:noWrap/>
            <w:vAlign w:val="center"/>
          </w:tcPr>
          <w:p w14:paraId="72FC26CA">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40" w:type="dxa"/>
            <w:gridSpan w:val="2"/>
            <w:tcBorders>
              <w:top w:val="single" w:color="000000" w:sz="4" w:space="0"/>
              <w:left w:val="single" w:color="000000" w:sz="4" w:space="0"/>
              <w:bottom w:val="nil"/>
              <w:right w:val="nil"/>
            </w:tcBorders>
            <w:shd w:val="clear" w:color="000000" w:fill="FFFFFF"/>
            <w:noWrap/>
            <w:vAlign w:val="center"/>
          </w:tcPr>
          <w:p w14:paraId="6EDC94CA">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753" w:type="dxa"/>
            <w:tcBorders>
              <w:top w:val="single" w:color="000000" w:sz="4" w:space="0"/>
              <w:left w:val="single" w:color="000000" w:sz="4" w:space="0"/>
              <w:bottom w:val="nil"/>
              <w:right w:val="single" w:color="000000" w:sz="4" w:space="0"/>
            </w:tcBorders>
            <w:shd w:val="clear" w:color="000000" w:fill="FFFFFF"/>
            <w:noWrap w:val="0"/>
            <w:vAlign w:val="center"/>
          </w:tcPr>
          <w:p w14:paraId="6EFDD7A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79F15E50">
        <w:tblPrEx>
          <w:tblCellMar>
            <w:top w:w="0" w:type="dxa"/>
            <w:left w:w="108" w:type="dxa"/>
            <w:bottom w:w="0" w:type="dxa"/>
            <w:right w:w="108" w:type="dxa"/>
          </w:tblCellMar>
        </w:tblPrEx>
        <w:trPr>
          <w:trHeight w:val="435" w:hRule="atLeast"/>
        </w:trPr>
        <w:tc>
          <w:tcPr>
            <w:tcW w:w="640" w:type="dxa"/>
            <w:gridSpan w:val="2"/>
            <w:tcBorders>
              <w:top w:val="single" w:color="000000" w:sz="4" w:space="0"/>
              <w:left w:val="single" w:color="000000" w:sz="4" w:space="0"/>
              <w:bottom w:val="nil"/>
              <w:right w:val="nil"/>
            </w:tcBorders>
            <w:shd w:val="clear" w:color="000000" w:fill="FFFFFF"/>
            <w:noWrap w:val="0"/>
            <w:vAlign w:val="center"/>
          </w:tcPr>
          <w:p w14:paraId="44A799CD">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500" w:type="dxa"/>
            <w:tcBorders>
              <w:top w:val="single" w:color="000000" w:sz="4" w:space="0"/>
              <w:left w:val="single" w:color="000000" w:sz="4" w:space="0"/>
              <w:bottom w:val="nil"/>
              <w:right w:val="nil"/>
            </w:tcBorders>
            <w:shd w:val="clear" w:color="000000" w:fill="FFFFFF"/>
            <w:noWrap w:val="0"/>
            <w:vAlign w:val="center"/>
          </w:tcPr>
          <w:p w14:paraId="349F176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020" w:type="dxa"/>
            <w:gridSpan w:val="2"/>
            <w:tcBorders>
              <w:top w:val="single" w:color="000000" w:sz="4" w:space="0"/>
              <w:left w:val="single" w:color="000000" w:sz="4" w:space="0"/>
              <w:bottom w:val="nil"/>
              <w:right w:val="nil"/>
            </w:tcBorders>
            <w:shd w:val="clear" w:color="000000" w:fill="FFFFFF"/>
            <w:noWrap w:val="0"/>
            <w:vAlign w:val="center"/>
          </w:tcPr>
          <w:p w14:paraId="783EC0C6">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80" w:type="dxa"/>
            <w:gridSpan w:val="2"/>
            <w:tcBorders>
              <w:top w:val="single" w:color="000000" w:sz="4" w:space="0"/>
              <w:left w:val="single" w:color="000000" w:sz="4" w:space="0"/>
              <w:bottom w:val="nil"/>
              <w:right w:val="nil"/>
            </w:tcBorders>
            <w:shd w:val="clear" w:color="000000" w:fill="FFFFFF"/>
            <w:noWrap/>
            <w:vAlign w:val="center"/>
          </w:tcPr>
          <w:p w14:paraId="5F5377E8">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80" w:type="dxa"/>
            <w:tcBorders>
              <w:top w:val="single" w:color="000000" w:sz="4" w:space="0"/>
              <w:left w:val="single" w:color="000000" w:sz="4" w:space="0"/>
              <w:bottom w:val="nil"/>
              <w:right w:val="nil"/>
            </w:tcBorders>
            <w:shd w:val="clear" w:color="000000" w:fill="FFFFFF"/>
            <w:noWrap/>
            <w:vAlign w:val="center"/>
          </w:tcPr>
          <w:p w14:paraId="2F5C101F">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40" w:type="dxa"/>
            <w:gridSpan w:val="2"/>
            <w:tcBorders>
              <w:top w:val="single" w:color="000000" w:sz="4" w:space="0"/>
              <w:left w:val="single" w:color="000000" w:sz="4" w:space="0"/>
              <w:bottom w:val="nil"/>
              <w:right w:val="nil"/>
            </w:tcBorders>
            <w:shd w:val="clear" w:color="000000" w:fill="FFFFFF"/>
            <w:noWrap/>
            <w:vAlign w:val="center"/>
          </w:tcPr>
          <w:p w14:paraId="7D27A1A9">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753" w:type="dxa"/>
            <w:tcBorders>
              <w:top w:val="single" w:color="000000" w:sz="4" w:space="0"/>
              <w:left w:val="single" w:color="000000" w:sz="4" w:space="0"/>
              <w:bottom w:val="nil"/>
              <w:right w:val="single" w:color="000000" w:sz="4" w:space="0"/>
            </w:tcBorders>
            <w:shd w:val="clear" w:color="000000" w:fill="FFFFFF"/>
            <w:noWrap w:val="0"/>
            <w:vAlign w:val="center"/>
          </w:tcPr>
          <w:p w14:paraId="34C5B65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7CBCE479">
        <w:tblPrEx>
          <w:tblCellMar>
            <w:top w:w="0" w:type="dxa"/>
            <w:left w:w="108" w:type="dxa"/>
            <w:bottom w:w="0" w:type="dxa"/>
            <w:right w:w="108" w:type="dxa"/>
          </w:tblCellMar>
        </w:tblPrEx>
        <w:trPr>
          <w:trHeight w:val="450" w:hRule="atLeast"/>
        </w:trPr>
        <w:tc>
          <w:tcPr>
            <w:tcW w:w="4160" w:type="dxa"/>
            <w:gridSpan w:val="5"/>
            <w:tcBorders>
              <w:top w:val="single" w:color="000000" w:sz="4" w:space="0"/>
              <w:left w:val="single" w:color="000000" w:sz="4" w:space="0"/>
              <w:bottom w:val="single" w:color="000000" w:sz="4" w:space="0"/>
              <w:right w:val="nil"/>
            </w:tcBorders>
            <w:shd w:val="clear" w:color="000000" w:fill="FFFFFF"/>
            <w:noWrap w:val="0"/>
            <w:vAlign w:val="center"/>
          </w:tcPr>
          <w:p w14:paraId="1747F1EF">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合计</w:t>
            </w:r>
          </w:p>
        </w:tc>
        <w:tc>
          <w:tcPr>
            <w:tcW w:w="1180" w:type="dxa"/>
            <w:gridSpan w:val="2"/>
            <w:tcBorders>
              <w:top w:val="single" w:color="000000" w:sz="4" w:space="0"/>
              <w:left w:val="single" w:color="000000" w:sz="4" w:space="0"/>
              <w:bottom w:val="single" w:color="000000" w:sz="4" w:space="0"/>
              <w:right w:val="nil"/>
            </w:tcBorders>
            <w:shd w:val="clear" w:color="000000" w:fill="FFFFFF"/>
            <w:noWrap/>
            <w:vAlign w:val="center"/>
          </w:tcPr>
          <w:p w14:paraId="7C5246AB">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80" w:type="dxa"/>
            <w:tcBorders>
              <w:top w:val="single" w:color="000000" w:sz="4" w:space="0"/>
              <w:left w:val="single" w:color="000000" w:sz="4" w:space="0"/>
              <w:bottom w:val="single" w:color="000000" w:sz="4" w:space="0"/>
              <w:right w:val="nil"/>
            </w:tcBorders>
            <w:shd w:val="clear" w:color="000000" w:fill="FFFFFF"/>
            <w:noWrap/>
            <w:vAlign w:val="center"/>
          </w:tcPr>
          <w:p w14:paraId="3DD445E3">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40" w:type="dxa"/>
            <w:gridSpan w:val="2"/>
            <w:tcBorders>
              <w:top w:val="single" w:color="000000" w:sz="4" w:space="0"/>
              <w:left w:val="single" w:color="000000" w:sz="4" w:space="0"/>
              <w:bottom w:val="single" w:color="000000" w:sz="4" w:space="0"/>
              <w:right w:val="nil"/>
            </w:tcBorders>
            <w:shd w:val="clear" w:color="000000" w:fill="FFFFFF"/>
            <w:noWrap/>
            <w:vAlign w:val="center"/>
          </w:tcPr>
          <w:p w14:paraId="399FE4FC">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753" w:type="dxa"/>
            <w:tcBorders>
              <w:top w:val="single" w:color="000000" w:sz="4" w:space="0"/>
              <w:left w:val="single" w:color="000000" w:sz="4" w:space="0"/>
              <w:bottom w:val="single" w:color="000000" w:sz="4" w:space="0"/>
              <w:right w:val="single" w:color="000000" w:sz="4" w:space="0"/>
            </w:tcBorders>
            <w:shd w:val="clear" w:color="000000" w:fill="FFFFFF"/>
            <w:noWrap w:val="0"/>
            <w:vAlign w:val="bottom"/>
          </w:tcPr>
          <w:p w14:paraId="289AAD6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bl>
    <w:p w14:paraId="03F27503">
      <w:pPr>
        <w:spacing w:line="300" w:lineRule="auto"/>
        <w:jc w:val="left"/>
        <w:rPr>
          <w:rFonts w:hint="eastAsia" w:ascii="宋体" w:hAnsi="宋体" w:eastAsia="宋体" w:cs="宋体"/>
          <w:b/>
          <w:color w:val="auto"/>
          <w:sz w:val="24"/>
          <w:highlight w:val="none"/>
        </w:rPr>
      </w:pPr>
    </w:p>
    <w:p w14:paraId="50F1EECB">
      <w:pPr>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tbl>
      <w:tblPr>
        <w:tblStyle w:val="24"/>
        <w:tblW w:w="9461" w:type="dxa"/>
        <w:tblInd w:w="93" w:type="dxa"/>
        <w:tblLayout w:type="fixed"/>
        <w:tblCellMar>
          <w:top w:w="0" w:type="dxa"/>
          <w:left w:w="108" w:type="dxa"/>
          <w:bottom w:w="0" w:type="dxa"/>
          <w:right w:w="108" w:type="dxa"/>
        </w:tblCellMar>
      </w:tblPr>
      <w:tblGrid>
        <w:gridCol w:w="660"/>
        <w:gridCol w:w="20"/>
        <w:gridCol w:w="2454"/>
        <w:gridCol w:w="567"/>
        <w:gridCol w:w="2000"/>
        <w:gridCol w:w="13"/>
        <w:gridCol w:w="1780"/>
        <w:gridCol w:w="87"/>
        <w:gridCol w:w="1693"/>
        <w:gridCol w:w="187"/>
      </w:tblGrid>
      <w:tr w14:paraId="224CC236">
        <w:tblPrEx>
          <w:tblCellMar>
            <w:top w:w="0" w:type="dxa"/>
            <w:left w:w="108" w:type="dxa"/>
            <w:bottom w:w="0" w:type="dxa"/>
            <w:right w:w="108" w:type="dxa"/>
          </w:tblCellMar>
        </w:tblPrEx>
        <w:trPr>
          <w:trHeight w:val="900" w:hRule="atLeast"/>
        </w:trPr>
        <w:tc>
          <w:tcPr>
            <w:tcW w:w="9461" w:type="dxa"/>
            <w:gridSpan w:val="10"/>
            <w:tcBorders>
              <w:top w:val="nil"/>
              <w:left w:val="nil"/>
              <w:bottom w:val="nil"/>
              <w:right w:val="nil"/>
            </w:tcBorders>
            <w:shd w:val="clear" w:color="000000" w:fill="FFFFFF"/>
            <w:noWrap w:val="0"/>
            <w:vAlign w:val="center"/>
          </w:tcPr>
          <w:p w14:paraId="6DD3DD30">
            <w:pPr>
              <w:widowControl/>
              <w:jc w:val="center"/>
              <w:rPr>
                <w:rFonts w:hint="eastAsia" w:ascii="宋体" w:hAnsi="宋体" w:eastAsia="宋体" w:cs="宋体"/>
                <w:b/>
                <w:bCs/>
                <w:color w:val="auto"/>
                <w:kern w:val="0"/>
                <w:sz w:val="40"/>
                <w:szCs w:val="40"/>
                <w:highlight w:val="none"/>
              </w:rPr>
            </w:pPr>
            <w:r>
              <w:rPr>
                <w:rFonts w:hint="eastAsia" w:ascii="宋体" w:hAnsi="宋体" w:eastAsia="宋体" w:cs="宋体"/>
                <w:b/>
                <w:bCs/>
                <w:color w:val="auto"/>
                <w:kern w:val="0"/>
                <w:sz w:val="32"/>
                <w:szCs w:val="32"/>
                <w:highlight w:val="none"/>
              </w:rPr>
              <w:t>专业工程暂估价表</w:t>
            </w:r>
          </w:p>
        </w:tc>
      </w:tr>
      <w:tr w14:paraId="117E06B2">
        <w:tblPrEx>
          <w:tblCellMar>
            <w:top w:w="0" w:type="dxa"/>
            <w:left w:w="108" w:type="dxa"/>
            <w:bottom w:w="0" w:type="dxa"/>
            <w:right w:w="108" w:type="dxa"/>
          </w:tblCellMar>
        </w:tblPrEx>
        <w:trPr>
          <w:trHeight w:val="435" w:hRule="atLeast"/>
        </w:trPr>
        <w:tc>
          <w:tcPr>
            <w:tcW w:w="3701" w:type="dxa"/>
            <w:gridSpan w:val="4"/>
            <w:tcBorders>
              <w:top w:val="nil"/>
              <w:left w:val="nil"/>
              <w:bottom w:val="nil"/>
              <w:right w:val="nil"/>
            </w:tcBorders>
            <w:shd w:val="clear" w:color="000000" w:fill="FFFFFF"/>
            <w:noWrap w:val="0"/>
            <w:vAlign w:val="bottom"/>
          </w:tcPr>
          <w:p w14:paraId="1E81631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单位(专业)工程名称: </w:t>
            </w:r>
          </w:p>
        </w:tc>
        <w:tc>
          <w:tcPr>
            <w:tcW w:w="2000" w:type="dxa"/>
            <w:tcBorders>
              <w:top w:val="nil"/>
              <w:left w:val="nil"/>
              <w:bottom w:val="nil"/>
              <w:right w:val="nil"/>
            </w:tcBorders>
            <w:shd w:val="clear" w:color="000000" w:fill="FFFFFF"/>
            <w:noWrap w:val="0"/>
            <w:vAlign w:val="bottom"/>
          </w:tcPr>
          <w:p w14:paraId="229D253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标段:</w:t>
            </w:r>
          </w:p>
        </w:tc>
        <w:tc>
          <w:tcPr>
            <w:tcW w:w="3760" w:type="dxa"/>
            <w:gridSpan w:val="5"/>
            <w:tcBorders>
              <w:top w:val="nil"/>
              <w:left w:val="nil"/>
              <w:bottom w:val="nil"/>
              <w:right w:val="nil"/>
            </w:tcBorders>
            <w:shd w:val="clear" w:color="000000" w:fill="FFFFFF"/>
            <w:noWrap w:val="0"/>
            <w:vAlign w:val="bottom"/>
          </w:tcPr>
          <w:p w14:paraId="1E86306B">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第 页 共 页</w:t>
            </w:r>
          </w:p>
        </w:tc>
      </w:tr>
      <w:tr w14:paraId="1C8D0461">
        <w:tblPrEx>
          <w:tblCellMar>
            <w:top w:w="0" w:type="dxa"/>
            <w:left w:w="108" w:type="dxa"/>
            <w:bottom w:w="0" w:type="dxa"/>
            <w:right w:w="108" w:type="dxa"/>
          </w:tblCellMar>
        </w:tblPrEx>
        <w:trPr>
          <w:trHeight w:val="525" w:hRule="atLeast"/>
        </w:trPr>
        <w:tc>
          <w:tcPr>
            <w:tcW w:w="680" w:type="dxa"/>
            <w:gridSpan w:val="2"/>
            <w:tcBorders>
              <w:top w:val="single" w:color="000000" w:sz="4" w:space="0"/>
              <w:left w:val="single" w:color="000000" w:sz="4" w:space="0"/>
              <w:bottom w:val="nil"/>
              <w:right w:val="nil"/>
            </w:tcBorders>
            <w:shd w:val="clear" w:color="000000" w:fill="FFFFFF"/>
            <w:noWrap w:val="0"/>
            <w:vAlign w:val="center"/>
          </w:tcPr>
          <w:p w14:paraId="57327E2A">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序号</w:t>
            </w:r>
          </w:p>
        </w:tc>
        <w:tc>
          <w:tcPr>
            <w:tcW w:w="3021" w:type="dxa"/>
            <w:gridSpan w:val="2"/>
            <w:tcBorders>
              <w:top w:val="single" w:color="000000" w:sz="4" w:space="0"/>
              <w:left w:val="single" w:color="000000" w:sz="4" w:space="0"/>
              <w:bottom w:val="nil"/>
              <w:right w:val="nil"/>
            </w:tcBorders>
            <w:shd w:val="clear" w:color="000000" w:fill="FFFFFF"/>
            <w:noWrap w:val="0"/>
            <w:vAlign w:val="center"/>
          </w:tcPr>
          <w:p w14:paraId="2F116268">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工 程 名 称</w:t>
            </w:r>
          </w:p>
        </w:tc>
        <w:tc>
          <w:tcPr>
            <w:tcW w:w="2000" w:type="dxa"/>
            <w:tcBorders>
              <w:top w:val="single" w:color="000000" w:sz="4" w:space="0"/>
              <w:left w:val="single" w:color="000000" w:sz="4" w:space="0"/>
              <w:bottom w:val="nil"/>
              <w:right w:val="nil"/>
            </w:tcBorders>
            <w:shd w:val="clear" w:color="000000" w:fill="FFFFFF"/>
            <w:noWrap w:val="0"/>
            <w:vAlign w:val="center"/>
          </w:tcPr>
          <w:p w14:paraId="2FF077B5">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工程内容</w:t>
            </w:r>
          </w:p>
        </w:tc>
        <w:tc>
          <w:tcPr>
            <w:tcW w:w="1880" w:type="dxa"/>
            <w:gridSpan w:val="3"/>
            <w:tcBorders>
              <w:top w:val="single" w:color="000000" w:sz="4" w:space="0"/>
              <w:left w:val="single" w:color="000000" w:sz="4" w:space="0"/>
              <w:bottom w:val="nil"/>
              <w:right w:val="nil"/>
            </w:tcBorders>
            <w:shd w:val="clear" w:color="000000" w:fill="FFFFFF"/>
            <w:noWrap w:val="0"/>
            <w:vAlign w:val="center"/>
          </w:tcPr>
          <w:p w14:paraId="394CD975">
            <w:pPr>
              <w:widowControl/>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暂估金额(元)</w:t>
            </w:r>
          </w:p>
        </w:tc>
        <w:tc>
          <w:tcPr>
            <w:tcW w:w="1880" w:type="dxa"/>
            <w:gridSpan w:val="2"/>
            <w:tcBorders>
              <w:top w:val="single" w:color="000000" w:sz="4" w:space="0"/>
              <w:left w:val="single" w:color="000000" w:sz="4" w:space="0"/>
              <w:bottom w:val="nil"/>
              <w:right w:val="single" w:color="000000" w:sz="4" w:space="0"/>
            </w:tcBorders>
            <w:shd w:val="clear" w:color="000000" w:fill="FFFFFF"/>
            <w:noWrap w:val="0"/>
            <w:vAlign w:val="center"/>
          </w:tcPr>
          <w:p w14:paraId="7AF97C10">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备注</w:t>
            </w:r>
          </w:p>
        </w:tc>
      </w:tr>
      <w:tr w14:paraId="38E4DF22">
        <w:tblPrEx>
          <w:tblCellMar>
            <w:top w:w="0" w:type="dxa"/>
            <w:left w:w="108" w:type="dxa"/>
            <w:bottom w:w="0" w:type="dxa"/>
            <w:right w:w="108" w:type="dxa"/>
          </w:tblCellMar>
        </w:tblPrEx>
        <w:trPr>
          <w:trHeight w:val="525" w:hRule="atLeast"/>
        </w:trPr>
        <w:tc>
          <w:tcPr>
            <w:tcW w:w="680" w:type="dxa"/>
            <w:gridSpan w:val="2"/>
            <w:tcBorders>
              <w:top w:val="single" w:color="000000" w:sz="4" w:space="0"/>
              <w:left w:val="single" w:color="000000" w:sz="4" w:space="0"/>
              <w:bottom w:val="nil"/>
              <w:right w:val="nil"/>
            </w:tcBorders>
            <w:shd w:val="clear" w:color="000000" w:fill="FFFFFF"/>
            <w:noWrap w:val="0"/>
            <w:vAlign w:val="center"/>
          </w:tcPr>
          <w:p w14:paraId="0ADD9234">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3021" w:type="dxa"/>
            <w:gridSpan w:val="2"/>
            <w:tcBorders>
              <w:top w:val="single" w:color="000000" w:sz="4" w:space="0"/>
              <w:left w:val="single" w:color="000000" w:sz="4" w:space="0"/>
              <w:bottom w:val="nil"/>
              <w:right w:val="nil"/>
            </w:tcBorders>
            <w:shd w:val="clear" w:color="000000" w:fill="FFFFFF"/>
            <w:noWrap w:val="0"/>
            <w:vAlign w:val="center"/>
          </w:tcPr>
          <w:p w14:paraId="60A62C2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000" w:type="dxa"/>
            <w:tcBorders>
              <w:top w:val="single" w:color="000000" w:sz="4" w:space="0"/>
              <w:left w:val="single" w:color="000000" w:sz="4" w:space="0"/>
              <w:bottom w:val="nil"/>
              <w:right w:val="nil"/>
            </w:tcBorders>
            <w:shd w:val="clear" w:color="000000" w:fill="FFFFFF"/>
            <w:noWrap w:val="0"/>
            <w:vAlign w:val="center"/>
          </w:tcPr>
          <w:p w14:paraId="1317C79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880" w:type="dxa"/>
            <w:gridSpan w:val="3"/>
            <w:tcBorders>
              <w:top w:val="single" w:color="000000" w:sz="4" w:space="0"/>
              <w:left w:val="single" w:color="000000" w:sz="4" w:space="0"/>
              <w:bottom w:val="nil"/>
              <w:right w:val="nil"/>
            </w:tcBorders>
            <w:shd w:val="clear" w:color="000000" w:fill="FFFFFF"/>
            <w:noWrap/>
            <w:vAlign w:val="center"/>
          </w:tcPr>
          <w:p w14:paraId="263063BC">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880" w:type="dxa"/>
            <w:gridSpan w:val="2"/>
            <w:tcBorders>
              <w:top w:val="single" w:color="000000" w:sz="4" w:space="0"/>
              <w:left w:val="single" w:color="000000" w:sz="4" w:space="0"/>
              <w:bottom w:val="nil"/>
              <w:right w:val="single" w:color="000000" w:sz="4" w:space="0"/>
            </w:tcBorders>
            <w:shd w:val="clear" w:color="000000" w:fill="FFFFFF"/>
            <w:noWrap w:val="0"/>
            <w:vAlign w:val="center"/>
          </w:tcPr>
          <w:p w14:paraId="0430D9D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159E48F2">
        <w:tblPrEx>
          <w:tblCellMar>
            <w:top w:w="0" w:type="dxa"/>
            <w:left w:w="108" w:type="dxa"/>
            <w:bottom w:w="0" w:type="dxa"/>
            <w:right w:w="108" w:type="dxa"/>
          </w:tblCellMar>
        </w:tblPrEx>
        <w:trPr>
          <w:trHeight w:val="525" w:hRule="atLeast"/>
        </w:trPr>
        <w:tc>
          <w:tcPr>
            <w:tcW w:w="680" w:type="dxa"/>
            <w:gridSpan w:val="2"/>
            <w:tcBorders>
              <w:top w:val="single" w:color="000000" w:sz="4" w:space="0"/>
              <w:left w:val="single" w:color="000000" w:sz="4" w:space="0"/>
              <w:bottom w:val="nil"/>
              <w:right w:val="nil"/>
            </w:tcBorders>
            <w:shd w:val="clear" w:color="000000" w:fill="FFFFFF"/>
            <w:noWrap w:val="0"/>
            <w:vAlign w:val="center"/>
          </w:tcPr>
          <w:p w14:paraId="7BF8F076">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3021" w:type="dxa"/>
            <w:gridSpan w:val="2"/>
            <w:tcBorders>
              <w:top w:val="single" w:color="000000" w:sz="4" w:space="0"/>
              <w:left w:val="single" w:color="000000" w:sz="4" w:space="0"/>
              <w:bottom w:val="nil"/>
              <w:right w:val="nil"/>
            </w:tcBorders>
            <w:shd w:val="clear" w:color="000000" w:fill="FFFFFF"/>
            <w:noWrap w:val="0"/>
            <w:vAlign w:val="center"/>
          </w:tcPr>
          <w:p w14:paraId="698984B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000" w:type="dxa"/>
            <w:tcBorders>
              <w:top w:val="single" w:color="000000" w:sz="4" w:space="0"/>
              <w:left w:val="single" w:color="000000" w:sz="4" w:space="0"/>
              <w:bottom w:val="nil"/>
              <w:right w:val="nil"/>
            </w:tcBorders>
            <w:shd w:val="clear" w:color="000000" w:fill="FFFFFF"/>
            <w:noWrap w:val="0"/>
            <w:vAlign w:val="center"/>
          </w:tcPr>
          <w:p w14:paraId="2AB218E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880" w:type="dxa"/>
            <w:gridSpan w:val="3"/>
            <w:tcBorders>
              <w:top w:val="single" w:color="000000" w:sz="4" w:space="0"/>
              <w:left w:val="single" w:color="000000" w:sz="4" w:space="0"/>
              <w:bottom w:val="nil"/>
              <w:right w:val="nil"/>
            </w:tcBorders>
            <w:shd w:val="clear" w:color="000000" w:fill="FFFFFF"/>
            <w:noWrap/>
            <w:vAlign w:val="center"/>
          </w:tcPr>
          <w:p w14:paraId="1E8C04F3">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880" w:type="dxa"/>
            <w:gridSpan w:val="2"/>
            <w:tcBorders>
              <w:top w:val="single" w:color="000000" w:sz="4" w:space="0"/>
              <w:left w:val="single" w:color="000000" w:sz="4" w:space="0"/>
              <w:bottom w:val="nil"/>
              <w:right w:val="single" w:color="000000" w:sz="4" w:space="0"/>
            </w:tcBorders>
            <w:shd w:val="clear" w:color="000000" w:fill="FFFFFF"/>
            <w:noWrap w:val="0"/>
            <w:vAlign w:val="center"/>
          </w:tcPr>
          <w:p w14:paraId="4E3CF76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2D95A2BF">
        <w:tblPrEx>
          <w:tblCellMar>
            <w:top w:w="0" w:type="dxa"/>
            <w:left w:w="108" w:type="dxa"/>
            <w:bottom w:w="0" w:type="dxa"/>
            <w:right w:w="108" w:type="dxa"/>
          </w:tblCellMar>
        </w:tblPrEx>
        <w:trPr>
          <w:trHeight w:val="525" w:hRule="atLeast"/>
        </w:trPr>
        <w:tc>
          <w:tcPr>
            <w:tcW w:w="680" w:type="dxa"/>
            <w:gridSpan w:val="2"/>
            <w:tcBorders>
              <w:top w:val="single" w:color="000000" w:sz="4" w:space="0"/>
              <w:left w:val="single" w:color="000000" w:sz="4" w:space="0"/>
              <w:bottom w:val="nil"/>
              <w:right w:val="nil"/>
            </w:tcBorders>
            <w:shd w:val="clear" w:color="000000" w:fill="FFFFFF"/>
            <w:noWrap w:val="0"/>
            <w:vAlign w:val="center"/>
          </w:tcPr>
          <w:p w14:paraId="2092760B">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3021" w:type="dxa"/>
            <w:gridSpan w:val="2"/>
            <w:tcBorders>
              <w:top w:val="single" w:color="000000" w:sz="4" w:space="0"/>
              <w:left w:val="single" w:color="000000" w:sz="4" w:space="0"/>
              <w:bottom w:val="nil"/>
              <w:right w:val="nil"/>
            </w:tcBorders>
            <w:shd w:val="clear" w:color="000000" w:fill="FFFFFF"/>
            <w:noWrap w:val="0"/>
            <w:vAlign w:val="center"/>
          </w:tcPr>
          <w:p w14:paraId="6A3F270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000" w:type="dxa"/>
            <w:tcBorders>
              <w:top w:val="single" w:color="000000" w:sz="4" w:space="0"/>
              <w:left w:val="single" w:color="000000" w:sz="4" w:space="0"/>
              <w:bottom w:val="nil"/>
              <w:right w:val="nil"/>
            </w:tcBorders>
            <w:shd w:val="clear" w:color="000000" w:fill="FFFFFF"/>
            <w:noWrap w:val="0"/>
            <w:vAlign w:val="center"/>
          </w:tcPr>
          <w:p w14:paraId="02E80B4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880" w:type="dxa"/>
            <w:gridSpan w:val="3"/>
            <w:tcBorders>
              <w:top w:val="single" w:color="000000" w:sz="4" w:space="0"/>
              <w:left w:val="single" w:color="000000" w:sz="4" w:space="0"/>
              <w:bottom w:val="nil"/>
              <w:right w:val="nil"/>
            </w:tcBorders>
            <w:shd w:val="clear" w:color="000000" w:fill="FFFFFF"/>
            <w:noWrap/>
            <w:vAlign w:val="center"/>
          </w:tcPr>
          <w:p w14:paraId="686D69DB">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880" w:type="dxa"/>
            <w:gridSpan w:val="2"/>
            <w:tcBorders>
              <w:top w:val="single" w:color="000000" w:sz="4" w:space="0"/>
              <w:left w:val="single" w:color="000000" w:sz="4" w:space="0"/>
              <w:bottom w:val="nil"/>
              <w:right w:val="single" w:color="000000" w:sz="4" w:space="0"/>
            </w:tcBorders>
            <w:shd w:val="clear" w:color="000000" w:fill="FFFFFF"/>
            <w:noWrap w:val="0"/>
            <w:vAlign w:val="center"/>
          </w:tcPr>
          <w:p w14:paraId="06F41C9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7CB31C5E">
        <w:tblPrEx>
          <w:tblCellMar>
            <w:top w:w="0" w:type="dxa"/>
            <w:left w:w="108" w:type="dxa"/>
            <w:bottom w:w="0" w:type="dxa"/>
            <w:right w:w="108" w:type="dxa"/>
          </w:tblCellMar>
        </w:tblPrEx>
        <w:trPr>
          <w:trHeight w:val="525" w:hRule="atLeast"/>
        </w:trPr>
        <w:tc>
          <w:tcPr>
            <w:tcW w:w="680" w:type="dxa"/>
            <w:gridSpan w:val="2"/>
            <w:tcBorders>
              <w:top w:val="single" w:color="000000" w:sz="4" w:space="0"/>
              <w:left w:val="single" w:color="000000" w:sz="4" w:space="0"/>
              <w:bottom w:val="nil"/>
              <w:right w:val="nil"/>
            </w:tcBorders>
            <w:shd w:val="clear" w:color="000000" w:fill="FFFFFF"/>
            <w:noWrap w:val="0"/>
            <w:vAlign w:val="center"/>
          </w:tcPr>
          <w:p w14:paraId="7BBC1EAA">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3021" w:type="dxa"/>
            <w:gridSpan w:val="2"/>
            <w:tcBorders>
              <w:top w:val="single" w:color="000000" w:sz="4" w:space="0"/>
              <w:left w:val="single" w:color="000000" w:sz="4" w:space="0"/>
              <w:bottom w:val="nil"/>
              <w:right w:val="nil"/>
            </w:tcBorders>
            <w:shd w:val="clear" w:color="000000" w:fill="FFFFFF"/>
            <w:noWrap w:val="0"/>
            <w:vAlign w:val="center"/>
          </w:tcPr>
          <w:p w14:paraId="5A8AFF6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000" w:type="dxa"/>
            <w:tcBorders>
              <w:top w:val="single" w:color="000000" w:sz="4" w:space="0"/>
              <w:left w:val="single" w:color="000000" w:sz="4" w:space="0"/>
              <w:bottom w:val="nil"/>
              <w:right w:val="nil"/>
            </w:tcBorders>
            <w:shd w:val="clear" w:color="000000" w:fill="FFFFFF"/>
            <w:noWrap w:val="0"/>
            <w:vAlign w:val="center"/>
          </w:tcPr>
          <w:p w14:paraId="610483D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880" w:type="dxa"/>
            <w:gridSpan w:val="3"/>
            <w:tcBorders>
              <w:top w:val="single" w:color="000000" w:sz="4" w:space="0"/>
              <w:left w:val="single" w:color="000000" w:sz="4" w:space="0"/>
              <w:bottom w:val="nil"/>
              <w:right w:val="nil"/>
            </w:tcBorders>
            <w:shd w:val="clear" w:color="000000" w:fill="FFFFFF"/>
            <w:noWrap/>
            <w:vAlign w:val="center"/>
          </w:tcPr>
          <w:p w14:paraId="3490B4BE">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880" w:type="dxa"/>
            <w:gridSpan w:val="2"/>
            <w:tcBorders>
              <w:top w:val="single" w:color="000000" w:sz="4" w:space="0"/>
              <w:left w:val="single" w:color="000000" w:sz="4" w:space="0"/>
              <w:bottom w:val="nil"/>
              <w:right w:val="single" w:color="000000" w:sz="4" w:space="0"/>
            </w:tcBorders>
            <w:shd w:val="clear" w:color="000000" w:fill="FFFFFF"/>
            <w:noWrap w:val="0"/>
            <w:vAlign w:val="center"/>
          </w:tcPr>
          <w:p w14:paraId="439F90C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74B0E761">
        <w:tblPrEx>
          <w:tblCellMar>
            <w:top w:w="0" w:type="dxa"/>
            <w:left w:w="108" w:type="dxa"/>
            <w:bottom w:w="0" w:type="dxa"/>
            <w:right w:w="108" w:type="dxa"/>
          </w:tblCellMar>
        </w:tblPrEx>
        <w:trPr>
          <w:trHeight w:val="525" w:hRule="atLeast"/>
        </w:trPr>
        <w:tc>
          <w:tcPr>
            <w:tcW w:w="680" w:type="dxa"/>
            <w:gridSpan w:val="2"/>
            <w:tcBorders>
              <w:top w:val="single" w:color="000000" w:sz="4" w:space="0"/>
              <w:left w:val="single" w:color="000000" w:sz="4" w:space="0"/>
              <w:bottom w:val="nil"/>
              <w:right w:val="nil"/>
            </w:tcBorders>
            <w:shd w:val="clear" w:color="000000" w:fill="FFFFFF"/>
            <w:noWrap w:val="0"/>
            <w:vAlign w:val="center"/>
          </w:tcPr>
          <w:p w14:paraId="3A5A19DD">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3021" w:type="dxa"/>
            <w:gridSpan w:val="2"/>
            <w:tcBorders>
              <w:top w:val="single" w:color="000000" w:sz="4" w:space="0"/>
              <w:left w:val="single" w:color="000000" w:sz="4" w:space="0"/>
              <w:bottom w:val="nil"/>
              <w:right w:val="nil"/>
            </w:tcBorders>
            <w:shd w:val="clear" w:color="000000" w:fill="FFFFFF"/>
            <w:noWrap w:val="0"/>
            <w:vAlign w:val="center"/>
          </w:tcPr>
          <w:p w14:paraId="28E6BAC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000" w:type="dxa"/>
            <w:tcBorders>
              <w:top w:val="single" w:color="000000" w:sz="4" w:space="0"/>
              <w:left w:val="single" w:color="000000" w:sz="4" w:space="0"/>
              <w:bottom w:val="nil"/>
              <w:right w:val="nil"/>
            </w:tcBorders>
            <w:shd w:val="clear" w:color="000000" w:fill="FFFFFF"/>
            <w:noWrap w:val="0"/>
            <w:vAlign w:val="center"/>
          </w:tcPr>
          <w:p w14:paraId="067C416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880" w:type="dxa"/>
            <w:gridSpan w:val="3"/>
            <w:tcBorders>
              <w:top w:val="single" w:color="000000" w:sz="4" w:space="0"/>
              <w:left w:val="single" w:color="000000" w:sz="4" w:space="0"/>
              <w:bottom w:val="nil"/>
              <w:right w:val="nil"/>
            </w:tcBorders>
            <w:shd w:val="clear" w:color="000000" w:fill="FFFFFF"/>
            <w:noWrap/>
            <w:vAlign w:val="center"/>
          </w:tcPr>
          <w:p w14:paraId="55271B72">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880" w:type="dxa"/>
            <w:gridSpan w:val="2"/>
            <w:tcBorders>
              <w:top w:val="single" w:color="000000" w:sz="4" w:space="0"/>
              <w:left w:val="single" w:color="000000" w:sz="4" w:space="0"/>
              <w:bottom w:val="nil"/>
              <w:right w:val="single" w:color="000000" w:sz="4" w:space="0"/>
            </w:tcBorders>
            <w:shd w:val="clear" w:color="000000" w:fill="FFFFFF"/>
            <w:noWrap w:val="0"/>
            <w:vAlign w:val="center"/>
          </w:tcPr>
          <w:p w14:paraId="77F4E2D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3FCBCDBE">
        <w:tblPrEx>
          <w:tblCellMar>
            <w:top w:w="0" w:type="dxa"/>
            <w:left w:w="108" w:type="dxa"/>
            <w:bottom w:w="0" w:type="dxa"/>
            <w:right w:w="108" w:type="dxa"/>
          </w:tblCellMar>
        </w:tblPrEx>
        <w:trPr>
          <w:trHeight w:val="525" w:hRule="atLeast"/>
        </w:trPr>
        <w:tc>
          <w:tcPr>
            <w:tcW w:w="680" w:type="dxa"/>
            <w:gridSpan w:val="2"/>
            <w:tcBorders>
              <w:top w:val="single" w:color="000000" w:sz="4" w:space="0"/>
              <w:left w:val="single" w:color="000000" w:sz="4" w:space="0"/>
              <w:bottom w:val="nil"/>
              <w:right w:val="nil"/>
            </w:tcBorders>
            <w:shd w:val="clear" w:color="000000" w:fill="FFFFFF"/>
            <w:noWrap w:val="0"/>
            <w:vAlign w:val="center"/>
          </w:tcPr>
          <w:p w14:paraId="0C3077C8">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3021" w:type="dxa"/>
            <w:gridSpan w:val="2"/>
            <w:tcBorders>
              <w:top w:val="single" w:color="000000" w:sz="4" w:space="0"/>
              <w:left w:val="single" w:color="000000" w:sz="4" w:space="0"/>
              <w:bottom w:val="nil"/>
              <w:right w:val="nil"/>
            </w:tcBorders>
            <w:shd w:val="clear" w:color="000000" w:fill="FFFFFF"/>
            <w:noWrap w:val="0"/>
            <w:vAlign w:val="center"/>
          </w:tcPr>
          <w:p w14:paraId="0AB5F87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000" w:type="dxa"/>
            <w:tcBorders>
              <w:top w:val="single" w:color="000000" w:sz="4" w:space="0"/>
              <w:left w:val="single" w:color="000000" w:sz="4" w:space="0"/>
              <w:bottom w:val="nil"/>
              <w:right w:val="nil"/>
            </w:tcBorders>
            <w:shd w:val="clear" w:color="000000" w:fill="FFFFFF"/>
            <w:noWrap w:val="0"/>
            <w:vAlign w:val="center"/>
          </w:tcPr>
          <w:p w14:paraId="73A294A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880" w:type="dxa"/>
            <w:gridSpan w:val="3"/>
            <w:tcBorders>
              <w:top w:val="single" w:color="000000" w:sz="4" w:space="0"/>
              <w:left w:val="single" w:color="000000" w:sz="4" w:space="0"/>
              <w:bottom w:val="nil"/>
              <w:right w:val="nil"/>
            </w:tcBorders>
            <w:shd w:val="clear" w:color="000000" w:fill="FFFFFF"/>
            <w:noWrap/>
            <w:vAlign w:val="center"/>
          </w:tcPr>
          <w:p w14:paraId="52EF6FC1">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880" w:type="dxa"/>
            <w:gridSpan w:val="2"/>
            <w:tcBorders>
              <w:top w:val="single" w:color="000000" w:sz="4" w:space="0"/>
              <w:left w:val="single" w:color="000000" w:sz="4" w:space="0"/>
              <w:bottom w:val="nil"/>
              <w:right w:val="single" w:color="000000" w:sz="4" w:space="0"/>
            </w:tcBorders>
            <w:shd w:val="clear" w:color="000000" w:fill="FFFFFF"/>
            <w:noWrap w:val="0"/>
            <w:vAlign w:val="center"/>
          </w:tcPr>
          <w:p w14:paraId="5BD3899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7A517818">
        <w:tblPrEx>
          <w:tblCellMar>
            <w:top w:w="0" w:type="dxa"/>
            <w:left w:w="108" w:type="dxa"/>
            <w:bottom w:w="0" w:type="dxa"/>
            <w:right w:w="108" w:type="dxa"/>
          </w:tblCellMar>
        </w:tblPrEx>
        <w:trPr>
          <w:trHeight w:val="525" w:hRule="atLeast"/>
        </w:trPr>
        <w:tc>
          <w:tcPr>
            <w:tcW w:w="680" w:type="dxa"/>
            <w:gridSpan w:val="2"/>
            <w:tcBorders>
              <w:top w:val="single" w:color="000000" w:sz="4" w:space="0"/>
              <w:left w:val="single" w:color="000000" w:sz="4" w:space="0"/>
              <w:bottom w:val="nil"/>
              <w:right w:val="nil"/>
            </w:tcBorders>
            <w:shd w:val="clear" w:color="000000" w:fill="FFFFFF"/>
            <w:noWrap w:val="0"/>
            <w:vAlign w:val="center"/>
          </w:tcPr>
          <w:p w14:paraId="717EA10A">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3021" w:type="dxa"/>
            <w:gridSpan w:val="2"/>
            <w:tcBorders>
              <w:top w:val="single" w:color="000000" w:sz="4" w:space="0"/>
              <w:left w:val="single" w:color="000000" w:sz="4" w:space="0"/>
              <w:bottom w:val="nil"/>
              <w:right w:val="nil"/>
            </w:tcBorders>
            <w:shd w:val="clear" w:color="000000" w:fill="FFFFFF"/>
            <w:noWrap w:val="0"/>
            <w:vAlign w:val="center"/>
          </w:tcPr>
          <w:p w14:paraId="173E019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000" w:type="dxa"/>
            <w:tcBorders>
              <w:top w:val="single" w:color="000000" w:sz="4" w:space="0"/>
              <w:left w:val="single" w:color="000000" w:sz="4" w:space="0"/>
              <w:bottom w:val="nil"/>
              <w:right w:val="nil"/>
            </w:tcBorders>
            <w:shd w:val="clear" w:color="000000" w:fill="FFFFFF"/>
            <w:noWrap w:val="0"/>
            <w:vAlign w:val="center"/>
          </w:tcPr>
          <w:p w14:paraId="6E002AA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880" w:type="dxa"/>
            <w:gridSpan w:val="3"/>
            <w:tcBorders>
              <w:top w:val="single" w:color="000000" w:sz="4" w:space="0"/>
              <w:left w:val="single" w:color="000000" w:sz="4" w:space="0"/>
              <w:bottom w:val="nil"/>
              <w:right w:val="nil"/>
            </w:tcBorders>
            <w:shd w:val="clear" w:color="000000" w:fill="FFFFFF"/>
            <w:noWrap/>
            <w:vAlign w:val="center"/>
          </w:tcPr>
          <w:p w14:paraId="180650FE">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880" w:type="dxa"/>
            <w:gridSpan w:val="2"/>
            <w:tcBorders>
              <w:top w:val="single" w:color="000000" w:sz="4" w:space="0"/>
              <w:left w:val="single" w:color="000000" w:sz="4" w:space="0"/>
              <w:bottom w:val="nil"/>
              <w:right w:val="single" w:color="000000" w:sz="4" w:space="0"/>
            </w:tcBorders>
            <w:shd w:val="clear" w:color="000000" w:fill="FFFFFF"/>
            <w:noWrap w:val="0"/>
            <w:vAlign w:val="center"/>
          </w:tcPr>
          <w:p w14:paraId="6ACE28F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3C36DFFD">
        <w:tblPrEx>
          <w:tblCellMar>
            <w:top w:w="0" w:type="dxa"/>
            <w:left w:w="108" w:type="dxa"/>
            <w:bottom w:w="0" w:type="dxa"/>
            <w:right w:w="108" w:type="dxa"/>
          </w:tblCellMar>
        </w:tblPrEx>
        <w:trPr>
          <w:trHeight w:val="525" w:hRule="atLeast"/>
        </w:trPr>
        <w:tc>
          <w:tcPr>
            <w:tcW w:w="680" w:type="dxa"/>
            <w:gridSpan w:val="2"/>
            <w:tcBorders>
              <w:top w:val="single" w:color="000000" w:sz="4" w:space="0"/>
              <w:left w:val="single" w:color="000000" w:sz="4" w:space="0"/>
              <w:bottom w:val="nil"/>
              <w:right w:val="nil"/>
            </w:tcBorders>
            <w:shd w:val="clear" w:color="000000" w:fill="FFFFFF"/>
            <w:noWrap w:val="0"/>
            <w:vAlign w:val="center"/>
          </w:tcPr>
          <w:p w14:paraId="6100C068">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3021" w:type="dxa"/>
            <w:gridSpan w:val="2"/>
            <w:tcBorders>
              <w:top w:val="single" w:color="000000" w:sz="4" w:space="0"/>
              <w:left w:val="single" w:color="000000" w:sz="4" w:space="0"/>
              <w:bottom w:val="nil"/>
              <w:right w:val="nil"/>
            </w:tcBorders>
            <w:shd w:val="clear" w:color="000000" w:fill="FFFFFF"/>
            <w:noWrap w:val="0"/>
            <w:vAlign w:val="center"/>
          </w:tcPr>
          <w:p w14:paraId="220539D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000" w:type="dxa"/>
            <w:tcBorders>
              <w:top w:val="single" w:color="000000" w:sz="4" w:space="0"/>
              <w:left w:val="single" w:color="000000" w:sz="4" w:space="0"/>
              <w:bottom w:val="nil"/>
              <w:right w:val="nil"/>
            </w:tcBorders>
            <w:shd w:val="clear" w:color="000000" w:fill="FFFFFF"/>
            <w:noWrap w:val="0"/>
            <w:vAlign w:val="center"/>
          </w:tcPr>
          <w:p w14:paraId="478FC91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880" w:type="dxa"/>
            <w:gridSpan w:val="3"/>
            <w:tcBorders>
              <w:top w:val="single" w:color="000000" w:sz="4" w:space="0"/>
              <w:left w:val="single" w:color="000000" w:sz="4" w:space="0"/>
              <w:bottom w:val="nil"/>
              <w:right w:val="nil"/>
            </w:tcBorders>
            <w:shd w:val="clear" w:color="000000" w:fill="FFFFFF"/>
            <w:noWrap/>
            <w:vAlign w:val="center"/>
          </w:tcPr>
          <w:p w14:paraId="1BD4FEEB">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880" w:type="dxa"/>
            <w:gridSpan w:val="2"/>
            <w:tcBorders>
              <w:top w:val="single" w:color="000000" w:sz="4" w:space="0"/>
              <w:left w:val="single" w:color="000000" w:sz="4" w:space="0"/>
              <w:bottom w:val="nil"/>
              <w:right w:val="single" w:color="000000" w:sz="4" w:space="0"/>
            </w:tcBorders>
            <w:shd w:val="clear" w:color="000000" w:fill="FFFFFF"/>
            <w:noWrap w:val="0"/>
            <w:vAlign w:val="center"/>
          </w:tcPr>
          <w:p w14:paraId="4A7ACDE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6E31F939">
        <w:tblPrEx>
          <w:tblCellMar>
            <w:top w:w="0" w:type="dxa"/>
            <w:left w:w="108" w:type="dxa"/>
            <w:bottom w:w="0" w:type="dxa"/>
            <w:right w:w="108" w:type="dxa"/>
          </w:tblCellMar>
        </w:tblPrEx>
        <w:trPr>
          <w:trHeight w:val="525" w:hRule="atLeast"/>
        </w:trPr>
        <w:tc>
          <w:tcPr>
            <w:tcW w:w="5701" w:type="dxa"/>
            <w:gridSpan w:val="5"/>
            <w:tcBorders>
              <w:top w:val="single" w:color="000000" w:sz="4" w:space="0"/>
              <w:left w:val="single" w:color="000000" w:sz="4" w:space="0"/>
              <w:bottom w:val="single" w:color="000000" w:sz="4" w:space="0"/>
              <w:right w:val="nil"/>
            </w:tcBorders>
            <w:shd w:val="clear" w:color="000000" w:fill="FFFFFF"/>
            <w:noWrap w:val="0"/>
            <w:vAlign w:val="center"/>
          </w:tcPr>
          <w:p w14:paraId="03AC9021">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合计</w:t>
            </w:r>
          </w:p>
        </w:tc>
        <w:tc>
          <w:tcPr>
            <w:tcW w:w="1880" w:type="dxa"/>
            <w:gridSpan w:val="3"/>
            <w:tcBorders>
              <w:top w:val="single" w:color="000000" w:sz="4" w:space="0"/>
              <w:left w:val="single" w:color="000000" w:sz="4" w:space="0"/>
              <w:bottom w:val="single" w:color="000000" w:sz="4" w:space="0"/>
              <w:right w:val="nil"/>
            </w:tcBorders>
            <w:shd w:val="clear" w:color="000000" w:fill="FFFFFF"/>
            <w:noWrap/>
            <w:vAlign w:val="center"/>
          </w:tcPr>
          <w:p w14:paraId="37058E0E">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880"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55D9382">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0079B709">
        <w:tblPrEx>
          <w:tblCellMar>
            <w:top w:w="0" w:type="dxa"/>
            <w:left w:w="108" w:type="dxa"/>
            <w:bottom w:w="0" w:type="dxa"/>
            <w:right w:w="108" w:type="dxa"/>
          </w:tblCellMar>
        </w:tblPrEx>
        <w:trPr>
          <w:gridAfter w:val="1"/>
          <w:wAfter w:w="187" w:type="dxa"/>
          <w:trHeight w:val="900" w:hRule="atLeast"/>
        </w:trPr>
        <w:tc>
          <w:tcPr>
            <w:tcW w:w="9274" w:type="dxa"/>
            <w:gridSpan w:val="9"/>
            <w:tcBorders>
              <w:top w:val="nil"/>
              <w:left w:val="nil"/>
              <w:bottom w:val="nil"/>
              <w:right w:val="nil"/>
            </w:tcBorders>
            <w:shd w:val="clear" w:color="000000" w:fill="FFFFFF"/>
            <w:noWrap w:val="0"/>
            <w:vAlign w:val="center"/>
          </w:tcPr>
          <w:p w14:paraId="491EFAA8">
            <w:pPr>
              <w:spacing w:line="300" w:lineRule="auto"/>
              <w:jc w:val="left"/>
              <w:rPr>
                <w:rFonts w:hint="eastAsia" w:ascii="宋体" w:hAnsi="宋体" w:eastAsia="宋体" w:cs="宋体"/>
                <w:b/>
                <w:color w:val="auto"/>
                <w:sz w:val="24"/>
                <w:highlight w:val="none"/>
              </w:rPr>
            </w:pPr>
          </w:p>
          <w:p w14:paraId="13BE6C10">
            <w:pPr>
              <w:widowControl/>
              <w:jc w:val="center"/>
              <w:rPr>
                <w:rFonts w:hint="eastAsia" w:ascii="宋体" w:hAnsi="宋体" w:eastAsia="宋体" w:cs="宋体"/>
                <w:b/>
                <w:bCs/>
                <w:color w:val="auto"/>
                <w:kern w:val="0"/>
                <w:sz w:val="40"/>
                <w:szCs w:val="40"/>
                <w:highlight w:val="none"/>
              </w:rPr>
            </w:pPr>
            <w:r>
              <w:rPr>
                <w:rFonts w:hint="eastAsia" w:ascii="宋体" w:hAnsi="宋体" w:eastAsia="宋体" w:cs="宋体"/>
                <w:b/>
                <w:bCs/>
                <w:color w:val="auto"/>
                <w:kern w:val="0"/>
                <w:sz w:val="32"/>
                <w:szCs w:val="32"/>
                <w:highlight w:val="none"/>
              </w:rPr>
              <w:t>专项技术措施暂估价表</w:t>
            </w:r>
          </w:p>
        </w:tc>
      </w:tr>
      <w:tr w14:paraId="1A5BED85">
        <w:tblPrEx>
          <w:tblCellMar>
            <w:top w:w="0" w:type="dxa"/>
            <w:left w:w="108" w:type="dxa"/>
            <w:bottom w:w="0" w:type="dxa"/>
            <w:right w:w="108" w:type="dxa"/>
          </w:tblCellMar>
        </w:tblPrEx>
        <w:trPr>
          <w:gridAfter w:val="1"/>
          <w:wAfter w:w="187" w:type="dxa"/>
          <w:trHeight w:val="435" w:hRule="atLeast"/>
        </w:trPr>
        <w:tc>
          <w:tcPr>
            <w:tcW w:w="3134" w:type="dxa"/>
            <w:gridSpan w:val="3"/>
            <w:tcBorders>
              <w:top w:val="nil"/>
              <w:left w:val="nil"/>
              <w:bottom w:val="nil"/>
              <w:right w:val="nil"/>
            </w:tcBorders>
            <w:shd w:val="clear" w:color="000000" w:fill="FFFFFF"/>
            <w:noWrap w:val="0"/>
            <w:vAlign w:val="bottom"/>
          </w:tcPr>
          <w:p w14:paraId="21E4BE2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单位(专业)工程名称: </w:t>
            </w:r>
          </w:p>
        </w:tc>
        <w:tc>
          <w:tcPr>
            <w:tcW w:w="2580" w:type="dxa"/>
            <w:gridSpan w:val="3"/>
            <w:tcBorders>
              <w:top w:val="nil"/>
              <w:left w:val="nil"/>
              <w:bottom w:val="nil"/>
              <w:right w:val="nil"/>
            </w:tcBorders>
            <w:shd w:val="clear" w:color="000000" w:fill="FFFFFF"/>
            <w:noWrap w:val="0"/>
            <w:vAlign w:val="bottom"/>
          </w:tcPr>
          <w:p w14:paraId="55CEA0B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标段:</w:t>
            </w:r>
          </w:p>
        </w:tc>
        <w:tc>
          <w:tcPr>
            <w:tcW w:w="3560" w:type="dxa"/>
            <w:gridSpan w:val="3"/>
            <w:tcBorders>
              <w:top w:val="nil"/>
              <w:left w:val="nil"/>
              <w:bottom w:val="nil"/>
              <w:right w:val="nil"/>
            </w:tcBorders>
            <w:shd w:val="clear" w:color="000000" w:fill="FFFFFF"/>
            <w:noWrap w:val="0"/>
            <w:vAlign w:val="bottom"/>
          </w:tcPr>
          <w:p w14:paraId="7666E9F4">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第 页 共 页</w:t>
            </w:r>
          </w:p>
        </w:tc>
      </w:tr>
      <w:tr w14:paraId="64F50AE1">
        <w:tblPrEx>
          <w:tblCellMar>
            <w:top w:w="0" w:type="dxa"/>
            <w:left w:w="108" w:type="dxa"/>
            <w:bottom w:w="0" w:type="dxa"/>
            <w:right w:w="108" w:type="dxa"/>
          </w:tblCellMar>
        </w:tblPrEx>
        <w:trPr>
          <w:gridAfter w:val="1"/>
          <w:wAfter w:w="187" w:type="dxa"/>
          <w:trHeight w:val="525" w:hRule="atLeast"/>
        </w:trPr>
        <w:tc>
          <w:tcPr>
            <w:tcW w:w="660" w:type="dxa"/>
            <w:tcBorders>
              <w:top w:val="single" w:color="000000" w:sz="4" w:space="0"/>
              <w:left w:val="single" w:color="000000" w:sz="4" w:space="0"/>
              <w:bottom w:val="nil"/>
              <w:right w:val="nil"/>
            </w:tcBorders>
            <w:shd w:val="clear" w:color="000000" w:fill="FFFFFF"/>
            <w:noWrap w:val="0"/>
            <w:vAlign w:val="center"/>
          </w:tcPr>
          <w:p w14:paraId="56743C30">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序号</w:t>
            </w:r>
          </w:p>
        </w:tc>
        <w:tc>
          <w:tcPr>
            <w:tcW w:w="2474" w:type="dxa"/>
            <w:gridSpan w:val="2"/>
            <w:tcBorders>
              <w:top w:val="single" w:color="000000" w:sz="4" w:space="0"/>
              <w:left w:val="single" w:color="000000" w:sz="4" w:space="0"/>
              <w:bottom w:val="nil"/>
              <w:right w:val="nil"/>
            </w:tcBorders>
            <w:shd w:val="clear" w:color="000000" w:fill="FFFFFF"/>
            <w:noWrap w:val="0"/>
            <w:vAlign w:val="center"/>
          </w:tcPr>
          <w:p w14:paraId="2E1C97A7">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工程名称</w:t>
            </w:r>
          </w:p>
        </w:tc>
        <w:tc>
          <w:tcPr>
            <w:tcW w:w="2580" w:type="dxa"/>
            <w:gridSpan w:val="3"/>
            <w:tcBorders>
              <w:top w:val="single" w:color="000000" w:sz="4" w:space="0"/>
              <w:left w:val="single" w:color="000000" w:sz="4" w:space="0"/>
              <w:bottom w:val="nil"/>
              <w:right w:val="nil"/>
            </w:tcBorders>
            <w:shd w:val="clear" w:color="000000" w:fill="FFFFFF"/>
            <w:noWrap w:val="0"/>
            <w:vAlign w:val="center"/>
          </w:tcPr>
          <w:p w14:paraId="4E4ECB22">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工程内容</w:t>
            </w:r>
          </w:p>
        </w:tc>
        <w:tc>
          <w:tcPr>
            <w:tcW w:w="1780" w:type="dxa"/>
            <w:tcBorders>
              <w:top w:val="single" w:color="000000" w:sz="4" w:space="0"/>
              <w:left w:val="single" w:color="000000" w:sz="4" w:space="0"/>
              <w:bottom w:val="nil"/>
              <w:right w:val="nil"/>
            </w:tcBorders>
            <w:shd w:val="clear" w:color="000000" w:fill="FFFFFF"/>
            <w:noWrap w:val="0"/>
            <w:vAlign w:val="center"/>
          </w:tcPr>
          <w:p w14:paraId="6160C481">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暂估金额(元)</w:t>
            </w:r>
          </w:p>
        </w:tc>
        <w:tc>
          <w:tcPr>
            <w:tcW w:w="1780" w:type="dxa"/>
            <w:gridSpan w:val="2"/>
            <w:tcBorders>
              <w:top w:val="single" w:color="000000" w:sz="4" w:space="0"/>
              <w:left w:val="single" w:color="000000" w:sz="4" w:space="0"/>
              <w:bottom w:val="nil"/>
              <w:right w:val="single" w:color="000000" w:sz="4" w:space="0"/>
            </w:tcBorders>
            <w:shd w:val="clear" w:color="000000" w:fill="FFFFFF"/>
            <w:noWrap w:val="0"/>
            <w:vAlign w:val="center"/>
          </w:tcPr>
          <w:p w14:paraId="227BF986">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备注</w:t>
            </w:r>
          </w:p>
        </w:tc>
      </w:tr>
      <w:tr w14:paraId="399C1DCE">
        <w:tblPrEx>
          <w:tblCellMar>
            <w:top w:w="0" w:type="dxa"/>
            <w:left w:w="108" w:type="dxa"/>
            <w:bottom w:w="0" w:type="dxa"/>
            <w:right w:w="108" w:type="dxa"/>
          </w:tblCellMar>
        </w:tblPrEx>
        <w:trPr>
          <w:gridAfter w:val="1"/>
          <w:wAfter w:w="187" w:type="dxa"/>
          <w:trHeight w:val="525" w:hRule="atLeast"/>
        </w:trPr>
        <w:tc>
          <w:tcPr>
            <w:tcW w:w="660" w:type="dxa"/>
            <w:tcBorders>
              <w:top w:val="single" w:color="000000" w:sz="4" w:space="0"/>
              <w:left w:val="single" w:color="000000" w:sz="4" w:space="0"/>
              <w:bottom w:val="nil"/>
              <w:right w:val="nil"/>
            </w:tcBorders>
            <w:shd w:val="clear" w:color="000000" w:fill="FFFFFF"/>
            <w:noWrap w:val="0"/>
            <w:vAlign w:val="center"/>
          </w:tcPr>
          <w:p w14:paraId="3A56F6C4">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474" w:type="dxa"/>
            <w:gridSpan w:val="2"/>
            <w:tcBorders>
              <w:top w:val="single" w:color="000000" w:sz="4" w:space="0"/>
              <w:left w:val="single" w:color="000000" w:sz="4" w:space="0"/>
              <w:bottom w:val="nil"/>
              <w:right w:val="nil"/>
            </w:tcBorders>
            <w:shd w:val="clear" w:color="000000" w:fill="FFFFFF"/>
            <w:noWrap w:val="0"/>
            <w:vAlign w:val="center"/>
          </w:tcPr>
          <w:p w14:paraId="1D81E89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580" w:type="dxa"/>
            <w:gridSpan w:val="3"/>
            <w:tcBorders>
              <w:top w:val="single" w:color="000000" w:sz="4" w:space="0"/>
              <w:left w:val="single" w:color="000000" w:sz="4" w:space="0"/>
              <w:bottom w:val="nil"/>
              <w:right w:val="nil"/>
            </w:tcBorders>
            <w:shd w:val="clear" w:color="000000" w:fill="FFFFFF"/>
            <w:noWrap w:val="0"/>
            <w:vAlign w:val="center"/>
          </w:tcPr>
          <w:p w14:paraId="3556FA5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780" w:type="dxa"/>
            <w:tcBorders>
              <w:top w:val="single" w:color="000000" w:sz="4" w:space="0"/>
              <w:left w:val="single" w:color="000000" w:sz="4" w:space="0"/>
              <w:bottom w:val="nil"/>
              <w:right w:val="nil"/>
            </w:tcBorders>
            <w:shd w:val="clear" w:color="000000" w:fill="FFFFFF"/>
            <w:noWrap/>
            <w:vAlign w:val="center"/>
          </w:tcPr>
          <w:p w14:paraId="7C3A92E8">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780" w:type="dxa"/>
            <w:gridSpan w:val="2"/>
            <w:tcBorders>
              <w:top w:val="single" w:color="000000" w:sz="4" w:space="0"/>
              <w:left w:val="single" w:color="000000" w:sz="4" w:space="0"/>
              <w:bottom w:val="nil"/>
              <w:right w:val="single" w:color="000000" w:sz="4" w:space="0"/>
            </w:tcBorders>
            <w:shd w:val="clear" w:color="000000" w:fill="FFFFFF"/>
            <w:noWrap w:val="0"/>
            <w:vAlign w:val="center"/>
          </w:tcPr>
          <w:p w14:paraId="3005CA1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512AE555">
        <w:tblPrEx>
          <w:tblCellMar>
            <w:top w:w="0" w:type="dxa"/>
            <w:left w:w="108" w:type="dxa"/>
            <w:bottom w:w="0" w:type="dxa"/>
            <w:right w:w="108" w:type="dxa"/>
          </w:tblCellMar>
        </w:tblPrEx>
        <w:trPr>
          <w:gridAfter w:val="1"/>
          <w:wAfter w:w="187" w:type="dxa"/>
          <w:trHeight w:val="525" w:hRule="atLeast"/>
        </w:trPr>
        <w:tc>
          <w:tcPr>
            <w:tcW w:w="660" w:type="dxa"/>
            <w:tcBorders>
              <w:top w:val="single" w:color="000000" w:sz="4" w:space="0"/>
              <w:left w:val="single" w:color="000000" w:sz="4" w:space="0"/>
              <w:bottom w:val="nil"/>
              <w:right w:val="nil"/>
            </w:tcBorders>
            <w:shd w:val="clear" w:color="000000" w:fill="FFFFFF"/>
            <w:noWrap w:val="0"/>
            <w:vAlign w:val="center"/>
          </w:tcPr>
          <w:p w14:paraId="59983124">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474" w:type="dxa"/>
            <w:gridSpan w:val="2"/>
            <w:tcBorders>
              <w:top w:val="single" w:color="000000" w:sz="4" w:space="0"/>
              <w:left w:val="single" w:color="000000" w:sz="4" w:space="0"/>
              <w:bottom w:val="nil"/>
              <w:right w:val="nil"/>
            </w:tcBorders>
            <w:shd w:val="clear" w:color="000000" w:fill="FFFFFF"/>
            <w:noWrap w:val="0"/>
            <w:vAlign w:val="center"/>
          </w:tcPr>
          <w:p w14:paraId="2A69FD0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580" w:type="dxa"/>
            <w:gridSpan w:val="3"/>
            <w:tcBorders>
              <w:top w:val="single" w:color="000000" w:sz="4" w:space="0"/>
              <w:left w:val="single" w:color="000000" w:sz="4" w:space="0"/>
              <w:bottom w:val="nil"/>
              <w:right w:val="nil"/>
            </w:tcBorders>
            <w:shd w:val="clear" w:color="000000" w:fill="FFFFFF"/>
            <w:noWrap w:val="0"/>
            <w:vAlign w:val="center"/>
          </w:tcPr>
          <w:p w14:paraId="167333D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780" w:type="dxa"/>
            <w:tcBorders>
              <w:top w:val="single" w:color="000000" w:sz="4" w:space="0"/>
              <w:left w:val="single" w:color="000000" w:sz="4" w:space="0"/>
              <w:bottom w:val="nil"/>
              <w:right w:val="nil"/>
            </w:tcBorders>
            <w:shd w:val="clear" w:color="000000" w:fill="FFFFFF"/>
            <w:noWrap/>
            <w:vAlign w:val="center"/>
          </w:tcPr>
          <w:p w14:paraId="62FD050E">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780" w:type="dxa"/>
            <w:gridSpan w:val="2"/>
            <w:tcBorders>
              <w:top w:val="single" w:color="000000" w:sz="4" w:space="0"/>
              <w:left w:val="single" w:color="000000" w:sz="4" w:space="0"/>
              <w:bottom w:val="nil"/>
              <w:right w:val="single" w:color="000000" w:sz="4" w:space="0"/>
            </w:tcBorders>
            <w:shd w:val="clear" w:color="000000" w:fill="FFFFFF"/>
            <w:noWrap w:val="0"/>
            <w:vAlign w:val="center"/>
          </w:tcPr>
          <w:p w14:paraId="673C6B5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244C7CCD">
        <w:tblPrEx>
          <w:tblCellMar>
            <w:top w:w="0" w:type="dxa"/>
            <w:left w:w="108" w:type="dxa"/>
            <w:bottom w:w="0" w:type="dxa"/>
            <w:right w:w="108" w:type="dxa"/>
          </w:tblCellMar>
        </w:tblPrEx>
        <w:trPr>
          <w:gridAfter w:val="1"/>
          <w:wAfter w:w="187" w:type="dxa"/>
          <w:trHeight w:val="525" w:hRule="atLeast"/>
        </w:trPr>
        <w:tc>
          <w:tcPr>
            <w:tcW w:w="660" w:type="dxa"/>
            <w:tcBorders>
              <w:top w:val="single" w:color="000000" w:sz="4" w:space="0"/>
              <w:left w:val="single" w:color="000000" w:sz="4" w:space="0"/>
              <w:bottom w:val="nil"/>
              <w:right w:val="nil"/>
            </w:tcBorders>
            <w:shd w:val="clear" w:color="000000" w:fill="FFFFFF"/>
            <w:noWrap w:val="0"/>
            <w:vAlign w:val="center"/>
          </w:tcPr>
          <w:p w14:paraId="54D0DB71">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474" w:type="dxa"/>
            <w:gridSpan w:val="2"/>
            <w:tcBorders>
              <w:top w:val="single" w:color="000000" w:sz="4" w:space="0"/>
              <w:left w:val="single" w:color="000000" w:sz="4" w:space="0"/>
              <w:bottom w:val="nil"/>
              <w:right w:val="nil"/>
            </w:tcBorders>
            <w:shd w:val="clear" w:color="000000" w:fill="FFFFFF"/>
            <w:noWrap w:val="0"/>
            <w:vAlign w:val="center"/>
          </w:tcPr>
          <w:p w14:paraId="52192C1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580" w:type="dxa"/>
            <w:gridSpan w:val="3"/>
            <w:tcBorders>
              <w:top w:val="single" w:color="000000" w:sz="4" w:space="0"/>
              <w:left w:val="single" w:color="000000" w:sz="4" w:space="0"/>
              <w:bottom w:val="nil"/>
              <w:right w:val="nil"/>
            </w:tcBorders>
            <w:shd w:val="clear" w:color="000000" w:fill="FFFFFF"/>
            <w:noWrap w:val="0"/>
            <w:vAlign w:val="center"/>
          </w:tcPr>
          <w:p w14:paraId="43B48C5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780" w:type="dxa"/>
            <w:tcBorders>
              <w:top w:val="single" w:color="000000" w:sz="4" w:space="0"/>
              <w:left w:val="single" w:color="000000" w:sz="4" w:space="0"/>
              <w:bottom w:val="nil"/>
              <w:right w:val="nil"/>
            </w:tcBorders>
            <w:shd w:val="clear" w:color="000000" w:fill="FFFFFF"/>
            <w:noWrap/>
            <w:vAlign w:val="center"/>
          </w:tcPr>
          <w:p w14:paraId="66B962A6">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780" w:type="dxa"/>
            <w:gridSpan w:val="2"/>
            <w:tcBorders>
              <w:top w:val="single" w:color="000000" w:sz="4" w:space="0"/>
              <w:left w:val="single" w:color="000000" w:sz="4" w:space="0"/>
              <w:bottom w:val="nil"/>
              <w:right w:val="single" w:color="000000" w:sz="4" w:space="0"/>
            </w:tcBorders>
            <w:shd w:val="clear" w:color="000000" w:fill="FFFFFF"/>
            <w:noWrap w:val="0"/>
            <w:vAlign w:val="center"/>
          </w:tcPr>
          <w:p w14:paraId="2C00236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1A99E6D3">
        <w:tblPrEx>
          <w:tblCellMar>
            <w:top w:w="0" w:type="dxa"/>
            <w:left w:w="108" w:type="dxa"/>
            <w:bottom w:w="0" w:type="dxa"/>
            <w:right w:w="108" w:type="dxa"/>
          </w:tblCellMar>
        </w:tblPrEx>
        <w:trPr>
          <w:gridAfter w:val="1"/>
          <w:wAfter w:w="187" w:type="dxa"/>
          <w:trHeight w:val="525" w:hRule="atLeast"/>
        </w:trPr>
        <w:tc>
          <w:tcPr>
            <w:tcW w:w="660" w:type="dxa"/>
            <w:tcBorders>
              <w:top w:val="single" w:color="000000" w:sz="4" w:space="0"/>
              <w:left w:val="single" w:color="000000" w:sz="4" w:space="0"/>
              <w:bottom w:val="nil"/>
              <w:right w:val="nil"/>
            </w:tcBorders>
            <w:shd w:val="clear" w:color="000000" w:fill="FFFFFF"/>
            <w:noWrap w:val="0"/>
            <w:vAlign w:val="center"/>
          </w:tcPr>
          <w:p w14:paraId="67EE39A5">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474" w:type="dxa"/>
            <w:gridSpan w:val="2"/>
            <w:tcBorders>
              <w:top w:val="single" w:color="000000" w:sz="4" w:space="0"/>
              <w:left w:val="single" w:color="000000" w:sz="4" w:space="0"/>
              <w:bottom w:val="nil"/>
              <w:right w:val="nil"/>
            </w:tcBorders>
            <w:shd w:val="clear" w:color="000000" w:fill="FFFFFF"/>
            <w:noWrap w:val="0"/>
            <w:vAlign w:val="center"/>
          </w:tcPr>
          <w:p w14:paraId="7E90B01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580" w:type="dxa"/>
            <w:gridSpan w:val="3"/>
            <w:tcBorders>
              <w:top w:val="single" w:color="000000" w:sz="4" w:space="0"/>
              <w:left w:val="single" w:color="000000" w:sz="4" w:space="0"/>
              <w:bottom w:val="nil"/>
              <w:right w:val="nil"/>
            </w:tcBorders>
            <w:shd w:val="clear" w:color="000000" w:fill="FFFFFF"/>
            <w:noWrap w:val="0"/>
            <w:vAlign w:val="center"/>
          </w:tcPr>
          <w:p w14:paraId="3361D82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780" w:type="dxa"/>
            <w:tcBorders>
              <w:top w:val="single" w:color="000000" w:sz="4" w:space="0"/>
              <w:left w:val="single" w:color="000000" w:sz="4" w:space="0"/>
              <w:bottom w:val="nil"/>
              <w:right w:val="nil"/>
            </w:tcBorders>
            <w:shd w:val="clear" w:color="000000" w:fill="FFFFFF"/>
            <w:noWrap/>
            <w:vAlign w:val="center"/>
          </w:tcPr>
          <w:p w14:paraId="12F258E6">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780" w:type="dxa"/>
            <w:gridSpan w:val="2"/>
            <w:tcBorders>
              <w:top w:val="single" w:color="000000" w:sz="4" w:space="0"/>
              <w:left w:val="single" w:color="000000" w:sz="4" w:space="0"/>
              <w:bottom w:val="nil"/>
              <w:right w:val="single" w:color="000000" w:sz="4" w:space="0"/>
            </w:tcBorders>
            <w:shd w:val="clear" w:color="000000" w:fill="FFFFFF"/>
            <w:noWrap w:val="0"/>
            <w:vAlign w:val="center"/>
          </w:tcPr>
          <w:p w14:paraId="36596C5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7DDA1105">
        <w:tblPrEx>
          <w:tblCellMar>
            <w:top w:w="0" w:type="dxa"/>
            <w:left w:w="108" w:type="dxa"/>
            <w:bottom w:w="0" w:type="dxa"/>
            <w:right w:w="108" w:type="dxa"/>
          </w:tblCellMar>
        </w:tblPrEx>
        <w:trPr>
          <w:gridAfter w:val="1"/>
          <w:wAfter w:w="187" w:type="dxa"/>
          <w:trHeight w:val="525" w:hRule="atLeast"/>
        </w:trPr>
        <w:tc>
          <w:tcPr>
            <w:tcW w:w="660" w:type="dxa"/>
            <w:tcBorders>
              <w:top w:val="single" w:color="000000" w:sz="4" w:space="0"/>
              <w:left w:val="single" w:color="000000" w:sz="4" w:space="0"/>
              <w:bottom w:val="nil"/>
              <w:right w:val="nil"/>
            </w:tcBorders>
            <w:shd w:val="clear" w:color="000000" w:fill="FFFFFF"/>
            <w:noWrap w:val="0"/>
            <w:vAlign w:val="center"/>
          </w:tcPr>
          <w:p w14:paraId="01937F70">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474" w:type="dxa"/>
            <w:gridSpan w:val="2"/>
            <w:tcBorders>
              <w:top w:val="single" w:color="000000" w:sz="4" w:space="0"/>
              <w:left w:val="single" w:color="000000" w:sz="4" w:space="0"/>
              <w:bottom w:val="nil"/>
              <w:right w:val="nil"/>
            </w:tcBorders>
            <w:shd w:val="clear" w:color="000000" w:fill="FFFFFF"/>
            <w:noWrap w:val="0"/>
            <w:vAlign w:val="center"/>
          </w:tcPr>
          <w:p w14:paraId="6A52A54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580" w:type="dxa"/>
            <w:gridSpan w:val="3"/>
            <w:tcBorders>
              <w:top w:val="single" w:color="000000" w:sz="4" w:space="0"/>
              <w:left w:val="single" w:color="000000" w:sz="4" w:space="0"/>
              <w:bottom w:val="nil"/>
              <w:right w:val="nil"/>
            </w:tcBorders>
            <w:shd w:val="clear" w:color="000000" w:fill="FFFFFF"/>
            <w:noWrap w:val="0"/>
            <w:vAlign w:val="center"/>
          </w:tcPr>
          <w:p w14:paraId="76ADF70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780" w:type="dxa"/>
            <w:tcBorders>
              <w:top w:val="single" w:color="000000" w:sz="4" w:space="0"/>
              <w:left w:val="single" w:color="000000" w:sz="4" w:space="0"/>
              <w:bottom w:val="nil"/>
              <w:right w:val="nil"/>
            </w:tcBorders>
            <w:shd w:val="clear" w:color="000000" w:fill="FFFFFF"/>
            <w:noWrap/>
            <w:vAlign w:val="center"/>
          </w:tcPr>
          <w:p w14:paraId="404B9A3E">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780" w:type="dxa"/>
            <w:gridSpan w:val="2"/>
            <w:tcBorders>
              <w:top w:val="single" w:color="000000" w:sz="4" w:space="0"/>
              <w:left w:val="single" w:color="000000" w:sz="4" w:space="0"/>
              <w:bottom w:val="nil"/>
              <w:right w:val="single" w:color="000000" w:sz="4" w:space="0"/>
            </w:tcBorders>
            <w:shd w:val="clear" w:color="000000" w:fill="FFFFFF"/>
            <w:noWrap w:val="0"/>
            <w:vAlign w:val="center"/>
          </w:tcPr>
          <w:p w14:paraId="48976AA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591FBFB4">
        <w:tblPrEx>
          <w:tblCellMar>
            <w:top w:w="0" w:type="dxa"/>
            <w:left w:w="108" w:type="dxa"/>
            <w:bottom w:w="0" w:type="dxa"/>
            <w:right w:w="108" w:type="dxa"/>
          </w:tblCellMar>
        </w:tblPrEx>
        <w:trPr>
          <w:gridAfter w:val="1"/>
          <w:wAfter w:w="187" w:type="dxa"/>
          <w:trHeight w:val="525" w:hRule="atLeast"/>
        </w:trPr>
        <w:tc>
          <w:tcPr>
            <w:tcW w:w="5714" w:type="dxa"/>
            <w:gridSpan w:val="6"/>
            <w:tcBorders>
              <w:top w:val="single" w:color="000000" w:sz="4" w:space="0"/>
              <w:left w:val="single" w:color="000000" w:sz="4" w:space="0"/>
              <w:bottom w:val="single" w:color="000000" w:sz="4" w:space="0"/>
              <w:right w:val="nil"/>
            </w:tcBorders>
            <w:shd w:val="clear" w:color="000000" w:fill="FFFFFF"/>
            <w:noWrap w:val="0"/>
            <w:vAlign w:val="center"/>
          </w:tcPr>
          <w:p w14:paraId="15506F51">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合计</w:t>
            </w:r>
          </w:p>
        </w:tc>
        <w:tc>
          <w:tcPr>
            <w:tcW w:w="1780" w:type="dxa"/>
            <w:tcBorders>
              <w:top w:val="single" w:color="000000" w:sz="4" w:space="0"/>
              <w:left w:val="single" w:color="000000" w:sz="4" w:space="0"/>
              <w:bottom w:val="single" w:color="000000" w:sz="4" w:space="0"/>
              <w:right w:val="nil"/>
            </w:tcBorders>
            <w:shd w:val="clear" w:color="000000" w:fill="FFFFFF"/>
            <w:noWrap/>
            <w:vAlign w:val="center"/>
          </w:tcPr>
          <w:p w14:paraId="649FD1B5">
            <w:pPr>
              <w:widowControl/>
              <w:wordWrap w:val="0"/>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 </w:t>
            </w:r>
          </w:p>
        </w:tc>
        <w:tc>
          <w:tcPr>
            <w:tcW w:w="1780"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7A2B22C">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bl>
    <w:p w14:paraId="2A36496B">
      <w:pPr>
        <w:tabs>
          <w:tab w:val="left" w:pos="3780"/>
        </w:tabs>
        <w:spacing w:before="120" w:beforeLines="50"/>
        <w:jc w:val="right"/>
        <w:rPr>
          <w:rFonts w:hint="eastAsia" w:ascii="宋体" w:hAnsi="宋体" w:eastAsia="宋体" w:cs="宋体"/>
          <w:color w:val="auto"/>
          <w:sz w:val="18"/>
          <w:szCs w:val="18"/>
          <w:highlight w:val="none"/>
        </w:rPr>
      </w:pPr>
    </w:p>
    <w:p w14:paraId="472CCB10">
      <w:pPr>
        <w:spacing w:line="300" w:lineRule="auto"/>
        <w:jc w:val="left"/>
        <w:rPr>
          <w:rFonts w:hint="eastAsia" w:ascii="宋体" w:hAnsi="宋体" w:eastAsia="宋体" w:cs="宋体"/>
          <w:b/>
          <w:color w:val="auto"/>
          <w:sz w:val="24"/>
          <w:highlight w:val="none"/>
        </w:rPr>
      </w:pPr>
    </w:p>
    <w:p w14:paraId="13033EEF">
      <w:pPr>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tbl>
      <w:tblPr>
        <w:tblStyle w:val="24"/>
        <w:tblW w:w="9188" w:type="dxa"/>
        <w:tblInd w:w="91" w:type="dxa"/>
        <w:tblLayout w:type="fixed"/>
        <w:tblCellMar>
          <w:top w:w="0" w:type="dxa"/>
          <w:left w:w="108" w:type="dxa"/>
          <w:bottom w:w="0" w:type="dxa"/>
          <w:right w:w="108" w:type="dxa"/>
        </w:tblCellMar>
      </w:tblPr>
      <w:tblGrid>
        <w:gridCol w:w="1060"/>
        <w:gridCol w:w="3208"/>
        <w:gridCol w:w="1260"/>
        <w:gridCol w:w="1280"/>
        <w:gridCol w:w="1140"/>
        <w:gridCol w:w="1240"/>
      </w:tblGrid>
      <w:tr w14:paraId="128C4CDA">
        <w:tblPrEx>
          <w:tblCellMar>
            <w:top w:w="0" w:type="dxa"/>
            <w:left w:w="108" w:type="dxa"/>
            <w:bottom w:w="0" w:type="dxa"/>
            <w:right w:w="108" w:type="dxa"/>
          </w:tblCellMar>
        </w:tblPrEx>
        <w:trPr>
          <w:trHeight w:val="600" w:hRule="atLeast"/>
        </w:trPr>
        <w:tc>
          <w:tcPr>
            <w:tcW w:w="9188" w:type="dxa"/>
            <w:gridSpan w:val="6"/>
            <w:tcBorders>
              <w:top w:val="nil"/>
              <w:left w:val="nil"/>
              <w:bottom w:val="nil"/>
              <w:right w:val="nil"/>
            </w:tcBorders>
            <w:shd w:val="clear" w:color="000000" w:fill="FFFFFF"/>
            <w:noWrap w:val="0"/>
            <w:vAlign w:val="center"/>
          </w:tcPr>
          <w:p w14:paraId="1F011330">
            <w:pPr>
              <w:widowControl/>
              <w:jc w:val="center"/>
              <w:rPr>
                <w:rFonts w:hint="eastAsia" w:ascii="宋体" w:hAnsi="宋体" w:eastAsia="宋体" w:cs="宋体"/>
                <w:b/>
                <w:bCs/>
                <w:color w:val="auto"/>
                <w:kern w:val="0"/>
                <w:sz w:val="40"/>
                <w:szCs w:val="40"/>
                <w:highlight w:val="none"/>
              </w:rPr>
            </w:pPr>
            <w:r>
              <w:rPr>
                <w:rFonts w:hint="eastAsia" w:ascii="宋体" w:hAnsi="宋体" w:eastAsia="宋体" w:cs="宋体"/>
                <w:b/>
                <w:bCs/>
                <w:color w:val="auto"/>
                <w:kern w:val="0"/>
                <w:sz w:val="32"/>
                <w:szCs w:val="32"/>
                <w:highlight w:val="none"/>
              </w:rPr>
              <w:t>计 日 工 表</w:t>
            </w:r>
          </w:p>
        </w:tc>
      </w:tr>
      <w:tr w14:paraId="39681490">
        <w:tblPrEx>
          <w:tblCellMar>
            <w:top w:w="0" w:type="dxa"/>
            <w:left w:w="108" w:type="dxa"/>
            <w:bottom w:w="0" w:type="dxa"/>
            <w:right w:w="108" w:type="dxa"/>
          </w:tblCellMar>
        </w:tblPrEx>
        <w:trPr>
          <w:trHeight w:val="360" w:hRule="atLeast"/>
        </w:trPr>
        <w:tc>
          <w:tcPr>
            <w:tcW w:w="4268" w:type="dxa"/>
            <w:gridSpan w:val="2"/>
            <w:tcBorders>
              <w:top w:val="nil"/>
              <w:left w:val="nil"/>
              <w:bottom w:val="nil"/>
              <w:right w:val="nil"/>
            </w:tcBorders>
            <w:shd w:val="clear" w:color="000000" w:fill="FFFFFF"/>
            <w:noWrap w:val="0"/>
            <w:vAlign w:val="bottom"/>
          </w:tcPr>
          <w:p w14:paraId="1FA1DB6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单位(专业)工程名称: </w:t>
            </w:r>
          </w:p>
        </w:tc>
        <w:tc>
          <w:tcPr>
            <w:tcW w:w="2540" w:type="dxa"/>
            <w:gridSpan w:val="2"/>
            <w:tcBorders>
              <w:top w:val="nil"/>
              <w:left w:val="nil"/>
              <w:bottom w:val="nil"/>
              <w:right w:val="nil"/>
            </w:tcBorders>
            <w:shd w:val="clear" w:color="000000" w:fill="FFFFFF"/>
            <w:noWrap w:val="0"/>
            <w:vAlign w:val="bottom"/>
          </w:tcPr>
          <w:p w14:paraId="67BC194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标段:</w:t>
            </w:r>
          </w:p>
        </w:tc>
        <w:tc>
          <w:tcPr>
            <w:tcW w:w="2380" w:type="dxa"/>
            <w:gridSpan w:val="2"/>
            <w:tcBorders>
              <w:top w:val="nil"/>
              <w:left w:val="nil"/>
              <w:bottom w:val="nil"/>
              <w:right w:val="nil"/>
            </w:tcBorders>
            <w:shd w:val="clear" w:color="000000" w:fill="FFFFFF"/>
            <w:noWrap w:val="0"/>
            <w:vAlign w:val="bottom"/>
          </w:tcPr>
          <w:p w14:paraId="68695BFB">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第 页 共 页</w:t>
            </w:r>
          </w:p>
        </w:tc>
      </w:tr>
      <w:tr w14:paraId="03F0E510">
        <w:tblPrEx>
          <w:tblCellMar>
            <w:top w:w="0" w:type="dxa"/>
            <w:left w:w="108" w:type="dxa"/>
            <w:bottom w:w="0" w:type="dxa"/>
            <w:right w:w="108" w:type="dxa"/>
          </w:tblCellMar>
        </w:tblPrEx>
        <w:trPr>
          <w:trHeight w:val="390" w:hRule="atLeast"/>
        </w:trPr>
        <w:tc>
          <w:tcPr>
            <w:tcW w:w="1060" w:type="dxa"/>
            <w:vMerge w:val="restart"/>
            <w:tcBorders>
              <w:top w:val="single" w:color="000000" w:sz="4" w:space="0"/>
              <w:left w:val="single" w:color="000000" w:sz="4" w:space="0"/>
              <w:bottom w:val="nil"/>
              <w:right w:val="nil"/>
            </w:tcBorders>
            <w:shd w:val="clear" w:color="000000" w:fill="FFFFFF"/>
            <w:noWrap w:val="0"/>
            <w:vAlign w:val="center"/>
          </w:tcPr>
          <w:p w14:paraId="26C8C810">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编号</w:t>
            </w:r>
          </w:p>
        </w:tc>
        <w:tc>
          <w:tcPr>
            <w:tcW w:w="3208" w:type="dxa"/>
            <w:vMerge w:val="restart"/>
            <w:tcBorders>
              <w:top w:val="single" w:color="000000" w:sz="4" w:space="0"/>
              <w:left w:val="single" w:color="000000" w:sz="4" w:space="0"/>
              <w:bottom w:val="nil"/>
              <w:right w:val="nil"/>
            </w:tcBorders>
            <w:shd w:val="clear" w:color="000000" w:fill="FFFFFF"/>
            <w:noWrap w:val="0"/>
            <w:vAlign w:val="center"/>
          </w:tcPr>
          <w:p w14:paraId="3012CD97">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项 目 名 称</w:t>
            </w:r>
          </w:p>
        </w:tc>
        <w:tc>
          <w:tcPr>
            <w:tcW w:w="1260" w:type="dxa"/>
            <w:vMerge w:val="restart"/>
            <w:tcBorders>
              <w:top w:val="single" w:color="000000" w:sz="4" w:space="0"/>
              <w:left w:val="single" w:color="000000" w:sz="4" w:space="0"/>
              <w:bottom w:val="nil"/>
              <w:right w:val="nil"/>
            </w:tcBorders>
            <w:shd w:val="clear" w:color="000000" w:fill="FFFFFF"/>
            <w:noWrap w:val="0"/>
            <w:vAlign w:val="center"/>
          </w:tcPr>
          <w:p w14:paraId="5C7943DA">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单位</w:t>
            </w:r>
          </w:p>
        </w:tc>
        <w:tc>
          <w:tcPr>
            <w:tcW w:w="1280" w:type="dxa"/>
            <w:vMerge w:val="restart"/>
            <w:tcBorders>
              <w:top w:val="single" w:color="000000" w:sz="4" w:space="0"/>
              <w:left w:val="single" w:color="000000" w:sz="4" w:space="0"/>
              <w:bottom w:val="nil"/>
              <w:right w:val="nil"/>
            </w:tcBorders>
            <w:shd w:val="clear" w:color="000000" w:fill="FFFFFF"/>
            <w:noWrap w:val="0"/>
            <w:vAlign w:val="center"/>
          </w:tcPr>
          <w:p w14:paraId="6EEF469F">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数量</w:t>
            </w:r>
          </w:p>
        </w:tc>
        <w:tc>
          <w:tcPr>
            <w:tcW w:w="1140" w:type="dxa"/>
            <w:vMerge w:val="restart"/>
            <w:tcBorders>
              <w:top w:val="single" w:color="000000" w:sz="4" w:space="0"/>
              <w:left w:val="single" w:color="000000" w:sz="4" w:space="0"/>
              <w:bottom w:val="nil"/>
              <w:right w:val="nil"/>
            </w:tcBorders>
            <w:shd w:val="clear" w:color="000000" w:fill="FFFFFF"/>
            <w:noWrap w:val="0"/>
            <w:vAlign w:val="center"/>
          </w:tcPr>
          <w:p w14:paraId="4CCFDB28">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综合单价(元)</w:t>
            </w:r>
          </w:p>
        </w:tc>
        <w:tc>
          <w:tcPr>
            <w:tcW w:w="1240" w:type="dxa"/>
            <w:vMerge w:val="restart"/>
            <w:tcBorders>
              <w:top w:val="single" w:color="000000" w:sz="4" w:space="0"/>
              <w:left w:val="single" w:color="000000" w:sz="4" w:space="0"/>
              <w:bottom w:val="nil"/>
              <w:right w:val="single" w:color="000000" w:sz="4" w:space="0"/>
            </w:tcBorders>
            <w:shd w:val="clear" w:color="000000" w:fill="FFFFFF"/>
            <w:noWrap w:val="0"/>
            <w:vAlign w:val="center"/>
          </w:tcPr>
          <w:p w14:paraId="1D1AE5FC">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合价(元)</w:t>
            </w:r>
          </w:p>
        </w:tc>
      </w:tr>
      <w:tr w14:paraId="4BDAEA27">
        <w:tblPrEx>
          <w:tblCellMar>
            <w:top w:w="0" w:type="dxa"/>
            <w:left w:w="108" w:type="dxa"/>
            <w:bottom w:w="0" w:type="dxa"/>
            <w:right w:w="108" w:type="dxa"/>
          </w:tblCellMar>
        </w:tblPrEx>
        <w:trPr>
          <w:trHeight w:val="405" w:hRule="atLeast"/>
        </w:trPr>
        <w:tc>
          <w:tcPr>
            <w:tcW w:w="1060" w:type="dxa"/>
            <w:vMerge w:val="continue"/>
            <w:tcBorders>
              <w:top w:val="single" w:color="000000" w:sz="4" w:space="0"/>
              <w:left w:val="single" w:color="000000" w:sz="4" w:space="0"/>
              <w:bottom w:val="nil"/>
              <w:right w:val="nil"/>
            </w:tcBorders>
            <w:noWrap w:val="0"/>
            <w:vAlign w:val="center"/>
          </w:tcPr>
          <w:p w14:paraId="2ECFC1B4">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18"/>
                <w:szCs w:val="18"/>
                <w:highlight w:val="none"/>
              </w:rPr>
            </w:pPr>
          </w:p>
        </w:tc>
        <w:tc>
          <w:tcPr>
            <w:tcW w:w="3208" w:type="dxa"/>
            <w:vMerge w:val="continue"/>
            <w:tcBorders>
              <w:top w:val="single" w:color="000000" w:sz="4" w:space="0"/>
              <w:left w:val="single" w:color="000000" w:sz="4" w:space="0"/>
              <w:bottom w:val="nil"/>
              <w:right w:val="nil"/>
            </w:tcBorders>
            <w:noWrap w:val="0"/>
            <w:vAlign w:val="center"/>
          </w:tcPr>
          <w:p w14:paraId="1D1C6A43">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18"/>
                <w:szCs w:val="18"/>
                <w:highlight w:val="none"/>
              </w:rPr>
            </w:pPr>
          </w:p>
        </w:tc>
        <w:tc>
          <w:tcPr>
            <w:tcW w:w="1260" w:type="dxa"/>
            <w:vMerge w:val="continue"/>
            <w:tcBorders>
              <w:top w:val="single" w:color="000000" w:sz="4" w:space="0"/>
              <w:left w:val="single" w:color="000000" w:sz="4" w:space="0"/>
              <w:bottom w:val="nil"/>
              <w:right w:val="nil"/>
            </w:tcBorders>
            <w:noWrap w:val="0"/>
            <w:vAlign w:val="center"/>
          </w:tcPr>
          <w:p w14:paraId="0E6E1D7B">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18"/>
                <w:szCs w:val="18"/>
                <w:highlight w:val="none"/>
              </w:rPr>
            </w:pPr>
          </w:p>
        </w:tc>
        <w:tc>
          <w:tcPr>
            <w:tcW w:w="1280" w:type="dxa"/>
            <w:vMerge w:val="continue"/>
            <w:tcBorders>
              <w:top w:val="single" w:color="000000" w:sz="4" w:space="0"/>
              <w:left w:val="single" w:color="000000" w:sz="4" w:space="0"/>
              <w:bottom w:val="nil"/>
              <w:right w:val="nil"/>
            </w:tcBorders>
            <w:noWrap w:val="0"/>
            <w:vAlign w:val="center"/>
          </w:tcPr>
          <w:p w14:paraId="056B2670">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18"/>
                <w:szCs w:val="18"/>
                <w:highlight w:val="none"/>
              </w:rPr>
            </w:pPr>
          </w:p>
        </w:tc>
        <w:tc>
          <w:tcPr>
            <w:tcW w:w="1140" w:type="dxa"/>
            <w:vMerge w:val="continue"/>
            <w:tcBorders>
              <w:top w:val="single" w:color="000000" w:sz="4" w:space="0"/>
              <w:left w:val="single" w:color="000000" w:sz="4" w:space="0"/>
              <w:bottom w:val="nil"/>
              <w:right w:val="nil"/>
            </w:tcBorders>
            <w:noWrap w:val="0"/>
            <w:vAlign w:val="center"/>
          </w:tcPr>
          <w:p w14:paraId="74EF8585">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18"/>
                <w:szCs w:val="18"/>
                <w:highlight w:val="none"/>
              </w:rPr>
            </w:pPr>
          </w:p>
        </w:tc>
        <w:tc>
          <w:tcPr>
            <w:tcW w:w="1240" w:type="dxa"/>
            <w:vMerge w:val="continue"/>
            <w:tcBorders>
              <w:top w:val="single" w:color="000000" w:sz="4" w:space="0"/>
              <w:left w:val="single" w:color="000000" w:sz="4" w:space="0"/>
              <w:bottom w:val="nil"/>
              <w:right w:val="single" w:color="000000" w:sz="4" w:space="0"/>
            </w:tcBorders>
            <w:noWrap w:val="0"/>
            <w:vAlign w:val="center"/>
          </w:tcPr>
          <w:p w14:paraId="75B8B9C5">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18"/>
                <w:szCs w:val="18"/>
                <w:highlight w:val="none"/>
              </w:rPr>
            </w:pPr>
          </w:p>
        </w:tc>
      </w:tr>
      <w:tr w14:paraId="2AB89E34">
        <w:tblPrEx>
          <w:tblCellMar>
            <w:top w:w="0" w:type="dxa"/>
            <w:left w:w="108" w:type="dxa"/>
            <w:bottom w:w="0" w:type="dxa"/>
            <w:right w:w="108" w:type="dxa"/>
          </w:tblCellMar>
        </w:tblPrEx>
        <w:trPr>
          <w:trHeight w:val="454" w:hRule="atLeast"/>
        </w:trPr>
        <w:tc>
          <w:tcPr>
            <w:tcW w:w="1060" w:type="dxa"/>
            <w:tcBorders>
              <w:top w:val="single" w:color="000000" w:sz="4" w:space="0"/>
              <w:left w:val="single" w:color="000000" w:sz="4" w:space="0"/>
              <w:bottom w:val="nil"/>
              <w:right w:val="nil"/>
            </w:tcBorders>
            <w:shd w:val="clear" w:color="000000" w:fill="FFFFFF"/>
            <w:noWrap w:val="0"/>
            <w:vAlign w:val="center"/>
          </w:tcPr>
          <w:p w14:paraId="5365836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一</w:t>
            </w:r>
          </w:p>
        </w:tc>
        <w:tc>
          <w:tcPr>
            <w:tcW w:w="3208" w:type="dxa"/>
            <w:tcBorders>
              <w:top w:val="single" w:color="000000" w:sz="4" w:space="0"/>
              <w:left w:val="single" w:color="000000" w:sz="4" w:space="0"/>
              <w:bottom w:val="nil"/>
              <w:right w:val="nil"/>
            </w:tcBorders>
            <w:shd w:val="clear" w:color="000000" w:fill="FFFFFF"/>
            <w:noWrap w:val="0"/>
            <w:vAlign w:val="center"/>
          </w:tcPr>
          <w:p w14:paraId="758FFCC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     工</w:t>
            </w:r>
          </w:p>
        </w:tc>
        <w:tc>
          <w:tcPr>
            <w:tcW w:w="1260" w:type="dxa"/>
            <w:tcBorders>
              <w:top w:val="single" w:color="000000" w:sz="4" w:space="0"/>
              <w:left w:val="single" w:color="000000" w:sz="4" w:space="0"/>
              <w:bottom w:val="nil"/>
              <w:right w:val="nil"/>
            </w:tcBorders>
            <w:shd w:val="clear" w:color="000000" w:fill="FFFFFF"/>
            <w:noWrap w:val="0"/>
            <w:vAlign w:val="center"/>
          </w:tcPr>
          <w:p w14:paraId="42EC209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元</w:t>
            </w:r>
          </w:p>
        </w:tc>
        <w:tc>
          <w:tcPr>
            <w:tcW w:w="1280" w:type="dxa"/>
            <w:tcBorders>
              <w:top w:val="single" w:color="000000" w:sz="4" w:space="0"/>
              <w:left w:val="single" w:color="000000" w:sz="4" w:space="0"/>
              <w:bottom w:val="nil"/>
              <w:right w:val="nil"/>
            </w:tcBorders>
            <w:shd w:val="clear" w:color="000000" w:fill="FFFFFF"/>
            <w:noWrap w:val="0"/>
            <w:vAlign w:val="center"/>
          </w:tcPr>
          <w:p w14:paraId="2E900F7E">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40" w:type="dxa"/>
            <w:tcBorders>
              <w:top w:val="single" w:color="000000" w:sz="4" w:space="0"/>
              <w:left w:val="single" w:color="000000" w:sz="4" w:space="0"/>
              <w:bottom w:val="nil"/>
              <w:right w:val="nil"/>
            </w:tcBorders>
            <w:shd w:val="clear" w:color="000000" w:fill="FFFFFF"/>
            <w:noWrap w:val="0"/>
            <w:vAlign w:val="center"/>
          </w:tcPr>
          <w:p w14:paraId="3A10EFB5">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40" w:type="dxa"/>
            <w:tcBorders>
              <w:top w:val="single" w:color="000000" w:sz="4" w:space="0"/>
              <w:left w:val="single" w:color="000000" w:sz="4" w:space="0"/>
              <w:bottom w:val="nil"/>
              <w:right w:val="single" w:color="000000" w:sz="4" w:space="0"/>
            </w:tcBorders>
            <w:shd w:val="clear" w:color="000000" w:fill="FFFFFF"/>
            <w:noWrap/>
            <w:vAlign w:val="center"/>
          </w:tcPr>
          <w:p w14:paraId="2B1E647C">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4FF074F0">
        <w:tblPrEx>
          <w:tblCellMar>
            <w:top w:w="0" w:type="dxa"/>
            <w:left w:w="108" w:type="dxa"/>
            <w:bottom w:w="0" w:type="dxa"/>
            <w:right w:w="108" w:type="dxa"/>
          </w:tblCellMar>
        </w:tblPrEx>
        <w:trPr>
          <w:trHeight w:val="454" w:hRule="atLeast"/>
        </w:trPr>
        <w:tc>
          <w:tcPr>
            <w:tcW w:w="1060" w:type="dxa"/>
            <w:tcBorders>
              <w:top w:val="single" w:color="000000" w:sz="4" w:space="0"/>
              <w:left w:val="single" w:color="000000" w:sz="4" w:space="0"/>
              <w:bottom w:val="nil"/>
              <w:right w:val="nil"/>
            </w:tcBorders>
            <w:shd w:val="clear" w:color="000000" w:fill="FFFFFF"/>
            <w:noWrap w:val="0"/>
            <w:vAlign w:val="center"/>
          </w:tcPr>
          <w:p w14:paraId="36C1A48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3208" w:type="dxa"/>
            <w:tcBorders>
              <w:top w:val="single" w:color="000000" w:sz="4" w:space="0"/>
              <w:left w:val="single" w:color="000000" w:sz="4" w:space="0"/>
              <w:bottom w:val="nil"/>
              <w:right w:val="nil"/>
            </w:tcBorders>
            <w:shd w:val="clear" w:color="000000" w:fill="FFFFFF"/>
            <w:noWrap w:val="0"/>
            <w:vAlign w:val="center"/>
          </w:tcPr>
          <w:p w14:paraId="2263E634">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60" w:type="dxa"/>
            <w:tcBorders>
              <w:top w:val="single" w:color="000000" w:sz="4" w:space="0"/>
              <w:left w:val="single" w:color="000000" w:sz="4" w:space="0"/>
              <w:bottom w:val="nil"/>
              <w:right w:val="nil"/>
            </w:tcBorders>
            <w:shd w:val="clear" w:color="000000" w:fill="FFFFFF"/>
            <w:noWrap w:val="0"/>
            <w:vAlign w:val="center"/>
          </w:tcPr>
          <w:p w14:paraId="01A731C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80" w:type="dxa"/>
            <w:tcBorders>
              <w:top w:val="single" w:color="000000" w:sz="4" w:space="0"/>
              <w:left w:val="single" w:color="000000" w:sz="4" w:space="0"/>
              <w:bottom w:val="nil"/>
              <w:right w:val="nil"/>
            </w:tcBorders>
            <w:shd w:val="clear" w:color="000000" w:fill="FFFFFF"/>
            <w:noWrap/>
            <w:vAlign w:val="center"/>
          </w:tcPr>
          <w:p w14:paraId="5E032053">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40" w:type="dxa"/>
            <w:tcBorders>
              <w:top w:val="single" w:color="000000" w:sz="4" w:space="0"/>
              <w:left w:val="single" w:color="000000" w:sz="4" w:space="0"/>
              <w:bottom w:val="nil"/>
              <w:right w:val="nil"/>
            </w:tcBorders>
            <w:shd w:val="clear" w:color="000000" w:fill="FFFFFF"/>
            <w:noWrap/>
            <w:vAlign w:val="center"/>
          </w:tcPr>
          <w:p w14:paraId="708DC32A">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40" w:type="dxa"/>
            <w:tcBorders>
              <w:top w:val="single" w:color="000000" w:sz="4" w:space="0"/>
              <w:left w:val="single" w:color="000000" w:sz="4" w:space="0"/>
              <w:bottom w:val="nil"/>
              <w:right w:val="single" w:color="000000" w:sz="4" w:space="0"/>
            </w:tcBorders>
            <w:shd w:val="clear" w:color="000000" w:fill="FFFFFF"/>
            <w:noWrap/>
            <w:vAlign w:val="center"/>
          </w:tcPr>
          <w:p w14:paraId="45186419">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51E6070D">
        <w:tblPrEx>
          <w:tblCellMar>
            <w:top w:w="0" w:type="dxa"/>
            <w:left w:w="108" w:type="dxa"/>
            <w:bottom w:w="0" w:type="dxa"/>
            <w:right w:w="108" w:type="dxa"/>
          </w:tblCellMar>
        </w:tblPrEx>
        <w:trPr>
          <w:trHeight w:val="454" w:hRule="atLeast"/>
        </w:trPr>
        <w:tc>
          <w:tcPr>
            <w:tcW w:w="1060" w:type="dxa"/>
            <w:tcBorders>
              <w:top w:val="single" w:color="000000" w:sz="4" w:space="0"/>
              <w:left w:val="single" w:color="000000" w:sz="4" w:space="0"/>
              <w:bottom w:val="nil"/>
              <w:right w:val="nil"/>
            </w:tcBorders>
            <w:shd w:val="clear" w:color="000000" w:fill="FFFFFF"/>
            <w:noWrap w:val="0"/>
            <w:vAlign w:val="center"/>
          </w:tcPr>
          <w:p w14:paraId="74775F0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w:t>
            </w:r>
          </w:p>
        </w:tc>
        <w:tc>
          <w:tcPr>
            <w:tcW w:w="3208" w:type="dxa"/>
            <w:tcBorders>
              <w:top w:val="single" w:color="000000" w:sz="4" w:space="0"/>
              <w:left w:val="single" w:color="000000" w:sz="4" w:space="0"/>
              <w:bottom w:val="nil"/>
              <w:right w:val="nil"/>
            </w:tcBorders>
            <w:shd w:val="clear" w:color="000000" w:fill="FFFFFF"/>
            <w:noWrap w:val="0"/>
            <w:vAlign w:val="center"/>
          </w:tcPr>
          <w:p w14:paraId="43E52985">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60" w:type="dxa"/>
            <w:tcBorders>
              <w:top w:val="single" w:color="000000" w:sz="4" w:space="0"/>
              <w:left w:val="single" w:color="000000" w:sz="4" w:space="0"/>
              <w:bottom w:val="nil"/>
              <w:right w:val="nil"/>
            </w:tcBorders>
            <w:shd w:val="clear" w:color="000000" w:fill="FFFFFF"/>
            <w:noWrap w:val="0"/>
            <w:vAlign w:val="center"/>
          </w:tcPr>
          <w:p w14:paraId="7773514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80" w:type="dxa"/>
            <w:tcBorders>
              <w:top w:val="single" w:color="000000" w:sz="4" w:space="0"/>
              <w:left w:val="single" w:color="000000" w:sz="4" w:space="0"/>
              <w:bottom w:val="nil"/>
              <w:right w:val="nil"/>
            </w:tcBorders>
            <w:shd w:val="clear" w:color="000000" w:fill="FFFFFF"/>
            <w:noWrap/>
            <w:vAlign w:val="center"/>
          </w:tcPr>
          <w:p w14:paraId="0D1204B6">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40" w:type="dxa"/>
            <w:tcBorders>
              <w:top w:val="single" w:color="000000" w:sz="4" w:space="0"/>
              <w:left w:val="single" w:color="000000" w:sz="4" w:space="0"/>
              <w:bottom w:val="nil"/>
              <w:right w:val="nil"/>
            </w:tcBorders>
            <w:shd w:val="clear" w:color="000000" w:fill="FFFFFF"/>
            <w:noWrap/>
            <w:vAlign w:val="center"/>
          </w:tcPr>
          <w:p w14:paraId="4266D01E">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40" w:type="dxa"/>
            <w:tcBorders>
              <w:top w:val="single" w:color="000000" w:sz="4" w:space="0"/>
              <w:left w:val="single" w:color="000000" w:sz="4" w:space="0"/>
              <w:bottom w:val="nil"/>
              <w:right w:val="single" w:color="000000" w:sz="4" w:space="0"/>
            </w:tcBorders>
            <w:shd w:val="clear" w:color="000000" w:fill="FFFFFF"/>
            <w:noWrap/>
            <w:vAlign w:val="center"/>
          </w:tcPr>
          <w:p w14:paraId="1FD5FA68">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4CDE93CB">
        <w:tblPrEx>
          <w:tblCellMar>
            <w:top w:w="0" w:type="dxa"/>
            <w:left w:w="108" w:type="dxa"/>
            <w:bottom w:w="0" w:type="dxa"/>
            <w:right w:w="108" w:type="dxa"/>
          </w:tblCellMar>
        </w:tblPrEx>
        <w:trPr>
          <w:trHeight w:val="454" w:hRule="atLeast"/>
        </w:trPr>
        <w:tc>
          <w:tcPr>
            <w:tcW w:w="7948" w:type="dxa"/>
            <w:gridSpan w:val="5"/>
            <w:tcBorders>
              <w:top w:val="single" w:color="000000" w:sz="4" w:space="0"/>
              <w:left w:val="single" w:color="000000" w:sz="4" w:space="0"/>
              <w:bottom w:val="nil"/>
              <w:right w:val="nil"/>
            </w:tcBorders>
            <w:shd w:val="clear" w:color="000000" w:fill="FFFFFF"/>
            <w:noWrap w:val="0"/>
            <w:vAlign w:val="center"/>
          </w:tcPr>
          <w:p w14:paraId="47840B0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 工 小 计</w:t>
            </w:r>
          </w:p>
        </w:tc>
        <w:tc>
          <w:tcPr>
            <w:tcW w:w="1240" w:type="dxa"/>
            <w:tcBorders>
              <w:top w:val="single" w:color="000000" w:sz="4" w:space="0"/>
              <w:left w:val="single" w:color="000000" w:sz="4" w:space="0"/>
              <w:bottom w:val="nil"/>
              <w:right w:val="single" w:color="000000" w:sz="4" w:space="0"/>
            </w:tcBorders>
            <w:shd w:val="clear" w:color="000000" w:fill="FFFFFF"/>
            <w:noWrap/>
            <w:vAlign w:val="center"/>
          </w:tcPr>
          <w:p w14:paraId="0E70C0EA">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3953DFF1">
        <w:tblPrEx>
          <w:tblCellMar>
            <w:top w:w="0" w:type="dxa"/>
            <w:left w:w="108" w:type="dxa"/>
            <w:bottom w:w="0" w:type="dxa"/>
            <w:right w:w="108" w:type="dxa"/>
          </w:tblCellMar>
        </w:tblPrEx>
        <w:trPr>
          <w:trHeight w:val="454" w:hRule="atLeast"/>
        </w:trPr>
        <w:tc>
          <w:tcPr>
            <w:tcW w:w="1060" w:type="dxa"/>
            <w:tcBorders>
              <w:top w:val="single" w:color="000000" w:sz="4" w:space="0"/>
              <w:left w:val="single" w:color="000000" w:sz="4" w:space="0"/>
              <w:bottom w:val="nil"/>
              <w:right w:val="nil"/>
            </w:tcBorders>
            <w:shd w:val="clear" w:color="000000" w:fill="FFFFFF"/>
            <w:noWrap w:val="0"/>
            <w:vAlign w:val="center"/>
          </w:tcPr>
          <w:p w14:paraId="46C1CB5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二</w:t>
            </w:r>
          </w:p>
        </w:tc>
        <w:tc>
          <w:tcPr>
            <w:tcW w:w="3208" w:type="dxa"/>
            <w:tcBorders>
              <w:top w:val="single" w:color="000000" w:sz="4" w:space="0"/>
              <w:left w:val="single" w:color="000000" w:sz="4" w:space="0"/>
              <w:bottom w:val="nil"/>
              <w:right w:val="nil"/>
            </w:tcBorders>
            <w:shd w:val="clear" w:color="000000" w:fill="FFFFFF"/>
            <w:noWrap w:val="0"/>
            <w:vAlign w:val="center"/>
          </w:tcPr>
          <w:p w14:paraId="4E9B496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材     料</w:t>
            </w:r>
          </w:p>
        </w:tc>
        <w:tc>
          <w:tcPr>
            <w:tcW w:w="1260" w:type="dxa"/>
            <w:tcBorders>
              <w:top w:val="single" w:color="000000" w:sz="4" w:space="0"/>
              <w:left w:val="single" w:color="000000" w:sz="4" w:space="0"/>
              <w:bottom w:val="nil"/>
              <w:right w:val="nil"/>
            </w:tcBorders>
            <w:shd w:val="clear" w:color="000000" w:fill="FFFFFF"/>
            <w:noWrap w:val="0"/>
            <w:vAlign w:val="center"/>
          </w:tcPr>
          <w:p w14:paraId="1CC86D9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元</w:t>
            </w:r>
          </w:p>
        </w:tc>
        <w:tc>
          <w:tcPr>
            <w:tcW w:w="1280" w:type="dxa"/>
            <w:tcBorders>
              <w:top w:val="single" w:color="000000" w:sz="4" w:space="0"/>
              <w:left w:val="single" w:color="000000" w:sz="4" w:space="0"/>
              <w:bottom w:val="nil"/>
              <w:right w:val="nil"/>
            </w:tcBorders>
            <w:shd w:val="clear" w:color="000000" w:fill="FFFFFF"/>
            <w:noWrap w:val="0"/>
            <w:vAlign w:val="center"/>
          </w:tcPr>
          <w:p w14:paraId="7BE469C9">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40" w:type="dxa"/>
            <w:tcBorders>
              <w:top w:val="single" w:color="000000" w:sz="4" w:space="0"/>
              <w:left w:val="single" w:color="000000" w:sz="4" w:space="0"/>
              <w:bottom w:val="nil"/>
              <w:right w:val="nil"/>
            </w:tcBorders>
            <w:shd w:val="clear" w:color="000000" w:fill="FFFFFF"/>
            <w:noWrap w:val="0"/>
            <w:vAlign w:val="center"/>
          </w:tcPr>
          <w:p w14:paraId="5A626E0F">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40" w:type="dxa"/>
            <w:tcBorders>
              <w:top w:val="single" w:color="000000" w:sz="4" w:space="0"/>
              <w:left w:val="single" w:color="000000" w:sz="4" w:space="0"/>
              <w:bottom w:val="nil"/>
              <w:right w:val="single" w:color="000000" w:sz="4" w:space="0"/>
            </w:tcBorders>
            <w:shd w:val="clear" w:color="000000" w:fill="FFFFFF"/>
            <w:noWrap/>
            <w:vAlign w:val="center"/>
          </w:tcPr>
          <w:p w14:paraId="4805A514">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6ECC2A44">
        <w:tblPrEx>
          <w:tblCellMar>
            <w:top w:w="0" w:type="dxa"/>
            <w:left w:w="108" w:type="dxa"/>
            <w:bottom w:w="0" w:type="dxa"/>
            <w:right w:w="108" w:type="dxa"/>
          </w:tblCellMar>
        </w:tblPrEx>
        <w:trPr>
          <w:trHeight w:val="454" w:hRule="atLeast"/>
        </w:trPr>
        <w:tc>
          <w:tcPr>
            <w:tcW w:w="1060" w:type="dxa"/>
            <w:tcBorders>
              <w:top w:val="single" w:color="000000" w:sz="4" w:space="0"/>
              <w:left w:val="single" w:color="000000" w:sz="4" w:space="0"/>
              <w:bottom w:val="nil"/>
              <w:right w:val="nil"/>
            </w:tcBorders>
            <w:shd w:val="clear" w:color="000000" w:fill="FFFFFF"/>
            <w:noWrap w:val="0"/>
            <w:vAlign w:val="center"/>
          </w:tcPr>
          <w:p w14:paraId="58EC751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3208" w:type="dxa"/>
            <w:tcBorders>
              <w:top w:val="single" w:color="000000" w:sz="4" w:space="0"/>
              <w:left w:val="single" w:color="000000" w:sz="4" w:space="0"/>
              <w:bottom w:val="nil"/>
              <w:right w:val="nil"/>
            </w:tcBorders>
            <w:shd w:val="clear" w:color="000000" w:fill="FFFFFF"/>
            <w:noWrap w:val="0"/>
            <w:vAlign w:val="center"/>
          </w:tcPr>
          <w:p w14:paraId="5E94FEEE">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60" w:type="dxa"/>
            <w:tcBorders>
              <w:top w:val="single" w:color="000000" w:sz="4" w:space="0"/>
              <w:left w:val="single" w:color="000000" w:sz="4" w:space="0"/>
              <w:bottom w:val="nil"/>
              <w:right w:val="nil"/>
            </w:tcBorders>
            <w:shd w:val="clear" w:color="000000" w:fill="FFFFFF"/>
            <w:noWrap w:val="0"/>
            <w:vAlign w:val="center"/>
          </w:tcPr>
          <w:p w14:paraId="2FBE995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80" w:type="dxa"/>
            <w:tcBorders>
              <w:top w:val="single" w:color="000000" w:sz="4" w:space="0"/>
              <w:left w:val="single" w:color="000000" w:sz="4" w:space="0"/>
              <w:bottom w:val="nil"/>
              <w:right w:val="nil"/>
            </w:tcBorders>
            <w:shd w:val="clear" w:color="000000" w:fill="FFFFFF"/>
            <w:noWrap/>
            <w:vAlign w:val="center"/>
          </w:tcPr>
          <w:p w14:paraId="72073518">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40" w:type="dxa"/>
            <w:tcBorders>
              <w:top w:val="single" w:color="000000" w:sz="4" w:space="0"/>
              <w:left w:val="single" w:color="000000" w:sz="4" w:space="0"/>
              <w:bottom w:val="nil"/>
              <w:right w:val="nil"/>
            </w:tcBorders>
            <w:shd w:val="clear" w:color="000000" w:fill="FFFFFF"/>
            <w:noWrap/>
            <w:vAlign w:val="center"/>
          </w:tcPr>
          <w:p w14:paraId="477F55A3">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40" w:type="dxa"/>
            <w:tcBorders>
              <w:top w:val="single" w:color="000000" w:sz="4" w:space="0"/>
              <w:left w:val="single" w:color="000000" w:sz="4" w:space="0"/>
              <w:bottom w:val="nil"/>
              <w:right w:val="single" w:color="000000" w:sz="4" w:space="0"/>
            </w:tcBorders>
            <w:shd w:val="clear" w:color="000000" w:fill="FFFFFF"/>
            <w:noWrap/>
            <w:vAlign w:val="center"/>
          </w:tcPr>
          <w:p w14:paraId="115CEFC2">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6C552D4F">
        <w:tblPrEx>
          <w:tblCellMar>
            <w:top w:w="0" w:type="dxa"/>
            <w:left w:w="108" w:type="dxa"/>
            <w:bottom w:w="0" w:type="dxa"/>
            <w:right w:w="108" w:type="dxa"/>
          </w:tblCellMar>
        </w:tblPrEx>
        <w:trPr>
          <w:trHeight w:val="454" w:hRule="atLeast"/>
        </w:trPr>
        <w:tc>
          <w:tcPr>
            <w:tcW w:w="1060" w:type="dxa"/>
            <w:tcBorders>
              <w:top w:val="single" w:color="000000" w:sz="4" w:space="0"/>
              <w:left w:val="single" w:color="000000" w:sz="4" w:space="0"/>
              <w:bottom w:val="nil"/>
              <w:right w:val="nil"/>
            </w:tcBorders>
            <w:shd w:val="clear" w:color="000000" w:fill="FFFFFF"/>
            <w:noWrap w:val="0"/>
            <w:vAlign w:val="center"/>
          </w:tcPr>
          <w:p w14:paraId="6390465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w:t>
            </w:r>
          </w:p>
        </w:tc>
        <w:tc>
          <w:tcPr>
            <w:tcW w:w="3208" w:type="dxa"/>
            <w:tcBorders>
              <w:top w:val="single" w:color="000000" w:sz="4" w:space="0"/>
              <w:left w:val="single" w:color="000000" w:sz="4" w:space="0"/>
              <w:bottom w:val="nil"/>
              <w:right w:val="nil"/>
            </w:tcBorders>
            <w:shd w:val="clear" w:color="000000" w:fill="FFFFFF"/>
            <w:noWrap w:val="0"/>
            <w:vAlign w:val="center"/>
          </w:tcPr>
          <w:p w14:paraId="3A5970A2">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60" w:type="dxa"/>
            <w:tcBorders>
              <w:top w:val="single" w:color="000000" w:sz="4" w:space="0"/>
              <w:left w:val="single" w:color="000000" w:sz="4" w:space="0"/>
              <w:bottom w:val="nil"/>
              <w:right w:val="nil"/>
            </w:tcBorders>
            <w:shd w:val="clear" w:color="000000" w:fill="FFFFFF"/>
            <w:noWrap w:val="0"/>
            <w:vAlign w:val="center"/>
          </w:tcPr>
          <w:p w14:paraId="6642C2E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80" w:type="dxa"/>
            <w:tcBorders>
              <w:top w:val="single" w:color="000000" w:sz="4" w:space="0"/>
              <w:left w:val="single" w:color="000000" w:sz="4" w:space="0"/>
              <w:bottom w:val="nil"/>
              <w:right w:val="nil"/>
            </w:tcBorders>
            <w:shd w:val="clear" w:color="000000" w:fill="FFFFFF"/>
            <w:noWrap/>
            <w:vAlign w:val="center"/>
          </w:tcPr>
          <w:p w14:paraId="26BBD749">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40" w:type="dxa"/>
            <w:tcBorders>
              <w:top w:val="single" w:color="000000" w:sz="4" w:space="0"/>
              <w:left w:val="single" w:color="000000" w:sz="4" w:space="0"/>
              <w:bottom w:val="nil"/>
              <w:right w:val="nil"/>
            </w:tcBorders>
            <w:shd w:val="clear" w:color="000000" w:fill="FFFFFF"/>
            <w:noWrap/>
            <w:vAlign w:val="center"/>
          </w:tcPr>
          <w:p w14:paraId="0E45DEE1">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40" w:type="dxa"/>
            <w:tcBorders>
              <w:top w:val="single" w:color="000000" w:sz="4" w:space="0"/>
              <w:left w:val="single" w:color="000000" w:sz="4" w:space="0"/>
              <w:bottom w:val="nil"/>
              <w:right w:val="single" w:color="000000" w:sz="4" w:space="0"/>
            </w:tcBorders>
            <w:shd w:val="clear" w:color="000000" w:fill="FFFFFF"/>
            <w:noWrap/>
            <w:vAlign w:val="center"/>
          </w:tcPr>
          <w:p w14:paraId="4DCAC14A">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47821C95">
        <w:tblPrEx>
          <w:tblCellMar>
            <w:top w:w="0" w:type="dxa"/>
            <w:left w:w="108" w:type="dxa"/>
            <w:bottom w:w="0" w:type="dxa"/>
            <w:right w:w="108" w:type="dxa"/>
          </w:tblCellMar>
        </w:tblPrEx>
        <w:trPr>
          <w:trHeight w:val="454" w:hRule="atLeast"/>
        </w:trPr>
        <w:tc>
          <w:tcPr>
            <w:tcW w:w="7948" w:type="dxa"/>
            <w:gridSpan w:val="5"/>
            <w:tcBorders>
              <w:top w:val="single" w:color="000000" w:sz="4" w:space="0"/>
              <w:left w:val="single" w:color="000000" w:sz="4" w:space="0"/>
              <w:bottom w:val="nil"/>
              <w:right w:val="nil"/>
            </w:tcBorders>
            <w:shd w:val="clear" w:color="000000" w:fill="FFFFFF"/>
            <w:noWrap w:val="0"/>
            <w:vAlign w:val="center"/>
          </w:tcPr>
          <w:p w14:paraId="77FE8EE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材 料 小 计</w:t>
            </w:r>
          </w:p>
        </w:tc>
        <w:tc>
          <w:tcPr>
            <w:tcW w:w="1240" w:type="dxa"/>
            <w:tcBorders>
              <w:top w:val="single" w:color="000000" w:sz="4" w:space="0"/>
              <w:left w:val="single" w:color="000000" w:sz="4" w:space="0"/>
              <w:bottom w:val="nil"/>
              <w:right w:val="single" w:color="000000" w:sz="4" w:space="0"/>
            </w:tcBorders>
            <w:shd w:val="clear" w:color="000000" w:fill="FFFFFF"/>
            <w:noWrap/>
            <w:vAlign w:val="center"/>
          </w:tcPr>
          <w:p w14:paraId="3DD61701">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61C2E700">
        <w:tblPrEx>
          <w:tblCellMar>
            <w:top w:w="0" w:type="dxa"/>
            <w:left w:w="108" w:type="dxa"/>
            <w:bottom w:w="0" w:type="dxa"/>
            <w:right w:w="108" w:type="dxa"/>
          </w:tblCellMar>
        </w:tblPrEx>
        <w:trPr>
          <w:trHeight w:val="454" w:hRule="atLeast"/>
        </w:trPr>
        <w:tc>
          <w:tcPr>
            <w:tcW w:w="1060" w:type="dxa"/>
            <w:tcBorders>
              <w:top w:val="single" w:color="000000" w:sz="4" w:space="0"/>
              <w:left w:val="single" w:color="000000" w:sz="4" w:space="0"/>
              <w:bottom w:val="nil"/>
              <w:right w:val="nil"/>
            </w:tcBorders>
            <w:shd w:val="clear" w:color="000000" w:fill="FFFFFF"/>
            <w:noWrap w:val="0"/>
            <w:vAlign w:val="center"/>
          </w:tcPr>
          <w:p w14:paraId="76FDFD1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三</w:t>
            </w:r>
          </w:p>
        </w:tc>
        <w:tc>
          <w:tcPr>
            <w:tcW w:w="3208" w:type="dxa"/>
            <w:tcBorders>
              <w:top w:val="single" w:color="000000" w:sz="4" w:space="0"/>
              <w:left w:val="single" w:color="000000" w:sz="4" w:space="0"/>
              <w:bottom w:val="nil"/>
              <w:right w:val="nil"/>
            </w:tcBorders>
            <w:shd w:val="clear" w:color="000000" w:fill="FFFFFF"/>
            <w:noWrap w:val="0"/>
            <w:vAlign w:val="center"/>
          </w:tcPr>
          <w:p w14:paraId="118CE86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施 工 机 械</w:t>
            </w:r>
          </w:p>
        </w:tc>
        <w:tc>
          <w:tcPr>
            <w:tcW w:w="1260" w:type="dxa"/>
            <w:tcBorders>
              <w:top w:val="single" w:color="000000" w:sz="4" w:space="0"/>
              <w:left w:val="single" w:color="000000" w:sz="4" w:space="0"/>
              <w:bottom w:val="nil"/>
              <w:right w:val="nil"/>
            </w:tcBorders>
            <w:shd w:val="clear" w:color="000000" w:fill="FFFFFF"/>
            <w:noWrap w:val="0"/>
            <w:vAlign w:val="center"/>
          </w:tcPr>
          <w:p w14:paraId="2916EE2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元</w:t>
            </w:r>
          </w:p>
        </w:tc>
        <w:tc>
          <w:tcPr>
            <w:tcW w:w="1280" w:type="dxa"/>
            <w:tcBorders>
              <w:top w:val="single" w:color="000000" w:sz="4" w:space="0"/>
              <w:left w:val="single" w:color="000000" w:sz="4" w:space="0"/>
              <w:bottom w:val="nil"/>
              <w:right w:val="nil"/>
            </w:tcBorders>
            <w:shd w:val="clear" w:color="000000" w:fill="FFFFFF"/>
            <w:noWrap w:val="0"/>
            <w:vAlign w:val="center"/>
          </w:tcPr>
          <w:p w14:paraId="04C80462">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40" w:type="dxa"/>
            <w:tcBorders>
              <w:top w:val="single" w:color="000000" w:sz="4" w:space="0"/>
              <w:left w:val="single" w:color="000000" w:sz="4" w:space="0"/>
              <w:bottom w:val="nil"/>
              <w:right w:val="nil"/>
            </w:tcBorders>
            <w:shd w:val="clear" w:color="000000" w:fill="FFFFFF"/>
            <w:noWrap w:val="0"/>
            <w:vAlign w:val="center"/>
          </w:tcPr>
          <w:p w14:paraId="4E5BA9C6">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40" w:type="dxa"/>
            <w:tcBorders>
              <w:top w:val="single" w:color="000000" w:sz="4" w:space="0"/>
              <w:left w:val="single" w:color="000000" w:sz="4" w:space="0"/>
              <w:bottom w:val="nil"/>
              <w:right w:val="single" w:color="000000" w:sz="4" w:space="0"/>
            </w:tcBorders>
            <w:shd w:val="clear" w:color="000000" w:fill="FFFFFF"/>
            <w:noWrap/>
            <w:vAlign w:val="center"/>
          </w:tcPr>
          <w:p w14:paraId="7F32A759">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6468A5DF">
        <w:tblPrEx>
          <w:tblCellMar>
            <w:top w:w="0" w:type="dxa"/>
            <w:left w:w="108" w:type="dxa"/>
            <w:bottom w:w="0" w:type="dxa"/>
            <w:right w:w="108" w:type="dxa"/>
          </w:tblCellMar>
        </w:tblPrEx>
        <w:trPr>
          <w:trHeight w:val="454" w:hRule="atLeast"/>
        </w:trPr>
        <w:tc>
          <w:tcPr>
            <w:tcW w:w="1060" w:type="dxa"/>
            <w:tcBorders>
              <w:top w:val="single" w:color="000000" w:sz="4" w:space="0"/>
              <w:left w:val="single" w:color="000000" w:sz="4" w:space="0"/>
              <w:bottom w:val="nil"/>
              <w:right w:val="nil"/>
            </w:tcBorders>
            <w:shd w:val="clear" w:color="000000" w:fill="FFFFFF"/>
            <w:noWrap w:val="0"/>
            <w:vAlign w:val="center"/>
          </w:tcPr>
          <w:p w14:paraId="01E3F9C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3208" w:type="dxa"/>
            <w:tcBorders>
              <w:top w:val="single" w:color="000000" w:sz="4" w:space="0"/>
              <w:left w:val="single" w:color="000000" w:sz="4" w:space="0"/>
              <w:bottom w:val="nil"/>
              <w:right w:val="nil"/>
            </w:tcBorders>
            <w:shd w:val="clear" w:color="000000" w:fill="FFFFFF"/>
            <w:noWrap w:val="0"/>
            <w:vAlign w:val="center"/>
          </w:tcPr>
          <w:p w14:paraId="73D86471">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60" w:type="dxa"/>
            <w:tcBorders>
              <w:top w:val="single" w:color="000000" w:sz="4" w:space="0"/>
              <w:left w:val="single" w:color="000000" w:sz="4" w:space="0"/>
              <w:bottom w:val="nil"/>
              <w:right w:val="nil"/>
            </w:tcBorders>
            <w:shd w:val="clear" w:color="000000" w:fill="FFFFFF"/>
            <w:noWrap w:val="0"/>
            <w:vAlign w:val="center"/>
          </w:tcPr>
          <w:p w14:paraId="1968614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80" w:type="dxa"/>
            <w:tcBorders>
              <w:top w:val="single" w:color="000000" w:sz="4" w:space="0"/>
              <w:left w:val="single" w:color="000000" w:sz="4" w:space="0"/>
              <w:bottom w:val="nil"/>
              <w:right w:val="nil"/>
            </w:tcBorders>
            <w:shd w:val="clear" w:color="000000" w:fill="FFFFFF"/>
            <w:noWrap/>
            <w:vAlign w:val="center"/>
          </w:tcPr>
          <w:p w14:paraId="6B29DFAA">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40" w:type="dxa"/>
            <w:tcBorders>
              <w:top w:val="single" w:color="000000" w:sz="4" w:space="0"/>
              <w:left w:val="single" w:color="000000" w:sz="4" w:space="0"/>
              <w:bottom w:val="nil"/>
              <w:right w:val="nil"/>
            </w:tcBorders>
            <w:shd w:val="clear" w:color="000000" w:fill="FFFFFF"/>
            <w:noWrap/>
            <w:vAlign w:val="center"/>
          </w:tcPr>
          <w:p w14:paraId="48081152">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40" w:type="dxa"/>
            <w:tcBorders>
              <w:top w:val="single" w:color="000000" w:sz="4" w:space="0"/>
              <w:left w:val="single" w:color="000000" w:sz="4" w:space="0"/>
              <w:bottom w:val="nil"/>
              <w:right w:val="single" w:color="000000" w:sz="4" w:space="0"/>
            </w:tcBorders>
            <w:shd w:val="clear" w:color="000000" w:fill="FFFFFF"/>
            <w:noWrap/>
            <w:vAlign w:val="center"/>
          </w:tcPr>
          <w:p w14:paraId="5B79263B">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350FE3EA">
        <w:tblPrEx>
          <w:tblCellMar>
            <w:top w:w="0" w:type="dxa"/>
            <w:left w:w="108" w:type="dxa"/>
            <w:bottom w:w="0" w:type="dxa"/>
            <w:right w:w="108" w:type="dxa"/>
          </w:tblCellMar>
        </w:tblPrEx>
        <w:trPr>
          <w:trHeight w:val="454" w:hRule="atLeast"/>
        </w:trPr>
        <w:tc>
          <w:tcPr>
            <w:tcW w:w="1060" w:type="dxa"/>
            <w:tcBorders>
              <w:top w:val="single" w:color="000000" w:sz="4" w:space="0"/>
              <w:left w:val="single" w:color="000000" w:sz="4" w:space="0"/>
              <w:bottom w:val="nil"/>
              <w:right w:val="nil"/>
            </w:tcBorders>
            <w:shd w:val="clear" w:color="000000" w:fill="FFFFFF"/>
            <w:noWrap w:val="0"/>
            <w:vAlign w:val="center"/>
          </w:tcPr>
          <w:p w14:paraId="5D1FA43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w:t>
            </w:r>
          </w:p>
        </w:tc>
        <w:tc>
          <w:tcPr>
            <w:tcW w:w="3208" w:type="dxa"/>
            <w:tcBorders>
              <w:top w:val="single" w:color="000000" w:sz="4" w:space="0"/>
              <w:left w:val="single" w:color="000000" w:sz="4" w:space="0"/>
              <w:bottom w:val="nil"/>
              <w:right w:val="nil"/>
            </w:tcBorders>
            <w:shd w:val="clear" w:color="000000" w:fill="FFFFFF"/>
            <w:noWrap w:val="0"/>
            <w:vAlign w:val="center"/>
          </w:tcPr>
          <w:p w14:paraId="53C28CBD">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60" w:type="dxa"/>
            <w:tcBorders>
              <w:top w:val="single" w:color="000000" w:sz="4" w:space="0"/>
              <w:left w:val="single" w:color="000000" w:sz="4" w:space="0"/>
              <w:bottom w:val="nil"/>
              <w:right w:val="nil"/>
            </w:tcBorders>
            <w:shd w:val="clear" w:color="000000" w:fill="FFFFFF"/>
            <w:noWrap w:val="0"/>
            <w:vAlign w:val="center"/>
          </w:tcPr>
          <w:p w14:paraId="0B9687D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80" w:type="dxa"/>
            <w:tcBorders>
              <w:top w:val="single" w:color="000000" w:sz="4" w:space="0"/>
              <w:left w:val="single" w:color="000000" w:sz="4" w:space="0"/>
              <w:bottom w:val="nil"/>
              <w:right w:val="nil"/>
            </w:tcBorders>
            <w:shd w:val="clear" w:color="000000" w:fill="FFFFFF"/>
            <w:noWrap/>
            <w:vAlign w:val="center"/>
          </w:tcPr>
          <w:p w14:paraId="0BF8CC3E">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40" w:type="dxa"/>
            <w:tcBorders>
              <w:top w:val="single" w:color="000000" w:sz="4" w:space="0"/>
              <w:left w:val="single" w:color="000000" w:sz="4" w:space="0"/>
              <w:bottom w:val="nil"/>
              <w:right w:val="nil"/>
            </w:tcBorders>
            <w:shd w:val="clear" w:color="000000" w:fill="FFFFFF"/>
            <w:noWrap/>
            <w:vAlign w:val="center"/>
          </w:tcPr>
          <w:p w14:paraId="48F58451">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40" w:type="dxa"/>
            <w:tcBorders>
              <w:top w:val="single" w:color="000000" w:sz="4" w:space="0"/>
              <w:left w:val="single" w:color="000000" w:sz="4" w:space="0"/>
              <w:bottom w:val="nil"/>
              <w:right w:val="single" w:color="000000" w:sz="4" w:space="0"/>
            </w:tcBorders>
            <w:shd w:val="clear" w:color="000000" w:fill="FFFFFF"/>
            <w:noWrap/>
            <w:vAlign w:val="center"/>
          </w:tcPr>
          <w:p w14:paraId="0AAF05D3">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034C93DE">
        <w:tblPrEx>
          <w:tblCellMar>
            <w:top w:w="0" w:type="dxa"/>
            <w:left w:w="108" w:type="dxa"/>
            <w:bottom w:w="0" w:type="dxa"/>
            <w:right w:w="108" w:type="dxa"/>
          </w:tblCellMar>
        </w:tblPrEx>
        <w:trPr>
          <w:trHeight w:val="454" w:hRule="atLeast"/>
        </w:trPr>
        <w:tc>
          <w:tcPr>
            <w:tcW w:w="7948" w:type="dxa"/>
            <w:gridSpan w:val="5"/>
            <w:tcBorders>
              <w:top w:val="single" w:color="000000" w:sz="4" w:space="0"/>
              <w:left w:val="single" w:color="000000" w:sz="4" w:space="0"/>
              <w:bottom w:val="nil"/>
              <w:right w:val="nil"/>
            </w:tcBorders>
            <w:shd w:val="clear" w:color="000000" w:fill="FFFFFF"/>
            <w:noWrap w:val="0"/>
            <w:vAlign w:val="center"/>
          </w:tcPr>
          <w:p w14:paraId="709A1CF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施工机械小计</w:t>
            </w:r>
          </w:p>
        </w:tc>
        <w:tc>
          <w:tcPr>
            <w:tcW w:w="1240" w:type="dxa"/>
            <w:tcBorders>
              <w:top w:val="single" w:color="000000" w:sz="4" w:space="0"/>
              <w:left w:val="single" w:color="000000" w:sz="4" w:space="0"/>
              <w:bottom w:val="nil"/>
              <w:right w:val="single" w:color="000000" w:sz="4" w:space="0"/>
            </w:tcBorders>
            <w:shd w:val="clear" w:color="000000" w:fill="FFFFFF"/>
            <w:noWrap/>
            <w:vAlign w:val="center"/>
          </w:tcPr>
          <w:p w14:paraId="544630CD">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2846CE9A">
        <w:tblPrEx>
          <w:tblCellMar>
            <w:top w:w="0" w:type="dxa"/>
            <w:left w:w="108" w:type="dxa"/>
            <w:bottom w:w="0" w:type="dxa"/>
            <w:right w:w="108" w:type="dxa"/>
          </w:tblCellMar>
        </w:tblPrEx>
        <w:trPr>
          <w:trHeight w:val="454" w:hRule="atLeast"/>
        </w:trPr>
        <w:tc>
          <w:tcPr>
            <w:tcW w:w="7948" w:type="dxa"/>
            <w:gridSpan w:val="5"/>
            <w:tcBorders>
              <w:top w:val="single" w:color="000000" w:sz="4" w:space="0"/>
              <w:left w:val="single" w:color="000000" w:sz="4" w:space="0"/>
              <w:bottom w:val="single" w:color="000000" w:sz="4" w:space="0"/>
              <w:right w:val="nil"/>
            </w:tcBorders>
            <w:shd w:val="clear" w:color="000000" w:fill="FFFFFF"/>
            <w:noWrap w:val="0"/>
            <w:vAlign w:val="center"/>
          </w:tcPr>
          <w:p w14:paraId="7D1DC78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总    计</w:t>
            </w:r>
          </w:p>
        </w:tc>
        <w:tc>
          <w:tcPr>
            <w:tcW w:w="124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12F53B59">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bl>
    <w:p w14:paraId="380513B7">
      <w:pPr>
        <w:keepNext/>
        <w:keepLines/>
        <w:rPr>
          <w:rFonts w:hint="eastAsia" w:ascii="宋体" w:hAnsi="宋体" w:eastAsia="宋体" w:cs="宋体"/>
          <w:color w:val="auto"/>
          <w:sz w:val="24"/>
          <w:highlight w:val="none"/>
        </w:rPr>
      </w:pPr>
    </w:p>
    <w:tbl>
      <w:tblPr>
        <w:tblStyle w:val="24"/>
        <w:tblW w:w="9457" w:type="dxa"/>
        <w:tblInd w:w="91" w:type="dxa"/>
        <w:tblLayout w:type="fixed"/>
        <w:tblCellMar>
          <w:top w:w="0" w:type="dxa"/>
          <w:left w:w="108" w:type="dxa"/>
          <w:bottom w:w="0" w:type="dxa"/>
          <w:right w:w="108" w:type="dxa"/>
        </w:tblCellMar>
      </w:tblPr>
      <w:tblGrid>
        <w:gridCol w:w="640"/>
        <w:gridCol w:w="2920"/>
        <w:gridCol w:w="1417"/>
        <w:gridCol w:w="1400"/>
        <w:gridCol w:w="1540"/>
        <w:gridCol w:w="1540"/>
      </w:tblGrid>
      <w:tr w14:paraId="0320F799">
        <w:tblPrEx>
          <w:tblCellMar>
            <w:top w:w="0" w:type="dxa"/>
            <w:left w:w="108" w:type="dxa"/>
            <w:bottom w:w="0" w:type="dxa"/>
            <w:right w:w="108" w:type="dxa"/>
          </w:tblCellMar>
        </w:tblPrEx>
        <w:trPr>
          <w:trHeight w:val="590" w:hRule="atLeast"/>
        </w:trPr>
        <w:tc>
          <w:tcPr>
            <w:tcW w:w="9457" w:type="dxa"/>
            <w:gridSpan w:val="6"/>
            <w:tcBorders>
              <w:top w:val="nil"/>
              <w:left w:val="nil"/>
              <w:bottom w:val="nil"/>
              <w:right w:val="nil"/>
            </w:tcBorders>
            <w:shd w:val="clear" w:color="000000" w:fill="FFFFFF"/>
            <w:noWrap w:val="0"/>
            <w:vAlign w:val="center"/>
          </w:tcPr>
          <w:p w14:paraId="0EA842ED">
            <w:pPr>
              <w:widowControl/>
              <w:jc w:val="center"/>
              <w:rPr>
                <w:rFonts w:hint="eastAsia" w:ascii="宋体" w:hAnsi="宋体" w:eastAsia="宋体" w:cs="宋体"/>
                <w:b/>
                <w:bCs/>
                <w:color w:val="auto"/>
                <w:kern w:val="0"/>
                <w:sz w:val="40"/>
                <w:szCs w:val="40"/>
                <w:highlight w:val="none"/>
              </w:rPr>
            </w:pPr>
            <w:r>
              <w:rPr>
                <w:rFonts w:hint="eastAsia" w:ascii="宋体" w:hAnsi="宋体" w:eastAsia="宋体" w:cs="宋体"/>
                <w:b/>
                <w:bCs/>
                <w:color w:val="auto"/>
                <w:kern w:val="0"/>
                <w:sz w:val="32"/>
                <w:szCs w:val="32"/>
                <w:highlight w:val="none"/>
              </w:rPr>
              <w:t>总承包服务费计价表</w:t>
            </w:r>
          </w:p>
        </w:tc>
      </w:tr>
      <w:tr w14:paraId="064B7F8C">
        <w:tblPrEx>
          <w:tblCellMar>
            <w:top w:w="0" w:type="dxa"/>
            <w:left w:w="108" w:type="dxa"/>
            <w:bottom w:w="0" w:type="dxa"/>
            <w:right w:w="108" w:type="dxa"/>
          </w:tblCellMar>
        </w:tblPrEx>
        <w:trPr>
          <w:trHeight w:val="420" w:hRule="atLeast"/>
        </w:trPr>
        <w:tc>
          <w:tcPr>
            <w:tcW w:w="4977" w:type="dxa"/>
            <w:gridSpan w:val="3"/>
            <w:tcBorders>
              <w:top w:val="nil"/>
              <w:left w:val="nil"/>
              <w:bottom w:val="nil"/>
              <w:right w:val="nil"/>
            </w:tcBorders>
            <w:shd w:val="clear" w:color="000000" w:fill="FFFFFF"/>
            <w:noWrap w:val="0"/>
            <w:vAlign w:val="bottom"/>
          </w:tcPr>
          <w:p w14:paraId="40524B5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单位(专业)工程名称: </w:t>
            </w:r>
          </w:p>
        </w:tc>
        <w:tc>
          <w:tcPr>
            <w:tcW w:w="1400" w:type="dxa"/>
            <w:tcBorders>
              <w:top w:val="nil"/>
              <w:left w:val="nil"/>
              <w:bottom w:val="nil"/>
              <w:right w:val="nil"/>
            </w:tcBorders>
            <w:shd w:val="clear" w:color="000000" w:fill="FFFFFF"/>
            <w:noWrap w:val="0"/>
            <w:vAlign w:val="bottom"/>
          </w:tcPr>
          <w:p w14:paraId="0AF5BF0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标段:</w:t>
            </w:r>
          </w:p>
        </w:tc>
        <w:tc>
          <w:tcPr>
            <w:tcW w:w="3080" w:type="dxa"/>
            <w:gridSpan w:val="2"/>
            <w:tcBorders>
              <w:top w:val="nil"/>
              <w:left w:val="nil"/>
              <w:bottom w:val="nil"/>
              <w:right w:val="nil"/>
            </w:tcBorders>
            <w:shd w:val="clear" w:color="000000" w:fill="FFFFFF"/>
            <w:noWrap w:val="0"/>
            <w:vAlign w:val="bottom"/>
          </w:tcPr>
          <w:p w14:paraId="67D73C79">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第 页 共 页</w:t>
            </w:r>
          </w:p>
        </w:tc>
      </w:tr>
      <w:tr w14:paraId="1D0F2B10">
        <w:tblPrEx>
          <w:tblCellMar>
            <w:top w:w="0" w:type="dxa"/>
            <w:left w:w="108" w:type="dxa"/>
            <w:bottom w:w="0" w:type="dxa"/>
            <w:right w:w="108" w:type="dxa"/>
          </w:tblCellMar>
        </w:tblPrEx>
        <w:trPr>
          <w:trHeight w:val="454" w:hRule="atLeast"/>
        </w:trPr>
        <w:tc>
          <w:tcPr>
            <w:tcW w:w="640" w:type="dxa"/>
            <w:tcBorders>
              <w:top w:val="single" w:color="000000" w:sz="4" w:space="0"/>
              <w:left w:val="single" w:color="000000" w:sz="4" w:space="0"/>
              <w:bottom w:val="nil"/>
              <w:right w:val="nil"/>
            </w:tcBorders>
            <w:shd w:val="clear" w:color="000000" w:fill="FFFFFF"/>
            <w:noWrap w:val="0"/>
            <w:vAlign w:val="center"/>
          </w:tcPr>
          <w:p w14:paraId="5232AE5A">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序号</w:t>
            </w:r>
          </w:p>
        </w:tc>
        <w:tc>
          <w:tcPr>
            <w:tcW w:w="2920" w:type="dxa"/>
            <w:tcBorders>
              <w:top w:val="single" w:color="000000" w:sz="4" w:space="0"/>
              <w:left w:val="single" w:color="000000" w:sz="4" w:space="0"/>
              <w:bottom w:val="nil"/>
              <w:right w:val="nil"/>
            </w:tcBorders>
            <w:shd w:val="clear" w:color="000000" w:fill="FFFFFF"/>
            <w:noWrap w:val="0"/>
            <w:vAlign w:val="center"/>
          </w:tcPr>
          <w:p w14:paraId="150B2EFD">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项目名称</w:t>
            </w:r>
          </w:p>
        </w:tc>
        <w:tc>
          <w:tcPr>
            <w:tcW w:w="1417" w:type="dxa"/>
            <w:tcBorders>
              <w:top w:val="single" w:color="000000" w:sz="4" w:space="0"/>
              <w:left w:val="single" w:color="000000" w:sz="4" w:space="0"/>
              <w:bottom w:val="nil"/>
              <w:right w:val="nil"/>
            </w:tcBorders>
            <w:shd w:val="clear" w:color="000000" w:fill="FFFFFF"/>
            <w:noWrap w:val="0"/>
            <w:vAlign w:val="center"/>
          </w:tcPr>
          <w:p w14:paraId="0BA8BB17">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项目价值(元)</w:t>
            </w:r>
          </w:p>
        </w:tc>
        <w:tc>
          <w:tcPr>
            <w:tcW w:w="1400" w:type="dxa"/>
            <w:tcBorders>
              <w:top w:val="single" w:color="000000" w:sz="4" w:space="0"/>
              <w:left w:val="single" w:color="000000" w:sz="4" w:space="0"/>
              <w:bottom w:val="nil"/>
              <w:right w:val="nil"/>
            </w:tcBorders>
            <w:shd w:val="clear" w:color="000000" w:fill="FFFFFF"/>
            <w:noWrap w:val="0"/>
            <w:vAlign w:val="center"/>
          </w:tcPr>
          <w:p w14:paraId="160E0EC8">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服务内容</w:t>
            </w:r>
          </w:p>
        </w:tc>
        <w:tc>
          <w:tcPr>
            <w:tcW w:w="1540" w:type="dxa"/>
            <w:tcBorders>
              <w:top w:val="single" w:color="000000" w:sz="4" w:space="0"/>
              <w:left w:val="single" w:color="000000" w:sz="4" w:space="0"/>
              <w:bottom w:val="nil"/>
              <w:right w:val="nil"/>
            </w:tcBorders>
            <w:shd w:val="clear" w:color="000000" w:fill="FFFFFF"/>
            <w:noWrap w:val="0"/>
            <w:vAlign w:val="center"/>
          </w:tcPr>
          <w:p w14:paraId="68DBE0D7">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费率(%)</w:t>
            </w:r>
          </w:p>
        </w:tc>
        <w:tc>
          <w:tcPr>
            <w:tcW w:w="1540" w:type="dxa"/>
            <w:tcBorders>
              <w:top w:val="single" w:color="000000" w:sz="4" w:space="0"/>
              <w:left w:val="single" w:color="000000" w:sz="4" w:space="0"/>
              <w:bottom w:val="nil"/>
              <w:right w:val="single" w:color="000000" w:sz="4" w:space="0"/>
            </w:tcBorders>
            <w:shd w:val="clear" w:color="000000" w:fill="FFFFFF"/>
            <w:noWrap w:val="0"/>
            <w:vAlign w:val="center"/>
          </w:tcPr>
          <w:p w14:paraId="51C8AC5C">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金额(元)</w:t>
            </w:r>
          </w:p>
        </w:tc>
      </w:tr>
      <w:tr w14:paraId="3037A3C5">
        <w:tblPrEx>
          <w:tblCellMar>
            <w:top w:w="0" w:type="dxa"/>
            <w:left w:w="108" w:type="dxa"/>
            <w:bottom w:w="0" w:type="dxa"/>
            <w:right w:w="108" w:type="dxa"/>
          </w:tblCellMar>
        </w:tblPrEx>
        <w:trPr>
          <w:trHeight w:val="454" w:hRule="atLeast"/>
        </w:trPr>
        <w:tc>
          <w:tcPr>
            <w:tcW w:w="640" w:type="dxa"/>
            <w:tcBorders>
              <w:top w:val="single" w:color="000000" w:sz="4" w:space="0"/>
              <w:left w:val="single" w:color="000000" w:sz="4" w:space="0"/>
              <w:bottom w:val="nil"/>
              <w:right w:val="nil"/>
            </w:tcBorders>
            <w:shd w:val="clear" w:color="000000" w:fill="FFFFFF"/>
            <w:noWrap w:val="0"/>
            <w:vAlign w:val="center"/>
          </w:tcPr>
          <w:p w14:paraId="498A8F40">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2920" w:type="dxa"/>
            <w:tcBorders>
              <w:top w:val="single" w:color="000000" w:sz="4" w:space="0"/>
              <w:left w:val="single" w:color="000000" w:sz="4" w:space="0"/>
              <w:bottom w:val="nil"/>
              <w:right w:val="nil"/>
            </w:tcBorders>
            <w:shd w:val="clear" w:color="000000" w:fill="FFFFFF"/>
            <w:noWrap w:val="0"/>
            <w:vAlign w:val="center"/>
          </w:tcPr>
          <w:p w14:paraId="52BA390E">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发包人单独发包的专业工程</w:t>
            </w:r>
          </w:p>
        </w:tc>
        <w:tc>
          <w:tcPr>
            <w:tcW w:w="1417" w:type="dxa"/>
            <w:tcBorders>
              <w:top w:val="single" w:color="000000" w:sz="4" w:space="0"/>
              <w:left w:val="single" w:color="000000" w:sz="4" w:space="0"/>
              <w:bottom w:val="nil"/>
              <w:right w:val="nil"/>
            </w:tcBorders>
            <w:shd w:val="clear" w:color="000000" w:fill="FFFFFF"/>
            <w:noWrap w:val="0"/>
            <w:vAlign w:val="center"/>
          </w:tcPr>
          <w:p w14:paraId="51DD19F1">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400" w:type="dxa"/>
            <w:tcBorders>
              <w:top w:val="single" w:color="000000" w:sz="4" w:space="0"/>
              <w:left w:val="single" w:color="000000" w:sz="4" w:space="0"/>
              <w:bottom w:val="nil"/>
              <w:right w:val="nil"/>
            </w:tcBorders>
            <w:shd w:val="clear" w:color="000000" w:fill="FFFFFF"/>
            <w:noWrap w:val="0"/>
            <w:vAlign w:val="center"/>
          </w:tcPr>
          <w:p w14:paraId="032D16C1">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540" w:type="dxa"/>
            <w:tcBorders>
              <w:top w:val="single" w:color="000000" w:sz="4" w:space="0"/>
              <w:left w:val="single" w:color="000000" w:sz="4" w:space="0"/>
              <w:bottom w:val="nil"/>
              <w:right w:val="nil"/>
            </w:tcBorders>
            <w:shd w:val="clear" w:color="000000" w:fill="FFFFFF"/>
            <w:noWrap w:val="0"/>
            <w:vAlign w:val="center"/>
          </w:tcPr>
          <w:p w14:paraId="44059E46">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540" w:type="dxa"/>
            <w:tcBorders>
              <w:top w:val="single" w:color="000000" w:sz="4" w:space="0"/>
              <w:left w:val="single" w:color="000000" w:sz="4" w:space="0"/>
              <w:bottom w:val="nil"/>
              <w:right w:val="single" w:color="000000" w:sz="4" w:space="0"/>
            </w:tcBorders>
            <w:shd w:val="clear" w:color="000000" w:fill="FFFFFF"/>
            <w:noWrap/>
            <w:vAlign w:val="center"/>
          </w:tcPr>
          <w:p w14:paraId="64E381F2">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08D82BC6">
        <w:tblPrEx>
          <w:tblCellMar>
            <w:top w:w="0" w:type="dxa"/>
            <w:left w:w="108" w:type="dxa"/>
            <w:bottom w:w="0" w:type="dxa"/>
            <w:right w:w="108" w:type="dxa"/>
          </w:tblCellMar>
        </w:tblPrEx>
        <w:trPr>
          <w:trHeight w:val="454" w:hRule="atLeast"/>
        </w:trPr>
        <w:tc>
          <w:tcPr>
            <w:tcW w:w="640" w:type="dxa"/>
            <w:tcBorders>
              <w:top w:val="single" w:color="000000" w:sz="4" w:space="0"/>
              <w:left w:val="single" w:color="000000" w:sz="4" w:space="0"/>
              <w:bottom w:val="nil"/>
              <w:right w:val="nil"/>
            </w:tcBorders>
            <w:shd w:val="clear" w:color="000000" w:fill="FFFFFF"/>
            <w:noWrap w:val="0"/>
            <w:vAlign w:val="center"/>
          </w:tcPr>
          <w:p w14:paraId="64072434">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1.1</w:t>
            </w:r>
          </w:p>
        </w:tc>
        <w:tc>
          <w:tcPr>
            <w:tcW w:w="2920" w:type="dxa"/>
            <w:tcBorders>
              <w:top w:val="single" w:color="000000" w:sz="4" w:space="0"/>
              <w:left w:val="single" w:color="000000" w:sz="4" w:space="0"/>
              <w:bottom w:val="nil"/>
              <w:right w:val="nil"/>
            </w:tcBorders>
            <w:shd w:val="clear" w:color="000000" w:fill="FFFFFF"/>
            <w:noWrap w:val="0"/>
            <w:vAlign w:val="center"/>
          </w:tcPr>
          <w:p w14:paraId="217085B8">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专业发包工程管理费</w:t>
            </w:r>
          </w:p>
        </w:tc>
        <w:tc>
          <w:tcPr>
            <w:tcW w:w="1417" w:type="dxa"/>
            <w:tcBorders>
              <w:top w:val="single" w:color="000000" w:sz="4" w:space="0"/>
              <w:left w:val="single" w:color="000000" w:sz="4" w:space="0"/>
              <w:bottom w:val="nil"/>
              <w:right w:val="nil"/>
            </w:tcBorders>
            <w:shd w:val="clear" w:color="000000" w:fill="FFFFFF"/>
            <w:noWrap w:val="0"/>
            <w:vAlign w:val="center"/>
          </w:tcPr>
          <w:p w14:paraId="226E5710">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400" w:type="dxa"/>
            <w:tcBorders>
              <w:top w:val="single" w:color="000000" w:sz="4" w:space="0"/>
              <w:left w:val="single" w:color="000000" w:sz="4" w:space="0"/>
              <w:bottom w:val="nil"/>
              <w:right w:val="nil"/>
            </w:tcBorders>
            <w:shd w:val="clear" w:color="000000" w:fill="FFFFFF"/>
            <w:noWrap w:val="0"/>
            <w:vAlign w:val="center"/>
          </w:tcPr>
          <w:p w14:paraId="4EE7F8C6">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540" w:type="dxa"/>
            <w:tcBorders>
              <w:top w:val="single" w:color="000000" w:sz="4" w:space="0"/>
              <w:left w:val="single" w:color="000000" w:sz="4" w:space="0"/>
              <w:bottom w:val="nil"/>
              <w:right w:val="nil"/>
            </w:tcBorders>
            <w:shd w:val="clear" w:color="000000" w:fill="FFFFFF"/>
            <w:noWrap w:val="0"/>
            <w:vAlign w:val="center"/>
          </w:tcPr>
          <w:p w14:paraId="72E3FA6F">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540" w:type="dxa"/>
            <w:tcBorders>
              <w:top w:val="single" w:color="000000" w:sz="4" w:space="0"/>
              <w:left w:val="single" w:color="000000" w:sz="4" w:space="0"/>
              <w:bottom w:val="nil"/>
              <w:right w:val="single" w:color="000000" w:sz="4" w:space="0"/>
            </w:tcBorders>
            <w:shd w:val="clear" w:color="000000" w:fill="FFFFFF"/>
            <w:noWrap/>
            <w:vAlign w:val="center"/>
          </w:tcPr>
          <w:p w14:paraId="2D1B3F5D">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2AAA2303">
        <w:tblPrEx>
          <w:tblCellMar>
            <w:top w:w="0" w:type="dxa"/>
            <w:left w:w="108" w:type="dxa"/>
            <w:bottom w:w="0" w:type="dxa"/>
            <w:right w:w="108" w:type="dxa"/>
          </w:tblCellMar>
        </w:tblPrEx>
        <w:trPr>
          <w:trHeight w:val="454" w:hRule="atLeast"/>
        </w:trPr>
        <w:tc>
          <w:tcPr>
            <w:tcW w:w="640" w:type="dxa"/>
            <w:tcBorders>
              <w:top w:val="single" w:color="000000" w:sz="4" w:space="0"/>
              <w:left w:val="single" w:color="000000" w:sz="4" w:space="0"/>
              <w:bottom w:val="nil"/>
              <w:right w:val="nil"/>
            </w:tcBorders>
            <w:shd w:val="clear" w:color="000000" w:fill="FFFFFF"/>
            <w:noWrap w:val="0"/>
            <w:vAlign w:val="center"/>
          </w:tcPr>
          <w:p w14:paraId="14B0AA76">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w:t>
            </w:r>
          </w:p>
        </w:tc>
        <w:tc>
          <w:tcPr>
            <w:tcW w:w="2920" w:type="dxa"/>
            <w:tcBorders>
              <w:top w:val="single" w:color="000000" w:sz="4" w:space="0"/>
              <w:left w:val="single" w:color="000000" w:sz="4" w:space="0"/>
              <w:bottom w:val="nil"/>
              <w:right w:val="nil"/>
            </w:tcBorders>
            <w:shd w:val="clear" w:color="000000" w:fill="FFFFFF"/>
            <w:noWrap w:val="0"/>
            <w:vAlign w:val="center"/>
          </w:tcPr>
          <w:p w14:paraId="39C10DE7">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发包人提供材料(设备)</w:t>
            </w:r>
          </w:p>
        </w:tc>
        <w:tc>
          <w:tcPr>
            <w:tcW w:w="1417" w:type="dxa"/>
            <w:tcBorders>
              <w:top w:val="single" w:color="000000" w:sz="4" w:space="0"/>
              <w:left w:val="single" w:color="000000" w:sz="4" w:space="0"/>
              <w:bottom w:val="nil"/>
              <w:right w:val="nil"/>
            </w:tcBorders>
            <w:shd w:val="clear" w:color="000000" w:fill="FFFFFF"/>
            <w:noWrap w:val="0"/>
            <w:vAlign w:val="center"/>
          </w:tcPr>
          <w:p w14:paraId="04132E25">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400" w:type="dxa"/>
            <w:tcBorders>
              <w:top w:val="single" w:color="000000" w:sz="4" w:space="0"/>
              <w:left w:val="single" w:color="000000" w:sz="4" w:space="0"/>
              <w:bottom w:val="nil"/>
              <w:right w:val="nil"/>
            </w:tcBorders>
            <w:shd w:val="clear" w:color="000000" w:fill="FFFFFF"/>
            <w:noWrap w:val="0"/>
            <w:vAlign w:val="center"/>
          </w:tcPr>
          <w:p w14:paraId="2B9FB191">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540" w:type="dxa"/>
            <w:tcBorders>
              <w:top w:val="single" w:color="000000" w:sz="4" w:space="0"/>
              <w:left w:val="single" w:color="000000" w:sz="4" w:space="0"/>
              <w:bottom w:val="nil"/>
              <w:right w:val="nil"/>
            </w:tcBorders>
            <w:shd w:val="clear" w:color="000000" w:fill="FFFFFF"/>
            <w:noWrap w:val="0"/>
            <w:vAlign w:val="center"/>
          </w:tcPr>
          <w:p w14:paraId="7F2DD2A5">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540" w:type="dxa"/>
            <w:tcBorders>
              <w:top w:val="single" w:color="000000" w:sz="4" w:space="0"/>
              <w:left w:val="single" w:color="000000" w:sz="4" w:space="0"/>
              <w:bottom w:val="nil"/>
              <w:right w:val="single" w:color="000000" w:sz="4" w:space="0"/>
            </w:tcBorders>
            <w:shd w:val="clear" w:color="000000" w:fill="FFFFFF"/>
            <w:noWrap/>
            <w:vAlign w:val="center"/>
          </w:tcPr>
          <w:p w14:paraId="56FBEE97">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1FD446C0">
        <w:tblPrEx>
          <w:tblCellMar>
            <w:top w:w="0" w:type="dxa"/>
            <w:left w:w="108" w:type="dxa"/>
            <w:bottom w:w="0" w:type="dxa"/>
            <w:right w:w="108" w:type="dxa"/>
          </w:tblCellMar>
        </w:tblPrEx>
        <w:trPr>
          <w:trHeight w:val="454" w:hRule="atLeast"/>
        </w:trPr>
        <w:tc>
          <w:tcPr>
            <w:tcW w:w="640" w:type="dxa"/>
            <w:tcBorders>
              <w:top w:val="single" w:color="000000" w:sz="4" w:space="0"/>
              <w:left w:val="single" w:color="000000" w:sz="4" w:space="0"/>
              <w:bottom w:val="nil"/>
              <w:right w:val="nil"/>
            </w:tcBorders>
            <w:shd w:val="clear" w:color="000000" w:fill="FFFFFF"/>
            <w:noWrap w:val="0"/>
            <w:vAlign w:val="center"/>
          </w:tcPr>
          <w:p w14:paraId="3B205B20">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2.1</w:t>
            </w:r>
          </w:p>
        </w:tc>
        <w:tc>
          <w:tcPr>
            <w:tcW w:w="2920" w:type="dxa"/>
            <w:tcBorders>
              <w:top w:val="single" w:color="000000" w:sz="4" w:space="0"/>
              <w:left w:val="single" w:color="000000" w:sz="4" w:space="0"/>
              <w:bottom w:val="nil"/>
              <w:right w:val="nil"/>
            </w:tcBorders>
            <w:shd w:val="clear" w:color="000000" w:fill="FFFFFF"/>
            <w:noWrap w:val="0"/>
            <w:vAlign w:val="center"/>
          </w:tcPr>
          <w:p w14:paraId="151E8692">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甲供材料设备保管费</w:t>
            </w:r>
          </w:p>
        </w:tc>
        <w:tc>
          <w:tcPr>
            <w:tcW w:w="1417" w:type="dxa"/>
            <w:tcBorders>
              <w:top w:val="single" w:color="000000" w:sz="4" w:space="0"/>
              <w:left w:val="single" w:color="000000" w:sz="4" w:space="0"/>
              <w:bottom w:val="nil"/>
              <w:right w:val="nil"/>
            </w:tcBorders>
            <w:shd w:val="clear" w:color="000000" w:fill="FFFFFF"/>
            <w:noWrap w:val="0"/>
            <w:vAlign w:val="center"/>
          </w:tcPr>
          <w:p w14:paraId="719F8074">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400" w:type="dxa"/>
            <w:tcBorders>
              <w:top w:val="single" w:color="000000" w:sz="4" w:space="0"/>
              <w:left w:val="single" w:color="000000" w:sz="4" w:space="0"/>
              <w:bottom w:val="nil"/>
              <w:right w:val="nil"/>
            </w:tcBorders>
            <w:shd w:val="clear" w:color="000000" w:fill="FFFFFF"/>
            <w:noWrap w:val="0"/>
            <w:vAlign w:val="center"/>
          </w:tcPr>
          <w:p w14:paraId="0E61EBC2">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540" w:type="dxa"/>
            <w:tcBorders>
              <w:top w:val="single" w:color="000000" w:sz="4" w:space="0"/>
              <w:left w:val="single" w:color="000000" w:sz="4" w:space="0"/>
              <w:bottom w:val="nil"/>
              <w:right w:val="nil"/>
            </w:tcBorders>
            <w:shd w:val="clear" w:color="000000" w:fill="FFFFFF"/>
            <w:noWrap w:val="0"/>
            <w:vAlign w:val="center"/>
          </w:tcPr>
          <w:p w14:paraId="032C4CB7">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540" w:type="dxa"/>
            <w:tcBorders>
              <w:top w:val="single" w:color="000000" w:sz="4" w:space="0"/>
              <w:left w:val="single" w:color="000000" w:sz="4" w:space="0"/>
              <w:bottom w:val="nil"/>
              <w:right w:val="single" w:color="000000" w:sz="4" w:space="0"/>
            </w:tcBorders>
            <w:shd w:val="clear" w:color="000000" w:fill="FFFFFF"/>
            <w:noWrap/>
            <w:vAlign w:val="center"/>
          </w:tcPr>
          <w:p w14:paraId="46BED226">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21EA45AC">
        <w:tblPrEx>
          <w:tblCellMar>
            <w:top w:w="0" w:type="dxa"/>
            <w:left w:w="108" w:type="dxa"/>
            <w:bottom w:w="0" w:type="dxa"/>
            <w:right w:w="108" w:type="dxa"/>
          </w:tblCellMar>
        </w:tblPrEx>
        <w:trPr>
          <w:trHeight w:val="454" w:hRule="atLeast"/>
        </w:trPr>
        <w:tc>
          <w:tcPr>
            <w:tcW w:w="640" w:type="dxa"/>
            <w:tcBorders>
              <w:top w:val="single" w:color="000000" w:sz="4" w:space="0"/>
              <w:left w:val="single" w:color="000000" w:sz="4" w:space="0"/>
              <w:bottom w:val="nil"/>
              <w:right w:val="nil"/>
            </w:tcBorders>
            <w:shd w:val="clear" w:color="000000" w:fill="FFFFFF"/>
            <w:noWrap w:val="0"/>
            <w:vAlign w:val="center"/>
          </w:tcPr>
          <w:p w14:paraId="48A6114B">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920" w:type="dxa"/>
            <w:tcBorders>
              <w:top w:val="single" w:color="000000" w:sz="4" w:space="0"/>
              <w:left w:val="single" w:color="000000" w:sz="4" w:space="0"/>
              <w:bottom w:val="nil"/>
              <w:right w:val="nil"/>
            </w:tcBorders>
            <w:shd w:val="clear" w:color="000000" w:fill="FFFFFF"/>
            <w:noWrap w:val="0"/>
            <w:vAlign w:val="center"/>
          </w:tcPr>
          <w:p w14:paraId="41336D6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417" w:type="dxa"/>
            <w:tcBorders>
              <w:top w:val="single" w:color="000000" w:sz="4" w:space="0"/>
              <w:left w:val="single" w:color="000000" w:sz="4" w:space="0"/>
              <w:bottom w:val="nil"/>
              <w:right w:val="nil"/>
            </w:tcBorders>
            <w:shd w:val="clear" w:color="000000" w:fill="FFFFFF"/>
            <w:noWrap w:val="0"/>
            <w:vAlign w:val="center"/>
          </w:tcPr>
          <w:p w14:paraId="04FD0D67">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400" w:type="dxa"/>
            <w:tcBorders>
              <w:top w:val="single" w:color="000000" w:sz="4" w:space="0"/>
              <w:left w:val="single" w:color="000000" w:sz="4" w:space="0"/>
              <w:bottom w:val="nil"/>
              <w:right w:val="nil"/>
            </w:tcBorders>
            <w:shd w:val="clear" w:color="000000" w:fill="FFFFFF"/>
            <w:noWrap w:val="0"/>
            <w:vAlign w:val="center"/>
          </w:tcPr>
          <w:p w14:paraId="367D7FDD">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540" w:type="dxa"/>
            <w:tcBorders>
              <w:top w:val="single" w:color="000000" w:sz="4" w:space="0"/>
              <w:left w:val="single" w:color="000000" w:sz="4" w:space="0"/>
              <w:bottom w:val="nil"/>
              <w:right w:val="nil"/>
            </w:tcBorders>
            <w:shd w:val="clear" w:color="000000" w:fill="FFFFFF"/>
            <w:noWrap w:val="0"/>
            <w:vAlign w:val="center"/>
          </w:tcPr>
          <w:p w14:paraId="70E76AE2">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540" w:type="dxa"/>
            <w:tcBorders>
              <w:top w:val="single" w:color="000000" w:sz="4" w:space="0"/>
              <w:left w:val="single" w:color="000000" w:sz="4" w:space="0"/>
              <w:bottom w:val="nil"/>
              <w:right w:val="single" w:color="000000" w:sz="4" w:space="0"/>
            </w:tcBorders>
            <w:shd w:val="clear" w:color="000000" w:fill="FFFFFF"/>
            <w:noWrap/>
            <w:vAlign w:val="center"/>
          </w:tcPr>
          <w:p w14:paraId="052CCD18">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23704417">
        <w:tblPrEx>
          <w:tblCellMar>
            <w:top w:w="0" w:type="dxa"/>
            <w:left w:w="108" w:type="dxa"/>
            <w:bottom w:w="0" w:type="dxa"/>
            <w:right w:w="108" w:type="dxa"/>
          </w:tblCellMar>
        </w:tblPrEx>
        <w:trPr>
          <w:trHeight w:val="454" w:hRule="atLeast"/>
        </w:trPr>
        <w:tc>
          <w:tcPr>
            <w:tcW w:w="640" w:type="dxa"/>
            <w:tcBorders>
              <w:top w:val="single" w:color="000000" w:sz="4" w:space="0"/>
              <w:left w:val="single" w:color="000000" w:sz="4" w:space="0"/>
              <w:bottom w:val="single" w:color="000000" w:sz="4" w:space="0"/>
              <w:right w:val="nil"/>
            </w:tcBorders>
            <w:shd w:val="clear" w:color="000000" w:fill="FFFFFF"/>
            <w:noWrap w:val="0"/>
            <w:vAlign w:val="center"/>
          </w:tcPr>
          <w:p w14:paraId="1601BE75">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920" w:type="dxa"/>
            <w:tcBorders>
              <w:top w:val="single" w:color="000000" w:sz="4" w:space="0"/>
              <w:left w:val="single" w:color="000000" w:sz="4" w:space="0"/>
              <w:bottom w:val="single" w:color="000000" w:sz="4" w:space="0"/>
              <w:right w:val="nil"/>
            </w:tcBorders>
            <w:shd w:val="clear" w:color="000000" w:fill="FFFFFF"/>
            <w:noWrap w:val="0"/>
            <w:vAlign w:val="center"/>
          </w:tcPr>
          <w:p w14:paraId="2172E8E1">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合计</w:t>
            </w:r>
          </w:p>
        </w:tc>
        <w:tc>
          <w:tcPr>
            <w:tcW w:w="1417" w:type="dxa"/>
            <w:tcBorders>
              <w:top w:val="single" w:color="000000" w:sz="4" w:space="0"/>
              <w:left w:val="single" w:color="000000" w:sz="4" w:space="0"/>
              <w:bottom w:val="single" w:color="000000" w:sz="4" w:space="0"/>
              <w:right w:val="nil"/>
            </w:tcBorders>
            <w:shd w:val="clear" w:color="000000" w:fill="FFFFFF"/>
            <w:noWrap w:val="0"/>
            <w:vAlign w:val="center"/>
          </w:tcPr>
          <w:p w14:paraId="1667025A">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1400" w:type="dxa"/>
            <w:tcBorders>
              <w:top w:val="single" w:color="000000" w:sz="4" w:space="0"/>
              <w:left w:val="single" w:color="000000" w:sz="4" w:space="0"/>
              <w:bottom w:val="single" w:color="000000" w:sz="4" w:space="0"/>
              <w:right w:val="nil"/>
            </w:tcBorders>
            <w:shd w:val="clear" w:color="000000" w:fill="FFFFFF"/>
            <w:noWrap w:val="0"/>
            <w:vAlign w:val="center"/>
          </w:tcPr>
          <w:p w14:paraId="50D81F7E">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1540" w:type="dxa"/>
            <w:tcBorders>
              <w:top w:val="single" w:color="000000" w:sz="4" w:space="0"/>
              <w:left w:val="single" w:color="000000" w:sz="4" w:space="0"/>
              <w:bottom w:val="single" w:color="000000" w:sz="4" w:space="0"/>
              <w:right w:val="nil"/>
            </w:tcBorders>
            <w:shd w:val="clear" w:color="000000" w:fill="FFFFFF"/>
            <w:noWrap w:val="0"/>
            <w:vAlign w:val="center"/>
          </w:tcPr>
          <w:p w14:paraId="0415AE5B">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154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11C67F01">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bl>
    <w:p w14:paraId="0CC890A9">
      <w:pPr>
        <w:spacing w:line="300" w:lineRule="auto"/>
        <w:jc w:val="center"/>
        <w:rPr>
          <w:rFonts w:hint="eastAsia" w:ascii="宋体" w:hAnsi="宋体" w:eastAsia="宋体" w:cs="宋体"/>
          <w:b/>
          <w:bCs/>
          <w:color w:val="auto"/>
          <w:sz w:val="28"/>
          <w:highlight w:val="none"/>
        </w:rPr>
      </w:pPr>
    </w:p>
    <w:tbl>
      <w:tblPr>
        <w:tblStyle w:val="24"/>
        <w:tblW w:w="9409" w:type="dxa"/>
        <w:tblInd w:w="93" w:type="dxa"/>
        <w:tblLayout w:type="fixed"/>
        <w:tblCellMar>
          <w:top w:w="0" w:type="dxa"/>
          <w:left w:w="108" w:type="dxa"/>
          <w:bottom w:w="0" w:type="dxa"/>
          <w:right w:w="108" w:type="dxa"/>
        </w:tblCellMar>
      </w:tblPr>
      <w:tblGrid>
        <w:gridCol w:w="580"/>
        <w:gridCol w:w="2129"/>
        <w:gridCol w:w="1000"/>
        <w:gridCol w:w="1040"/>
        <w:gridCol w:w="1500"/>
        <w:gridCol w:w="1440"/>
        <w:gridCol w:w="1720"/>
      </w:tblGrid>
      <w:tr w14:paraId="1B6FEF04">
        <w:tblPrEx>
          <w:tblCellMar>
            <w:top w:w="0" w:type="dxa"/>
            <w:left w:w="108" w:type="dxa"/>
            <w:bottom w:w="0" w:type="dxa"/>
            <w:right w:w="108" w:type="dxa"/>
          </w:tblCellMar>
        </w:tblPrEx>
        <w:trPr>
          <w:trHeight w:val="900" w:hRule="atLeast"/>
        </w:trPr>
        <w:tc>
          <w:tcPr>
            <w:tcW w:w="9409" w:type="dxa"/>
            <w:gridSpan w:val="7"/>
            <w:tcBorders>
              <w:top w:val="nil"/>
              <w:left w:val="nil"/>
              <w:bottom w:val="nil"/>
              <w:right w:val="nil"/>
            </w:tcBorders>
            <w:shd w:val="clear" w:color="000000" w:fill="FFFFFF"/>
            <w:noWrap w:val="0"/>
            <w:vAlign w:val="center"/>
          </w:tcPr>
          <w:p w14:paraId="111E84B8">
            <w:pPr>
              <w:widowControl/>
              <w:jc w:val="center"/>
              <w:rPr>
                <w:rFonts w:hint="eastAsia" w:ascii="宋体" w:hAnsi="宋体" w:eastAsia="宋体" w:cs="宋体"/>
                <w:b/>
                <w:bCs/>
                <w:color w:val="auto"/>
                <w:kern w:val="0"/>
                <w:sz w:val="40"/>
                <w:szCs w:val="40"/>
                <w:highlight w:val="none"/>
              </w:rPr>
            </w:pPr>
            <w:r>
              <w:rPr>
                <w:rFonts w:hint="eastAsia" w:ascii="宋体" w:hAnsi="宋体" w:eastAsia="宋体" w:cs="宋体"/>
                <w:b/>
                <w:bCs/>
                <w:color w:val="auto"/>
                <w:kern w:val="0"/>
                <w:sz w:val="32"/>
                <w:szCs w:val="32"/>
                <w:highlight w:val="none"/>
              </w:rPr>
              <w:t>主要工日一览表</w:t>
            </w:r>
          </w:p>
        </w:tc>
      </w:tr>
      <w:tr w14:paraId="50D10575">
        <w:tblPrEx>
          <w:tblCellMar>
            <w:top w:w="0" w:type="dxa"/>
            <w:left w:w="108" w:type="dxa"/>
            <w:bottom w:w="0" w:type="dxa"/>
            <w:right w:w="108" w:type="dxa"/>
          </w:tblCellMar>
        </w:tblPrEx>
        <w:trPr>
          <w:trHeight w:val="450" w:hRule="atLeast"/>
        </w:trPr>
        <w:tc>
          <w:tcPr>
            <w:tcW w:w="3709" w:type="dxa"/>
            <w:gridSpan w:val="3"/>
            <w:tcBorders>
              <w:top w:val="nil"/>
              <w:left w:val="nil"/>
              <w:bottom w:val="nil"/>
              <w:right w:val="nil"/>
            </w:tcBorders>
            <w:shd w:val="clear" w:color="000000" w:fill="FFFFFF"/>
            <w:noWrap w:val="0"/>
            <w:vAlign w:val="bottom"/>
          </w:tcPr>
          <w:p w14:paraId="7A884EB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工程名称: </w:t>
            </w:r>
          </w:p>
        </w:tc>
        <w:tc>
          <w:tcPr>
            <w:tcW w:w="2540" w:type="dxa"/>
            <w:gridSpan w:val="2"/>
            <w:tcBorders>
              <w:top w:val="nil"/>
              <w:left w:val="nil"/>
              <w:bottom w:val="nil"/>
              <w:right w:val="nil"/>
            </w:tcBorders>
            <w:shd w:val="clear" w:color="000000" w:fill="FFFFFF"/>
            <w:noWrap w:val="0"/>
            <w:vAlign w:val="bottom"/>
          </w:tcPr>
          <w:p w14:paraId="738E579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标段:</w:t>
            </w:r>
          </w:p>
        </w:tc>
        <w:tc>
          <w:tcPr>
            <w:tcW w:w="3160" w:type="dxa"/>
            <w:gridSpan w:val="2"/>
            <w:tcBorders>
              <w:top w:val="nil"/>
              <w:left w:val="nil"/>
              <w:bottom w:val="nil"/>
              <w:right w:val="nil"/>
            </w:tcBorders>
            <w:shd w:val="clear" w:color="000000" w:fill="FFFFFF"/>
            <w:noWrap w:val="0"/>
            <w:vAlign w:val="bottom"/>
          </w:tcPr>
          <w:p w14:paraId="749A6E6E">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第 页 共 页</w:t>
            </w:r>
          </w:p>
        </w:tc>
      </w:tr>
      <w:tr w14:paraId="505A4434">
        <w:tblPrEx>
          <w:tblCellMar>
            <w:top w:w="0" w:type="dxa"/>
            <w:left w:w="108" w:type="dxa"/>
            <w:bottom w:w="0" w:type="dxa"/>
            <w:right w:w="108" w:type="dxa"/>
          </w:tblCellMar>
        </w:tblPrEx>
        <w:trPr>
          <w:trHeight w:val="450" w:hRule="atLeast"/>
        </w:trPr>
        <w:tc>
          <w:tcPr>
            <w:tcW w:w="580" w:type="dxa"/>
            <w:tcBorders>
              <w:top w:val="single" w:color="000000" w:sz="4" w:space="0"/>
              <w:left w:val="single" w:color="000000" w:sz="4" w:space="0"/>
              <w:bottom w:val="nil"/>
              <w:right w:val="nil"/>
            </w:tcBorders>
            <w:shd w:val="clear" w:color="000000" w:fill="FFFFFF"/>
            <w:noWrap w:val="0"/>
            <w:vAlign w:val="center"/>
          </w:tcPr>
          <w:p w14:paraId="28C9FD11">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序号</w:t>
            </w:r>
          </w:p>
        </w:tc>
        <w:tc>
          <w:tcPr>
            <w:tcW w:w="2129" w:type="dxa"/>
            <w:tcBorders>
              <w:top w:val="single" w:color="000000" w:sz="4" w:space="0"/>
              <w:left w:val="single" w:color="000000" w:sz="4" w:space="0"/>
              <w:bottom w:val="nil"/>
              <w:right w:val="nil"/>
            </w:tcBorders>
            <w:shd w:val="clear" w:color="000000" w:fill="FFFFFF"/>
            <w:noWrap w:val="0"/>
            <w:vAlign w:val="center"/>
          </w:tcPr>
          <w:p w14:paraId="2ADB275D">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工日名称（类别）</w:t>
            </w:r>
          </w:p>
        </w:tc>
        <w:tc>
          <w:tcPr>
            <w:tcW w:w="1000" w:type="dxa"/>
            <w:tcBorders>
              <w:top w:val="single" w:color="000000" w:sz="4" w:space="0"/>
              <w:left w:val="single" w:color="000000" w:sz="4" w:space="0"/>
              <w:bottom w:val="nil"/>
              <w:right w:val="nil"/>
            </w:tcBorders>
            <w:shd w:val="clear" w:color="000000" w:fill="FFFFFF"/>
            <w:noWrap w:val="0"/>
            <w:vAlign w:val="center"/>
          </w:tcPr>
          <w:p w14:paraId="361A2D1F">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单位</w:t>
            </w:r>
          </w:p>
        </w:tc>
        <w:tc>
          <w:tcPr>
            <w:tcW w:w="1040" w:type="dxa"/>
            <w:tcBorders>
              <w:top w:val="single" w:color="000000" w:sz="4" w:space="0"/>
              <w:left w:val="single" w:color="000000" w:sz="4" w:space="0"/>
              <w:bottom w:val="nil"/>
              <w:right w:val="nil"/>
            </w:tcBorders>
            <w:shd w:val="clear" w:color="000000" w:fill="FFFFFF"/>
            <w:noWrap w:val="0"/>
            <w:vAlign w:val="center"/>
          </w:tcPr>
          <w:p w14:paraId="4BEE952E">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数 量</w:t>
            </w:r>
          </w:p>
        </w:tc>
        <w:tc>
          <w:tcPr>
            <w:tcW w:w="1500" w:type="dxa"/>
            <w:tcBorders>
              <w:top w:val="single" w:color="000000" w:sz="4" w:space="0"/>
              <w:left w:val="single" w:color="000000" w:sz="4" w:space="0"/>
              <w:bottom w:val="nil"/>
              <w:right w:val="nil"/>
            </w:tcBorders>
            <w:shd w:val="clear" w:color="000000" w:fill="FFFFFF"/>
            <w:noWrap w:val="0"/>
            <w:vAlign w:val="center"/>
          </w:tcPr>
          <w:p w14:paraId="19D3BE78">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单价(元)</w:t>
            </w:r>
          </w:p>
        </w:tc>
        <w:tc>
          <w:tcPr>
            <w:tcW w:w="1440" w:type="dxa"/>
            <w:tcBorders>
              <w:top w:val="single" w:color="000000" w:sz="4" w:space="0"/>
              <w:left w:val="single" w:color="000000" w:sz="4" w:space="0"/>
              <w:bottom w:val="nil"/>
              <w:right w:val="nil"/>
            </w:tcBorders>
            <w:shd w:val="clear" w:color="000000" w:fill="FFFFFF"/>
            <w:noWrap w:val="0"/>
            <w:vAlign w:val="center"/>
          </w:tcPr>
          <w:p w14:paraId="137B4EF2">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合价（元）</w:t>
            </w:r>
          </w:p>
        </w:tc>
        <w:tc>
          <w:tcPr>
            <w:tcW w:w="1720" w:type="dxa"/>
            <w:tcBorders>
              <w:top w:val="single" w:color="000000" w:sz="4" w:space="0"/>
              <w:left w:val="single" w:color="000000" w:sz="4" w:space="0"/>
              <w:bottom w:val="nil"/>
              <w:right w:val="single" w:color="000000" w:sz="4" w:space="0"/>
            </w:tcBorders>
            <w:shd w:val="clear" w:color="000000" w:fill="FFFFFF"/>
            <w:noWrap w:val="0"/>
            <w:vAlign w:val="center"/>
          </w:tcPr>
          <w:p w14:paraId="24B16C20">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备注</w:t>
            </w:r>
          </w:p>
        </w:tc>
      </w:tr>
      <w:tr w14:paraId="3EBC7CFA">
        <w:tblPrEx>
          <w:tblCellMar>
            <w:top w:w="0" w:type="dxa"/>
            <w:left w:w="108" w:type="dxa"/>
            <w:bottom w:w="0" w:type="dxa"/>
            <w:right w:w="108" w:type="dxa"/>
          </w:tblCellMar>
        </w:tblPrEx>
        <w:trPr>
          <w:trHeight w:val="390" w:hRule="atLeast"/>
        </w:trPr>
        <w:tc>
          <w:tcPr>
            <w:tcW w:w="580" w:type="dxa"/>
            <w:tcBorders>
              <w:top w:val="single" w:color="000000" w:sz="4" w:space="0"/>
              <w:left w:val="single" w:color="000000" w:sz="4" w:space="0"/>
              <w:bottom w:val="nil"/>
              <w:right w:val="nil"/>
            </w:tcBorders>
            <w:shd w:val="clear" w:color="000000" w:fill="FFFFFF"/>
            <w:noWrap w:val="0"/>
            <w:vAlign w:val="center"/>
          </w:tcPr>
          <w:p w14:paraId="3495ABFE">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129" w:type="dxa"/>
            <w:tcBorders>
              <w:top w:val="single" w:color="000000" w:sz="4" w:space="0"/>
              <w:left w:val="single" w:color="000000" w:sz="4" w:space="0"/>
              <w:bottom w:val="nil"/>
              <w:right w:val="nil"/>
            </w:tcBorders>
            <w:shd w:val="clear" w:color="000000" w:fill="FFFFFF"/>
            <w:noWrap w:val="0"/>
            <w:vAlign w:val="center"/>
          </w:tcPr>
          <w:p w14:paraId="319266D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000" w:type="dxa"/>
            <w:tcBorders>
              <w:top w:val="single" w:color="000000" w:sz="4" w:space="0"/>
              <w:left w:val="single" w:color="000000" w:sz="4" w:space="0"/>
              <w:bottom w:val="nil"/>
              <w:right w:val="nil"/>
            </w:tcBorders>
            <w:shd w:val="clear" w:color="000000" w:fill="FFFFFF"/>
            <w:noWrap w:val="0"/>
            <w:vAlign w:val="center"/>
          </w:tcPr>
          <w:p w14:paraId="0C831847">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040" w:type="dxa"/>
            <w:tcBorders>
              <w:top w:val="single" w:color="000000" w:sz="4" w:space="0"/>
              <w:left w:val="single" w:color="000000" w:sz="4" w:space="0"/>
              <w:bottom w:val="nil"/>
              <w:right w:val="nil"/>
            </w:tcBorders>
            <w:shd w:val="clear" w:color="000000" w:fill="FFFFFF"/>
            <w:noWrap/>
            <w:vAlign w:val="center"/>
          </w:tcPr>
          <w:p w14:paraId="2A27A748">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500" w:type="dxa"/>
            <w:tcBorders>
              <w:top w:val="single" w:color="000000" w:sz="4" w:space="0"/>
              <w:left w:val="single" w:color="000000" w:sz="4" w:space="0"/>
              <w:bottom w:val="nil"/>
              <w:right w:val="nil"/>
            </w:tcBorders>
            <w:shd w:val="clear" w:color="000000" w:fill="FFFFFF"/>
            <w:noWrap/>
            <w:vAlign w:val="center"/>
          </w:tcPr>
          <w:p w14:paraId="41B21984">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440" w:type="dxa"/>
            <w:tcBorders>
              <w:top w:val="single" w:color="000000" w:sz="4" w:space="0"/>
              <w:left w:val="single" w:color="000000" w:sz="4" w:space="0"/>
              <w:bottom w:val="nil"/>
              <w:right w:val="nil"/>
            </w:tcBorders>
            <w:shd w:val="clear" w:color="000000" w:fill="FFFFFF"/>
            <w:noWrap/>
            <w:vAlign w:val="center"/>
          </w:tcPr>
          <w:p w14:paraId="35EBF44B">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720" w:type="dxa"/>
            <w:tcBorders>
              <w:top w:val="single" w:color="000000" w:sz="4" w:space="0"/>
              <w:left w:val="single" w:color="000000" w:sz="4" w:space="0"/>
              <w:bottom w:val="nil"/>
              <w:right w:val="single" w:color="000000" w:sz="4" w:space="0"/>
            </w:tcBorders>
            <w:shd w:val="clear" w:color="000000" w:fill="FFFFFF"/>
            <w:noWrap w:val="0"/>
            <w:vAlign w:val="center"/>
          </w:tcPr>
          <w:p w14:paraId="308EC35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4455343A">
        <w:tblPrEx>
          <w:tblCellMar>
            <w:top w:w="0" w:type="dxa"/>
            <w:left w:w="108" w:type="dxa"/>
            <w:bottom w:w="0" w:type="dxa"/>
            <w:right w:w="108" w:type="dxa"/>
          </w:tblCellMar>
        </w:tblPrEx>
        <w:trPr>
          <w:trHeight w:val="390" w:hRule="atLeast"/>
        </w:trPr>
        <w:tc>
          <w:tcPr>
            <w:tcW w:w="580" w:type="dxa"/>
            <w:tcBorders>
              <w:top w:val="single" w:color="000000" w:sz="4" w:space="0"/>
              <w:left w:val="single" w:color="000000" w:sz="4" w:space="0"/>
              <w:bottom w:val="nil"/>
              <w:right w:val="nil"/>
            </w:tcBorders>
            <w:shd w:val="clear" w:color="000000" w:fill="FFFFFF"/>
            <w:noWrap w:val="0"/>
            <w:vAlign w:val="center"/>
          </w:tcPr>
          <w:p w14:paraId="7EB945CD">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129" w:type="dxa"/>
            <w:tcBorders>
              <w:top w:val="single" w:color="000000" w:sz="4" w:space="0"/>
              <w:left w:val="single" w:color="000000" w:sz="4" w:space="0"/>
              <w:bottom w:val="nil"/>
              <w:right w:val="nil"/>
            </w:tcBorders>
            <w:shd w:val="clear" w:color="000000" w:fill="FFFFFF"/>
            <w:noWrap w:val="0"/>
            <w:vAlign w:val="center"/>
          </w:tcPr>
          <w:p w14:paraId="783B0F9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000" w:type="dxa"/>
            <w:tcBorders>
              <w:top w:val="single" w:color="000000" w:sz="4" w:space="0"/>
              <w:left w:val="single" w:color="000000" w:sz="4" w:space="0"/>
              <w:bottom w:val="nil"/>
              <w:right w:val="nil"/>
            </w:tcBorders>
            <w:shd w:val="clear" w:color="000000" w:fill="FFFFFF"/>
            <w:noWrap w:val="0"/>
            <w:vAlign w:val="center"/>
          </w:tcPr>
          <w:p w14:paraId="6DF4A4A1">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040" w:type="dxa"/>
            <w:tcBorders>
              <w:top w:val="single" w:color="000000" w:sz="4" w:space="0"/>
              <w:left w:val="single" w:color="000000" w:sz="4" w:space="0"/>
              <w:bottom w:val="nil"/>
              <w:right w:val="nil"/>
            </w:tcBorders>
            <w:shd w:val="clear" w:color="000000" w:fill="FFFFFF"/>
            <w:noWrap/>
            <w:vAlign w:val="center"/>
          </w:tcPr>
          <w:p w14:paraId="63D42140">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500" w:type="dxa"/>
            <w:tcBorders>
              <w:top w:val="single" w:color="000000" w:sz="4" w:space="0"/>
              <w:left w:val="single" w:color="000000" w:sz="4" w:space="0"/>
              <w:bottom w:val="nil"/>
              <w:right w:val="nil"/>
            </w:tcBorders>
            <w:shd w:val="clear" w:color="000000" w:fill="FFFFFF"/>
            <w:noWrap/>
            <w:vAlign w:val="center"/>
          </w:tcPr>
          <w:p w14:paraId="2D392C00">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440" w:type="dxa"/>
            <w:tcBorders>
              <w:top w:val="single" w:color="000000" w:sz="4" w:space="0"/>
              <w:left w:val="single" w:color="000000" w:sz="4" w:space="0"/>
              <w:bottom w:val="nil"/>
              <w:right w:val="nil"/>
            </w:tcBorders>
            <w:shd w:val="clear" w:color="000000" w:fill="FFFFFF"/>
            <w:noWrap/>
            <w:vAlign w:val="center"/>
          </w:tcPr>
          <w:p w14:paraId="45911634">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720" w:type="dxa"/>
            <w:tcBorders>
              <w:top w:val="single" w:color="000000" w:sz="4" w:space="0"/>
              <w:left w:val="single" w:color="000000" w:sz="4" w:space="0"/>
              <w:bottom w:val="nil"/>
              <w:right w:val="single" w:color="000000" w:sz="4" w:space="0"/>
            </w:tcBorders>
            <w:shd w:val="clear" w:color="000000" w:fill="FFFFFF"/>
            <w:noWrap w:val="0"/>
            <w:vAlign w:val="center"/>
          </w:tcPr>
          <w:p w14:paraId="15C5CF0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4F0647CE">
        <w:tblPrEx>
          <w:tblCellMar>
            <w:top w:w="0" w:type="dxa"/>
            <w:left w:w="108" w:type="dxa"/>
            <w:bottom w:w="0" w:type="dxa"/>
            <w:right w:w="108" w:type="dxa"/>
          </w:tblCellMar>
        </w:tblPrEx>
        <w:trPr>
          <w:trHeight w:val="390" w:hRule="atLeast"/>
        </w:trPr>
        <w:tc>
          <w:tcPr>
            <w:tcW w:w="580" w:type="dxa"/>
            <w:tcBorders>
              <w:top w:val="single" w:color="000000" w:sz="4" w:space="0"/>
              <w:left w:val="single" w:color="000000" w:sz="4" w:space="0"/>
              <w:bottom w:val="nil"/>
              <w:right w:val="nil"/>
            </w:tcBorders>
            <w:shd w:val="clear" w:color="000000" w:fill="FFFFFF"/>
            <w:noWrap w:val="0"/>
            <w:vAlign w:val="center"/>
          </w:tcPr>
          <w:p w14:paraId="7CDBA1C3">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129" w:type="dxa"/>
            <w:tcBorders>
              <w:top w:val="single" w:color="000000" w:sz="4" w:space="0"/>
              <w:left w:val="single" w:color="000000" w:sz="4" w:space="0"/>
              <w:bottom w:val="nil"/>
              <w:right w:val="nil"/>
            </w:tcBorders>
            <w:shd w:val="clear" w:color="000000" w:fill="FFFFFF"/>
            <w:noWrap w:val="0"/>
            <w:vAlign w:val="center"/>
          </w:tcPr>
          <w:p w14:paraId="06CDDFC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000" w:type="dxa"/>
            <w:tcBorders>
              <w:top w:val="single" w:color="000000" w:sz="4" w:space="0"/>
              <w:left w:val="single" w:color="000000" w:sz="4" w:space="0"/>
              <w:bottom w:val="nil"/>
              <w:right w:val="nil"/>
            </w:tcBorders>
            <w:shd w:val="clear" w:color="000000" w:fill="FFFFFF"/>
            <w:noWrap w:val="0"/>
            <w:vAlign w:val="center"/>
          </w:tcPr>
          <w:p w14:paraId="5D5B9459">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040" w:type="dxa"/>
            <w:tcBorders>
              <w:top w:val="single" w:color="000000" w:sz="4" w:space="0"/>
              <w:left w:val="single" w:color="000000" w:sz="4" w:space="0"/>
              <w:bottom w:val="nil"/>
              <w:right w:val="nil"/>
            </w:tcBorders>
            <w:shd w:val="clear" w:color="000000" w:fill="FFFFFF"/>
            <w:noWrap/>
            <w:vAlign w:val="center"/>
          </w:tcPr>
          <w:p w14:paraId="6476F4F3">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500" w:type="dxa"/>
            <w:tcBorders>
              <w:top w:val="single" w:color="000000" w:sz="4" w:space="0"/>
              <w:left w:val="single" w:color="000000" w:sz="4" w:space="0"/>
              <w:bottom w:val="nil"/>
              <w:right w:val="nil"/>
            </w:tcBorders>
            <w:shd w:val="clear" w:color="000000" w:fill="FFFFFF"/>
            <w:noWrap/>
            <w:vAlign w:val="center"/>
          </w:tcPr>
          <w:p w14:paraId="5D536C43">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440" w:type="dxa"/>
            <w:tcBorders>
              <w:top w:val="single" w:color="000000" w:sz="4" w:space="0"/>
              <w:left w:val="single" w:color="000000" w:sz="4" w:space="0"/>
              <w:bottom w:val="nil"/>
              <w:right w:val="nil"/>
            </w:tcBorders>
            <w:shd w:val="clear" w:color="000000" w:fill="FFFFFF"/>
            <w:noWrap/>
            <w:vAlign w:val="center"/>
          </w:tcPr>
          <w:p w14:paraId="15D5B473">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720" w:type="dxa"/>
            <w:tcBorders>
              <w:top w:val="single" w:color="000000" w:sz="4" w:space="0"/>
              <w:left w:val="single" w:color="000000" w:sz="4" w:space="0"/>
              <w:bottom w:val="nil"/>
              <w:right w:val="single" w:color="000000" w:sz="4" w:space="0"/>
            </w:tcBorders>
            <w:shd w:val="clear" w:color="000000" w:fill="FFFFFF"/>
            <w:noWrap w:val="0"/>
            <w:vAlign w:val="center"/>
          </w:tcPr>
          <w:p w14:paraId="1B2B7C2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411CCC83">
        <w:tblPrEx>
          <w:tblCellMar>
            <w:top w:w="0" w:type="dxa"/>
            <w:left w:w="108" w:type="dxa"/>
            <w:bottom w:w="0" w:type="dxa"/>
            <w:right w:w="108" w:type="dxa"/>
          </w:tblCellMar>
        </w:tblPrEx>
        <w:trPr>
          <w:trHeight w:val="390" w:hRule="atLeast"/>
        </w:trPr>
        <w:tc>
          <w:tcPr>
            <w:tcW w:w="580" w:type="dxa"/>
            <w:tcBorders>
              <w:top w:val="single" w:color="000000" w:sz="4" w:space="0"/>
              <w:left w:val="single" w:color="000000" w:sz="4" w:space="0"/>
              <w:bottom w:val="nil"/>
              <w:right w:val="nil"/>
            </w:tcBorders>
            <w:shd w:val="clear" w:color="000000" w:fill="FFFFFF"/>
            <w:noWrap w:val="0"/>
            <w:vAlign w:val="center"/>
          </w:tcPr>
          <w:p w14:paraId="5A9EAD1A">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129" w:type="dxa"/>
            <w:tcBorders>
              <w:top w:val="single" w:color="000000" w:sz="4" w:space="0"/>
              <w:left w:val="single" w:color="000000" w:sz="4" w:space="0"/>
              <w:bottom w:val="nil"/>
              <w:right w:val="nil"/>
            </w:tcBorders>
            <w:shd w:val="clear" w:color="000000" w:fill="FFFFFF"/>
            <w:noWrap w:val="0"/>
            <w:vAlign w:val="center"/>
          </w:tcPr>
          <w:p w14:paraId="632D300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000" w:type="dxa"/>
            <w:tcBorders>
              <w:top w:val="single" w:color="000000" w:sz="4" w:space="0"/>
              <w:left w:val="single" w:color="000000" w:sz="4" w:space="0"/>
              <w:bottom w:val="nil"/>
              <w:right w:val="nil"/>
            </w:tcBorders>
            <w:shd w:val="clear" w:color="000000" w:fill="FFFFFF"/>
            <w:noWrap w:val="0"/>
            <w:vAlign w:val="center"/>
          </w:tcPr>
          <w:p w14:paraId="031FD4A5">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040" w:type="dxa"/>
            <w:tcBorders>
              <w:top w:val="single" w:color="000000" w:sz="4" w:space="0"/>
              <w:left w:val="single" w:color="000000" w:sz="4" w:space="0"/>
              <w:bottom w:val="nil"/>
              <w:right w:val="nil"/>
            </w:tcBorders>
            <w:shd w:val="clear" w:color="000000" w:fill="FFFFFF"/>
            <w:noWrap/>
            <w:vAlign w:val="center"/>
          </w:tcPr>
          <w:p w14:paraId="2A3C2CE7">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500" w:type="dxa"/>
            <w:tcBorders>
              <w:top w:val="single" w:color="000000" w:sz="4" w:space="0"/>
              <w:left w:val="single" w:color="000000" w:sz="4" w:space="0"/>
              <w:bottom w:val="nil"/>
              <w:right w:val="nil"/>
            </w:tcBorders>
            <w:shd w:val="clear" w:color="000000" w:fill="FFFFFF"/>
            <w:noWrap/>
            <w:vAlign w:val="center"/>
          </w:tcPr>
          <w:p w14:paraId="269AD466">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440" w:type="dxa"/>
            <w:tcBorders>
              <w:top w:val="single" w:color="000000" w:sz="4" w:space="0"/>
              <w:left w:val="single" w:color="000000" w:sz="4" w:space="0"/>
              <w:bottom w:val="nil"/>
              <w:right w:val="nil"/>
            </w:tcBorders>
            <w:shd w:val="clear" w:color="000000" w:fill="FFFFFF"/>
            <w:noWrap/>
            <w:vAlign w:val="center"/>
          </w:tcPr>
          <w:p w14:paraId="22B67B74">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720" w:type="dxa"/>
            <w:tcBorders>
              <w:top w:val="single" w:color="000000" w:sz="4" w:space="0"/>
              <w:left w:val="single" w:color="000000" w:sz="4" w:space="0"/>
              <w:bottom w:val="nil"/>
              <w:right w:val="single" w:color="000000" w:sz="4" w:space="0"/>
            </w:tcBorders>
            <w:shd w:val="clear" w:color="000000" w:fill="FFFFFF"/>
            <w:noWrap w:val="0"/>
            <w:vAlign w:val="center"/>
          </w:tcPr>
          <w:p w14:paraId="6D89295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4A734EA1">
        <w:tblPrEx>
          <w:tblCellMar>
            <w:top w:w="0" w:type="dxa"/>
            <w:left w:w="108" w:type="dxa"/>
            <w:bottom w:w="0" w:type="dxa"/>
            <w:right w:w="108" w:type="dxa"/>
          </w:tblCellMar>
        </w:tblPrEx>
        <w:trPr>
          <w:trHeight w:val="390" w:hRule="atLeast"/>
        </w:trPr>
        <w:tc>
          <w:tcPr>
            <w:tcW w:w="580" w:type="dxa"/>
            <w:tcBorders>
              <w:top w:val="single" w:color="000000" w:sz="4" w:space="0"/>
              <w:left w:val="single" w:color="000000" w:sz="4" w:space="0"/>
              <w:bottom w:val="nil"/>
              <w:right w:val="nil"/>
            </w:tcBorders>
            <w:shd w:val="clear" w:color="000000" w:fill="FFFFFF"/>
            <w:noWrap w:val="0"/>
            <w:vAlign w:val="center"/>
          </w:tcPr>
          <w:p w14:paraId="75EEDDB4">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129" w:type="dxa"/>
            <w:tcBorders>
              <w:top w:val="single" w:color="000000" w:sz="4" w:space="0"/>
              <w:left w:val="single" w:color="000000" w:sz="4" w:space="0"/>
              <w:bottom w:val="nil"/>
              <w:right w:val="nil"/>
            </w:tcBorders>
            <w:shd w:val="clear" w:color="000000" w:fill="FFFFFF"/>
            <w:noWrap w:val="0"/>
            <w:vAlign w:val="center"/>
          </w:tcPr>
          <w:p w14:paraId="53F721B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000" w:type="dxa"/>
            <w:tcBorders>
              <w:top w:val="single" w:color="000000" w:sz="4" w:space="0"/>
              <w:left w:val="single" w:color="000000" w:sz="4" w:space="0"/>
              <w:bottom w:val="nil"/>
              <w:right w:val="nil"/>
            </w:tcBorders>
            <w:shd w:val="clear" w:color="000000" w:fill="FFFFFF"/>
            <w:noWrap w:val="0"/>
            <w:vAlign w:val="center"/>
          </w:tcPr>
          <w:p w14:paraId="6906DBAF">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040" w:type="dxa"/>
            <w:tcBorders>
              <w:top w:val="single" w:color="000000" w:sz="4" w:space="0"/>
              <w:left w:val="single" w:color="000000" w:sz="4" w:space="0"/>
              <w:bottom w:val="nil"/>
              <w:right w:val="nil"/>
            </w:tcBorders>
            <w:shd w:val="clear" w:color="000000" w:fill="FFFFFF"/>
            <w:noWrap/>
            <w:vAlign w:val="center"/>
          </w:tcPr>
          <w:p w14:paraId="3F69A99B">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500" w:type="dxa"/>
            <w:tcBorders>
              <w:top w:val="single" w:color="000000" w:sz="4" w:space="0"/>
              <w:left w:val="single" w:color="000000" w:sz="4" w:space="0"/>
              <w:bottom w:val="nil"/>
              <w:right w:val="nil"/>
            </w:tcBorders>
            <w:shd w:val="clear" w:color="000000" w:fill="FFFFFF"/>
            <w:noWrap/>
            <w:vAlign w:val="center"/>
          </w:tcPr>
          <w:p w14:paraId="57147F52">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440" w:type="dxa"/>
            <w:tcBorders>
              <w:top w:val="single" w:color="000000" w:sz="4" w:space="0"/>
              <w:left w:val="single" w:color="000000" w:sz="4" w:space="0"/>
              <w:bottom w:val="nil"/>
              <w:right w:val="nil"/>
            </w:tcBorders>
            <w:shd w:val="clear" w:color="000000" w:fill="FFFFFF"/>
            <w:noWrap/>
            <w:vAlign w:val="center"/>
          </w:tcPr>
          <w:p w14:paraId="49F629F6">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720" w:type="dxa"/>
            <w:tcBorders>
              <w:top w:val="single" w:color="000000" w:sz="4" w:space="0"/>
              <w:left w:val="single" w:color="000000" w:sz="4" w:space="0"/>
              <w:bottom w:val="nil"/>
              <w:right w:val="single" w:color="000000" w:sz="4" w:space="0"/>
            </w:tcBorders>
            <w:shd w:val="clear" w:color="000000" w:fill="FFFFFF"/>
            <w:noWrap w:val="0"/>
            <w:vAlign w:val="center"/>
          </w:tcPr>
          <w:p w14:paraId="223049B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44C287ED">
        <w:tblPrEx>
          <w:tblCellMar>
            <w:top w:w="0" w:type="dxa"/>
            <w:left w:w="108" w:type="dxa"/>
            <w:bottom w:w="0" w:type="dxa"/>
            <w:right w:w="108" w:type="dxa"/>
          </w:tblCellMar>
        </w:tblPrEx>
        <w:trPr>
          <w:trHeight w:val="390" w:hRule="atLeast"/>
        </w:trPr>
        <w:tc>
          <w:tcPr>
            <w:tcW w:w="580" w:type="dxa"/>
            <w:tcBorders>
              <w:top w:val="single" w:color="000000" w:sz="4" w:space="0"/>
              <w:left w:val="single" w:color="000000" w:sz="4" w:space="0"/>
              <w:bottom w:val="nil"/>
              <w:right w:val="nil"/>
            </w:tcBorders>
            <w:shd w:val="clear" w:color="000000" w:fill="FFFFFF"/>
            <w:noWrap w:val="0"/>
            <w:vAlign w:val="center"/>
          </w:tcPr>
          <w:p w14:paraId="2C65DA58">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129" w:type="dxa"/>
            <w:tcBorders>
              <w:top w:val="single" w:color="000000" w:sz="4" w:space="0"/>
              <w:left w:val="single" w:color="000000" w:sz="4" w:space="0"/>
              <w:bottom w:val="nil"/>
              <w:right w:val="nil"/>
            </w:tcBorders>
            <w:shd w:val="clear" w:color="000000" w:fill="FFFFFF"/>
            <w:noWrap w:val="0"/>
            <w:vAlign w:val="center"/>
          </w:tcPr>
          <w:p w14:paraId="4A67612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000" w:type="dxa"/>
            <w:tcBorders>
              <w:top w:val="single" w:color="000000" w:sz="4" w:space="0"/>
              <w:left w:val="single" w:color="000000" w:sz="4" w:space="0"/>
              <w:bottom w:val="nil"/>
              <w:right w:val="nil"/>
            </w:tcBorders>
            <w:shd w:val="clear" w:color="000000" w:fill="FFFFFF"/>
            <w:noWrap w:val="0"/>
            <w:vAlign w:val="center"/>
          </w:tcPr>
          <w:p w14:paraId="7A9F1D06">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040" w:type="dxa"/>
            <w:tcBorders>
              <w:top w:val="single" w:color="000000" w:sz="4" w:space="0"/>
              <w:left w:val="single" w:color="000000" w:sz="4" w:space="0"/>
              <w:bottom w:val="nil"/>
              <w:right w:val="nil"/>
            </w:tcBorders>
            <w:shd w:val="clear" w:color="000000" w:fill="FFFFFF"/>
            <w:noWrap/>
            <w:vAlign w:val="center"/>
          </w:tcPr>
          <w:p w14:paraId="46C44363">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500" w:type="dxa"/>
            <w:tcBorders>
              <w:top w:val="single" w:color="000000" w:sz="4" w:space="0"/>
              <w:left w:val="single" w:color="000000" w:sz="4" w:space="0"/>
              <w:bottom w:val="nil"/>
              <w:right w:val="nil"/>
            </w:tcBorders>
            <w:shd w:val="clear" w:color="000000" w:fill="FFFFFF"/>
            <w:noWrap/>
            <w:vAlign w:val="center"/>
          </w:tcPr>
          <w:p w14:paraId="32ED61B0">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440" w:type="dxa"/>
            <w:tcBorders>
              <w:top w:val="single" w:color="000000" w:sz="4" w:space="0"/>
              <w:left w:val="single" w:color="000000" w:sz="4" w:space="0"/>
              <w:bottom w:val="nil"/>
              <w:right w:val="nil"/>
            </w:tcBorders>
            <w:shd w:val="clear" w:color="000000" w:fill="FFFFFF"/>
            <w:noWrap/>
            <w:vAlign w:val="center"/>
          </w:tcPr>
          <w:p w14:paraId="4E9319E6">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720" w:type="dxa"/>
            <w:tcBorders>
              <w:top w:val="single" w:color="000000" w:sz="4" w:space="0"/>
              <w:left w:val="single" w:color="000000" w:sz="4" w:space="0"/>
              <w:bottom w:val="nil"/>
              <w:right w:val="single" w:color="000000" w:sz="4" w:space="0"/>
            </w:tcBorders>
            <w:shd w:val="clear" w:color="000000" w:fill="FFFFFF"/>
            <w:noWrap w:val="0"/>
            <w:vAlign w:val="center"/>
          </w:tcPr>
          <w:p w14:paraId="4DE8EFC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3DFC9E33">
        <w:tblPrEx>
          <w:tblCellMar>
            <w:top w:w="0" w:type="dxa"/>
            <w:left w:w="108" w:type="dxa"/>
            <w:bottom w:w="0" w:type="dxa"/>
            <w:right w:w="108" w:type="dxa"/>
          </w:tblCellMar>
        </w:tblPrEx>
        <w:trPr>
          <w:trHeight w:val="390" w:hRule="atLeast"/>
        </w:trPr>
        <w:tc>
          <w:tcPr>
            <w:tcW w:w="580" w:type="dxa"/>
            <w:tcBorders>
              <w:top w:val="single" w:color="000000" w:sz="4" w:space="0"/>
              <w:left w:val="single" w:color="000000" w:sz="4" w:space="0"/>
              <w:bottom w:val="single" w:color="000000" w:sz="4" w:space="0"/>
              <w:right w:val="nil"/>
            </w:tcBorders>
            <w:shd w:val="clear" w:color="000000" w:fill="FFFFFF"/>
            <w:noWrap w:val="0"/>
            <w:vAlign w:val="center"/>
          </w:tcPr>
          <w:p w14:paraId="1D4AAD82">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129" w:type="dxa"/>
            <w:tcBorders>
              <w:top w:val="single" w:color="000000" w:sz="4" w:space="0"/>
              <w:left w:val="single" w:color="000000" w:sz="4" w:space="0"/>
              <w:bottom w:val="single" w:color="000000" w:sz="4" w:space="0"/>
              <w:right w:val="nil"/>
            </w:tcBorders>
            <w:shd w:val="clear" w:color="000000" w:fill="FFFFFF"/>
            <w:noWrap w:val="0"/>
            <w:vAlign w:val="center"/>
          </w:tcPr>
          <w:p w14:paraId="3307AAB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000" w:type="dxa"/>
            <w:tcBorders>
              <w:top w:val="single" w:color="000000" w:sz="4" w:space="0"/>
              <w:left w:val="single" w:color="000000" w:sz="4" w:space="0"/>
              <w:bottom w:val="single" w:color="000000" w:sz="4" w:space="0"/>
              <w:right w:val="nil"/>
            </w:tcBorders>
            <w:shd w:val="clear" w:color="000000" w:fill="FFFFFF"/>
            <w:noWrap w:val="0"/>
            <w:vAlign w:val="center"/>
          </w:tcPr>
          <w:p w14:paraId="5B6A200B">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040" w:type="dxa"/>
            <w:tcBorders>
              <w:top w:val="single" w:color="000000" w:sz="4" w:space="0"/>
              <w:left w:val="single" w:color="000000" w:sz="4" w:space="0"/>
              <w:bottom w:val="single" w:color="000000" w:sz="4" w:space="0"/>
              <w:right w:val="nil"/>
            </w:tcBorders>
            <w:shd w:val="clear" w:color="000000" w:fill="FFFFFF"/>
            <w:noWrap/>
            <w:vAlign w:val="center"/>
          </w:tcPr>
          <w:p w14:paraId="562583B3">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500" w:type="dxa"/>
            <w:tcBorders>
              <w:top w:val="single" w:color="000000" w:sz="4" w:space="0"/>
              <w:left w:val="single" w:color="000000" w:sz="4" w:space="0"/>
              <w:bottom w:val="single" w:color="000000" w:sz="4" w:space="0"/>
              <w:right w:val="nil"/>
            </w:tcBorders>
            <w:shd w:val="clear" w:color="000000" w:fill="FFFFFF"/>
            <w:noWrap/>
            <w:vAlign w:val="center"/>
          </w:tcPr>
          <w:p w14:paraId="63946356">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440" w:type="dxa"/>
            <w:tcBorders>
              <w:top w:val="single" w:color="000000" w:sz="4" w:space="0"/>
              <w:left w:val="single" w:color="000000" w:sz="4" w:space="0"/>
              <w:bottom w:val="single" w:color="000000" w:sz="4" w:space="0"/>
              <w:right w:val="nil"/>
            </w:tcBorders>
            <w:shd w:val="clear" w:color="000000" w:fill="FFFFFF"/>
            <w:noWrap/>
            <w:vAlign w:val="center"/>
          </w:tcPr>
          <w:p w14:paraId="0523C966">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72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0886E7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7399E154">
        <w:tblPrEx>
          <w:tblCellMar>
            <w:top w:w="0" w:type="dxa"/>
            <w:left w:w="108" w:type="dxa"/>
            <w:bottom w:w="0" w:type="dxa"/>
            <w:right w:w="108" w:type="dxa"/>
          </w:tblCellMar>
        </w:tblPrEx>
        <w:trPr>
          <w:trHeight w:val="390" w:hRule="atLeast"/>
        </w:trPr>
        <w:tc>
          <w:tcPr>
            <w:tcW w:w="580" w:type="dxa"/>
            <w:tcBorders>
              <w:top w:val="single" w:color="000000" w:sz="4" w:space="0"/>
              <w:left w:val="single" w:color="000000" w:sz="4" w:space="0"/>
              <w:bottom w:val="single" w:color="000000" w:sz="4" w:space="0"/>
              <w:right w:val="nil"/>
            </w:tcBorders>
            <w:shd w:val="clear" w:color="000000" w:fill="FFFFFF"/>
            <w:noWrap w:val="0"/>
            <w:vAlign w:val="center"/>
          </w:tcPr>
          <w:p w14:paraId="137E5634">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129" w:type="dxa"/>
            <w:tcBorders>
              <w:top w:val="single" w:color="000000" w:sz="4" w:space="0"/>
              <w:left w:val="single" w:color="000000" w:sz="4" w:space="0"/>
              <w:bottom w:val="single" w:color="000000" w:sz="4" w:space="0"/>
              <w:right w:val="nil"/>
            </w:tcBorders>
            <w:shd w:val="clear" w:color="000000" w:fill="FFFFFF"/>
            <w:noWrap w:val="0"/>
            <w:vAlign w:val="center"/>
          </w:tcPr>
          <w:p w14:paraId="0BB7AAA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000" w:type="dxa"/>
            <w:tcBorders>
              <w:top w:val="single" w:color="000000" w:sz="4" w:space="0"/>
              <w:left w:val="single" w:color="000000" w:sz="4" w:space="0"/>
              <w:bottom w:val="single" w:color="000000" w:sz="4" w:space="0"/>
              <w:right w:val="nil"/>
            </w:tcBorders>
            <w:shd w:val="clear" w:color="000000" w:fill="FFFFFF"/>
            <w:noWrap w:val="0"/>
            <w:vAlign w:val="center"/>
          </w:tcPr>
          <w:p w14:paraId="588899C2">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040" w:type="dxa"/>
            <w:tcBorders>
              <w:top w:val="single" w:color="000000" w:sz="4" w:space="0"/>
              <w:left w:val="single" w:color="000000" w:sz="4" w:space="0"/>
              <w:bottom w:val="single" w:color="000000" w:sz="4" w:space="0"/>
              <w:right w:val="nil"/>
            </w:tcBorders>
            <w:shd w:val="clear" w:color="000000" w:fill="FFFFFF"/>
            <w:noWrap/>
            <w:vAlign w:val="center"/>
          </w:tcPr>
          <w:p w14:paraId="1AFB3B94">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500" w:type="dxa"/>
            <w:tcBorders>
              <w:top w:val="single" w:color="000000" w:sz="4" w:space="0"/>
              <w:left w:val="single" w:color="000000" w:sz="4" w:space="0"/>
              <w:bottom w:val="single" w:color="000000" w:sz="4" w:space="0"/>
              <w:right w:val="nil"/>
            </w:tcBorders>
            <w:shd w:val="clear" w:color="000000" w:fill="FFFFFF"/>
            <w:noWrap/>
            <w:vAlign w:val="center"/>
          </w:tcPr>
          <w:p w14:paraId="436DF47A">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440" w:type="dxa"/>
            <w:tcBorders>
              <w:top w:val="single" w:color="000000" w:sz="4" w:space="0"/>
              <w:left w:val="single" w:color="000000" w:sz="4" w:space="0"/>
              <w:bottom w:val="single" w:color="000000" w:sz="4" w:space="0"/>
              <w:right w:val="nil"/>
            </w:tcBorders>
            <w:shd w:val="clear" w:color="000000" w:fill="FFFFFF"/>
            <w:noWrap/>
            <w:vAlign w:val="center"/>
          </w:tcPr>
          <w:p w14:paraId="6AC86470">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72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803F8B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bl>
    <w:p w14:paraId="1D69CA7F">
      <w:pPr>
        <w:spacing w:line="300" w:lineRule="auto"/>
        <w:jc w:val="right"/>
        <w:rPr>
          <w:rFonts w:hint="eastAsia" w:ascii="宋体" w:hAnsi="宋体" w:eastAsia="宋体" w:cs="宋体"/>
          <w:bCs/>
          <w:color w:val="auto"/>
          <w:sz w:val="21"/>
          <w:highlight w:val="none"/>
        </w:rPr>
      </w:pPr>
    </w:p>
    <w:p w14:paraId="1A14DBE1">
      <w:pPr>
        <w:spacing w:line="300" w:lineRule="auto"/>
        <w:jc w:val="left"/>
        <w:rPr>
          <w:rFonts w:hint="eastAsia" w:ascii="宋体" w:hAnsi="宋体" w:eastAsia="宋体" w:cs="宋体"/>
          <w:b/>
          <w:color w:val="auto"/>
          <w:sz w:val="24"/>
          <w:highlight w:val="none"/>
        </w:rPr>
      </w:pPr>
    </w:p>
    <w:tbl>
      <w:tblPr>
        <w:tblStyle w:val="24"/>
        <w:tblW w:w="9275" w:type="dxa"/>
        <w:tblInd w:w="93" w:type="dxa"/>
        <w:tblLayout w:type="fixed"/>
        <w:tblCellMar>
          <w:top w:w="0" w:type="dxa"/>
          <w:left w:w="108" w:type="dxa"/>
          <w:bottom w:w="0" w:type="dxa"/>
          <w:right w:w="108" w:type="dxa"/>
        </w:tblCellMar>
      </w:tblPr>
      <w:tblGrid>
        <w:gridCol w:w="680"/>
        <w:gridCol w:w="2596"/>
        <w:gridCol w:w="700"/>
        <w:gridCol w:w="859"/>
        <w:gridCol w:w="960"/>
        <w:gridCol w:w="1160"/>
        <w:gridCol w:w="1160"/>
        <w:gridCol w:w="1160"/>
      </w:tblGrid>
      <w:tr w14:paraId="306D8190">
        <w:tblPrEx>
          <w:tblCellMar>
            <w:top w:w="0" w:type="dxa"/>
            <w:left w:w="108" w:type="dxa"/>
            <w:bottom w:w="0" w:type="dxa"/>
            <w:right w:w="108" w:type="dxa"/>
          </w:tblCellMar>
        </w:tblPrEx>
        <w:trPr>
          <w:trHeight w:val="900" w:hRule="atLeast"/>
        </w:trPr>
        <w:tc>
          <w:tcPr>
            <w:tcW w:w="9275" w:type="dxa"/>
            <w:gridSpan w:val="8"/>
            <w:tcBorders>
              <w:top w:val="nil"/>
              <w:left w:val="nil"/>
              <w:bottom w:val="nil"/>
              <w:right w:val="nil"/>
            </w:tcBorders>
            <w:shd w:val="clear" w:color="000000" w:fill="FFFFFF"/>
            <w:noWrap w:val="0"/>
            <w:vAlign w:val="center"/>
          </w:tcPr>
          <w:p w14:paraId="527377F2">
            <w:pPr>
              <w:widowControl/>
              <w:jc w:val="center"/>
              <w:rPr>
                <w:rFonts w:hint="eastAsia" w:ascii="宋体" w:hAnsi="宋体" w:eastAsia="宋体" w:cs="宋体"/>
                <w:b/>
                <w:bCs/>
                <w:color w:val="auto"/>
                <w:kern w:val="0"/>
                <w:sz w:val="40"/>
                <w:szCs w:val="40"/>
                <w:highlight w:val="none"/>
              </w:rPr>
            </w:pPr>
            <w:r>
              <w:rPr>
                <w:rFonts w:hint="eastAsia" w:ascii="宋体" w:hAnsi="宋体" w:eastAsia="宋体" w:cs="宋体"/>
                <w:b/>
                <w:bCs/>
                <w:color w:val="auto"/>
                <w:kern w:val="0"/>
                <w:sz w:val="32"/>
                <w:szCs w:val="32"/>
                <w:highlight w:val="none"/>
              </w:rPr>
              <w:t>发包人提供材料和工程设备一览表</w:t>
            </w:r>
          </w:p>
        </w:tc>
      </w:tr>
      <w:tr w14:paraId="2BC659A9">
        <w:tblPrEx>
          <w:tblCellMar>
            <w:top w:w="0" w:type="dxa"/>
            <w:left w:w="108" w:type="dxa"/>
            <w:bottom w:w="0" w:type="dxa"/>
            <w:right w:w="108" w:type="dxa"/>
          </w:tblCellMar>
        </w:tblPrEx>
        <w:trPr>
          <w:trHeight w:val="450" w:hRule="atLeast"/>
        </w:trPr>
        <w:tc>
          <w:tcPr>
            <w:tcW w:w="3976" w:type="dxa"/>
            <w:gridSpan w:val="3"/>
            <w:tcBorders>
              <w:top w:val="nil"/>
              <w:left w:val="nil"/>
              <w:bottom w:val="nil"/>
              <w:right w:val="nil"/>
            </w:tcBorders>
            <w:shd w:val="clear" w:color="000000" w:fill="FFFFFF"/>
            <w:noWrap w:val="0"/>
            <w:vAlign w:val="bottom"/>
          </w:tcPr>
          <w:p w14:paraId="5F48A96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工程名称: </w:t>
            </w:r>
          </w:p>
        </w:tc>
        <w:tc>
          <w:tcPr>
            <w:tcW w:w="1819" w:type="dxa"/>
            <w:gridSpan w:val="2"/>
            <w:tcBorders>
              <w:top w:val="nil"/>
              <w:left w:val="nil"/>
              <w:bottom w:val="nil"/>
              <w:right w:val="nil"/>
            </w:tcBorders>
            <w:shd w:val="clear" w:color="000000" w:fill="FFFFFF"/>
            <w:noWrap w:val="0"/>
            <w:vAlign w:val="bottom"/>
          </w:tcPr>
          <w:p w14:paraId="32A0999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标段:</w:t>
            </w:r>
          </w:p>
        </w:tc>
        <w:tc>
          <w:tcPr>
            <w:tcW w:w="1160" w:type="dxa"/>
            <w:tcBorders>
              <w:top w:val="nil"/>
              <w:left w:val="nil"/>
              <w:bottom w:val="nil"/>
              <w:right w:val="nil"/>
            </w:tcBorders>
            <w:shd w:val="clear" w:color="000000" w:fill="FFFFFF"/>
            <w:noWrap w:val="0"/>
            <w:vAlign w:val="bottom"/>
          </w:tcPr>
          <w:p w14:paraId="04CC0508">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320" w:type="dxa"/>
            <w:gridSpan w:val="2"/>
            <w:tcBorders>
              <w:top w:val="nil"/>
              <w:left w:val="nil"/>
              <w:bottom w:val="nil"/>
              <w:right w:val="nil"/>
            </w:tcBorders>
            <w:shd w:val="clear" w:color="000000" w:fill="FFFFFF"/>
            <w:noWrap w:val="0"/>
            <w:vAlign w:val="bottom"/>
          </w:tcPr>
          <w:p w14:paraId="1DD0A972">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第 页 共 页</w:t>
            </w:r>
          </w:p>
        </w:tc>
      </w:tr>
      <w:tr w14:paraId="4273EF8E">
        <w:tblPrEx>
          <w:tblCellMar>
            <w:top w:w="0" w:type="dxa"/>
            <w:left w:w="108" w:type="dxa"/>
            <w:bottom w:w="0" w:type="dxa"/>
            <w:right w:w="108" w:type="dxa"/>
          </w:tblCellMar>
        </w:tblPrEx>
        <w:trPr>
          <w:trHeight w:val="480" w:hRule="atLeast"/>
        </w:trPr>
        <w:tc>
          <w:tcPr>
            <w:tcW w:w="680" w:type="dxa"/>
            <w:tcBorders>
              <w:top w:val="single" w:color="000000" w:sz="4" w:space="0"/>
              <w:left w:val="single" w:color="000000" w:sz="4" w:space="0"/>
              <w:bottom w:val="nil"/>
              <w:right w:val="nil"/>
            </w:tcBorders>
            <w:shd w:val="clear" w:color="000000" w:fill="FFFFFF"/>
            <w:noWrap w:val="0"/>
            <w:vAlign w:val="center"/>
          </w:tcPr>
          <w:p w14:paraId="69016E03">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序号</w:t>
            </w:r>
          </w:p>
        </w:tc>
        <w:tc>
          <w:tcPr>
            <w:tcW w:w="2596" w:type="dxa"/>
            <w:tcBorders>
              <w:top w:val="single" w:color="000000" w:sz="4" w:space="0"/>
              <w:left w:val="single" w:color="000000" w:sz="4" w:space="0"/>
              <w:bottom w:val="nil"/>
              <w:right w:val="nil"/>
            </w:tcBorders>
            <w:shd w:val="clear" w:color="000000" w:fill="FFFFFF"/>
            <w:noWrap w:val="0"/>
            <w:vAlign w:val="center"/>
          </w:tcPr>
          <w:p w14:paraId="6667E653">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材料(设备)名称、规格、型号</w:t>
            </w:r>
          </w:p>
        </w:tc>
        <w:tc>
          <w:tcPr>
            <w:tcW w:w="700" w:type="dxa"/>
            <w:tcBorders>
              <w:top w:val="single" w:color="000000" w:sz="4" w:space="0"/>
              <w:left w:val="single" w:color="000000" w:sz="4" w:space="0"/>
              <w:bottom w:val="nil"/>
              <w:right w:val="nil"/>
            </w:tcBorders>
            <w:shd w:val="clear" w:color="000000" w:fill="FFFFFF"/>
            <w:noWrap w:val="0"/>
            <w:vAlign w:val="center"/>
          </w:tcPr>
          <w:p w14:paraId="50F2A4C0">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单位</w:t>
            </w:r>
          </w:p>
        </w:tc>
        <w:tc>
          <w:tcPr>
            <w:tcW w:w="859" w:type="dxa"/>
            <w:tcBorders>
              <w:top w:val="single" w:color="000000" w:sz="4" w:space="0"/>
              <w:left w:val="single" w:color="000000" w:sz="4" w:space="0"/>
              <w:bottom w:val="nil"/>
              <w:right w:val="nil"/>
            </w:tcBorders>
            <w:shd w:val="clear" w:color="000000" w:fill="FFFFFF"/>
            <w:noWrap w:val="0"/>
            <w:vAlign w:val="center"/>
          </w:tcPr>
          <w:p w14:paraId="08B3ECAA">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数量</w:t>
            </w:r>
          </w:p>
        </w:tc>
        <w:tc>
          <w:tcPr>
            <w:tcW w:w="960" w:type="dxa"/>
            <w:tcBorders>
              <w:top w:val="single" w:color="000000" w:sz="4" w:space="0"/>
              <w:left w:val="single" w:color="000000" w:sz="4" w:space="0"/>
              <w:bottom w:val="nil"/>
              <w:right w:val="nil"/>
            </w:tcBorders>
            <w:shd w:val="clear" w:color="000000" w:fill="FFFFFF"/>
            <w:noWrap w:val="0"/>
            <w:vAlign w:val="center"/>
          </w:tcPr>
          <w:p w14:paraId="33EBFEB2">
            <w:pPr>
              <w:widowControl/>
              <w:jc w:val="center"/>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rPr>
              <w:t>单价</w:t>
            </w:r>
          </w:p>
          <w:p w14:paraId="771CCEDB">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(元)</w:t>
            </w:r>
          </w:p>
        </w:tc>
        <w:tc>
          <w:tcPr>
            <w:tcW w:w="1160" w:type="dxa"/>
            <w:tcBorders>
              <w:top w:val="single" w:color="000000" w:sz="4" w:space="0"/>
              <w:left w:val="single" w:color="000000" w:sz="4" w:space="0"/>
              <w:bottom w:val="nil"/>
              <w:right w:val="nil"/>
            </w:tcBorders>
            <w:shd w:val="clear" w:color="000000" w:fill="FFFFFF"/>
            <w:noWrap w:val="0"/>
            <w:vAlign w:val="center"/>
          </w:tcPr>
          <w:p w14:paraId="59CCEDBA">
            <w:pPr>
              <w:widowControl/>
              <w:jc w:val="center"/>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rPr>
              <w:t>交货</w:t>
            </w:r>
          </w:p>
          <w:p w14:paraId="05EE1EA8">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方式</w:t>
            </w:r>
          </w:p>
        </w:tc>
        <w:tc>
          <w:tcPr>
            <w:tcW w:w="1160" w:type="dxa"/>
            <w:tcBorders>
              <w:top w:val="single" w:color="000000" w:sz="4" w:space="0"/>
              <w:left w:val="single" w:color="000000" w:sz="4" w:space="0"/>
              <w:bottom w:val="nil"/>
              <w:right w:val="nil"/>
            </w:tcBorders>
            <w:shd w:val="clear" w:color="000000" w:fill="FFFFFF"/>
            <w:noWrap w:val="0"/>
            <w:vAlign w:val="center"/>
          </w:tcPr>
          <w:p w14:paraId="6D481887">
            <w:pPr>
              <w:widowControl/>
              <w:jc w:val="center"/>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rPr>
              <w:t>送达</w:t>
            </w:r>
          </w:p>
          <w:p w14:paraId="0CEFC03D">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地点</w:t>
            </w:r>
          </w:p>
        </w:tc>
        <w:tc>
          <w:tcPr>
            <w:tcW w:w="1160" w:type="dxa"/>
            <w:tcBorders>
              <w:top w:val="single" w:color="000000" w:sz="4" w:space="0"/>
              <w:left w:val="single" w:color="000000" w:sz="4" w:space="0"/>
              <w:bottom w:val="nil"/>
              <w:right w:val="single" w:color="000000" w:sz="4" w:space="0"/>
            </w:tcBorders>
            <w:shd w:val="clear" w:color="000000" w:fill="FFFFFF"/>
            <w:noWrap w:val="0"/>
            <w:vAlign w:val="center"/>
          </w:tcPr>
          <w:p w14:paraId="43339B35">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备注</w:t>
            </w:r>
          </w:p>
        </w:tc>
      </w:tr>
      <w:tr w14:paraId="02529574">
        <w:tblPrEx>
          <w:tblCellMar>
            <w:top w:w="0" w:type="dxa"/>
            <w:left w:w="108" w:type="dxa"/>
            <w:bottom w:w="0" w:type="dxa"/>
            <w:right w:w="108" w:type="dxa"/>
          </w:tblCellMar>
        </w:tblPrEx>
        <w:trPr>
          <w:trHeight w:val="480" w:hRule="atLeast"/>
        </w:trPr>
        <w:tc>
          <w:tcPr>
            <w:tcW w:w="680" w:type="dxa"/>
            <w:tcBorders>
              <w:top w:val="single" w:color="000000" w:sz="4" w:space="0"/>
              <w:left w:val="single" w:color="000000" w:sz="4" w:space="0"/>
              <w:bottom w:val="nil"/>
              <w:right w:val="nil"/>
            </w:tcBorders>
            <w:shd w:val="clear" w:color="000000" w:fill="FFFFFF"/>
            <w:noWrap w:val="0"/>
            <w:vAlign w:val="center"/>
          </w:tcPr>
          <w:p w14:paraId="1F3774BF">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596" w:type="dxa"/>
            <w:tcBorders>
              <w:top w:val="single" w:color="000000" w:sz="4" w:space="0"/>
              <w:left w:val="single" w:color="000000" w:sz="4" w:space="0"/>
              <w:bottom w:val="nil"/>
              <w:right w:val="nil"/>
            </w:tcBorders>
            <w:shd w:val="clear" w:color="000000" w:fill="FFFFFF"/>
            <w:noWrap w:val="0"/>
            <w:vAlign w:val="center"/>
          </w:tcPr>
          <w:p w14:paraId="67F9558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00" w:type="dxa"/>
            <w:tcBorders>
              <w:top w:val="single" w:color="000000" w:sz="4" w:space="0"/>
              <w:left w:val="single" w:color="000000" w:sz="4" w:space="0"/>
              <w:bottom w:val="nil"/>
              <w:right w:val="nil"/>
            </w:tcBorders>
            <w:shd w:val="clear" w:color="000000" w:fill="FFFFFF"/>
            <w:noWrap w:val="0"/>
            <w:vAlign w:val="center"/>
          </w:tcPr>
          <w:p w14:paraId="4591715B">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59" w:type="dxa"/>
            <w:tcBorders>
              <w:top w:val="single" w:color="000000" w:sz="4" w:space="0"/>
              <w:left w:val="single" w:color="000000" w:sz="4" w:space="0"/>
              <w:bottom w:val="nil"/>
              <w:right w:val="nil"/>
            </w:tcBorders>
            <w:shd w:val="clear" w:color="000000" w:fill="FFFFFF"/>
            <w:noWrap/>
            <w:vAlign w:val="center"/>
          </w:tcPr>
          <w:p w14:paraId="2855A986">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60" w:type="dxa"/>
            <w:tcBorders>
              <w:top w:val="single" w:color="000000" w:sz="4" w:space="0"/>
              <w:left w:val="single" w:color="000000" w:sz="4" w:space="0"/>
              <w:bottom w:val="nil"/>
              <w:right w:val="nil"/>
            </w:tcBorders>
            <w:shd w:val="clear" w:color="000000" w:fill="FFFFFF"/>
            <w:noWrap/>
            <w:vAlign w:val="center"/>
          </w:tcPr>
          <w:p w14:paraId="7454DF7C">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60" w:type="dxa"/>
            <w:tcBorders>
              <w:top w:val="single" w:color="000000" w:sz="4" w:space="0"/>
              <w:left w:val="single" w:color="000000" w:sz="4" w:space="0"/>
              <w:bottom w:val="nil"/>
              <w:right w:val="nil"/>
            </w:tcBorders>
            <w:shd w:val="clear" w:color="000000" w:fill="FFFFFF"/>
            <w:noWrap w:val="0"/>
            <w:vAlign w:val="center"/>
          </w:tcPr>
          <w:p w14:paraId="31141F2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60" w:type="dxa"/>
            <w:tcBorders>
              <w:top w:val="single" w:color="000000" w:sz="4" w:space="0"/>
              <w:left w:val="single" w:color="000000" w:sz="4" w:space="0"/>
              <w:bottom w:val="nil"/>
              <w:right w:val="nil"/>
            </w:tcBorders>
            <w:shd w:val="clear" w:color="000000" w:fill="FFFFFF"/>
            <w:noWrap w:val="0"/>
            <w:vAlign w:val="center"/>
          </w:tcPr>
          <w:p w14:paraId="246E6E8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60" w:type="dxa"/>
            <w:tcBorders>
              <w:top w:val="single" w:color="000000" w:sz="4" w:space="0"/>
              <w:left w:val="single" w:color="000000" w:sz="4" w:space="0"/>
              <w:bottom w:val="nil"/>
              <w:right w:val="single" w:color="000000" w:sz="4" w:space="0"/>
            </w:tcBorders>
            <w:shd w:val="clear" w:color="000000" w:fill="FFFFFF"/>
            <w:noWrap w:val="0"/>
            <w:vAlign w:val="center"/>
          </w:tcPr>
          <w:p w14:paraId="67FAB37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7AD77F0D">
        <w:tblPrEx>
          <w:tblCellMar>
            <w:top w:w="0" w:type="dxa"/>
            <w:left w:w="108" w:type="dxa"/>
            <w:bottom w:w="0" w:type="dxa"/>
            <w:right w:w="108" w:type="dxa"/>
          </w:tblCellMar>
        </w:tblPrEx>
        <w:trPr>
          <w:trHeight w:val="480" w:hRule="atLeast"/>
        </w:trPr>
        <w:tc>
          <w:tcPr>
            <w:tcW w:w="680" w:type="dxa"/>
            <w:tcBorders>
              <w:top w:val="single" w:color="000000" w:sz="4" w:space="0"/>
              <w:left w:val="single" w:color="000000" w:sz="4" w:space="0"/>
              <w:bottom w:val="nil"/>
              <w:right w:val="nil"/>
            </w:tcBorders>
            <w:shd w:val="clear" w:color="000000" w:fill="FFFFFF"/>
            <w:noWrap w:val="0"/>
            <w:vAlign w:val="center"/>
          </w:tcPr>
          <w:p w14:paraId="15F35B8F">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596" w:type="dxa"/>
            <w:tcBorders>
              <w:top w:val="single" w:color="000000" w:sz="4" w:space="0"/>
              <w:left w:val="single" w:color="000000" w:sz="4" w:space="0"/>
              <w:bottom w:val="nil"/>
              <w:right w:val="nil"/>
            </w:tcBorders>
            <w:shd w:val="clear" w:color="000000" w:fill="FFFFFF"/>
            <w:noWrap w:val="0"/>
            <w:vAlign w:val="center"/>
          </w:tcPr>
          <w:p w14:paraId="16D7B30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00" w:type="dxa"/>
            <w:tcBorders>
              <w:top w:val="single" w:color="000000" w:sz="4" w:space="0"/>
              <w:left w:val="single" w:color="000000" w:sz="4" w:space="0"/>
              <w:bottom w:val="nil"/>
              <w:right w:val="nil"/>
            </w:tcBorders>
            <w:shd w:val="clear" w:color="000000" w:fill="FFFFFF"/>
            <w:noWrap w:val="0"/>
            <w:vAlign w:val="center"/>
          </w:tcPr>
          <w:p w14:paraId="626A8777">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59" w:type="dxa"/>
            <w:tcBorders>
              <w:top w:val="single" w:color="000000" w:sz="4" w:space="0"/>
              <w:left w:val="single" w:color="000000" w:sz="4" w:space="0"/>
              <w:bottom w:val="nil"/>
              <w:right w:val="nil"/>
            </w:tcBorders>
            <w:shd w:val="clear" w:color="000000" w:fill="FFFFFF"/>
            <w:noWrap/>
            <w:vAlign w:val="center"/>
          </w:tcPr>
          <w:p w14:paraId="2CF1BF8E">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60" w:type="dxa"/>
            <w:tcBorders>
              <w:top w:val="single" w:color="000000" w:sz="4" w:space="0"/>
              <w:left w:val="single" w:color="000000" w:sz="4" w:space="0"/>
              <w:bottom w:val="nil"/>
              <w:right w:val="nil"/>
            </w:tcBorders>
            <w:shd w:val="clear" w:color="000000" w:fill="FFFFFF"/>
            <w:noWrap/>
            <w:vAlign w:val="center"/>
          </w:tcPr>
          <w:p w14:paraId="465813BA">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60" w:type="dxa"/>
            <w:tcBorders>
              <w:top w:val="single" w:color="000000" w:sz="4" w:space="0"/>
              <w:left w:val="single" w:color="000000" w:sz="4" w:space="0"/>
              <w:bottom w:val="nil"/>
              <w:right w:val="nil"/>
            </w:tcBorders>
            <w:shd w:val="clear" w:color="000000" w:fill="FFFFFF"/>
            <w:noWrap w:val="0"/>
            <w:vAlign w:val="center"/>
          </w:tcPr>
          <w:p w14:paraId="166C3D6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60" w:type="dxa"/>
            <w:tcBorders>
              <w:top w:val="single" w:color="000000" w:sz="4" w:space="0"/>
              <w:left w:val="single" w:color="000000" w:sz="4" w:space="0"/>
              <w:bottom w:val="nil"/>
              <w:right w:val="nil"/>
            </w:tcBorders>
            <w:shd w:val="clear" w:color="000000" w:fill="FFFFFF"/>
            <w:noWrap w:val="0"/>
            <w:vAlign w:val="center"/>
          </w:tcPr>
          <w:p w14:paraId="05DD541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60" w:type="dxa"/>
            <w:tcBorders>
              <w:top w:val="single" w:color="000000" w:sz="4" w:space="0"/>
              <w:left w:val="single" w:color="000000" w:sz="4" w:space="0"/>
              <w:bottom w:val="nil"/>
              <w:right w:val="single" w:color="000000" w:sz="4" w:space="0"/>
            </w:tcBorders>
            <w:shd w:val="clear" w:color="000000" w:fill="FFFFFF"/>
            <w:noWrap w:val="0"/>
            <w:vAlign w:val="center"/>
          </w:tcPr>
          <w:p w14:paraId="7A12A9D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59158BD1">
        <w:tblPrEx>
          <w:tblCellMar>
            <w:top w:w="0" w:type="dxa"/>
            <w:left w:w="108" w:type="dxa"/>
            <w:bottom w:w="0" w:type="dxa"/>
            <w:right w:w="108" w:type="dxa"/>
          </w:tblCellMar>
        </w:tblPrEx>
        <w:trPr>
          <w:trHeight w:val="480" w:hRule="atLeast"/>
        </w:trPr>
        <w:tc>
          <w:tcPr>
            <w:tcW w:w="680" w:type="dxa"/>
            <w:tcBorders>
              <w:top w:val="single" w:color="000000" w:sz="4" w:space="0"/>
              <w:left w:val="single" w:color="000000" w:sz="4" w:space="0"/>
              <w:bottom w:val="nil"/>
              <w:right w:val="nil"/>
            </w:tcBorders>
            <w:shd w:val="clear" w:color="000000" w:fill="FFFFFF"/>
            <w:noWrap w:val="0"/>
            <w:vAlign w:val="center"/>
          </w:tcPr>
          <w:p w14:paraId="78AFC161">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596" w:type="dxa"/>
            <w:tcBorders>
              <w:top w:val="single" w:color="000000" w:sz="4" w:space="0"/>
              <w:left w:val="single" w:color="000000" w:sz="4" w:space="0"/>
              <w:bottom w:val="nil"/>
              <w:right w:val="nil"/>
            </w:tcBorders>
            <w:shd w:val="clear" w:color="000000" w:fill="FFFFFF"/>
            <w:noWrap w:val="0"/>
            <w:vAlign w:val="center"/>
          </w:tcPr>
          <w:p w14:paraId="6E26367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00" w:type="dxa"/>
            <w:tcBorders>
              <w:top w:val="single" w:color="000000" w:sz="4" w:space="0"/>
              <w:left w:val="single" w:color="000000" w:sz="4" w:space="0"/>
              <w:bottom w:val="nil"/>
              <w:right w:val="nil"/>
            </w:tcBorders>
            <w:shd w:val="clear" w:color="000000" w:fill="FFFFFF"/>
            <w:noWrap w:val="0"/>
            <w:vAlign w:val="center"/>
          </w:tcPr>
          <w:p w14:paraId="58C12004">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59" w:type="dxa"/>
            <w:tcBorders>
              <w:top w:val="single" w:color="000000" w:sz="4" w:space="0"/>
              <w:left w:val="single" w:color="000000" w:sz="4" w:space="0"/>
              <w:bottom w:val="nil"/>
              <w:right w:val="nil"/>
            </w:tcBorders>
            <w:shd w:val="clear" w:color="000000" w:fill="FFFFFF"/>
            <w:noWrap/>
            <w:vAlign w:val="center"/>
          </w:tcPr>
          <w:p w14:paraId="4C5D1230">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60" w:type="dxa"/>
            <w:tcBorders>
              <w:top w:val="single" w:color="000000" w:sz="4" w:space="0"/>
              <w:left w:val="single" w:color="000000" w:sz="4" w:space="0"/>
              <w:bottom w:val="nil"/>
              <w:right w:val="nil"/>
            </w:tcBorders>
            <w:shd w:val="clear" w:color="000000" w:fill="FFFFFF"/>
            <w:noWrap/>
            <w:vAlign w:val="center"/>
          </w:tcPr>
          <w:p w14:paraId="51840C3F">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60" w:type="dxa"/>
            <w:tcBorders>
              <w:top w:val="single" w:color="000000" w:sz="4" w:space="0"/>
              <w:left w:val="single" w:color="000000" w:sz="4" w:space="0"/>
              <w:bottom w:val="nil"/>
              <w:right w:val="nil"/>
            </w:tcBorders>
            <w:shd w:val="clear" w:color="000000" w:fill="FFFFFF"/>
            <w:noWrap w:val="0"/>
            <w:vAlign w:val="center"/>
          </w:tcPr>
          <w:p w14:paraId="3795F27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60" w:type="dxa"/>
            <w:tcBorders>
              <w:top w:val="single" w:color="000000" w:sz="4" w:space="0"/>
              <w:left w:val="single" w:color="000000" w:sz="4" w:space="0"/>
              <w:bottom w:val="nil"/>
              <w:right w:val="nil"/>
            </w:tcBorders>
            <w:shd w:val="clear" w:color="000000" w:fill="FFFFFF"/>
            <w:noWrap w:val="0"/>
            <w:vAlign w:val="center"/>
          </w:tcPr>
          <w:p w14:paraId="17F9EC5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60" w:type="dxa"/>
            <w:tcBorders>
              <w:top w:val="single" w:color="000000" w:sz="4" w:space="0"/>
              <w:left w:val="single" w:color="000000" w:sz="4" w:space="0"/>
              <w:bottom w:val="nil"/>
              <w:right w:val="single" w:color="000000" w:sz="4" w:space="0"/>
            </w:tcBorders>
            <w:shd w:val="clear" w:color="000000" w:fill="FFFFFF"/>
            <w:noWrap w:val="0"/>
            <w:vAlign w:val="center"/>
          </w:tcPr>
          <w:p w14:paraId="14BF250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3FC0AA39">
        <w:tblPrEx>
          <w:tblCellMar>
            <w:top w:w="0" w:type="dxa"/>
            <w:left w:w="108" w:type="dxa"/>
            <w:bottom w:w="0" w:type="dxa"/>
            <w:right w:w="108" w:type="dxa"/>
          </w:tblCellMar>
        </w:tblPrEx>
        <w:trPr>
          <w:trHeight w:val="480" w:hRule="atLeast"/>
        </w:trPr>
        <w:tc>
          <w:tcPr>
            <w:tcW w:w="680" w:type="dxa"/>
            <w:tcBorders>
              <w:top w:val="single" w:color="000000" w:sz="4" w:space="0"/>
              <w:left w:val="single" w:color="000000" w:sz="4" w:space="0"/>
              <w:bottom w:val="nil"/>
              <w:right w:val="nil"/>
            </w:tcBorders>
            <w:shd w:val="clear" w:color="000000" w:fill="FFFFFF"/>
            <w:noWrap w:val="0"/>
            <w:vAlign w:val="center"/>
          </w:tcPr>
          <w:p w14:paraId="51F7DD71">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596" w:type="dxa"/>
            <w:tcBorders>
              <w:top w:val="single" w:color="000000" w:sz="4" w:space="0"/>
              <w:left w:val="single" w:color="000000" w:sz="4" w:space="0"/>
              <w:bottom w:val="nil"/>
              <w:right w:val="nil"/>
            </w:tcBorders>
            <w:shd w:val="clear" w:color="000000" w:fill="FFFFFF"/>
            <w:noWrap w:val="0"/>
            <w:vAlign w:val="center"/>
          </w:tcPr>
          <w:p w14:paraId="39FEB3A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00" w:type="dxa"/>
            <w:tcBorders>
              <w:top w:val="single" w:color="000000" w:sz="4" w:space="0"/>
              <w:left w:val="single" w:color="000000" w:sz="4" w:space="0"/>
              <w:bottom w:val="nil"/>
              <w:right w:val="nil"/>
            </w:tcBorders>
            <w:shd w:val="clear" w:color="000000" w:fill="FFFFFF"/>
            <w:noWrap w:val="0"/>
            <w:vAlign w:val="center"/>
          </w:tcPr>
          <w:p w14:paraId="68CB1CF7">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59" w:type="dxa"/>
            <w:tcBorders>
              <w:top w:val="single" w:color="000000" w:sz="4" w:space="0"/>
              <w:left w:val="single" w:color="000000" w:sz="4" w:space="0"/>
              <w:bottom w:val="nil"/>
              <w:right w:val="nil"/>
            </w:tcBorders>
            <w:shd w:val="clear" w:color="000000" w:fill="FFFFFF"/>
            <w:noWrap/>
            <w:vAlign w:val="center"/>
          </w:tcPr>
          <w:p w14:paraId="1C67CFB5">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60" w:type="dxa"/>
            <w:tcBorders>
              <w:top w:val="single" w:color="000000" w:sz="4" w:space="0"/>
              <w:left w:val="single" w:color="000000" w:sz="4" w:space="0"/>
              <w:bottom w:val="nil"/>
              <w:right w:val="nil"/>
            </w:tcBorders>
            <w:shd w:val="clear" w:color="000000" w:fill="FFFFFF"/>
            <w:noWrap/>
            <w:vAlign w:val="center"/>
          </w:tcPr>
          <w:p w14:paraId="3E5F3E22">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60" w:type="dxa"/>
            <w:tcBorders>
              <w:top w:val="single" w:color="000000" w:sz="4" w:space="0"/>
              <w:left w:val="single" w:color="000000" w:sz="4" w:space="0"/>
              <w:bottom w:val="nil"/>
              <w:right w:val="nil"/>
            </w:tcBorders>
            <w:shd w:val="clear" w:color="000000" w:fill="FFFFFF"/>
            <w:noWrap w:val="0"/>
            <w:vAlign w:val="center"/>
          </w:tcPr>
          <w:p w14:paraId="7431928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60" w:type="dxa"/>
            <w:tcBorders>
              <w:top w:val="single" w:color="000000" w:sz="4" w:space="0"/>
              <w:left w:val="single" w:color="000000" w:sz="4" w:space="0"/>
              <w:bottom w:val="nil"/>
              <w:right w:val="nil"/>
            </w:tcBorders>
            <w:shd w:val="clear" w:color="000000" w:fill="FFFFFF"/>
            <w:noWrap w:val="0"/>
            <w:vAlign w:val="center"/>
          </w:tcPr>
          <w:p w14:paraId="5B57100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60" w:type="dxa"/>
            <w:tcBorders>
              <w:top w:val="single" w:color="000000" w:sz="4" w:space="0"/>
              <w:left w:val="single" w:color="000000" w:sz="4" w:space="0"/>
              <w:bottom w:val="nil"/>
              <w:right w:val="single" w:color="000000" w:sz="4" w:space="0"/>
            </w:tcBorders>
            <w:shd w:val="clear" w:color="000000" w:fill="FFFFFF"/>
            <w:noWrap w:val="0"/>
            <w:vAlign w:val="center"/>
          </w:tcPr>
          <w:p w14:paraId="7899A30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60CD0A53">
        <w:tblPrEx>
          <w:tblCellMar>
            <w:top w:w="0" w:type="dxa"/>
            <w:left w:w="108" w:type="dxa"/>
            <w:bottom w:w="0" w:type="dxa"/>
            <w:right w:w="108" w:type="dxa"/>
          </w:tblCellMar>
        </w:tblPrEx>
        <w:trPr>
          <w:trHeight w:val="480" w:hRule="atLeast"/>
        </w:trPr>
        <w:tc>
          <w:tcPr>
            <w:tcW w:w="680" w:type="dxa"/>
            <w:tcBorders>
              <w:top w:val="single" w:color="000000" w:sz="4" w:space="0"/>
              <w:left w:val="single" w:color="000000" w:sz="4" w:space="0"/>
              <w:bottom w:val="nil"/>
              <w:right w:val="nil"/>
            </w:tcBorders>
            <w:shd w:val="clear" w:color="000000" w:fill="FFFFFF"/>
            <w:noWrap w:val="0"/>
            <w:vAlign w:val="center"/>
          </w:tcPr>
          <w:p w14:paraId="46C685B4">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596" w:type="dxa"/>
            <w:tcBorders>
              <w:top w:val="single" w:color="000000" w:sz="4" w:space="0"/>
              <w:left w:val="single" w:color="000000" w:sz="4" w:space="0"/>
              <w:bottom w:val="nil"/>
              <w:right w:val="nil"/>
            </w:tcBorders>
            <w:shd w:val="clear" w:color="000000" w:fill="FFFFFF"/>
            <w:noWrap w:val="0"/>
            <w:vAlign w:val="center"/>
          </w:tcPr>
          <w:p w14:paraId="4E0F985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00" w:type="dxa"/>
            <w:tcBorders>
              <w:top w:val="single" w:color="000000" w:sz="4" w:space="0"/>
              <w:left w:val="single" w:color="000000" w:sz="4" w:space="0"/>
              <w:bottom w:val="nil"/>
              <w:right w:val="nil"/>
            </w:tcBorders>
            <w:shd w:val="clear" w:color="000000" w:fill="FFFFFF"/>
            <w:noWrap w:val="0"/>
            <w:vAlign w:val="center"/>
          </w:tcPr>
          <w:p w14:paraId="7E118F6D">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59" w:type="dxa"/>
            <w:tcBorders>
              <w:top w:val="single" w:color="000000" w:sz="4" w:space="0"/>
              <w:left w:val="single" w:color="000000" w:sz="4" w:space="0"/>
              <w:bottom w:val="nil"/>
              <w:right w:val="nil"/>
            </w:tcBorders>
            <w:shd w:val="clear" w:color="000000" w:fill="FFFFFF"/>
            <w:noWrap/>
            <w:vAlign w:val="center"/>
          </w:tcPr>
          <w:p w14:paraId="6C411E0E">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60" w:type="dxa"/>
            <w:tcBorders>
              <w:top w:val="single" w:color="000000" w:sz="4" w:space="0"/>
              <w:left w:val="single" w:color="000000" w:sz="4" w:space="0"/>
              <w:bottom w:val="nil"/>
              <w:right w:val="nil"/>
            </w:tcBorders>
            <w:shd w:val="clear" w:color="000000" w:fill="FFFFFF"/>
            <w:noWrap/>
            <w:vAlign w:val="center"/>
          </w:tcPr>
          <w:p w14:paraId="49E0F7AF">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60" w:type="dxa"/>
            <w:tcBorders>
              <w:top w:val="single" w:color="000000" w:sz="4" w:space="0"/>
              <w:left w:val="single" w:color="000000" w:sz="4" w:space="0"/>
              <w:bottom w:val="nil"/>
              <w:right w:val="nil"/>
            </w:tcBorders>
            <w:shd w:val="clear" w:color="000000" w:fill="FFFFFF"/>
            <w:noWrap w:val="0"/>
            <w:vAlign w:val="center"/>
          </w:tcPr>
          <w:p w14:paraId="3517B8B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60" w:type="dxa"/>
            <w:tcBorders>
              <w:top w:val="single" w:color="000000" w:sz="4" w:space="0"/>
              <w:left w:val="single" w:color="000000" w:sz="4" w:space="0"/>
              <w:bottom w:val="nil"/>
              <w:right w:val="nil"/>
            </w:tcBorders>
            <w:shd w:val="clear" w:color="000000" w:fill="FFFFFF"/>
            <w:noWrap w:val="0"/>
            <w:vAlign w:val="center"/>
          </w:tcPr>
          <w:p w14:paraId="7069160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60" w:type="dxa"/>
            <w:tcBorders>
              <w:top w:val="single" w:color="000000" w:sz="4" w:space="0"/>
              <w:left w:val="single" w:color="000000" w:sz="4" w:space="0"/>
              <w:bottom w:val="nil"/>
              <w:right w:val="single" w:color="000000" w:sz="4" w:space="0"/>
            </w:tcBorders>
            <w:shd w:val="clear" w:color="000000" w:fill="FFFFFF"/>
            <w:noWrap w:val="0"/>
            <w:vAlign w:val="center"/>
          </w:tcPr>
          <w:p w14:paraId="7D60E29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39DB1E3E">
        <w:tblPrEx>
          <w:tblCellMar>
            <w:top w:w="0" w:type="dxa"/>
            <w:left w:w="108" w:type="dxa"/>
            <w:bottom w:w="0" w:type="dxa"/>
            <w:right w:w="108" w:type="dxa"/>
          </w:tblCellMar>
        </w:tblPrEx>
        <w:trPr>
          <w:trHeight w:val="480" w:hRule="atLeast"/>
        </w:trPr>
        <w:tc>
          <w:tcPr>
            <w:tcW w:w="680" w:type="dxa"/>
            <w:tcBorders>
              <w:top w:val="single" w:color="000000" w:sz="4" w:space="0"/>
              <w:left w:val="single" w:color="000000" w:sz="4" w:space="0"/>
              <w:bottom w:val="nil"/>
              <w:right w:val="nil"/>
            </w:tcBorders>
            <w:shd w:val="clear" w:color="000000" w:fill="FFFFFF"/>
            <w:noWrap w:val="0"/>
            <w:vAlign w:val="center"/>
          </w:tcPr>
          <w:p w14:paraId="5C277E88">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596" w:type="dxa"/>
            <w:tcBorders>
              <w:top w:val="single" w:color="000000" w:sz="4" w:space="0"/>
              <w:left w:val="single" w:color="000000" w:sz="4" w:space="0"/>
              <w:bottom w:val="nil"/>
              <w:right w:val="nil"/>
            </w:tcBorders>
            <w:shd w:val="clear" w:color="000000" w:fill="FFFFFF"/>
            <w:noWrap w:val="0"/>
            <w:vAlign w:val="center"/>
          </w:tcPr>
          <w:p w14:paraId="1FC2F21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00" w:type="dxa"/>
            <w:tcBorders>
              <w:top w:val="single" w:color="000000" w:sz="4" w:space="0"/>
              <w:left w:val="single" w:color="000000" w:sz="4" w:space="0"/>
              <w:bottom w:val="nil"/>
              <w:right w:val="nil"/>
            </w:tcBorders>
            <w:shd w:val="clear" w:color="000000" w:fill="FFFFFF"/>
            <w:noWrap w:val="0"/>
            <w:vAlign w:val="center"/>
          </w:tcPr>
          <w:p w14:paraId="0FDFB81B">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59" w:type="dxa"/>
            <w:tcBorders>
              <w:top w:val="single" w:color="000000" w:sz="4" w:space="0"/>
              <w:left w:val="single" w:color="000000" w:sz="4" w:space="0"/>
              <w:bottom w:val="nil"/>
              <w:right w:val="nil"/>
            </w:tcBorders>
            <w:shd w:val="clear" w:color="000000" w:fill="FFFFFF"/>
            <w:noWrap/>
            <w:vAlign w:val="center"/>
          </w:tcPr>
          <w:p w14:paraId="6C2AC5FB">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60" w:type="dxa"/>
            <w:tcBorders>
              <w:top w:val="single" w:color="000000" w:sz="4" w:space="0"/>
              <w:left w:val="single" w:color="000000" w:sz="4" w:space="0"/>
              <w:bottom w:val="nil"/>
              <w:right w:val="nil"/>
            </w:tcBorders>
            <w:shd w:val="clear" w:color="000000" w:fill="FFFFFF"/>
            <w:noWrap/>
            <w:vAlign w:val="center"/>
          </w:tcPr>
          <w:p w14:paraId="2631DF93">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60" w:type="dxa"/>
            <w:tcBorders>
              <w:top w:val="single" w:color="000000" w:sz="4" w:space="0"/>
              <w:left w:val="single" w:color="000000" w:sz="4" w:space="0"/>
              <w:bottom w:val="nil"/>
              <w:right w:val="nil"/>
            </w:tcBorders>
            <w:shd w:val="clear" w:color="000000" w:fill="FFFFFF"/>
            <w:noWrap w:val="0"/>
            <w:vAlign w:val="center"/>
          </w:tcPr>
          <w:p w14:paraId="5541E9D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60" w:type="dxa"/>
            <w:tcBorders>
              <w:top w:val="single" w:color="000000" w:sz="4" w:space="0"/>
              <w:left w:val="single" w:color="000000" w:sz="4" w:space="0"/>
              <w:bottom w:val="nil"/>
              <w:right w:val="nil"/>
            </w:tcBorders>
            <w:shd w:val="clear" w:color="000000" w:fill="FFFFFF"/>
            <w:noWrap w:val="0"/>
            <w:vAlign w:val="center"/>
          </w:tcPr>
          <w:p w14:paraId="2755270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60" w:type="dxa"/>
            <w:tcBorders>
              <w:top w:val="single" w:color="000000" w:sz="4" w:space="0"/>
              <w:left w:val="single" w:color="000000" w:sz="4" w:space="0"/>
              <w:bottom w:val="nil"/>
              <w:right w:val="single" w:color="000000" w:sz="4" w:space="0"/>
            </w:tcBorders>
            <w:shd w:val="clear" w:color="000000" w:fill="FFFFFF"/>
            <w:noWrap w:val="0"/>
            <w:vAlign w:val="center"/>
          </w:tcPr>
          <w:p w14:paraId="34589C4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3626C783">
        <w:tblPrEx>
          <w:tblCellMar>
            <w:top w:w="0" w:type="dxa"/>
            <w:left w:w="108" w:type="dxa"/>
            <w:bottom w:w="0" w:type="dxa"/>
            <w:right w:w="108" w:type="dxa"/>
          </w:tblCellMar>
        </w:tblPrEx>
        <w:trPr>
          <w:trHeight w:val="480" w:hRule="atLeast"/>
        </w:trPr>
        <w:tc>
          <w:tcPr>
            <w:tcW w:w="680" w:type="dxa"/>
            <w:tcBorders>
              <w:top w:val="single" w:color="000000" w:sz="4" w:space="0"/>
              <w:left w:val="single" w:color="000000" w:sz="4" w:space="0"/>
              <w:bottom w:val="nil"/>
              <w:right w:val="nil"/>
            </w:tcBorders>
            <w:shd w:val="clear" w:color="000000" w:fill="FFFFFF"/>
            <w:noWrap w:val="0"/>
            <w:vAlign w:val="center"/>
          </w:tcPr>
          <w:p w14:paraId="79C4D354">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596" w:type="dxa"/>
            <w:tcBorders>
              <w:top w:val="single" w:color="000000" w:sz="4" w:space="0"/>
              <w:left w:val="single" w:color="000000" w:sz="4" w:space="0"/>
              <w:bottom w:val="nil"/>
              <w:right w:val="nil"/>
            </w:tcBorders>
            <w:shd w:val="clear" w:color="000000" w:fill="FFFFFF"/>
            <w:noWrap w:val="0"/>
            <w:vAlign w:val="center"/>
          </w:tcPr>
          <w:p w14:paraId="635D76E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00" w:type="dxa"/>
            <w:tcBorders>
              <w:top w:val="single" w:color="000000" w:sz="4" w:space="0"/>
              <w:left w:val="single" w:color="000000" w:sz="4" w:space="0"/>
              <w:bottom w:val="nil"/>
              <w:right w:val="nil"/>
            </w:tcBorders>
            <w:shd w:val="clear" w:color="000000" w:fill="FFFFFF"/>
            <w:noWrap w:val="0"/>
            <w:vAlign w:val="center"/>
          </w:tcPr>
          <w:p w14:paraId="4D798339">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59" w:type="dxa"/>
            <w:tcBorders>
              <w:top w:val="single" w:color="000000" w:sz="4" w:space="0"/>
              <w:left w:val="single" w:color="000000" w:sz="4" w:space="0"/>
              <w:bottom w:val="nil"/>
              <w:right w:val="nil"/>
            </w:tcBorders>
            <w:shd w:val="clear" w:color="000000" w:fill="FFFFFF"/>
            <w:noWrap/>
            <w:vAlign w:val="center"/>
          </w:tcPr>
          <w:p w14:paraId="1AA07EFE">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60" w:type="dxa"/>
            <w:tcBorders>
              <w:top w:val="single" w:color="000000" w:sz="4" w:space="0"/>
              <w:left w:val="single" w:color="000000" w:sz="4" w:space="0"/>
              <w:bottom w:val="nil"/>
              <w:right w:val="nil"/>
            </w:tcBorders>
            <w:shd w:val="clear" w:color="000000" w:fill="FFFFFF"/>
            <w:noWrap/>
            <w:vAlign w:val="center"/>
          </w:tcPr>
          <w:p w14:paraId="312DDFBE">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60" w:type="dxa"/>
            <w:tcBorders>
              <w:top w:val="single" w:color="000000" w:sz="4" w:space="0"/>
              <w:left w:val="single" w:color="000000" w:sz="4" w:space="0"/>
              <w:bottom w:val="nil"/>
              <w:right w:val="nil"/>
            </w:tcBorders>
            <w:shd w:val="clear" w:color="000000" w:fill="FFFFFF"/>
            <w:noWrap w:val="0"/>
            <w:vAlign w:val="center"/>
          </w:tcPr>
          <w:p w14:paraId="4730A99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60" w:type="dxa"/>
            <w:tcBorders>
              <w:top w:val="single" w:color="000000" w:sz="4" w:space="0"/>
              <w:left w:val="single" w:color="000000" w:sz="4" w:space="0"/>
              <w:bottom w:val="nil"/>
              <w:right w:val="nil"/>
            </w:tcBorders>
            <w:shd w:val="clear" w:color="000000" w:fill="FFFFFF"/>
            <w:noWrap w:val="0"/>
            <w:vAlign w:val="center"/>
          </w:tcPr>
          <w:p w14:paraId="0E98ECB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60" w:type="dxa"/>
            <w:tcBorders>
              <w:top w:val="single" w:color="000000" w:sz="4" w:space="0"/>
              <w:left w:val="single" w:color="000000" w:sz="4" w:space="0"/>
              <w:bottom w:val="nil"/>
              <w:right w:val="single" w:color="000000" w:sz="4" w:space="0"/>
            </w:tcBorders>
            <w:shd w:val="clear" w:color="000000" w:fill="FFFFFF"/>
            <w:noWrap w:val="0"/>
            <w:vAlign w:val="center"/>
          </w:tcPr>
          <w:p w14:paraId="6602007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49B411EB">
        <w:tblPrEx>
          <w:tblCellMar>
            <w:top w:w="0" w:type="dxa"/>
            <w:left w:w="108" w:type="dxa"/>
            <w:bottom w:w="0" w:type="dxa"/>
            <w:right w:w="108" w:type="dxa"/>
          </w:tblCellMar>
        </w:tblPrEx>
        <w:trPr>
          <w:trHeight w:val="480" w:hRule="atLeast"/>
        </w:trPr>
        <w:tc>
          <w:tcPr>
            <w:tcW w:w="680" w:type="dxa"/>
            <w:tcBorders>
              <w:top w:val="single" w:color="000000" w:sz="4" w:space="0"/>
              <w:left w:val="single" w:color="000000" w:sz="4" w:space="0"/>
              <w:bottom w:val="nil"/>
              <w:right w:val="nil"/>
            </w:tcBorders>
            <w:shd w:val="clear" w:color="000000" w:fill="FFFFFF"/>
            <w:noWrap w:val="0"/>
            <w:vAlign w:val="center"/>
          </w:tcPr>
          <w:p w14:paraId="2D7C4FCB">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596" w:type="dxa"/>
            <w:tcBorders>
              <w:top w:val="single" w:color="000000" w:sz="4" w:space="0"/>
              <w:left w:val="single" w:color="000000" w:sz="4" w:space="0"/>
              <w:bottom w:val="nil"/>
              <w:right w:val="nil"/>
            </w:tcBorders>
            <w:shd w:val="clear" w:color="000000" w:fill="FFFFFF"/>
            <w:noWrap w:val="0"/>
            <w:vAlign w:val="center"/>
          </w:tcPr>
          <w:p w14:paraId="313B963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00" w:type="dxa"/>
            <w:tcBorders>
              <w:top w:val="single" w:color="000000" w:sz="4" w:space="0"/>
              <w:left w:val="single" w:color="000000" w:sz="4" w:space="0"/>
              <w:bottom w:val="nil"/>
              <w:right w:val="nil"/>
            </w:tcBorders>
            <w:shd w:val="clear" w:color="000000" w:fill="FFFFFF"/>
            <w:noWrap w:val="0"/>
            <w:vAlign w:val="center"/>
          </w:tcPr>
          <w:p w14:paraId="634362C2">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59" w:type="dxa"/>
            <w:tcBorders>
              <w:top w:val="single" w:color="000000" w:sz="4" w:space="0"/>
              <w:left w:val="single" w:color="000000" w:sz="4" w:space="0"/>
              <w:bottom w:val="nil"/>
              <w:right w:val="nil"/>
            </w:tcBorders>
            <w:shd w:val="clear" w:color="000000" w:fill="FFFFFF"/>
            <w:noWrap/>
            <w:vAlign w:val="center"/>
          </w:tcPr>
          <w:p w14:paraId="61E1687D">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60" w:type="dxa"/>
            <w:tcBorders>
              <w:top w:val="single" w:color="000000" w:sz="4" w:space="0"/>
              <w:left w:val="single" w:color="000000" w:sz="4" w:space="0"/>
              <w:bottom w:val="nil"/>
              <w:right w:val="nil"/>
            </w:tcBorders>
            <w:shd w:val="clear" w:color="000000" w:fill="FFFFFF"/>
            <w:noWrap/>
            <w:vAlign w:val="center"/>
          </w:tcPr>
          <w:p w14:paraId="2DEDBAC9">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60" w:type="dxa"/>
            <w:tcBorders>
              <w:top w:val="single" w:color="000000" w:sz="4" w:space="0"/>
              <w:left w:val="single" w:color="000000" w:sz="4" w:space="0"/>
              <w:bottom w:val="nil"/>
              <w:right w:val="nil"/>
            </w:tcBorders>
            <w:shd w:val="clear" w:color="000000" w:fill="FFFFFF"/>
            <w:noWrap w:val="0"/>
            <w:vAlign w:val="center"/>
          </w:tcPr>
          <w:p w14:paraId="6FC764A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60" w:type="dxa"/>
            <w:tcBorders>
              <w:top w:val="single" w:color="000000" w:sz="4" w:space="0"/>
              <w:left w:val="single" w:color="000000" w:sz="4" w:space="0"/>
              <w:bottom w:val="nil"/>
              <w:right w:val="nil"/>
            </w:tcBorders>
            <w:shd w:val="clear" w:color="000000" w:fill="FFFFFF"/>
            <w:noWrap w:val="0"/>
            <w:vAlign w:val="center"/>
          </w:tcPr>
          <w:p w14:paraId="4871DF5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60" w:type="dxa"/>
            <w:tcBorders>
              <w:top w:val="single" w:color="000000" w:sz="4" w:space="0"/>
              <w:left w:val="single" w:color="000000" w:sz="4" w:space="0"/>
              <w:bottom w:val="nil"/>
              <w:right w:val="single" w:color="000000" w:sz="4" w:space="0"/>
            </w:tcBorders>
            <w:shd w:val="clear" w:color="000000" w:fill="FFFFFF"/>
            <w:noWrap w:val="0"/>
            <w:vAlign w:val="center"/>
          </w:tcPr>
          <w:p w14:paraId="33C9FB5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0584D2D8">
        <w:tblPrEx>
          <w:tblCellMar>
            <w:top w:w="0" w:type="dxa"/>
            <w:left w:w="108" w:type="dxa"/>
            <w:bottom w:w="0" w:type="dxa"/>
            <w:right w:w="108" w:type="dxa"/>
          </w:tblCellMar>
        </w:tblPrEx>
        <w:trPr>
          <w:trHeight w:val="480" w:hRule="atLeast"/>
        </w:trPr>
        <w:tc>
          <w:tcPr>
            <w:tcW w:w="680" w:type="dxa"/>
            <w:tcBorders>
              <w:top w:val="single" w:color="000000" w:sz="4" w:space="0"/>
              <w:left w:val="single" w:color="000000" w:sz="4" w:space="0"/>
              <w:bottom w:val="nil"/>
              <w:right w:val="nil"/>
            </w:tcBorders>
            <w:shd w:val="clear" w:color="000000" w:fill="FFFFFF"/>
            <w:noWrap w:val="0"/>
            <w:vAlign w:val="center"/>
          </w:tcPr>
          <w:p w14:paraId="4D7BFE7A">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596" w:type="dxa"/>
            <w:tcBorders>
              <w:top w:val="single" w:color="000000" w:sz="4" w:space="0"/>
              <w:left w:val="single" w:color="000000" w:sz="4" w:space="0"/>
              <w:bottom w:val="nil"/>
              <w:right w:val="nil"/>
            </w:tcBorders>
            <w:shd w:val="clear" w:color="000000" w:fill="FFFFFF"/>
            <w:noWrap w:val="0"/>
            <w:vAlign w:val="center"/>
          </w:tcPr>
          <w:p w14:paraId="56665C4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00" w:type="dxa"/>
            <w:tcBorders>
              <w:top w:val="single" w:color="000000" w:sz="4" w:space="0"/>
              <w:left w:val="single" w:color="000000" w:sz="4" w:space="0"/>
              <w:bottom w:val="nil"/>
              <w:right w:val="nil"/>
            </w:tcBorders>
            <w:shd w:val="clear" w:color="000000" w:fill="FFFFFF"/>
            <w:noWrap w:val="0"/>
            <w:vAlign w:val="center"/>
          </w:tcPr>
          <w:p w14:paraId="37A5633A">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59" w:type="dxa"/>
            <w:tcBorders>
              <w:top w:val="single" w:color="000000" w:sz="4" w:space="0"/>
              <w:left w:val="single" w:color="000000" w:sz="4" w:space="0"/>
              <w:bottom w:val="nil"/>
              <w:right w:val="nil"/>
            </w:tcBorders>
            <w:shd w:val="clear" w:color="000000" w:fill="FFFFFF"/>
            <w:noWrap/>
            <w:vAlign w:val="center"/>
          </w:tcPr>
          <w:p w14:paraId="7945A7CE">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60" w:type="dxa"/>
            <w:tcBorders>
              <w:top w:val="single" w:color="000000" w:sz="4" w:space="0"/>
              <w:left w:val="single" w:color="000000" w:sz="4" w:space="0"/>
              <w:bottom w:val="nil"/>
              <w:right w:val="nil"/>
            </w:tcBorders>
            <w:shd w:val="clear" w:color="000000" w:fill="FFFFFF"/>
            <w:noWrap/>
            <w:vAlign w:val="center"/>
          </w:tcPr>
          <w:p w14:paraId="3D0769AF">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60" w:type="dxa"/>
            <w:tcBorders>
              <w:top w:val="single" w:color="000000" w:sz="4" w:space="0"/>
              <w:left w:val="single" w:color="000000" w:sz="4" w:space="0"/>
              <w:bottom w:val="nil"/>
              <w:right w:val="nil"/>
            </w:tcBorders>
            <w:shd w:val="clear" w:color="000000" w:fill="FFFFFF"/>
            <w:noWrap w:val="0"/>
            <w:vAlign w:val="center"/>
          </w:tcPr>
          <w:p w14:paraId="4D38AAC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60" w:type="dxa"/>
            <w:tcBorders>
              <w:top w:val="single" w:color="000000" w:sz="4" w:space="0"/>
              <w:left w:val="single" w:color="000000" w:sz="4" w:space="0"/>
              <w:bottom w:val="nil"/>
              <w:right w:val="nil"/>
            </w:tcBorders>
            <w:shd w:val="clear" w:color="000000" w:fill="FFFFFF"/>
            <w:noWrap w:val="0"/>
            <w:vAlign w:val="center"/>
          </w:tcPr>
          <w:p w14:paraId="3BBF1D5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60" w:type="dxa"/>
            <w:tcBorders>
              <w:top w:val="single" w:color="000000" w:sz="4" w:space="0"/>
              <w:left w:val="single" w:color="000000" w:sz="4" w:space="0"/>
              <w:bottom w:val="nil"/>
              <w:right w:val="single" w:color="000000" w:sz="4" w:space="0"/>
            </w:tcBorders>
            <w:shd w:val="clear" w:color="000000" w:fill="FFFFFF"/>
            <w:noWrap w:val="0"/>
            <w:vAlign w:val="center"/>
          </w:tcPr>
          <w:p w14:paraId="2C5105D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101DC57A">
        <w:tblPrEx>
          <w:tblCellMar>
            <w:top w:w="0" w:type="dxa"/>
            <w:left w:w="108" w:type="dxa"/>
            <w:bottom w:w="0" w:type="dxa"/>
            <w:right w:w="108" w:type="dxa"/>
          </w:tblCellMar>
        </w:tblPrEx>
        <w:trPr>
          <w:trHeight w:val="480" w:hRule="atLeast"/>
        </w:trPr>
        <w:tc>
          <w:tcPr>
            <w:tcW w:w="680" w:type="dxa"/>
            <w:tcBorders>
              <w:top w:val="single" w:color="000000" w:sz="4" w:space="0"/>
              <w:left w:val="single" w:color="000000" w:sz="4" w:space="0"/>
              <w:bottom w:val="single" w:color="000000" w:sz="4" w:space="0"/>
              <w:right w:val="nil"/>
            </w:tcBorders>
            <w:shd w:val="clear" w:color="000000" w:fill="FFFFFF"/>
            <w:noWrap w:val="0"/>
            <w:vAlign w:val="center"/>
          </w:tcPr>
          <w:p w14:paraId="06C9E9EE">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596" w:type="dxa"/>
            <w:tcBorders>
              <w:top w:val="single" w:color="000000" w:sz="4" w:space="0"/>
              <w:left w:val="single" w:color="000000" w:sz="4" w:space="0"/>
              <w:bottom w:val="single" w:color="000000" w:sz="4" w:space="0"/>
              <w:right w:val="nil"/>
            </w:tcBorders>
            <w:shd w:val="clear" w:color="000000" w:fill="FFFFFF"/>
            <w:noWrap w:val="0"/>
            <w:vAlign w:val="center"/>
          </w:tcPr>
          <w:p w14:paraId="1EE4EC1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00" w:type="dxa"/>
            <w:tcBorders>
              <w:top w:val="single" w:color="000000" w:sz="4" w:space="0"/>
              <w:left w:val="single" w:color="000000" w:sz="4" w:space="0"/>
              <w:bottom w:val="single" w:color="000000" w:sz="4" w:space="0"/>
              <w:right w:val="nil"/>
            </w:tcBorders>
            <w:shd w:val="clear" w:color="000000" w:fill="FFFFFF"/>
            <w:noWrap w:val="0"/>
            <w:vAlign w:val="center"/>
          </w:tcPr>
          <w:p w14:paraId="2964F100">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59" w:type="dxa"/>
            <w:tcBorders>
              <w:top w:val="single" w:color="000000" w:sz="4" w:space="0"/>
              <w:left w:val="single" w:color="000000" w:sz="4" w:space="0"/>
              <w:bottom w:val="single" w:color="000000" w:sz="4" w:space="0"/>
              <w:right w:val="nil"/>
            </w:tcBorders>
            <w:shd w:val="clear" w:color="000000" w:fill="FFFFFF"/>
            <w:noWrap/>
            <w:vAlign w:val="center"/>
          </w:tcPr>
          <w:p w14:paraId="09105380">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60" w:type="dxa"/>
            <w:tcBorders>
              <w:top w:val="single" w:color="000000" w:sz="4" w:space="0"/>
              <w:left w:val="single" w:color="000000" w:sz="4" w:space="0"/>
              <w:bottom w:val="single" w:color="000000" w:sz="4" w:space="0"/>
              <w:right w:val="nil"/>
            </w:tcBorders>
            <w:shd w:val="clear" w:color="000000" w:fill="FFFFFF"/>
            <w:noWrap/>
            <w:vAlign w:val="center"/>
          </w:tcPr>
          <w:p w14:paraId="53889494">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60" w:type="dxa"/>
            <w:tcBorders>
              <w:top w:val="single" w:color="000000" w:sz="4" w:space="0"/>
              <w:left w:val="single" w:color="000000" w:sz="4" w:space="0"/>
              <w:bottom w:val="single" w:color="000000" w:sz="4" w:space="0"/>
              <w:right w:val="nil"/>
            </w:tcBorders>
            <w:shd w:val="clear" w:color="000000" w:fill="FFFFFF"/>
            <w:noWrap w:val="0"/>
            <w:vAlign w:val="center"/>
          </w:tcPr>
          <w:p w14:paraId="6428B23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60" w:type="dxa"/>
            <w:tcBorders>
              <w:top w:val="single" w:color="000000" w:sz="4" w:space="0"/>
              <w:left w:val="single" w:color="000000" w:sz="4" w:space="0"/>
              <w:bottom w:val="single" w:color="000000" w:sz="4" w:space="0"/>
              <w:right w:val="nil"/>
            </w:tcBorders>
            <w:shd w:val="clear" w:color="000000" w:fill="FFFFFF"/>
            <w:noWrap w:val="0"/>
            <w:vAlign w:val="center"/>
          </w:tcPr>
          <w:p w14:paraId="24D63AB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6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DEFB20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bl>
    <w:p w14:paraId="47578D5C">
      <w:pPr>
        <w:spacing w:line="300" w:lineRule="auto"/>
        <w:jc w:val="left"/>
        <w:rPr>
          <w:rFonts w:hint="eastAsia" w:ascii="宋体" w:hAnsi="宋体" w:eastAsia="宋体" w:cs="宋体"/>
          <w:color w:val="auto"/>
          <w:sz w:val="32"/>
          <w:szCs w:val="32"/>
          <w:highlight w:val="none"/>
        </w:rPr>
      </w:pPr>
      <w:r>
        <w:rPr>
          <w:rFonts w:hint="eastAsia" w:ascii="宋体" w:hAnsi="宋体" w:eastAsia="宋体" w:cs="宋体"/>
          <w:color w:val="auto"/>
          <w:highlight w:val="none"/>
        </w:rPr>
        <w:br w:type="page"/>
      </w:r>
    </w:p>
    <w:tbl>
      <w:tblPr>
        <w:tblStyle w:val="24"/>
        <w:tblW w:w="9087" w:type="dxa"/>
        <w:tblInd w:w="93" w:type="dxa"/>
        <w:tblLayout w:type="fixed"/>
        <w:tblCellMar>
          <w:top w:w="0" w:type="dxa"/>
          <w:left w:w="108" w:type="dxa"/>
          <w:bottom w:w="0" w:type="dxa"/>
          <w:right w:w="108" w:type="dxa"/>
        </w:tblCellMar>
      </w:tblPr>
      <w:tblGrid>
        <w:gridCol w:w="660"/>
        <w:gridCol w:w="2500"/>
        <w:gridCol w:w="1100"/>
        <w:gridCol w:w="1040"/>
        <w:gridCol w:w="1094"/>
        <w:gridCol w:w="1418"/>
        <w:gridCol w:w="1275"/>
      </w:tblGrid>
      <w:tr w14:paraId="2C33C4C3">
        <w:tblPrEx>
          <w:tblCellMar>
            <w:top w:w="0" w:type="dxa"/>
            <w:left w:w="108" w:type="dxa"/>
            <w:bottom w:w="0" w:type="dxa"/>
            <w:right w:w="108" w:type="dxa"/>
          </w:tblCellMar>
        </w:tblPrEx>
        <w:trPr>
          <w:trHeight w:val="900" w:hRule="atLeast"/>
        </w:trPr>
        <w:tc>
          <w:tcPr>
            <w:tcW w:w="9087" w:type="dxa"/>
            <w:gridSpan w:val="7"/>
            <w:tcBorders>
              <w:top w:val="nil"/>
              <w:left w:val="nil"/>
              <w:bottom w:val="nil"/>
              <w:right w:val="nil"/>
            </w:tcBorders>
            <w:shd w:val="clear" w:color="000000" w:fill="FFFFFF"/>
            <w:noWrap w:val="0"/>
            <w:vAlign w:val="center"/>
          </w:tcPr>
          <w:p w14:paraId="4A1E6BAE">
            <w:pPr>
              <w:widowControl/>
              <w:jc w:val="center"/>
              <w:rPr>
                <w:rFonts w:hint="eastAsia" w:ascii="宋体" w:hAnsi="宋体" w:eastAsia="宋体" w:cs="宋体"/>
                <w:b/>
                <w:bCs/>
                <w:color w:val="auto"/>
                <w:kern w:val="0"/>
                <w:sz w:val="40"/>
                <w:szCs w:val="40"/>
                <w:highlight w:val="none"/>
              </w:rPr>
            </w:pPr>
            <w:r>
              <w:rPr>
                <w:rFonts w:hint="eastAsia" w:ascii="宋体" w:hAnsi="宋体" w:eastAsia="宋体" w:cs="宋体"/>
                <w:b/>
                <w:bCs/>
                <w:color w:val="auto"/>
                <w:kern w:val="0"/>
                <w:sz w:val="40"/>
                <w:szCs w:val="40"/>
                <w:highlight w:val="none"/>
              </w:rPr>
              <w:t>主要材料和工程设备一览表</w:t>
            </w:r>
          </w:p>
        </w:tc>
      </w:tr>
      <w:tr w14:paraId="0C466B12">
        <w:tblPrEx>
          <w:tblCellMar>
            <w:top w:w="0" w:type="dxa"/>
            <w:left w:w="108" w:type="dxa"/>
            <w:bottom w:w="0" w:type="dxa"/>
            <w:right w:w="108" w:type="dxa"/>
          </w:tblCellMar>
        </w:tblPrEx>
        <w:trPr>
          <w:trHeight w:val="570" w:hRule="atLeast"/>
        </w:trPr>
        <w:tc>
          <w:tcPr>
            <w:tcW w:w="5300" w:type="dxa"/>
            <w:gridSpan w:val="4"/>
            <w:tcBorders>
              <w:top w:val="nil"/>
              <w:left w:val="nil"/>
              <w:bottom w:val="nil"/>
              <w:right w:val="nil"/>
            </w:tcBorders>
            <w:shd w:val="clear" w:color="000000" w:fill="FFFFFF"/>
            <w:noWrap w:val="0"/>
            <w:vAlign w:val="bottom"/>
          </w:tcPr>
          <w:p w14:paraId="56AF0CC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工程名称: </w:t>
            </w:r>
          </w:p>
        </w:tc>
        <w:tc>
          <w:tcPr>
            <w:tcW w:w="1094" w:type="dxa"/>
            <w:tcBorders>
              <w:top w:val="nil"/>
              <w:left w:val="nil"/>
              <w:bottom w:val="nil"/>
              <w:right w:val="nil"/>
            </w:tcBorders>
            <w:shd w:val="clear" w:color="000000" w:fill="FFFFFF"/>
            <w:noWrap w:val="0"/>
            <w:vAlign w:val="bottom"/>
          </w:tcPr>
          <w:p w14:paraId="143DCDF8">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标段:</w:t>
            </w:r>
          </w:p>
        </w:tc>
        <w:tc>
          <w:tcPr>
            <w:tcW w:w="1418" w:type="dxa"/>
            <w:tcBorders>
              <w:top w:val="nil"/>
              <w:left w:val="nil"/>
              <w:bottom w:val="nil"/>
              <w:right w:val="nil"/>
            </w:tcBorders>
            <w:shd w:val="clear" w:color="000000" w:fill="FFFFFF"/>
            <w:noWrap w:val="0"/>
            <w:vAlign w:val="bottom"/>
          </w:tcPr>
          <w:p w14:paraId="28124F36">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75" w:type="dxa"/>
            <w:tcBorders>
              <w:top w:val="nil"/>
              <w:left w:val="nil"/>
              <w:bottom w:val="nil"/>
              <w:right w:val="nil"/>
            </w:tcBorders>
            <w:shd w:val="clear" w:color="000000" w:fill="FFFFFF"/>
            <w:noWrap w:val="0"/>
            <w:vAlign w:val="bottom"/>
          </w:tcPr>
          <w:p w14:paraId="156E9A51">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第 页 共 页</w:t>
            </w:r>
          </w:p>
        </w:tc>
      </w:tr>
      <w:tr w14:paraId="2824EFDA">
        <w:tblPrEx>
          <w:tblCellMar>
            <w:top w:w="0" w:type="dxa"/>
            <w:left w:w="108" w:type="dxa"/>
            <w:bottom w:w="0" w:type="dxa"/>
            <w:right w:w="108" w:type="dxa"/>
          </w:tblCellMar>
        </w:tblPrEx>
        <w:trPr>
          <w:trHeight w:val="450" w:hRule="atLeast"/>
        </w:trPr>
        <w:tc>
          <w:tcPr>
            <w:tcW w:w="660" w:type="dxa"/>
            <w:tcBorders>
              <w:top w:val="single" w:color="000000" w:sz="4" w:space="0"/>
              <w:left w:val="single" w:color="000000" w:sz="4" w:space="0"/>
              <w:bottom w:val="nil"/>
              <w:right w:val="nil"/>
            </w:tcBorders>
            <w:shd w:val="clear" w:color="000000" w:fill="FFFFFF"/>
            <w:noWrap w:val="0"/>
            <w:vAlign w:val="center"/>
          </w:tcPr>
          <w:p w14:paraId="133F94C5">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序号</w:t>
            </w:r>
          </w:p>
        </w:tc>
        <w:tc>
          <w:tcPr>
            <w:tcW w:w="2500" w:type="dxa"/>
            <w:tcBorders>
              <w:top w:val="single" w:color="000000" w:sz="4" w:space="0"/>
              <w:left w:val="single" w:color="000000" w:sz="4" w:space="0"/>
              <w:bottom w:val="nil"/>
              <w:right w:val="nil"/>
            </w:tcBorders>
            <w:shd w:val="clear" w:color="000000" w:fill="FFFFFF"/>
            <w:noWrap w:val="0"/>
            <w:vAlign w:val="center"/>
          </w:tcPr>
          <w:p w14:paraId="52460FD1">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名称、规格、型号</w:t>
            </w:r>
          </w:p>
        </w:tc>
        <w:tc>
          <w:tcPr>
            <w:tcW w:w="1100" w:type="dxa"/>
            <w:tcBorders>
              <w:top w:val="single" w:color="000000" w:sz="4" w:space="0"/>
              <w:left w:val="single" w:color="000000" w:sz="4" w:space="0"/>
              <w:bottom w:val="nil"/>
              <w:right w:val="nil"/>
            </w:tcBorders>
            <w:shd w:val="clear" w:color="000000" w:fill="FFFFFF"/>
            <w:noWrap w:val="0"/>
            <w:vAlign w:val="center"/>
          </w:tcPr>
          <w:p w14:paraId="3A068AE4">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单位</w:t>
            </w:r>
          </w:p>
        </w:tc>
        <w:tc>
          <w:tcPr>
            <w:tcW w:w="1040" w:type="dxa"/>
            <w:tcBorders>
              <w:top w:val="single" w:color="000000" w:sz="4" w:space="0"/>
              <w:left w:val="single" w:color="000000" w:sz="4" w:space="0"/>
              <w:bottom w:val="nil"/>
              <w:right w:val="nil"/>
            </w:tcBorders>
            <w:shd w:val="clear" w:color="000000" w:fill="FFFFFF"/>
            <w:noWrap w:val="0"/>
            <w:vAlign w:val="center"/>
          </w:tcPr>
          <w:p w14:paraId="6E3844CC">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数量</w:t>
            </w:r>
          </w:p>
        </w:tc>
        <w:tc>
          <w:tcPr>
            <w:tcW w:w="1094" w:type="dxa"/>
            <w:tcBorders>
              <w:top w:val="single" w:color="000000" w:sz="4" w:space="0"/>
              <w:left w:val="single" w:color="000000" w:sz="4" w:space="0"/>
              <w:bottom w:val="nil"/>
              <w:right w:val="nil"/>
            </w:tcBorders>
            <w:shd w:val="clear" w:color="000000" w:fill="FFFFFF"/>
            <w:noWrap w:val="0"/>
            <w:vAlign w:val="center"/>
          </w:tcPr>
          <w:p w14:paraId="07D39AE3">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单价(元)</w:t>
            </w:r>
          </w:p>
        </w:tc>
        <w:tc>
          <w:tcPr>
            <w:tcW w:w="1418" w:type="dxa"/>
            <w:tcBorders>
              <w:top w:val="single" w:color="000000" w:sz="4" w:space="0"/>
              <w:left w:val="single" w:color="000000" w:sz="4" w:space="0"/>
              <w:bottom w:val="nil"/>
              <w:right w:val="nil"/>
            </w:tcBorders>
            <w:shd w:val="clear" w:color="000000" w:fill="FFFFFF"/>
            <w:noWrap w:val="0"/>
            <w:vAlign w:val="center"/>
          </w:tcPr>
          <w:p w14:paraId="31180465">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合价（元）</w:t>
            </w:r>
          </w:p>
        </w:tc>
        <w:tc>
          <w:tcPr>
            <w:tcW w:w="1275" w:type="dxa"/>
            <w:tcBorders>
              <w:top w:val="single" w:color="000000" w:sz="4" w:space="0"/>
              <w:left w:val="single" w:color="000000" w:sz="4" w:space="0"/>
              <w:bottom w:val="nil"/>
              <w:right w:val="single" w:color="000000" w:sz="4" w:space="0"/>
            </w:tcBorders>
            <w:shd w:val="clear" w:color="000000" w:fill="FFFFFF"/>
            <w:noWrap w:val="0"/>
            <w:vAlign w:val="center"/>
          </w:tcPr>
          <w:p w14:paraId="62F428CC">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备注</w:t>
            </w:r>
          </w:p>
        </w:tc>
      </w:tr>
      <w:tr w14:paraId="5AAB9383">
        <w:tblPrEx>
          <w:tblCellMar>
            <w:top w:w="0" w:type="dxa"/>
            <w:left w:w="108" w:type="dxa"/>
            <w:bottom w:w="0" w:type="dxa"/>
            <w:right w:w="108" w:type="dxa"/>
          </w:tblCellMar>
        </w:tblPrEx>
        <w:trPr>
          <w:trHeight w:val="450" w:hRule="atLeast"/>
        </w:trPr>
        <w:tc>
          <w:tcPr>
            <w:tcW w:w="660" w:type="dxa"/>
            <w:tcBorders>
              <w:top w:val="single" w:color="000000" w:sz="4" w:space="0"/>
              <w:left w:val="single" w:color="000000" w:sz="4" w:space="0"/>
              <w:bottom w:val="nil"/>
              <w:right w:val="nil"/>
            </w:tcBorders>
            <w:shd w:val="clear" w:color="000000" w:fill="FFFFFF"/>
            <w:noWrap w:val="0"/>
            <w:vAlign w:val="center"/>
          </w:tcPr>
          <w:p w14:paraId="0A18A1EC">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500" w:type="dxa"/>
            <w:tcBorders>
              <w:top w:val="single" w:color="000000" w:sz="4" w:space="0"/>
              <w:left w:val="single" w:color="000000" w:sz="4" w:space="0"/>
              <w:bottom w:val="nil"/>
              <w:right w:val="nil"/>
            </w:tcBorders>
            <w:shd w:val="clear" w:color="000000" w:fill="FFFFFF"/>
            <w:noWrap w:val="0"/>
            <w:vAlign w:val="center"/>
          </w:tcPr>
          <w:p w14:paraId="0A5BB9A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00" w:type="dxa"/>
            <w:tcBorders>
              <w:top w:val="single" w:color="000000" w:sz="4" w:space="0"/>
              <w:left w:val="single" w:color="000000" w:sz="4" w:space="0"/>
              <w:bottom w:val="nil"/>
              <w:right w:val="nil"/>
            </w:tcBorders>
            <w:shd w:val="clear" w:color="000000" w:fill="FFFFFF"/>
            <w:noWrap w:val="0"/>
            <w:vAlign w:val="center"/>
          </w:tcPr>
          <w:p w14:paraId="1253803F">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040" w:type="dxa"/>
            <w:tcBorders>
              <w:top w:val="single" w:color="000000" w:sz="4" w:space="0"/>
              <w:left w:val="single" w:color="000000" w:sz="4" w:space="0"/>
              <w:bottom w:val="nil"/>
              <w:right w:val="nil"/>
            </w:tcBorders>
            <w:shd w:val="clear" w:color="000000" w:fill="FFFFFF"/>
            <w:noWrap/>
            <w:vAlign w:val="center"/>
          </w:tcPr>
          <w:p w14:paraId="04908C86">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094" w:type="dxa"/>
            <w:tcBorders>
              <w:top w:val="single" w:color="000000" w:sz="4" w:space="0"/>
              <w:left w:val="single" w:color="000000" w:sz="4" w:space="0"/>
              <w:bottom w:val="nil"/>
              <w:right w:val="nil"/>
            </w:tcBorders>
            <w:shd w:val="clear" w:color="000000" w:fill="FFFFFF"/>
            <w:noWrap/>
            <w:vAlign w:val="center"/>
          </w:tcPr>
          <w:p w14:paraId="63BBE5BD">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418" w:type="dxa"/>
            <w:tcBorders>
              <w:top w:val="single" w:color="000000" w:sz="4" w:space="0"/>
              <w:left w:val="single" w:color="000000" w:sz="4" w:space="0"/>
              <w:bottom w:val="nil"/>
              <w:right w:val="nil"/>
            </w:tcBorders>
            <w:shd w:val="clear" w:color="000000" w:fill="FFFFFF"/>
            <w:noWrap/>
            <w:vAlign w:val="center"/>
          </w:tcPr>
          <w:p w14:paraId="1FE80EF9">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75" w:type="dxa"/>
            <w:tcBorders>
              <w:top w:val="single" w:color="000000" w:sz="4" w:space="0"/>
              <w:left w:val="single" w:color="000000" w:sz="4" w:space="0"/>
              <w:bottom w:val="nil"/>
              <w:right w:val="single" w:color="000000" w:sz="4" w:space="0"/>
            </w:tcBorders>
            <w:shd w:val="clear" w:color="000000" w:fill="FFFFFF"/>
            <w:noWrap w:val="0"/>
            <w:vAlign w:val="center"/>
          </w:tcPr>
          <w:p w14:paraId="2370F05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482E4C63">
        <w:tblPrEx>
          <w:tblCellMar>
            <w:top w:w="0" w:type="dxa"/>
            <w:left w:w="108" w:type="dxa"/>
            <w:bottom w:w="0" w:type="dxa"/>
            <w:right w:w="108" w:type="dxa"/>
          </w:tblCellMar>
        </w:tblPrEx>
        <w:trPr>
          <w:trHeight w:val="450" w:hRule="atLeast"/>
        </w:trPr>
        <w:tc>
          <w:tcPr>
            <w:tcW w:w="660" w:type="dxa"/>
            <w:tcBorders>
              <w:top w:val="single" w:color="000000" w:sz="4" w:space="0"/>
              <w:left w:val="single" w:color="000000" w:sz="4" w:space="0"/>
              <w:bottom w:val="nil"/>
              <w:right w:val="nil"/>
            </w:tcBorders>
            <w:shd w:val="clear" w:color="000000" w:fill="FFFFFF"/>
            <w:noWrap w:val="0"/>
            <w:vAlign w:val="center"/>
          </w:tcPr>
          <w:p w14:paraId="1DC74BD8">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500" w:type="dxa"/>
            <w:tcBorders>
              <w:top w:val="single" w:color="000000" w:sz="4" w:space="0"/>
              <w:left w:val="single" w:color="000000" w:sz="4" w:space="0"/>
              <w:bottom w:val="nil"/>
              <w:right w:val="nil"/>
            </w:tcBorders>
            <w:shd w:val="clear" w:color="000000" w:fill="FFFFFF"/>
            <w:noWrap w:val="0"/>
            <w:vAlign w:val="center"/>
          </w:tcPr>
          <w:p w14:paraId="39DE38F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00" w:type="dxa"/>
            <w:tcBorders>
              <w:top w:val="single" w:color="000000" w:sz="4" w:space="0"/>
              <w:left w:val="single" w:color="000000" w:sz="4" w:space="0"/>
              <w:bottom w:val="nil"/>
              <w:right w:val="nil"/>
            </w:tcBorders>
            <w:shd w:val="clear" w:color="000000" w:fill="FFFFFF"/>
            <w:noWrap w:val="0"/>
            <w:vAlign w:val="center"/>
          </w:tcPr>
          <w:p w14:paraId="38617337">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040" w:type="dxa"/>
            <w:tcBorders>
              <w:top w:val="single" w:color="000000" w:sz="4" w:space="0"/>
              <w:left w:val="single" w:color="000000" w:sz="4" w:space="0"/>
              <w:bottom w:val="nil"/>
              <w:right w:val="nil"/>
            </w:tcBorders>
            <w:shd w:val="clear" w:color="000000" w:fill="FFFFFF"/>
            <w:noWrap/>
            <w:vAlign w:val="center"/>
          </w:tcPr>
          <w:p w14:paraId="733AB68C">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094" w:type="dxa"/>
            <w:tcBorders>
              <w:top w:val="single" w:color="000000" w:sz="4" w:space="0"/>
              <w:left w:val="single" w:color="000000" w:sz="4" w:space="0"/>
              <w:bottom w:val="nil"/>
              <w:right w:val="nil"/>
            </w:tcBorders>
            <w:shd w:val="clear" w:color="000000" w:fill="FFFFFF"/>
            <w:noWrap/>
            <w:vAlign w:val="center"/>
          </w:tcPr>
          <w:p w14:paraId="11C0F43E">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418" w:type="dxa"/>
            <w:tcBorders>
              <w:top w:val="single" w:color="000000" w:sz="4" w:space="0"/>
              <w:left w:val="single" w:color="000000" w:sz="4" w:space="0"/>
              <w:bottom w:val="nil"/>
              <w:right w:val="nil"/>
            </w:tcBorders>
            <w:shd w:val="clear" w:color="000000" w:fill="FFFFFF"/>
            <w:noWrap/>
            <w:vAlign w:val="center"/>
          </w:tcPr>
          <w:p w14:paraId="7703080C">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75" w:type="dxa"/>
            <w:tcBorders>
              <w:top w:val="single" w:color="000000" w:sz="4" w:space="0"/>
              <w:left w:val="single" w:color="000000" w:sz="4" w:space="0"/>
              <w:bottom w:val="nil"/>
              <w:right w:val="single" w:color="000000" w:sz="4" w:space="0"/>
            </w:tcBorders>
            <w:shd w:val="clear" w:color="000000" w:fill="FFFFFF"/>
            <w:noWrap w:val="0"/>
            <w:vAlign w:val="center"/>
          </w:tcPr>
          <w:p w14:paraId="2395743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2DB11B9D">
        <w:tblPrEx>
          <w:tblCellMar>
            <w:top w:w="0" w:type="dxa"/>
            <w:left w:w="108" w:type="dxa"/>
            <w:bottom w:w="0" w:type="dxa"/>
            <w:right w:w="108" w:type="dxa"/>
          </w:tblCellMar>
        </w:tblPrEx>
        <w:trPr>
          <w:trHeight w:val="450" w:hRule="atLeast"/>
        </w:trPr>
        <w:tc>
          <w:tcPr>
            <w:tcW w:w="660" w:type="dxa"/>
            <w:tcBorders>
              <w:top w:val="single" w:color="000000" w:sz="4" w:space="0"/>
              <w:left w:val="single" w:color="000000" w:sz="4" w:space="0"/>
              <w:bottom w:val="nil"/>
              <w:right w:val="nil"/>
            </w:tcBorders>
            <w:shd w:val="clear" w:color="000000" w:fill="FFFFFF"/>
            <w:noWrap w:val="0"/>
            <w:vAlign w:val="center"/>
          </w:tcPr>
          <w:p w14:paraId="0229EACA">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500" w:type="dxa"/>
            <w:tcBorders>
              <w:top w:val="single" w:color="000000" w:sz="4" w:space="0"/>
              <w:left w:val="single" w:color="000000" w:sz="4" w:space="0"/>
              <w:bottom w:val="nil"/>
              <w:right w:val="nil"/>
            </w:tcBorders>
            <w:shd w:val="clear" w:color="000000" w:fill="FFFFFF"/>
            <w:noWrap w:val="0"/>
            <w:vAlign w:val="center"/>
          </w:tcPr>
          <w:p w14:paraId="0B9B4EE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00" w:type="dxa"/>
            <w:tcBorders>
              <w:top w:val="single" w:color="000000" w:sz="4" w:space="0"/>
              <w:left w:val="single" w:color="000000" w:sz="4" w:space="0"/>
              <w:bottom w:val="nil"/>
              <w:right w:val="nil"/>
            </w:tcBorders>
            <w:shd w:val="clear" w:color="000000" w:fill="FFFFFF"/>
            <w:noWrap w:val="0"/>
            <w:vAlign w:val="center"/>
          </w:tcPr>
          <w:p w14:paraId="0BC64B16">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040" w:type="dxa"/>
            <w:tcBorders>
              <w:top w:val="single" w:color="000000" w:sz="4" w:space="0"/>
              <w:left w:val="single" w:color="000000" w:sz="4" w:space="0"/>
              <w:bottom w:val="nil"/>
              <w:right w:val="nil"/>
            </w:tcBorders>
            <w:shd w:val="clear" w:color="000000" w:fill="FFFFFF"/>
            <w:noWrap/>
            <w:vAlign w:val="center"/>
          </w:tcPr>
          <w:p w14:paraId="4A7807BD">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094" w:type="dxa"/>
            <w:tcBorders>
              <w:top w:val="single" w:color="000000" w:sz="4" w:space="0"/>
              <w:left w:val="single" w:color="000000" w:sz="4" w:space="0"/>
              <w:bottom w:val="nil"/>
              <w:right w:val="nil"/>
            </w:tcBorders>
            <w:shd w:val="clear" w:color="000000" w:fill="FFFFFF"/>
            <w:noWrap/>
            <w:vAlign w:val="center"/>
          </w:tcPr>
          <w:p w14:paraId="4318DCE7">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418" w:type="dxa"/>
            <w:tcBorders>
              <w:top w:val="single" w:color="000000" w:sz="4" w:space="0"/>
              <w:left w:val="single" w:color="000000" w:sz="4" w:space="0"/>
              <w:bottom w:val="nil"/>
              <w:right w:val="nil"/>
            </w:tcBorders>
            <w:shd w:val="clear" w:color="000000" w:fill="FFFFFF"/>
            <w:noWrap/>
            <w:vAlign w:val="center"/>
          </w:tcPr>
          <w:p w14:paraId="5B226138">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75" w:type="dxa"/>
            <w:tcBorders>
              <w:top w:val="single" w:color="000000" w:sz="4" w:space="0"/>
              <w:left w:val="single" w:color="000000" w:sz="4" w:space="0"/>
              <w:bottom w:val="nil"/>
              <w:right w:val="single" w:color="000000" w:sz="4" w:space="0"/>
            </w:tcBorders>
            <w:shd w:val="clear" w:color="000000" w:fill="FFFFFF"/>
            <w:noWrap w:val="0"/>
            <w:vAlign w:val="center"/>
          </w:tcPr>
          <w:p w14:paraId="7BB8DDE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1F3BBE35">
        <w:tblPrEx>
          <w:tblCellMar>
            <w:top w:w="0" w:type="dxa"/>
            <w:left w:w="108" w:type="dxa"/>
            <w:bottom w:w="0" w:type="dxa"/>
            <w:right w:w="108" w:type="dxa"/>
          </w:tblCellMar>
        </w:tblPrEx>
        <w:trPr>
          <w:trHeight w:val="450" w:hRule="atLeast"/>
        </w:trPr>
        <w:tc>
          <w:tcPr>
            <w:tcW w:w="660" w:type="dxa"/>
            <w:tcBorders>
              <w:top w:val="single" w:color="000000" w:sz="4" w:space="0"/>
              <w:left w:val="single" w:color="000000" w:sz="4" w:space="0"/>
              <w:bottom w:val="nil"/>
              <w:right w:val="nil"/>
            </w:tcBorders>
            <w:shd w:val="clear" w:color="000000" w:fill="FFFFFF"/>
            <w:noWrap w:val="0"/>
            <w:vAlign w:val="center"/>
          </w:tcPr>
          <w:p w14:paraId="2E3DF5D3">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500" w:type="dxa"/>
            <w:tcBorders>
              <w:top w:val="single" w:color="000000" w:sz="4" w:space="0"/>
              <w:left w:val="single" w:color="000000" w:sz="4" w:space="0"/>
              <w:bottom w:val="nil"/>
              <w:right w:val="nil"/>
            </w:tcBorders>
            <w:shd w:val="clear" w:color="000000" w:fill="FFFFFF"/>
            <w:noWrap w:val="0"/>
            <w:vAlign w:val="center"/>
          </w:tcPr>
          <w:p w14:paraId="0717391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00" w:type="dxa"/>
            <w:tcBorders>
              <w:top w:val="single" w:color="000000" w:sz="4" w:space="0"/>
              <w:left w:val="single" w:color="000000" w:sz="4" w:space="0"/>
              <w:bottom w:val="nil"/>
              <w:right w:val="nil"/>
            </w:tcBorders>
            <w:shd w:val="clear" w:color="000000" w:fill="FFFFFF"/>
            <w:noWrap w:val="0"/>
            <w:vAlign w:val="center"/>
          </w:tcPr>
          <w:p w14:paraId="562E01A4">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040" w:type="dxa"/>
            <w:tcBorders>
              <w:top w:val="single" w:color="000000" w:sz="4" w:space="0"/>
              <w:left w:val="single" w:color="000000" w:sz="4" w:space="0"/>
              <w:bottom w:val="nil"/>
              <w:right w:val="nil"/>
            </w:tcBorders>
            <w:shd w:val="clear" w:color="000000" w:fill="FFFFFF"/>
            <w:noWrap/>
            <w:vAlign w:val="center"/>
          </w:tcPr>
          <w:p w14:paraId="2F0DBF94">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094" w:type="dxa"/>
            <w:tcBorders>
              <w:top w:val="single" w:color="000000" w:sz="4" w:space="0"/>
              <w:left w:val="single" w:color="000000" w:sz="4" w:space="0"/>
              <w:bottom w:val="nil"/>
              <w:right w:val="nil"/>
            </w:tcBorders>
            <w:shd w:val="clear" w:color="000000" w:fill="FFFFFF"/>
            <w:noWrap/>
            <w:vAlign w:val="center"/>
          </w:tcPr>
          <w:p w14:paraId="276DF486">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418" w:type="dxa"/>
            <w:tcBorders>
              <w:top w:val="single" w:color="000000" w:sz="4" w:space="0"/>
              <w:left w:val="single" w:color="000000" w:sz="4" w:space="0"/>
              <w:bottom w:val="nil"/>
              <w:right w:val="nil"/>
            </w:tcBorders>
            <w:shd w:val="clear" w:color="000000" w:fill="FFFFFF"/>
            <w:noWrap/>
            <w:vAlign w:val="center"/>
          </w:tcPr>
          <w:p w14:paraId="785324A9">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75" w:type="dxa"/>
            <w:tcBorders>
              <w:top w:val="single" w:color="000000" w:sz="4" w:space="0"/>
              <w:left w:val="single" w:color="000000" w:sz="4" w:space="0"/>
              <w:bottom w:val="nil"/>
              <w:right w:val="single" w:color="000000" w:sz="4" w:space="0"/>
            </w:tcBorders>
            <w:shd w:val="clear" w:color="000000" w:fill="FFFFFF"/>
            <w:noWrap w:val="0"/>
            <w:vAlign w:val="center"/>
          </w:tcPr>
          <w:p w14:paraId="3C4C0DA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714BE1B5">
        <w:tblPrEx>
          <w:tblCellMar>
            <w:top w:w="0" w:type="dxa"/>
            <w:left w:w="108" w:type="dxa"/>
            <w:bottom w:w="0" w:type="dxa"/>
            <w:right w:w="108" w:type="dxa"/>
          </w:tblCellMar>
        </w:tblPrEx>
        <w:trPr>
          <w:trHeight w:val="450" w:hRule="atLeast"/>
        </w:trPr>
        <w:tc>
          <w:tcPr>
            <w:tcW w:w="660" w:type="dxa"/>
            <w:tcBorders>
              <w:top w:val="single" w:color="000000" w:sz="4" w:space="0"/>
              <w:left w:val="single" w:color="000000" w:sz="4" w:space="0"/>
              <w:bottom w:val="nil"/>
              <w:right w:val="nil"/>
            </w:tcBorders>
            <w:shd w:val="clear" w:color="000000" w:fill="FFFFFF"/>
            <w:noWrap w:val="0"/>
            <w:vAlign w:val="center"/>
          </w:tcPr>
          <w:p w14:paraId="40CF22EC">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500" w:type="dxa"/>
            <w:tcBorders>
              <w:top w:val="single" w:color="000000" w:sz="4" w:space="0"/>
              <w:left w:val="single" w:color="000000" w:sz="4" w:space="0"/>
              <w:bottom w:val="nil"/>
              <w:right w:val="nil"/>
            </w:tcBorders>
            <w:shd w:val="clear" w:color="000000" w:fill="FFFFFF"/>
            <w:noWrap w:val="0"/>
            <w:vAlign w:val="center"/>
          </w:tcPr>
          <w:p w14:paraId="5540FCE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00" w:type="dxa"/>
            <w:tcBorders>
              <w:top w:val="single" w:color="000000" w:sz="4" w:space="0"/>
              <w:left w:val="single" w:color="000000" w:sz="4" w:space="0"/>
              <w:bottom w:val="nil"/>
              <w:right w:val="nil"/>
            </w:tcBorders>
            <w:shd w:val="clear" w:color="000000" w:fill="FFFFFF"/>
            <w:noWrap w:val="0"/>
            <w:vAlign w:val="center"/>
          </w:tcPr>
          <w:p w14:paraId="1BD2ED7D">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040" w:type="dxa"/>
            <w:tcBorders>
              <w:top w:val="single" w:color="000000" w:sz="4" w:space="0"/>
              <w:left w:val="single" w:color="000000" w:sz="4" w:space="0"/>
              <w:bottom w:val="nil"/>
              <w:right w:val="nil"/>
            </w:tcBorders>
            <w:shd w:val="clear" w:color="000000" w:fill="FFFFFF"/>
            <w:noWrap/>
            <w:vAlign w:val="center"/>
          </w:tcPr>
          <w:p w14:paraId="6355C7B1">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094" w:type="dxa"/>
            <w:tcBorders>
              <w:top w:val="single" w:color="000000" w:sz="4" w:space="0"/>
              <w:left w:val="single" w:color="000000" w:sz="4" w:space="0"/>
              <w:bottom w:val="nil"/>
              <w:right w:val="nil"/>
            </w:tcBorders>
            <w:shd w:val="clear" w:color="000000" w:fill="FFFFFF"/>
            <w:noWrap/>
            <w:vAlign w:val="center"/>
          </w:tcPr>
          <w:p w14:paraId="2FD766C3">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418" w:type="dxa"/>
            <w:tcBorders>
              <w:top w:val="single" w:color="000000" w:sz="4" w:space="0"/>
              <w:left w:val="single" w:color="000000" w:sz="4" w:space="0"/>
              <w:bottom w:val="nil"/>
              <w:right w:val="nil"/>
            </w:tcBorders>
            <w:shd w:val="clear" w:color="000000" w:fill="FFFFFF"/>
            <w:noWrap/>
            <w:vAlign w:val="center"/>
          </w:tcPr>
          <w:p w14:paraId="2FBBD12C">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75" w:type="dxa"/>
            <w:tcBorders>
              <w:top w:val="single" w:color="000000" w:sz="4" w:space="0"/>
              <w:left w:val="single" w:color="000000" w:sz="4" w:space="0"/>
              <w:bottom w:val="nil"/>
              <w:right w:val="single" w:color="000000" w:sz="4" w:space="0"/>
            </w:tcBorders>
            <w:shd w:val="clear" w:color="000000" w:fill="FFFFFF"/>
            <w:noWrap w:val="0"/>
            <w:vAlign w:val="center"/>
          </w:tcPr>
          <w:p w14:paraId="4CAA92E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36C32C79">
        <w:tblPrEx>
          <w:tblCellMar>
            <w:top w:w="0" w:type="dxa"/>
            <w:left w:w="108" w:type="dxa"/>
            <w:bottom w:w="0" w:type="dxa"/>
            <w:right w:w="108" w:type="dxa"/>
          </w:tblCellMar>
        </w:tblPrEx>
        <w:trPr>
          <w:trHeight w:val="450" w:hRule="atLeast"/>
        </w:trPr>
        <w:tc>
          <w:tcPr>
            <w:tcW w:w="660" w:type="dxa"/>
            <w:tcBorders>
              <w:top w:val="single" w:color="000000" w:sz="4" w:space="0"/>
              <w:left w:val="single" w:color="000000" w:sz="4" w:space="0"/>
              <w:bottom w:val="nil"/>
              <w:right w:val="nil"/>
            </w:tcBorders>
            <w:shd w:val="clear" w:color="000000" w:fill="FFFFFF"/>
            <w:noWrap w:val="0"/>
            <w:vAlign w:val="center"/>
          </w:tcPr>
          <w:p w14:paraId="27756EB6">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500" w:type="dxa"/>
            <w:tcBorders>
              <w:top w:val="single" w:color="000000" w:sz="4" w:space="0"/>
              <w:left w:val="single" w:color="000000" w:sz="4" w:space="0"/>
              <w:bottom w:val="nil"/>
              <w:right w:val="nil"/>
            </w:tcBorders>
            <w:shd w:val="clear" w:color="000000" w:fill="FFFFFF"/>
            <w:noWrap w:val="0"/>
            <w:vAlign w:val="center"/>
          </w:tcPr>
          <w:p w14:paraId="24A891B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00" w:type="dxa"/>
            <w:tcBorders>
              <w:top w:val="single" w:color="000000" w:sz="4" w:space="0"/>
              <w:left w:val="single" w:color="000000" w:sz="4" w:space="0"/>
              <w:bottom w:val="nil"/>
              <w:right w:val="nil"/>
            </w:tcBorders>
            <w:shd w:val="clear" w:color="000000" w:fill="FFFFFF"/>
            <w:noWrap w:val="0"/>
            <w:vAlign w:val="center"/>
          </w:tcPr>
          <w:p w14:paraId="319C0B28">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040" w:type="dxa"/>
            <w:tcBorders>
              <w:top w:val="single" w:color="000000" w:sz="4" w:space="0"/>
              <w:left w:val="single" w:color="000000" w:sz="4" w:space="0"/>
              <w:bottom w:val="nil"/>
              <w:right w:val="nil"/>
            </w:tcBorders>
            <w:shd w:val="clear" w:color="000000" w:fill="FFFFFF"/>
            <w:noWrap/>
            <w:vAlign w:val="center"/>
          </w:tcPr>
          <w:p w14:paraId="5891D12D">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094" w:type="dxa"/>
            <w:tcBorders>
              <w:top w:val="single" w:color="000000" w:sz="4" w:space="0"/>
              <w:left w:val="single" w:color="000000" w:sz="4" w:space="0"/>
              <w:bottom w:val="nil"/>
              <w:right w:val="nil"/>
            </w:tcBorders>
            <w:shd w:val="clear" w:color="000000" w:fill="FFFFFF"/>
            <w:noWrap/>
            <w:vAlign w:val="center"/>
          </w:tcPr>
          <w:p w14:paraId="0AC6A355">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418" w:type="dxa"/>
            <w:tcBorders>
              <w:top w:val="single" w:color="000000" w:sz="4" w:space="0"/>
              <w:left w:val="single" w:color="000000" w:sz="4" w:space="0"/>
              <w:bottom w:val="nil"/>
              <w:right w:val="nil"/>
            </w:tcBorders>
            <w:shd w:val="clear" w:color="000000" w:fill="FFFFFF"/>
            <w:noWrap/>
            <w:vAlign w:val="center"/>
          </w:tcPr>
          <w:p w14:paraId="5DF7A022">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75" w:type="dxa"/>
            <w:tcBorders>
              <w:top w:val="single" w:color="000000" w:sz="4" w:space="0"/>
              <w:left w:val="single" w:color="000000" w:sz="4" w:space="0"/>
              <w:bottom w:val="nil"/>
              <w:right w:val="single" w:color="000000" w:sz="4" w:space="0"/>
            </w:tcBorders>
            <w:shd w:val="clear" w:color="000000" w:fill="FFFFFF"/>
            <w:noWrap w:val="0"/>
            <w:vAlign w:val="center"/>
          </w:tcPr>
          <w:p w14:paraId="4125EAE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643C9ED5">
        <w:tblPrEx>
          <w:tblCellMar>
            <w:top w:w="0" w:type="dxa"/>
            <w:left w:w="108" w:type="dxa"/>
            <w:bottom w:w="0" w:type="dxa"/>
            <w:right w:w="108" w:type="dxa"/>
          </w:tblCellMar>
        </w:tblPrEx>
        <w:trPr>
          <w:trHeight w:val="450" w:hRule="atLeast"/>
        </w:trPr>
        <w:tc>
          <w:tcPr>
            <w:tcW w:w="660" w:type="dxa"/>
            <w:tcBorders>
              <w:top w:val="single" w:color="000000" w:sz="4" w:space="0"/>
              <w:left w:val="single" w:color="000000" w:sz="4" w:space="0"/>
              <w:bottom w:val="nil"/>
              <w:right w:val="nil"/>
            </w:tcBorders>
            <w:shd w:val="clear" w:color="000000" w:fill="FFFFFF"/>
            <w:noWrap w:val="0"/>
            <w:vAlign w:val="center"/>
          </w:tcPr>
          <w:p w14:paraId="5940A5BE">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500" w:type="dxa"/>
            <w:tcBorders>
              <w:top w:val="single" w:color="000000" w:sz="4" w:space="0"/>
              <w:left w:val="single" w:color="000000" w:sz="4" w:space="0"/>
              <w:bottom w:val="nil"/>
              <w:right w:val="nil"/>
            </w:tcBorders>
            <w:shd w:val="clear" w:color="000000" w:fill="FFFFFF"/>
            <w:noWrap w:val="0"/>
            <w:vAlign w:val="center"/>
          </w:tcPr>
          <w:p w14:paraId="4BD395E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00" w:type="dxa"/>
            <w:tcBorders>
              <w:top w:val="single" w:color="000000" w:sz="4" w:space="0"/>
              <w:left w:val="single" w:color="000000" w:sz="4" w:space="0"/>
              <w:bottom w:val="nil"/>
              <w:right w:val="nil"/>
            </w:tcBorders>
            <w:shd w:val="clear" w:color="000000" w:fill="FFFFFF"/>
            <w:noWrap w:val="0"/>
            <w:vAlign w:val="center"/>
          </w:tcPr>
          <w:p w14:paraId="4210070E">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040" w:type="dxa"/>
            <w:tcBorders>
              <w:top w:val="single" w:color="000000" w:sz="4" w:space="0"/>
              <w:left w:val="single" w:color="000000" w:sz="4" w:space="0"/>
              <w:bottom w:val="nil"/>
              <w:right w:val="nil"/>
            </w:tcBorders>
            <w:shd w:val="clear" w:color="000000" w:fill="FFFFFF"/>
            <w:noWrap/>
            <w:vAlign w:val="center"/>
          </w:tcPr>
          <w:p w14:paraId="43714FA6">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094" w:type="dxa"/>
            <w:tcBorders>
              <w:top w:val="single" w:color="000000" w:sz="4" w:space="0"/>
              <w:left w:val="single" w:color="000000" w:sz="4" w:space="0"/>
              <w:bottom w:val="nil"/>
              <w:right w:val="nil"/>
            </w:tcBorders>
            <w:shd w:val="clear" w:color="000000" w:fill="FFFFFF"/>
            <w:noWrap/>
            <w:vAlign w:val="center"/>
          </w:tcPr>
          <w:p w14:paraId="5E4FEFD0">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418" w:type="dxa"/>
            <w:tcBorders>
              <w:top w:val="single" w:color="000000" w:sz="4" w:space="0"/>
              <w:left w:val="single" w:color="000000" w:sz="4" w:space="0"/>
              <w:bottom w:val="nil"/>
              <w:right w:val="nil"/>
            </w:tcBorders>
            <w:shd w:val="clear" w:color="000000" w:fill="FFFFFF"/>
            <w:noWrap/>
            <w:vAlign w:val="center"/>
          </w:tcPr>
          <w:p w14:paraId="10139047">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75" w:type="dxa"/>
            <w:tcBorders>
              <w:top w:val="single" w:color="000000" w:sz="4" w:space="0"/>
              <w:left w:val="single" w:color="000000" w:sz="4" w:space="0"/>
              <w:bottom w:val="nil"/>
              <w:right w:val="single" w:color="000000" w:sz="4" w:space="0"/>
            </w:tcBorders>
            <w:shd w:val="clear" w:color="000000" w:fill="FFFFFF"/>
            <w:noWrap w:val="0"/>
            <w:vAlign w:val="center"/>
          </w:tcPr>
          <w:p w14:paraId="7D31A6E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267A3B8F">
        <w:tblPrEx>
          <w:tblCellMar>
            <w:top w:w="0" w:type="dxa"/>
            <w:left w:w="108" w:type="dxa"/>
            <w:bottom w:w="0" w:type="dxa"/>
            <w:right w:w="108" w:type="dxa"/>
          </w:tblCellMar>
        </w:tblPrEx>
        <w:trPr>
          <w:trHeight w:val="450" w:hRule="atLeast"/>
        </w:trPr>
        <w:tc>
          <w:tcPr>
            <w:tcW w:w="660" w:type="dxa"/>
            <w:tcBorders>
              <w:top w:val="single" w:color="000000" w:sz="4" w:space="0"/>
              <w:left w:val="single" w:color="000000" w:sz="4" w:space="0"/>
              <w:bottom w:val="nil"/>
              <w:right w:val="nil"/>
            </w:tcBorders>
            <w:shd w:val="clear" w:color="000000" w:fill="FFFFFF"/>
            <w:noWrap w:val="0"/>
            <w:vAlign w:val="center"/>
          </w:tcPr>
          <w:p w14:paraId="0863DB91">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500" w:type="dxa"/>
            <w:tcBorders>
              <w:top w:val="single" w:color="000000" w:sz="4" w:space="0"/>
              <w:left w:val="single" w:color="000000" w:sz="4" w:space="0"/>
              <w:bottom w:val="nil"/>
              <w:right w:val="nil"/>
            </w:tcBorders>
            <w:shd w:val="clear" w:color="000000" w:fill="FFFFFF"/>
            <w:noWrap w:val="0"/>
            <w:vAlign w:val="center"/>
          </w:tcPr>
          <w:p w14:paraId="7E8A337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00" w:type="dxa"/>
            <w:tcBorders>
              <w:top w:val="single" w:color="000000" w:sz="4" w:space="0"/>
              <w:left w:val="single" w:color="000000" w:sz="4" w:space="0"/>
              <w:bottom w:val="nil"/>
              <w:right w:val="nil"/>
            </w:tcBorders>
            <w:shd w:val="clear" w:color="000000" w:fill="FFFFFF"/>
            <w:noWrap w:val="0"/>
            <w:vAlign w:val="center"/>
          </w:tcPr>
          <w:p w14:paraId="1F47F7CF">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040" w:type="dxa"/>
            <w:tcBorders>
              <w:top w:val="single" w:color="000000" w:sz="4" w:space="0"/>
              <w:left w:val="single" w:color="000000" w:sz="4" w:space="0"/>
              <w:bottom w:val="nil"/>
              <w:right w:val="nil"/>
            </w:tcBorders>
            <w:shd w:val="clear" w:color="000000" w:fill="FFFFFF"/>
            <w:noWrap/>
            <w:vAlign w:val="center"/>
          </w:tcPr>
          <w:p w14:paraId="4220EFA8">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094" w:type="dxa"/>
            <w:tcBorders>
              <w:top w:val="single" w:color="000000" w:sz="4" w:space="0"/>
              <w:left w:val="single" w:color="000000" w:sz="4" w:space="0"/>
              <w:bottom w:val="nil"/>
              <w:right w:val="nil"/>
            </w:tcBorders>
            <w:shd w:val="clear" w:color="000000" w:fill="FFFFFF"/>
            <w:noWrap/>
            <w:vAlign w:val="center"/>
          </w:tcPr>
          <w:p w14:paraId="4483D685">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418" w:type="dxa"/>
            <w:tcBorders>
              <w:top w:val="single" w:color="000000" w:sz="4" w:space="0"/>
              <w:left w:val="single" w:color="000000" w:sz="4" w:space="0"/>
              <w:bottom w:val="nil"/>
              <w:right w:val="nil"/>
            </w:tcBorders>
            <w:shd w:val="clear" w:color="000000" w:fill="FFFFFF"/>
            <w:noWrap/>
            <w:vAlign w:val="center"/>
          </w:tcPr>
          <w:p w14:paraId="781CA78A">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75" w:type="dxa"/>
            <w:tcBorders>
              <w:top w:val="single" w:color="000000" w:sz="4" w:space="0"/>
              <w:left w:val="single" w:color="000000" w:sz="4" w:space="0"/>
              <w:bottom w:val="nil"/>
              <w:right w:val="single" w:color="000000" w:sz="4" w:space="0"/>
            </w:tcBorders>
            <w:shd w:val="clear" w:color="000000" w:fill="FFFFFF"/>
            <w:noWrap w:val="0"/>
            <w:vAlign w:val="center"/>
          </w:tcPr>
          <w:p w14:paraId="2246DFB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0AF777C0">
        <w:tblPrEx>
          <w:tblCellMar>
            <w:top w:w="0" w:type="dxa"/>
            <w:left w:w="108" w:type="dxa"/>
            <w:bottom w:w="0" w:type="dxa"/>
            <w:right w:w="108" w:type="dxa"/>
          </w:tblCellMar>
        </w:tblPrEx>
        <w:trPr>
          <w:trHeight w:val="450" w:hRule="atLeast"/>
        </w:trPr>
        <w:tc>
          <w:tcPr>
            <w:tcW w:w="660" w:type="dxa"/>
            <w:tcBorders>
              <w:top w:val="single" w:color="000000" w:sz="4" w:space="0"/>
              <w:left w:val="single" w:color="000000" w:sz="4" w:space="0"/>
              <w:bottom w:val="single" w:color="000000" w:sz="4" w:space="0"/>
              <w:right w:val="nil"/>
            </w:tcBorders>
            <w:shd w:val="clear" w:color="000000" w:fill="FFFFFF"/>
            <w:noWrap w:val="0"/>
            <w:vAlign w:val="center"/>
          </w:tcPr>
          <w:p w14:paraId="2CECA5C6">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500" w:type="dxa"/>
            <w:tcBorders>
              <w:top w:val="single" w:color="000000" w:sz="4" w:space="0"/>
              <w:left w:val="single" w:color="000000" w:sz="4" w:space="0"/>
              <w:bottom w:val="single" w:color="000000" w:sz="4" w:space="0"/>
              <w:right w:val="nil"/>
            </w:tcBorders>
            <w:shd w:val="clear" w:color="000000" w:fill="FFFFFF"/>
            <w:noWrap w:val="0"/>
            <w:vAlign w:val="center"/>
          </w:tcPr>
          <w:p w14:paraId="1404AC2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00" w:type="dxa"/>
            <w:tcBorders>
              <w:top w:val="single" w:color="000000" w:sz="4" w:space="0"/>
              <w:left w:val="single" w:color="000000" w:sz="4" w:space="0"/>
              <w:bottom w:val="single" w:color="000000" w:sz="4" w:space="0"/>
              <w:right w:val="nil"/>
            </w:tcBorders>
            <w:shd w:val="clear" w:color="000000" w:fill="FFFFFF"/>
            <w:noWrap w:val="0"/>
            <w:vAlign w:val="center"/>
          </w:tcPr>
          <w:p w14:paraId="263B3F54">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040" w:type="dxa"/>
            <w:tcBorders>
              <w:top w:val="single" w:color="000000" w:sz="4" w:space="0"/>
              <w:left w:val="single" w:color="000000" w:sz="4" w:space="0"/>
              <w:bottom w:val="single" w:color="000000" w:sz="4" w:space="0"/>
              <w:right w:val="nil"/>
            </w:tcBorders>
            <w:shd w:val="clear" w:color="000000" w:fill="FFFFFF"/>
            <w:noWrap/>
            <w:vAlign w:val="center"/>
          </w:tcPr>
          <w:p w14:paraId="38513BEE">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094" w:type="dxa"/>
            <w:tcBorders>
              <w:top w:val="single" w:color="000000" w:sz="4" w:space="0"/>
              <w:left w:val="single" w:color="000000" w:sz="4" w:space="0"/>
              <w:bottom w:val="single" w:color="000000" w:sz="4" w:space="0"/>
              <w:right w:val="nil"/>
            </w:tcBorders>
            <w:shd w:val="clear" w:color="000000" w:fill="FFFFFF"/>
            <w:noWrap/>
            <w:vAlign w:val="center"/>
          </w:tcPr>
          <w:p w14:paraId="79E523DA">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418" w:type="dxa"/>
            <w:tcBorders>
              <w:top w:val="single" w:color="000000" w:sz="4" w:space="0"/>
              <w:left w:val="single" w:color="000000" w:sz="4" w:space="0"/>
              <w:bottom w:val="single" w:color="000000" w:sz="4" w:space="0"/>
              <w:right w:val="nil"/>
            </w:tcBorders>
            <w:shd w:val="clear" w:color="000000" w:fill="FFFFFF"/>
            <w:noWrap/>
            <w:vAlign w:val="center"/>
          </w:tcPr>
          <w:p w14:paraId="55F8DC08">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4515EE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5A6B4A75">
        <w:tblPrEx>
          <w:tblCellMar>
            <w:top w:w="0" w:type="dxa"/>
            <w:left w:w="108" w:type="dxa"/>
            <w:bottom w:w="0" w:type="dxa"/>
            <w:right w:w="108" w:type="dxa"/>
          </w:tblCellMar>
        </w:tblPrEx>
        <w:trPr>
          <w:trHeight w:val="450" w:hRule="atLeast"/>
        </w:trPr>
        <w:tc>
          <w:tcPr>
            <w:tcW w:w="660" w:type="dxa"/>
            <w:tcBorders>
              <w:top w:val="single" w:color="000000" w:sz="4" w:space="0"/>
              <w:left w:val="single" w:color="000000" w:sz="4" w:space="0"/>
              <w:bottom w:val="single" w:color="000000" w:sz="4" w:space="0"/>
              <w:right w:val="nil"/>
            </w:tcBorders>
            <w:shd w:val="clear" w:color="000000" w:fill="FFFFFF"/>
            <w:noWrap w:val="0"/>
            <w:vAlign w:val="center"/>
          </w:tcPr>
          <w:p w14:paraId="106A070E">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500" w:type="dxa"/>
            <w:tcBorders>
              <w:top w:val="single" w:color="000000" w:sz="4" w:space="0"/>
              <w:left w:val="single" w:color="000000" w:sz="4" w:space="0"/>
              <w:bottom w:val="single" w:color="000000" w:sz="4" w:space="0"/>
              <w:right w:val="nil"/>
            </w:tcBorders>
            <w:shd w:val="clear" w:color="000000" w:fill="FFFFFF"/>
            <w:noWrap w:val="0"/>
            <w:vAlign w:val="center"/>
          </w:tcPr>
          <w:p w14:paraId="31133F7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00" w:type="dxa"/>
            <w:tcBorders>
              <w:top w:val="single" w:color="000000" w:sz="4" w:space="0"/>
              <w:left w:val="single" w:color="000000" w:sz="4" w:space="0"/>
              <w:bottom w:val="single" w:color="000000" w:sz="4" w:space="0"/>
              <w:right w:val="nil"/>
            </w:tcBorders>
            <w:shd w:val="clear" w:color="000000" w:fill="FFFFFF"/>
            <w:noWrap w:val="0"/>
            <w:vAlign w:val="center"/>
          </w:tcPr>
          <w:p w14:paraId="4680B007">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040" w:type="dxa"/>
            <w:tcBorders>
              <w:top w:val="single" w:color="000000" w:sz="4" w:space="0"/>
              <w:left w:val="single" w:color="000000" w:sz="4" w:space="0"/>
              <w:bottom w:val="single" w:color="000000" w:sz="4" w:space="0"/>
              <w:right w:val="nil"/>
            </w:tcBorders>
            <w:shd w:val="clear" w:color="000000" w:fill="FFFFFF"/>
            <w:noWrap/>
            <w:vAlign w:val="center"/>
          </w:tcPr>
          <w:p w14:paraId="2754DDAD">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094" w:type="dxa"/>
            <w:tcBorders>
              <w:top w:val="single" w:color="000000" w:sz="4" w:space="0"/>
              <w:left w:val="single" w:color="000000" w:sz="4" w:space="0"/>
              <w:bottom w:val="single" w:color="000000" w:sz="4" w:space="0"/>
              <w:right w:val="nil"/>
            </w:tcBorders>
            <w:shd w:val="clear" w:color="000000" w:fill="FFFFFF"/>
            <w:noWrap/>
            <w:vAlign w:val="center"/>
          </w:tcPr>
          <w:p w14:paraId="0042F1F9">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418" w:type="dxa"/>
            <w:tcBorders>
              <w:top w:val="single" w:color="000000" w:sz="4" w:space="0"/>
              <w:left w:val="single" w:color="000000" w:sz="4" w:space="0"/>
              <w:bottom w:val="single" w:color="000000" w:sz="4" w:space="0"/>
              <w:right w:val="nil"/>
            </w:tcBorders>
            <w:shd w:val="clear" w:color="000000" w:fill="FFFFFF"/>
            <w:noWrap/>
            <w:vAlign w:val="center"/>
          </w:tcPr>
          <w:p w14:paraId="69F0AA9B">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D77D0F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bl>
    <w:p w14:paraId="63435055">
      <w:pPr>
        <w:keepNext/>
        <w:keepLines/>
        <w:rPr>
          <w:rFonts w:hint="eastAsia" w:ascii="宋体" w:hAnsi="宋体" w:eastAsia="宋体" w:cs="宋体"/>
          <w:color w:val="auto"/>
          <w:sz w:val="24"/>
          <w:highlight w:val="none"/>
        </w:rPr>
      </w:pPr>
    </w:p>
    <w:tbl>
      <w:tblPr>
        <w:tblStyle w:val="24"/>
        <w:tblW w:w="9103" w:type="dxa"/>
        <w:tblInd w:w="93" w:type="dxa"/>
        <w:tblLayout w:type="fixed"/>
        <w:tblCellMar>
          <w:top w:w="0" w:type="dxa"/>
          <w:left w:w="108" w:type="dxa"/>
          <w:bottom w:w="0" w:type="dxa"/>
          <w:right w:w="108" w:type="dxa"/>
        </w:tblCellMar>
      </w:tblPr>
      <w:tblGrid>
        <w:gridCol w:w="657"/>
        <w:gridCol w:w="2516"/>
        <w:gridCol w:w="448"/>
        <w:gridCol w:w="789"/>
        <w:gridCol w:w="600"/>
        <w:gridCol w:w="392"/>
        <w:gridCol w:w="940"/>
        <w:gridCol w:w="311"/>
        <w:gridCol w:w="1360"/>
        <w:gridCol w:w="1090"/>
      </w:tblGrid>
      <w:tr w14:paraId="7DC2CDE3">
        <w:tblPrEx>
          <w:tblCellMar>
            <w:top w:w="0" w:type="dxa"/>
            <w:left w:w="108" w:type="dxa"/>
            <w:bottom w:w="0" w:type="dxa"/>
            <w:right w:w="108" w:type="dxa"/>
          </w:tblCellMar>
        </w:tblPrEx>
        <w:trPr>
          <w:trHeight w:val="840" w:hRule="atLeast"/>
        </w:trPr>
        <w:tc>
          <w:tcPr>
            <w:tcW w:w="9103" w:type="dxa"/>
            <w:gridSpan w:val="10"/>
            <w:tcBorders>
              <w:top w:val="nil"/>
              <w:left w:val="nil"/>
              <w:bottom w:val="nil"/>
              <w:right w:val="nil"/>
            </w:tcBorders>
            <w:shd w:val="clear" w:color="000000" w:fill="FFFFFF"/>
            <w:noWrap w:val="0"/>
            <w:vAlign w:val="center"/>
          </w:tcPr>
          <w:p w14:paraId="7D5C023A">
            <w:pPr>
              <w:widowControl/>
              <w:jc w:val="center"/>
              <w:rPr>
                <w:rFonts w:hint="eastAsia" w:ascii="宋体" w:hAnsi="宋体" w:eastAsia="宋体" w:cs="宋体"/>
                <w:b/>
                <w:bCs/>
                <w:color w:val="auto"/>
                <w:kern w:val="0"/>
                <w:sz w:val="40"/>
                <w:szCs w:val="40"/>
                <w:highlight w:val="none"/>
              </w:rPr>
            </w:pPr>
            <w:r>
              <w:rPr>
                <w:rFonts w:hint="eastAsia" w:ascii="宋体" w:hAnsi="宋体" w:eastAsia="宋体" w:cs="宋体"/>
                <w:b/>
                <w:bCs/>
                <w:color w:val="auto"/>
                <w:kern w:val="0"/>
                <w:sz w:val="40"/>
                <w:szCs w:val="40"/>
                <w:highlight w:val="none"/>
              </w:rPr>
              <w:t>主要机械台班一览表</w:t>
            </w:r>
          </w:p>
        </w:tc>
      </w:tr>
      <w:tr w14:paraId="30F5438F">
        <w:tblPrEx>
          <w:tblCellMar>
            <w:top w:w="0" w:type="dxa"/>
            <w:left w:w="108" w:type="dxa"/>
            <w:bottom w:w="0" w:type="dxa"/>
            <w:right w:w="108" w:type="dxa"/>
          </w:tblCellMar>
        </w:tblPrEx>
        <w:trPr>
          <w:trHeight w:val="450" w:hRule="atLeast"/>
        </w:trPr>
        <w:tc>
          <w:tcPr>
            <w:tcW w:w="3173" w:type="dxa"/>
            <w:gridSpan w:val="2"/>
            <w:tcBorders>
              <w:top w:val="nil"/>
              <w:left w:val="nil"/>
              <w:bottom w:val="nil"/>
              <w:right w:val="nil"/>
            </w:tcBorders>
            <w:shd w:val="clear" w:color="000000" w:fill="FFFFFF"/>
            <w:noWrap w:val="0"/>
            <w:vAlign w:val="bottom"/>
          </w:tcPr>
          <w:p w14:paraId="36B93F8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工程名称: </w:t>
            </w:r>
          </w:p>
        </w:tc>
        <w:tc>
          <w:tcPr>
            <w:tcW w:w="1837" w:type="dxa"/>
            <w:gridSpan w:val="3"/>
            <w:tcBorders>
              <w:top w:val="nil"/>
              <w:left w:val="nil"/>
              <w:bottom w:val="nil"/>
              <w:right w:val="nil"/>
            </w:tcBorders>
            <w:shd w:val="clear" w:color="000000" w:fill="FFFFFF"/>
            <w:noWrap w:val="0"/>
            <w:vAlign w:val="bottom"/>
          </w:tcPr>
          <w:p w14:paraId="0758DB2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标段:</w:t>
            </w:r>
          </w:p>
        </w:tc>
        <w:tc>
          <w:tcPr>
            <w:tcW w:w="1332" w:type="dxa"/>
            <w:gridSpan w:val="2"/>
            <w:tcBorders>
              <w:top w:val="nil"/>
              <w:left w:val="nil"/>
              <w:bottom w:val="nil"/>
              <w:right w:val="nil"/>
            </w:tcBorders>
            <w:shd w:val="clear" w:color="000000" w:fill="FFFFFF"/>
            <w:noWrap w:val="0"/>
            <w:vAlign w:val="bottom"/>
          </w:tcPr>
          <w:p w14:paraId="66BCE163">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761" w:type="dxa"/>
            <w:gridSpan w:val="3"/>
            <w:tcBorders>
              <w:top w:val="nil"/>
              <w:left w:val="nil"/>
              <w:bottom w:val="nil"/>
              <w:right w:val="nil"/>
            </w:tcBorders>
            <w:shd w:val="clear" w:color="000000" w:fill="FFFFFF"/>
            <w:noWrap w:val="0"/>
            <w:vAlign w:val="bottom"/>
          </w:tcPr>
          <w:p w14:paraId="74B57370">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第 页 共 页</w:t>
            </w:r>
          </w:p>
        </w:tc>
      </w:tr>
      <w:tr w14:paraId="767205FC">
        <w:tblPrEx>
          <w:tblCellMar>
            <w:top w:w="0" w:type="dxa"/>
            <w:left w:w="108" w:type="dxa"/>
            <w:bottom w:w="0" w:type="dxa"/>
            <w:right w:w="108" w:type="dxa"/>
          </w:tblCellMar>
        </w:tblPrEx>
        <w:trPr>
          <w:trHeight w:val="450" w:hRule="atLeast"/>
        </w:trPr>
        <w:tc>
          <w:tcPr>
            <w:tcW w:w="657" w:type="dxa"/>
            <w:tcBorders>
              <w:top w:val="single" w:color="000000" w:sz="4" w:space="0"/>
              <w:left w:val="single" w:color="000000" w:sz="4" w:space="0"/>
              <w:bottom w:val="nil"/>
              <w:right w:val="nil"/>
            </w:tcBorders>
            <w:shd w:val="clear" w:color="000000" w:fill="FFFFFF"/>
            <w:noWrap w:val="0"/>
            <w:vAlign w:val="center"/>
          </w:tcPr>
          <w:p w14:paraId="22D92809">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序号</w:t>
            </w:r>
          </w:p>
        </w:tc>
        <w:tc>
          <w:tcPr>
            <w:tcW w:w="2964" w:type="dxa"/>
            <w:gridSpan w:val="2"/>
            <w:tcBorders>
              <w:top w:val="single" w:color="000000" w:sz="4" w:space="0"/>
              <w:left w:val="single" w:color="000000" w:sz="4" w:space="0"/>
              <w:bottom w:val="nil"/>
              <w:right w:val="nil"/>
            </w:tcBorders>
            <w:shd w:val="clear" w:color="000000" w:fill="FFFFFF"/>
            <w:noWrap w:val="0"/>
            <w:vAlign w:val="center"/>
          </w:tcPr>
          <w:p w14:paraId="6D8FF58F">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机械名称、规格、型号</w:t>
            </w:r>
          </w:p>
        </w:tc>
        <w:tc>
          <w:tcPr>
            <w:tcW w:w="789" w:type="dxa"/>
            <w:tcBorders>
              <w:top w:val="single" w:color="000000" w:sz="4" w:space="0"/>
              <w:left w:val="single" w:color="000000" w:sz="4" w:space="0"/>
              <w:bottom w:val="nil"/>
              <w:right w:val="nil"/>
            </w:tcBorders>
            <w:shd w:val="clear" w:color="000000" w:fill="FFFFFF"/>
            <w:noWrap w:val="0"/>
            <w:vAlign w:val="center"/>
          </w:tcPr>
          <w:p w14:paraId="3F3F4206">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单位</w:t>
            </w:r>
          </w:p>
        </w:tc>
        <w:tc>
          <w:tcPr>
            <w:tcW w:w="992" w:type="dxa"/>
            <w:gridSpan w:val="2"/>
            <w:tcBorders>
              <w:top w:val="single" w:color="000000" w:sz="4" w:space="0"/>
              <w:left w:val="single" w:color="000000" w:sz="4" w:space="0"/>
              <w:bottom w:val="nil"/>
              <w:right w:val="nil"/>
            </w:tcBorders>
            <w:shd w:val="clear" w:color="000000" w:fill="FFFFFF"/>
            <w:noWrap w:val="0"/>
            <w:vAlign w:val="center"/>
          </w:tcPr>
          <w:p w14:paraId="371FA0D0">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数 量</w:t>
            </w:r>
          </w:p>
        </w:tc>
        <w:tc>
          <w:tcPr>
            <w:tcW w:w="1251" w:type="dxa"/>
            <w:gridSpan w:val="2"/>
            <w:tcBorders>
              <w:top w:val="single" w:color="000000" w:sz="4" w:space="0"/>
              <w:left w:val="single" w:color="000000" w:sz="4" w:space="0"/>
              <w:bottom w:val="nil"/>
              <w:right w:val="nil"/>
            </w:tcBorders>
            <w:shd w:val="clear" w:color="000000" w:fill="FFFFFF"/>
            <w:noWrap w:val="0"/>
            <w:vAlign w:val="center"/>
          </w:tcPr>
          <w:p w14:paraId="47FB5223">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单价(元)</w:t>
            </w:r>
          </w:p>
        </w:tc>
        <w:tc>
          <w:tcPr>
            <w:tcW w:w="1360" w:type="dxa"/>
            <w:tcBorders>
              <w:top w:val="single" w:color="000000" w:sz="4" w:space="0"/>
              <w:left w:val="single" w:color="000000" w:sz="4" w:space="0"/>
              <w:bottom w:val="nil"/>
              <w:right w:val="nil"/>
            </w:tcBorders>
            <w:shd w:val="clear" w:color="000000" w:fill="FFFFFF"/>
            <w:noWrap w:val="0"/>
            <w:vAlign w:val="center"/>
          </w:tcPr>
          <w:p w14:paraId="0F80A06E">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合价（元）</w:t>
            </w:r>
          </w:p>
        </w:tc>
        <w:tc>
          <w:tcPr>
            <w:tcW w:w="1090" w:type="dxa"/>
            <w:tcBorders>
              <w:top w:val="single" w:color="000000" w:sz="4" w:space="0"/>
              <w:left w:val="single" w:color="000000" w:sz="4" w:space="0"/>
              <w:bottom w:val="nil"/>
              <w:right w:val="single" w:color="000000" w:sz="4" w:space="0"/>
            </w:tcBorders>
            <w:shd w:val="clear" w:color="000000" w:fill="FFFFFF"/>
            <w:noWrap w:val="0"/>
            <w:vAlign w:val="center"/>
          </w:tcPr>
          <w:p w14:paraId="03D87233">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备注</w:t>
            </w:r>
          </w:p>
        </w:tc>
      </w:tr>
      <w:tr w14:paraId="11AD5D32">
        <w:tblPrEx>
          <w:tblCellMar>
            <w:top w:w="0" w:type="dxa"/>
            <w:left w:w="108" w:type="dxa"/>
            <w:bottom w:w="0" w:type="dxa"/>
            <w:right w:w="108" w:type="dxa"/>
          </w:tblCellMar>
        </w:tblPrEx>
        <w:trPr>
          <w:trHeight w:val="450" w:hRule="atLeast"/>
        </w:trPr>
        <w:tc>
          <w:tcPr>
            <w:tcW w:w="657" w:type="dxa"/>
            <w:tcBorders>
              <w:top w:val="single" w:color="000000" w:sz="4" w:space="0"/>
              <w:left w:val="single" w:color="000000" w:sz="4" w:space="0"/>
              <w:bottom w:val="nil"/>
              <w:right w:val="nil"/>
            </w:tcBorders>
            <w:shd w:val="clear" w:color="000000" w:fill="FFFFFF"/>
            <w:noWrap w:val="0"/>
            <w:vAlign w:val="center"/>
          </w:tcPr>
          <w:p w14:paraId="39FF5360">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964" w:type="dxa"/>
            <w:gridSpan w:val="2"/>
            <w:tcBorders>
              <w:top w:val="single" w:color="000000" w:sz="4" w:space="0"/>
              <w:left w:val="single" w:color="000000" w:sz="4" w:space="0"/>
              <w:bottom w:val="nil"/>
              <w:right w:val="nil"/>
            </w:tcBorders>
            <w:shd w:val="clear" w:color="000000" w:fill="FFFFFF"/>
            <w:noWrap w:val="0"/>
            <w:vAlign w:val="center"/>
          </w:tcPr>
          <w:p w14:paraId="108AF63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89" w:type="dxa"/>
            <w:tcBorders>
              <w:top w:val="single" w:color="000000" w:sz="4" w:space="0"/>
              <w:left w:val="single" w:color="000000" w:sz="4" w:space="0"/>
              <w:bottom w:val="nil"/>
              <w:right w:val="nil"/>
            </w:tcBorders>
            <w:shd w:val="clear" w:color="000000" w:fill="FFFFFF"/>
            <w:noWrap w:val="0"/>
            <w:vAlign w:val="center"/>
          </w:tcPr>
          <w:p w14:paraId="72F2DE87">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92" w:type="dxa"/>
            <w:gridSpan w:val="2"/>
            <w:tcBorders>
              <w:top w:val="single" w:color="000000" w:sz="4" w:space="0"/>
              <w:left w:val="single" w:color="000000" w:sz="4" w:space="0"/>
              <w:bottom w:val="nil"/>
              <w:right w:val="nil"/>
            </w:tcBorders>
            <w:shd w:val="clear" w:color="000000" w:fill="FFFFFF"/>
            <w:noWrap/>
            <w:vAlign w:val="center"/>
          </w:tcPr>
          <w:p w14:paraId="637A2874">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51" w:type="dxa"/>
            <w:gridSpan w:val="2"/>
            <w:tcBorders>
              <w:top w:val="single" w:color="000000" w:sz="4" w:space="0"/>
              <w:left w:val="single" w:color="000000" w:sz="4" w:space="0"/>
              <w:bottom w:val="nil"/>
              <w:right w:val="nil"/>
            </w:tcBorders>
            <w:shd w:val="clear" w:color="000000" w:fill="FFFFFF"/>
            <w:noWrap/>
            <w:vAlign w:val="center"/>
          </w:tcPr>
          <w:p w14:paraId="66B796C0">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360" w:type="dxa"/>
            <w:tcBorders>
              <w:top w:val="single" w:color="000000" w:sz="4" w:space="0"/>
              <w:left w:val="single" w:color="000000" w:sz="4" w:space="0"/>
              <w:bottom w:val="nil"/>
              <w:right w:val="nil"/>
            </w:tcBorders>
            <w:shd w:val="clear" w:color="000000" w:fill="FFFFFF"/>
            <w:noWrap/>
            <w:vAlign w:val="center"/>
          </w:tcPr>
          <w:p w14:paraId="1032EC6B">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090" w:type="dxa"/>
            <w:tcBorders>
              <w:top w:val="single" w:color="000000" w:sz="4" w:space="0"/>
              <w:left w:val="single" w:color="000000" w:sz="4" w:space="0"/>
              <w:bottom w:val="nil"/>
              <w:right w:val="single" w:color="000000" w:sz="4" w:space="0"/>
            </w:tcBorders>
            <w:shd w:val="clear" w:color="000000" w:fill="FFFFFF"/>
            <w:noWrap w:val="0"/>
            <w:vAlign w:val="center"/>
          </w:tcPr>
          <w:p w14:paraId="19AF4DF4">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2EEB8E81">
        <w:tblPrEx>
          <w:tblCellMar>
            <w:top w:w="0" w:type="dxa"/>
            <w:left w:w="108" w:type="dxa"/>
            <w:bottom w:w="0" w:type="dxa"/>
            <w:right w:w="108" w:type="dxa"/>
          </w:tblCellMar>
        </w:tblPrEx>
        <w:trPr>
          <w:trHeight w:val="450" w:hRule="atLeast"/>
        </w:trPr>
        <w:tc>
          <w:tcPr>
            <w:tcW w:w="657" w:type="dxa"/>
            <w:tcBorders>
              <w:top w:val="single" w:color="000000" w:sz="4" w:space="0"/>
              <w:left w:val="single" w:color="000000" w:sz="4" w:space="0"/>
              <w:bottom w:val="nil"/>
              <w:right w:val="nil"/>
            </w:tcBorders>
            <w:shd w:val="clear" w:color="000000" w:fill="FFFFFF"/>
            <w:noWrap w:val="0"/>
            <w:vAlign w:val="center"/>
          </w:tcPr>
          <w:p w14:paraId="33BF6864">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964" w:type="dxa"/>
            <w:gridSpan w:val="2"/>
            <w:tcBorders>
              <w:top w:val="single" w:color="000000" w:sz="4" w:space="0"/>
              <w:left w:val="single" w:color="000000" w:sz="4" w:space="0"/>
              <w:bottom w:val="nil"/>
              <w:right w:val="nil"/>
            </w:tcBorders>
            <w:shd w:val="clear" w:color="000000" w:fill="FFFFFF"/>
            <w:noWrap w:val="0"/>
            <w:vAlign w:val="center"/>
          </w:tcPr>
          <w:p w14:paraId="03D9F76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89" w:type="dxa"/>
            <w:tcBorders>
              <w:top w:val="single" w:color="000000" w:sz="4" w:space="0"/>
              <w:left w:val="single" w:color="000000" w:sz="4" w:space="0"/>
              <w:bottom w:val="nil"/>
              <w:right w:val="nil"/>
            </w:tcBorders>
            <w:shd w:val="clear" w:color="000000" w:fill="FFFFFF"/>
            <w:noWrap w:val="0"/>
            <w:vAlign w:val="center"/>
          </w:tcPr>
          <w:p w14:paraId="41BC85BC">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92" w:type="dxa"/>
            <w:gridSpan w:val="2"/>
            <w:tcBorders>
              <w:top w:val="single" w:color="000000" w:sz="4" w:space="0"/>
              <w:left w:val="single" w:color="000000" w:sz="4" w:space="0"/>
              <w:bottom w:val="nil"/>
              <w:right w:val="nil"/>
            </w:tcBorders>
            <w:shd w:val="clear" w:color="000000" w:fill="FFFFFF"/>
            <w:noWrap/>
            <w:vAlign w:val="center"/>
          </w:tcPr>
          <w:p w14:paraId="551156F8">
            <w:pPr>
              <w:widowControl/>
              <w:ind w:firstLine="262" w:firstLineChars="146"/>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51" w:type="dxa"/>
            <w:gridSpan w:val="2"/>
            <w:tcBorders>
              <w:top w:val="single" w:color="000000" w:sz="4" w:space="0"/>
              <w:left w:val="single" w:color="000000" w:sz="4" w:space="0"/>
              <w:bottom w:val="nil"/>
              <w:right w:val="nil"/>
            </w:tcBorders>
            <w:shd w:val="clear" w:color="000000" w:fill="FFFFFF"/>
            <w:noWrap/>
            <w:vAlign w:val="center"/>
          </w:tcPr>
          <w:p w14:paraId="69CFA30A">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360" w:type="dxa"/>
            <w:tcBorders>
              <w:top w:val="single" w:color="000000" w:sz="4" w:space="0"/>
              <w:left w:val="single" w:color="000000" w:sz="4" w:space="0"/>
              <w:bottom w:val="nil"/>
              <w:right w:val="nil"/>
            </w:tcBorders>
            <w:shd w:val="clear" w:color="000000" w:fill="FFFFFF"/>
            <w:noWrap/>
            <w:vAlign w:val="center"/>
          </w:tcPr>
          <w:p w14:paraId="78517BDA">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090" w:type="dxa"/>
            <w:tcBorders>
              <w:top w:val="single" w:color="000000" w:sz="4" w:space="0"/>
              <w:left w:val="single" w:color="000000" w:sz="4" w:space="0"/>
              <w:bottom w:val="nil"/>
              <w:right w:val="single" w:color="000000" w:sz="4" w:space="0"/>
            </w:tcBorders>
            <w:shd w:val="clear" w:color="000000" w:fill="FFFFFF"/>
            <w:noWrap w:val="0"/>
            <w:vAlign w:val="center"/>
          </w:tcPr>
          <w:p w14:paraId="32093BCF">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0189DE98">
        <w:tblPrEx>
          <w:tblCellMar>
            <w:top w:w="0" w:type="dxa"/>
            <w:left w:w="108" w:type="dxa"/>
            <w:bottom w:w="0" w:type="dxa"/>
            <w:right w:w="108" w:type="dxa"/>
          </w:tblCellMar>
        </w:tblPrEx>
        <w:trPr>
          <w:trHeight w:val="450" w:hRule="atLeast"/>
        </w:trPr>
        <w:tc>
          <w:tcPr>
            <w:tcW w:w="657" w:type="dxa"/>
            <w:tcBorders>
              <w:top w:val="single" w:color="000000" w:sz="4" w:space="0"/>
              <w:left w:val="single" w:color="000000" w:sz="4" w:space="0"/>
              <w:bottom w:val="nil"/>
              <w:right w:val="nil"/>
            </w:tcBorders>
            <w:shd w:val="clear" w:color="000000" w:fill="FFFFFF"/>
            <w:noWrap w:val="0"/>
            <w:vAlign w:val="center"/>
          </w:tcPr>
          <w:p w14:paraId="119B2E21">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964" w:type="dxa"/>
            <w:gridSpan w:val="2"/>
            <w:tcBorders>
              <w:top w:val="single" w:color="000000" w:sz="4" w:space="0"/>
              <w:left w:val="single" w:color="000000" w:sz="4" w:space="0"/>
              <w:bottom w:val="nil"/>
              <w:right w:val="nil"/>
            </w:tcBorders>
            <w:shd w:val="clear" w:color="000000" w:fill="FFFFFF"/>
            <w:noWrap w:val="0"/>
            <w:vAlign w:val="center"/>
          </w:tcPr>
          <w:p w14:paraId="63EDEED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89" w:type="dxa"/>
            <w:tcBorders>
              <w:top w:val="single" w:color="000000" w:sz="4" w:space="0"/>
              <w:left w:val="single" w:color="000000" w:sz="4" w:space="0"/>
              <w:bottom w:val="nil"/>
              <w:right w:val="nil"/>
            </w:tcBorders>
            <w:shd w:val="clear" w:color="000000" w:fill="FFFFFF"/>
            <w:noWrap w:val="0"/>
            <w:vAlign w:val="center"/>
          </w:tcPr>
          <w:p w14:paraId="24011596">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92" w:type="dxa"/>
            <w:gridSpan w:val="2"/>
            <w:tcBorders>
              <w:top w:val="single" w:color="000000" w:sz="4" w:space="0"/>
              <w:left w:val="single" w:color="000000" w:sz="4" w:space="0"/>
              <w:bottom w:val="nil"/>
              <w:right w:val="nil"/>
            </w:tcBorders>
            <w:shd w:val="clear" w:color="000000" w:fill="FFFFFF"/>
            <w:noWrap/>
            <w:vAlign w:val="center"/>
          </w:tcPr>
          <w:p w14:paraId="11AD63D0">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51" w:type="dxa"/>
            <w:gridSpan w:val="2"/>
            <w:tcBorders>
              <w:top w:val="single" w:color="000000" w:sz="4" w:space="0"/>
              <w:left w:val="single" w:color="000000" w:sz="4" w:space="0"/>
              <w:bottom w:val="nil"/>
              <w:right w:val="nil"/>
            </w:tcBorders>
            <w:shd w:val="clear" w:color="000000" w:fill="FFFFFF"/>
            <w:noWrap/>
            <w:vAlign w:val="center"/>
          </w:tcPr>
          <w:p w14:paraId="279C2C36">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360" w:type="dxa"/>
            <w:tcBorders>
              <w:top w:val="single" w:color="000000" w:sz="4" w:space="0"/>
              <w:left w:val="single" w:color="000000" w:sz="4" w:space="0"/>
              <w:bottom w:val="nil"/>
              <w:right w:val="nil"/>
            </w:tcBorders>
            <w:shd w:val="clear" w:color="000000" w:fill="FFFFFF"/>
            <w:noWrap/>
            <w:vAlign w:val="center"/>
          </w:tcPr>
          <w:p w14:paraId="3D9932D1">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090" w:type="dxa"/>
            <w:tcBorders>
              <w:top w:val="single" w:color="000000" w:sz="4" w:space="0"/>
              <w:left w:val="single" w:color="000000" w:sz="4" w:space="0"/>
              <w:bottom w:val="nil"/>
              <w:right w:val="single" w:color="000000" w:sz="4" w:space="0"/>
            </w:tcBorders>
            <w:shd w:val="clear" w:color="000000" w:fill="FFFFFF"/>
            <w:noWrap w:val="0"/>
            <w:vAlign w:val="center"/>
          </w:tcPr>
          <w:p w14:paraId="4EA003E3">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051D001D">
        <w:tblPrEx>
          <w:tblCellMar>
            <w:top w:w="0" w:type="dxa"/>
            <w:left w:w="108" w:type="dxa"/>
            <w:bottom w:w="0" w:type="dxa"/>
            <w:right w:w="108" w:type="dxa"/>
          </w:tblCellMar>
        </w:tblPrEx>
        <w:trPr>
          <w:trHeight w:val="450" w:hRule="atLeast"/>
        </w:trPr>
        <w:tc>
          <w:tcPr>
            <w:tcW w:w="657" w:type="dxa"/>
            <w:tcBorders>
              <w:top w:val="single" w:color="000000" w:sz="4" w:space="0"/>
              <w:left w:val="single" w:color="000000" w:sz="4" w:space="0"/>
              <w:bottom w:val="nil"/>
              <w:right w:val="nil"/>
            </w:tcBorders>
            <w:shd w:val="clear" w:color="000000" w:fill="FFFFFF"/>
            <w:noWrap w:val="0"/>
            <w:vAlign w:val="center"/>
          </w:tcPr>
          <w:p w14:paraId="4AD4FC2D">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964" w:type="dxa"/>
            <w:gridSpan w:val="2"/>
            <w:tcBorders>
              <w:top w:val="single" w:color="000000" w:sz="4" w:space="0"/>
              <w:left w:val="single" w:color="000000" w:sz="4" w:space="0"/>
              <w:bottom w:val="nil"/>
              <w:right w:val="nil"/>
            </w:tcBorders>
            <w:shd w:val="clear" w:color="000000" w:fill="FFFFFF"/>
            <w:noWrap w:val="0"/>
            <w:vAlign w:val="center"/>
          </w:tcPr>
          <w:p w14:paraId="59CBE73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89" w:type="dxa"/>
            <w:tcBorders>
              <w:top w:val="single" w:color="000000" w:sz="4" w:space="0"/>
              <w:left w:val="single" w:color="000000" w:sz="4" w:space="0"/>
              <w:bottom w:val="nil"/>
              <w:right w:val="nil"/>
            </w:tcBorders>
            <w:shd w:val="clear" w:color="000000" w:fill="FFFFFF"/>
            <w:noWrap w:val="0"/>
            <w:vAlign w:val="center"/>
          </w:tcPr>
          <w:p w14:paraId="776B5118">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92" w:type="dxa"/>
            <w:gridSpan w:val="2"/>
            <w:tcBorders>
              <w:top w:val="single" w:color="000000" w:sz="4" w:space="0"/>
              <w:left w:val="single" w:color="000000" w:sz="4" w:space="0"/>
              <w:bottom w:val="nil"/>
              <w:right w:val="nil"/>
            </w:tcBorders>
            <w:shd w:val="clear" w:color="000000" w:fill="FFFFFF"/>
            <w:noWrap/>
            <w:vAlign w:val="center"/>
          </w:tcPr>
          <w:p w14:paraId="52B78B62">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51" w:type="dxa"/>
            <w:gridSpan w:val="2"/>
            <w:tcBorders>
              <w:top w:val="single" w:color="000000" w:sz="4" w:space="0"/>
              <w:left w:val="single" w:color="000000" w:sz="4" w:space="0"/>
              <w:bottom w:val="nil"/>
              <w:right w:val="nil"/>
            </w:tcBorders>
            <w:shd w:val="clear" w:color="000000" w:fill="FFFFFF"/>
            <w:noWrap/>
            <w:vAlign w:val="center"/>
          </w:tcPr>
          <w:p w14:paraId="7EF9E1CC">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360" w:type="dxa"/>
            <w:tcBorders>
              <w:top w:val="single" w:color="000000" w:sz="4" w:space="0"/>
              <w:left w:val="single" w:color="000000" w:sz="4" w:space="0"/>
              <w:bottom w:val="nil"/>
              <w:right w:val="nil"/>
            </w:tcBorders>
            <w:shd w:val="clear" w:color="000000" w:fill="FFFFFF"/>
            <w:noWrap/>
            <w:vAlign w:val="center"/>
          </w:tcPr>
          <w:p w14:paraId="2AAB64DC">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090" w:type="dxa"/>
            <w:tcBorders>
              <w:top w:val="single" w:color="000000" w:sz="4" w:space="0"/>
              <w:left w:val="single" w:color="000000" w:sz="4" w:space="0"/>
              <w:bottom w:val="nil"/>
              <w:right w:val="single" w:color="000000" w:sz="4" w:space="0"/>
            </w:tcBorders>
            <w:shd w:val="clear" w:color="000000" w:fill="FFFFFF"/>
            <w:noWrap w:val="0"/>
            <w:vAlign w:val="center"/>
          </w:tcPr>
          <w:p w14:paraId="154CF34F">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2D8E26E3">
        <w:tblPrEx>
          <w:tblCellMar>
            <w:top w:w="0" w:type="dxa"/>
            <w:left w:w="108" w:type="dxa"/>
            <w:bottom w:w="0" w:type="dxa"/>
            <w:right w:w="108" w:type="dxa"/>
          </w:tblCellMar>
        </w:tblPrEx>
        <w:trPr>
          <w:trHeight w:val="450" w:hRule="atLeast"/>
        </w:trPr>
        <w:tc>
          <w:tcPr>
            <w:tcW w:w="657" w:type="dxa"/>
            <w:tcBorders>
              <w:top w:val="single" w:color="000000" w:sz="4" w:space="0"/>
              <w:left w:val="single" w:color="000000" w:sz="4" w:space="0"/>
              <w:bottom w:val="nil"/>
              <w:right w:val="nil"/>
            </w:tcBorders>
            <w:shd w:val="clear" w:color="000000" w:fill="FFFFFF"/>
            <w:noWrap w:val="0"/>
            <w:vAlign w:val="center"/>
          </w:tcPr>
          <w:p w14:paraId="1E6159C4">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964" w:type="dxa"/>
            <w:gridSpan w:val="2"/>
            <w:tcBorders>
              <w:top w:val="single" w:color="000000" w:sz="4" w:space="0"/>
              <w:left w:val="single" w:color="000000" w:sz="4" w:space="0"/>
              <w:bottom w:val="nil"/>
              <w:right w:val="nil"/>
            </w:tcBorders>
            <w:shd w:val="clear" w:color="000000" w:fill="FFFFFF"/>
            <w:noWrap w:val="0"/>
            <w:vAlign w:val="center"/>
          </w:tcPr>
          <w:p w14:paraId="699B688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89" w:type="dxa"/>
            <w:tcBorders>
              <w:top w:val="single" w:color="000000" w:sz="4" w:space="0"/>
              <w:left w:val="single" w:color="000000" w:sz="4" w:space="0"/>
              <w:bottom w:val="nil"/>
              <w:right w:val="nil"/>
            </w:tcBorders>
            <w:shd w:val="clear" w:color="000000" w:fill="FFFFFF"/>
            <w:noWrap w:val="0"/>
            <w:vAlign w:val="center"/>
          </w:tcPr>
          <w:p w14:paraId="039C49BD">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92" w:type="dxa"/>
            <w:gridSpan w:val="2"/>
            <w:tcBorders>
              <w:top w:val="single" w:color="000000" w:sz="4" w:space="0"/>
              <w:left w:val="single" w:color="000000" w:sz="4" w:space="0"/>
              <w:bottom w:val="nil"/>
              <w:right w:val="nil"/>
            </w:tcBorders>
            <w:shd w:val="clear" w:color="000000" w:fill="FFFFFF"/>
            <w:noWrap/>
            <w:vAlign w:val="center"/>
          </w:tcPr>
          <w:p w14:paraId="1CD3B28E">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51" w:type="dxa"/>
            <w:gridSpan w:val="2"/>
            <w:tcBorders>
              <w:top w:val="single" w:color="000000" w:sz="4" w:space="0"/>
              <w:left w:val="single" w:color="000000" w:sz="4" w:space="0"/>
              <w:bottom w:val="nil"/>
              <w:right w:val="nil"/>
            </w:tcBorders>
            <w:shd w:val="clear" w:color="000000" w:fill="FFFFFF"/>
            <w:noWrap/>
            <w:vAlign w:val="center"/>
          </w:tcPr>
          <w:p w14:paraId="6933717B">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360" w:type="dxa"/>
            <w:tcBorders>
              <w:top w:val="single" w:color="000000" w:sz="4" w:space="0"/>
              <w:left w:val="single" w:color="000000" w:sz="4" w:space="0"/>
              <w:bottom w:val="nil"/>
              <w:right w:val="nil"/>
            </w:tcBorders>
            <w:shd w:val="clear" w:color="000000" w:fill="FFFFFF"/>
            <w:noWrap/>
            <w:vAlign w:val="center"/>
          </w:tcPr>
          <w:p w14:paraId="74F618BC">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090" w:type="dxa"/>
            <w:tcBorders>
              <w:top w:val="single" w:color="000000" w:sz="4" w:space="0"/>
              <w:left w:val="single" w:color="000000" w:sz="4" w:space="0"/>
              <w:bottom w:val="nil"/>
              <w:right w:val="single" w:color="000000" w:sz="4" w:space="0"/>
            </w:tcBorders>
            <w:shd w:val="clear" w:color="000000" w:fill="FFFFFF"/>
            <w:noWrap w:val="0"/>
            <w:vAlign w:val="center"/>
          </w:tcPr>
          <w:p w14:paraId="76CF15D3">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7DC0165A">
        <w:tblPrEx>
          <w:tblCellMar>
            <w:top w:w="0" w:type="dxa"/>
            <w:left w:w="108" w:type="dxa"/>
            <w:bottom w:w="0" w:type="dxa"/>
            <w:right w:w="108" w:type="dxa"/>
          </w:tblCellMar>
        </w:tblPrEx>
        <w:trPr>
          <w:trHeight w:val="450" w:hRule="atLeast"/>
        </w:trPr>
        <w:tc>
          <w:tcPr>
            <w:tcW w:w="657" w:type="dxa"/>
            <w:tcBorders>
              <w:top w:val="single" w:color="000000" w:sz="4" w:space="0"/>
              <w:left w:val="single" w:color="000000" w:sz="4" w:space="0"/>
              <w:bottom w:val="nil"/>
              <w:right w:val="nil"/>
            </w:tcBorders>
            <w:shd w:val="clear" w:color="000000" w:fill="FFFFFF"/>
            <w:noWrap w:val="0"/>
            <w:vAlign w:val="center"/>
          </w:tcPr>
          <w:p w14:paraId="76443B6F">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964" w:type="dxa"/>
            <w:gridSpan w:val="2"/>
            <w:tcBorders>
              <w:top w:val="single" w:color="000000" w:sz="4" w:space="0"/>
              <w:left w:val="single" w:color="000000" w:sz="4" w:space="0"/>
              <w:bottom w:val="nil"/>
              <w:right w:val="nil"/>
            </w:tcBorders>
            <w:shd w:val="clear" w:color="000000" w:fill="FFFFFF"/>
            <w:noWrap w:val="0"/>
            <w:vAlign w:val="center"/>
          </w:tcPr>
          <w:p w14:paraId="01737E4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89" w:type="dxa"/>
            <w:tcBorders>
              <w:top w:val="single" w:color="000000" w:sz="4" w:space="0"/>
              <w:left w:val="single" w:color="000000" w:sz="4" w:space="0"/>
              <w:bottom w:val="nil"/>
              <w:right w:val="nil"/>
            </w:tcBorders>
            <w:shd w:val="clear" w:color="000000" w:fill="FFFFFF"/>
            <w:noWrap w:val="0"/>
            <w:vAlign w:val="center"/>
          </w:tcPr>
          <w:p w14:paraId="0684C19C">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92" w:type="dxa"/>
            <w:gridSpan w:val="2"/>
            <w:tcBorders>
              <w:top w:val="single" w:color="000000" w:sz="4" w:space="0"/>
              <w:left w:val="single" w:color="000000" w:sz="4" w:space="0"/>
              <w:bottom w:val="nil"/>
              <w:right w:val="nil"/>
            </w:tcBorders>
            <w:shd w:val="clear" w:color="000000" w:fill="FFFFFF"/>
            <w:noWrap/>
            <w:vAlign w:val="center"/>
          </w:tcPr>
          <w:p w14:paraId="6213621C">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51" w:type="dxa"/>
            <w:gridSpan w:val="2"/>
            <w:tcBorders>
              <w:top w:val="single" w:color="000000" w:sz="4" w:space="0"/>
              <w:left w:val="single" w:color="000000" w:sz="4" w:space="0"/>
              <w:bottom w:val="nil"/>
              <w:right w:val="nil"/>
            </w:tcBorders>
            <w:shd w:val="clear" w:color="000000" w:fill="FFFFFF"/>
            <w:noWrap/>
            <w:vAlign w:val="center"/>
          </w:tcPr>
          <w:p w14:paraId="49908142">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360" w:type="dxa"/>
            <w:tcBorders>
              <w:top w:val="single" w:color="000000" w:sz="4" w:space="0"/>
              <w:left w:val="single" w:color="000000" w:sz="4" w:space="0"/>
              <w:bottom w:val="nil"/>
              <w:right w:val="nil"/>
            </w:tcBorders>
            <w:shd w:val="clear" w:color="000000" w:fill="FFFFFF"/>
            <w:noWrap/>
            <w:vAlign w:val="center"/>
          </w:tcPr>
          <w:p w14:paraId="730B21B5">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090" w:type="dxa"/>
            <w:tcBorders>
              <w:top w:val="single" w:color="000000" w:sz="4" w:space="0"/>
              <w:left w:val="single" w:color="000000" w:sz="4" w:space="0"/>
              <w:bottom w:val="nil"/>
              <w:right w:val="single" w:color="000000" w:sz="4" w:space="0"/>
            </w:tcBorders>
            <w:shd w:val="clear" w:color="000000" w:fill="FFFFFF"/>
            <w:noWrap w:val="0"/>
            <w:vAlign w:val="center"/>
          </w:tcPr>
          <w:p w14:paraId="39D0C442">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1EA5F8CA">
        <w:tblPrEx>
          <w:tblCellMar>
            <w:top w:w="0" w:type="dxa"/>
            <w:left w:w="108" w:type="dxa"/>
            <w:bottom w:w="0" w:type="dxa"/>
            <w:right w:w="108" w:type="dxa"/>
          </w:tblCellMar>
        </w:tblPrEx>
        <w:trPr>
          <w:trHeight w:val="450" w:hRule="atLeast"/>
        </w:trPr>
        <w:tc>
          <w:tcPr>
            <w:tcW w:w="657" w:type="dxa"/>
            <w:tcBorders>
              <w:top w:val="single" w:color="000000" w:sz="4" w:space="0"/>
              <w:left w:val="single" w:color="000000" w:sz="4" w:space="0"/>
              <w:bottom w:val="nil"/>
              <w:right w:val="nil"/>
            </w:tcBorders>
            <w:shd w:val="clear" w:color="000000" w:fill="FFFFFF"/>
            <w:noWrap w:val="0"/>
            <w:vAlign w:val="center"/>
          </w:tcPr>
          <w:p w14:paraId="042C0F31">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964" w:type="dxa"/>
            <w:gridSpan w:val="2"/>
            <w:tcBorders>
              <w:top w:val="single" w:color="000000" w:sz="4" w:space="0"/>
              <w:left w:val="single" w:color="000000" w:sz="4" w:space="0"/>
              <w:bottom w:val="nil"/>
              <w:right w:val="nil"/>
            </w:tcBorders>
            <w:shd w:val="clear" w:color="000000" w:fill="FFFFFF"/>
            <w:noWrap w:val="0"/>
            <w:vAlign w:val="center"/>
          </w:tcPr>
          <w:p w14:paraId="258BDE3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89" w:type="dxa"/>
            <w:tcBorders>
              <w:top w:val="single" w:color="000000" w:sz="4" w:space="0"/>
              <w:left w:val="single" w:color="000000" w:sz="4" w:space="0"/>
              <w:bottom w:val="nil"/>
              <w:right w:val="nil"/>
            </w:tcBorders>
            <w:shd w:val="clear" w:color="000000" w:fill="FFFFFF"/>
            <w:noWrap w:val="0"/>
            <w:vAlign w:val="center"/>
          </w:tcPr>
          <w:p w14:paraId="1C2FDB03">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92" w:type="dxa"/>
            <w:gridSpan w:val="2"/>
            <w:tcBorders>
              <w:top w:val="single" w:color="000000" w:sz="4" w:space="0"/>
              <w:left w:val="single" w:color="000000" w:sz="4" w:space="0"/>
              <w:bottom w:val="nil"/>
              <w:right w:val="nil"/>
            </w:tcBorders>
            <w:shd w:val="clear" w:color="000000" w:fill="FFFFFF"/>
            <w:noWrap/>
            <w:vAlign w:val="center"/>
          </w:tcPr>
          <w:p w14:paraId="48ED9362">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51" w:type="dxa"/>
            <w:gridSpan w:val="2"/>
            <w:tcBorders>
              <w:top w:val="single" w:color="000000" w:sz="4" w:space="0"/>
              <w:left w:val="single" w:color="000000" w:sz="4" w:space="0"/>
              <w:bottom w:val="nil"/>
              <w:right w:val="nil"/>
            </w:tcBorders>
            <w:shd w:val="clear" w:color="000000" w:fill="FFFFFF"/>
            <w:noWrap/>
            <w:vAlign w:val="center"/>
          </w:tcPr>
          <w:p w14:paraId="03BD0549">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360" w:type="dxa"/>
            <w:tcBorders>
              <w:top w:val="single" w:color="000000" w:sz="4" w:space="0"/>
              <w:left w:val="single" w:color="000000" w:sz="4" w:space="0"/>
              <w:bottom w:val="nil"/>
              <w:right w:val="nil"/>
            </w:tcBorders>
            <w:shd w:val="clear" w:color="000000" w:fill="FFFFFF"/>
            <w:noWrap/>
            <w:vAlign w:val="center"/>
          </w:tcPr>
          <w:p w14:paraId="5C0067BF">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090" w:type="dxa"/>
            <w:tcBorders>
              <w:top w:val="single" w:color="000000" w:sz="4" w:space="0"/>
              <w:left w:val="single" w:color="000000" w:sz="4" w:space="0"/>
              <w:bottom w:val="nil"/>
              <w:right w:val="single" w:color="000000" w:sz="4" w:space="0"/>
            </w:tcBorders>
            <w:shd w:val="clear" w:color="000000" w:fill="FFFFFF"/>
            <w:noWrap w:val="0"/>
            <w:vAlign w:val="center"/>
          </w:tcPr>
          <w:p w14:paraId="669A60B9">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6DA64E58">
        <w:tblPrEx>
          <w:tblCellMar>
            <w:top w:w="0" w:type="dxa"/>
            <w:left w:w="108" w:type="dxa"/>
            <w:bottom w:w="0" w:type="dxa"/>
            <w:right w:w="108" w:type="dxa"/>
          </w:tblCellMar>
        </w:tblPrEx>
        <w:trPr>
          <w:trHeight w:val="450" w:hRule="atLeast"/>
        </w:trPr>
        <w:tc>
          <w:tcPr>
            <w:tcW w:w="657" w:type="dxa"/>
            <w:tcBorders>
              <w:top w:val="single" w:color="000000" w:sz="4" w:space="0"/>
              <w:left w:val="single" w:color="000000" w:sz="4" w:space="0"/>
              <w:bottom w:val="single" w:color="000000" w:sz="4" w:space="0"/>
              <w:right w:val="nil"/>
            </w:tcBorders>
            <w:shd w:val="clear" w:color="000000" w:fill="FFFFFF"/>
            <w:noWrap w:val="0"/>
            <w:vAlign w:val="center"/>
          </w:tcPr>
          <w:p w14:paraId="0BB2F849">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964" w:type="dxa"/>
            <w:gridSpan w:val="2"/>
            <w:tcBorders>
              <w:top w:val="single" w:color="000000" w:sz="4" w:space="0"/>
              <w:left w:val="single" w:color="000000" w:sz="4" w:space="0"/>
              <w:bottom w:val="single" w:color="000000" w:sz="4" w:space="0"/>
              <w:right w:val="nil"/>
            </w:tcBorders>
            <w:shd w:val="clear" w:color="000000" w:fill="FFFFFF"/>
            <w:noWrap w:val="0"/>
            <w:vAlign w:val="center"/>
          </w:tcPr>
          <w:p w14:paraId="6A6BD6F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89" w:type="dxa"/>
            <w:tcBorders>
              <w:top w:val="single" w:color="000000" w:sz="4" w:space="0"/>
              <w:left w:val="single" w:color="000000" w:sz="4" w:space="0"/>
              <w:bottom w:val="single" w:color="000000" w:sz="4" w:space="0"/>
              <w:right w:val="nil"/>
            </w:tcBorders>
            <w:shd w:val="clear" w:color="000000" w:fill="FFFFFF"/>
            <w:noWrap w:val="0"/>
            <w:vAlign w:val="center"/>
          </w:tcPr>
          <w:p w14:paraId="49421EEF">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92" w:type="dxa"/>
            <w:gridSpan w:val="2"/>
            <w:tcBorders>
              <w:top w:val="single" w:color="000000" w:sz="4" w:space="0"/>
              <w:left w:val="single" w:color="000000" w:sz="4" w:space="0"/>
              <w:bottom w:val="single" w:color="000000" w:sz="4" w:space="0"/>
              <w:right w:val="nil"/>
            </w:tcBorders>
            <w:shd w:val="clear" w:color="000000" w:fill="FFFFFF"/>
            <w:noWrap/>
            <w:vAlign w:val="center"/>
          </w:tcPr>
          <w:p w14:paraId="05AB250E">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51" w:type="dxa"/>
            <w:gridSpan w:val="2"/>
            <w:tcBorders>
              <w:top w:val="single" w:color="000000" w:sz="4" w:space="0"/>
              <w:left w:val="single" w:color="000000" w:sz="4" w:space="0"/>
              <w:bottom w:val="single" w:color="000000" w:sz="4" w:space="0"/>
              <w:right w:val="nil"/>
            </w:tcBorders>
            <w:shd w:val="clear" w:color="000000" w:fill="FFFFFF"/>
            <w:noWrap/>
            <w:vAlign w:val="center"/>
          </w:tcPr>
          <w:p w14:paraId="3DA4B529">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360" w:type="dxa"/>
            <w:tcBorders>
              <w:top w:val="single" w:color="000000" w:sz="4" w:space="0"/>
              <w:left w:val="single" w:color="000000" w:sz="4" w:space="0"/>
              <w:bottom w:val="single" w:color="000000" w:sz="4" w:space="0"/>
              <w:right w:val="nil"/>
            </w:tcBorders>
            <w:shd w:val="clear" w:color="000000" w:fill="FFFFFF"/>
            <w:noWrap/>
            <w:vAlign w:val="center"/>
          </w:tcPr>
          <w:p w14:paraId="0B0B107D">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B822DE9">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bl>
    <w:p w14:paraId="5E5CD471">
      <w:pPr>
        <w:pStyle w:val="6"/>
        <w:jc w:val="both"/>
        <w:rPr>
          <w:rFonts w:hint="eastAsia" w:ascii="宋体" w:hAnsi="宋体" w:eastAsia="宋体" w:cs="宋体"/>
          <w:color w:val="auto"/>
          <w:highlight w:val="none"/>
          <w:lang w:val="en-US" w:eastAsia="zh-CN"/>
        </w:rPr>
      </w:pPr>
    </w:p>
    <w:sectPr>
      <w:headerReference r:id="rId8" w:type="default"/>
      <w:pgSz w:w="11906" w:h="16838"/>
      <w:pgMar w:top="1134" w:right="1417" w:bottom="1134" w:left="1417"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0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0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1E9E9B">
    <w:pPr>
      <w:pStyle w:val="15"/>
      <w:rPr>
        <w:rFonts w:hint="default" w:eastAsia="宋体"/>
        <w:lang w:val="en-US" w:eastAsia="zh-CN"/>
      </w:rPr>
    </w:pPr>
    <w:r>
      <w:rPr>
        <w:rFonts w:hint="eastAsia"/>
        <w:lang w:val="en-US" w:eastAsia="zh-CN"/>
      </w:rPr>
      <w:t>浙江中合工程管理有限公司      0573-84033354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E266AC">
    <w:pPr>
      <w:pStyle w:val="15"/>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A62364">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6A62364">
                    <w:pPr>
                      <w:pStyle w:val="15"/>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val="en-US" w:eastAsia="zh-CN"/>
      </w:rPr>
      <w:t>浙江中合工程管理有限公司      0573-84033354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F1C708">
    <w:pPr>
      <w:pStyle w:val="16"/>
      <w:pBdr>
        <w:bottom w:val="none" w:color="auto" w:sz="0" w:space="1"/>
      </w:pBdr>
      <w:jc w:val="left"/>
      <w:rPr>
        <w:rFonts w:hint="default"/>
        <w:b w:val="0"/>
        <w:bCs w:val="0"/>
        <w:sz w:val="18"/>
        <w:szCs w:val="18"/>
        <w:highlight w:val="none"/>
        <w:lang w:val="en-US"/>
      </w:rPr>
    </w:pPr>
    <w:r>
      <w:rPr>
        <w:rFonts w:hint="eastAsia" w:ascii="宋体" w:hAnsi="宋体" w:cs="宋体"/>
        <w:b w:val="0"/>
        <w:bCs w:val="0"/>
        <w:color w:val="000000"/>
        <w:sz w:val="18"/>
        <w:szCs w:val="18"/>
        <w:highlight w:val="none"/>
        <w:lang w:val="en-US" w:eastAsia="zh-CN"/>
      </w:rPr>
      <w:t>嘉善县天凝中学2025年度校舍常规维修</w:t>
    </w:r>
    <w:r>
      <w:rPr>
        <w:rFonts w:hint="eastAsia" w:ascii="宋体" w:hAnsi="宋体" w:eastAsia="宋体" w:cs="宋体"/>
        <w:b w:val="0"/>
        <w:bCs w:val="0"/>
        <w:color w:val="000000"/>
        <w:sz w:val="18"/>
        <w:szCs w:val="18"/>
        <w:highlight w:val="none"/>
        <w:lang w:val="en-US" w:eastAsia="zh-CN"/>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E67210">
    <w:pPr>
      <w:pStyle w:val="16"/>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2F867C"/>
    <w:multiLevelType w:val="singleLevel"/>
    <w:tmpl w:val="982F867C"/>
    <w:lvl w:ilvl="0" w:tentative="0">
      <w:start w:val="1"/>
      <w:numFmt w:val="decimal"/>
      <w:lvlText w:val="%1."/>
      <w:lvlJc w:val="left"/>
      <w:pPr>
        <w:tabs>
          <w:tab w:val="left" w:pos="312"/>
        </w:tabs>
      </w:pPr>
    </w:lvl>
  </w:abstractNum>
  <w:abstractNum w:abstractNumId="1">
    <w:nsid w:val="B379ADCB"/>
    <w:multiLevelType w:val="singleLevel"/>
    <w:tmpl w:val="B379ADCB"/>
    <w:lvl w:ilvl="0" w:tentative="0">
      <w:start w:val="1"/>
      <w:numFmt w:val="decimal"/>
      <w:suff w:val="nothing"/>
      <w:lvlText w:val="（%1）"/>
      <w:lvlJc w:val="left"/>
    </w:lvl>
  </w:abstractNum>
  <w:abstractNum w:abstractNumId="2">
    <w:nsid w:val="B8D4ACBC"/>
    <w:multiLevelType w:val="singleLevel"/>
    <w:tmpl w:val="B8D4ACBC"/>
    <w:lvl w:ilvl="0" w:tentative="0">
      <w:start w:val="2"/>
      <w:numFmt w:val="chineseCounting"/>
      <w:suff w:val="space"/>
      <w:lvlText w:val="第%1章"/>
      <w:lvlJc w:val="left"/>
      <w:rPr>
        <w:rFonts w:hint="eastAsia"/>
      </w:rPr>
    </w:lvl>
  </w:abstractNum>
  <w:abstractNum w:abstractNumId="3">
    <w:nsid w:val="00000002"/>
    <w:multiLevelType w:val="singleLevel"/>
    <w:tmpl w:val="00000002"/>
    <w:lvl w:ilvl="0" w:tentative="0">
      <w:start w:val="1"/>
      <w:numFmt w:val="chineseCounting"/>
      <w:suff w:val="nothing"/>
      <w:lvlText w:val="%1、"/>
      <w:lvlJc w:val="left"/>
    </w:lvl>
  </w:abstractNum>
  <w:abstractNum w:abstractNumId="4">
    <w:nsid w:val="00000003"/>
    <w:multiLevelType w:val="singleLevel"/>
    <w:tmpl w:val="00000003"/>
    <w:lvl w:ilvl="0" w:tentative="0">
      <w:start w:val="3"/>
      <w:numFmt w:val="chineseCounting"/>
      <w:suff w:val="nothing"/>
      <w:lvlText w:val="%1、"/>
      <w:lvlJc w:val="left"/>
    </w:lvl>
  </w:abstractNum>
  <w:abstractNum w:abstractNumId="5">
    <w:nsid w:val="09E92AA7"/>
    <w:multiLevelType w:val="singleLevel"/>
    <w:tmpl w:val="09E92AA7"/>
    <w:lvl w:ilvl="0" w:tentative="0">
      <w:start w:val="1"/>
      <w:numFmt w:val="decimal"/>
      <w:pStyle w:val="8"/>
      <w:lvlText w:val="%1."/>
      <w:lvlJc w:val="left"/>
      <w:pPr>
        <w:tabs>
          <w:tab w:val="left" w:pos="360"/>
        </w:tabs>
        <w:ind w:left="360" w:hanging="360"/>
      </w:pPr>
    </w:lvl>
  </w:abstractNum>
  <w:abstractNum w:abstractNumId="6">
    <w:nsid w:val="29BE27B2"/>
    <w:multiLevelType w:val="singleLevel"/>
    <w:tmpl w:val="29BE27B2"/>
    <w:lvl w:ilvl="0" w:tentative="0">
      <w:start w:val="3"/>
      <w:numFmt w:val="chineseCounting"/>
      <w:suff w:val="nothing"/>
      <w:lvlText w:val="（%1）"/>
      <w:lvlJc w:val="left"/>
      <w:rPr>
        <w:rFonts w:hint="eastAsia"/>
      </w:rPr>
    </w:lvl>
  </w:abstractNum>
  <w:abstractNum w:abstractNumId="7">
    <w:nsid w:val="42FFF11E"/>
    <w:multiLevelType w:val="singleLevel"/>
    <w:tmpl w:val="42FFF11E"/>
    <w:lvl w:ilvl="0" w:tentative="0">
      <w:start w:val="1"/>
      <w:numFmt w:val="decimal"/>
      <w:lvlText w:val="%1."/>
      <w:lvlJc w:val="left"/>
      <w:pPr>
        <w:tabs>
          <w:tab w:val="left" w:pos="312"/>
        </w:tabs>
      </w:pPr>
    </w:lvl>
  </w:abstractNum>
  <w:abstractNum w:abstractNumId="8">
    <w:nsid w:val="44509459"/>
    <w:multiLevelType w:val="singleLevel"/>
    <w:tmpl w:val="44509459"/>
    <w:lvl w:ilvl="0" w:tentative="0">
      <w:start w:val="2"/>
      <w:numFmt w:val="decimal"/>
      <w:suff w:val="nothing"/>
      <w:lvlText w:val="%1、"/>
      <w:lvlJc w:val="left"/>
    </w:lvl>
  </w:abstractNum>
  <w:abstractNum w:abstractNumId="9">
    <w:nsid w:val="58B2681B"/>
    <w:multiLevelType w:val="singleLevel"/>
    <w:tmpl w:val="58B2681B"/>
    <w:lvl w:ilvl="0" w:tentative="0">
      <w:start w:val="4"/>
      <w:numFmt w:val="chineseCounting"/>
      <w:suff w:val="nothing"/>
      <w:lvlText w:val="%1、"/>
      <w:lvlJc w:val="left"/>
    </w:lvl>
  </w:abstractNum>
  <w:num w:numId="1">
    <w:abstractNumId w:val="5"/>
  </w:num>
  <w:num w:numId="2">
    <w:abstractNumId w:val="2"/>
  </w:num>
  <w:num w:numId="3">
    <w:abstractNumId w:val="7"/>
  </w:num>
  <w:num w:numId="4">
    <w:abstractNumId w:val="0"/>
  </w:num>
  <w:num w:numId="5">
    <w:abstractNumId w:val="6"/>
  </w:num>
  <w:num w:numId="6">
    <w:abstractNumId w:val="1"/>
  </w:num>
  <w:num w:numId="7">
    <w:abstractNumId w:val="8"/>
  </w:num>
  <w:num w:numId="8">
    <w:abstractNumId w:val="9"/>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xZjBmZTg1OGU0NjUzZDI0OGJlNjk5ZGZlNTI0MmIifQ=="/>
  </w:docVars>
  <w:rsids>
    <w:rsidRoot w:val="7F61468B"/>
    <w:rsid w:val="00962B1E"/>
    <w:rsid w:val="010336B1"/>
    <w:rsid w:val="010D6029"/>
    <w:rsid w:val="0264611C"/>
    <w:rsid w:val="03597303"/>
    <w:rsid w:val="04FA2ACB"/>
    <w:rsid w:val="053E2C54"/>
    <w:rsid w:val="067057A0"/>
    <w:rsid w:val="0680729D"/>
    <w:rsid w:val="06F3181D"/>
    <w:rsid w:val="07302B34"/>
    <w:rsid w:val="087F5A5E"/>
    <w:rsid w:val="09E444BE"/>
    <w:rsid w:val="0A3E36F7"/>
    <w:rsid w:val="0A5A3882"/>
    <w:rsid w:val="0AAC3CFF"/>
    <w:rsid w:val="0AEA3518"/>
    <w:rsid w:val="0C5745FC"/>
    <w:rsid w:val="0E315EC5"/>
    <w:rsid w:val="0E337CC1"/>
    <w:rsid w:val="0E497AF4"/>
    <w:rsid w:val="104E68C9"/>
    <w:rsid w:val="121865DB"/>
    <w:rsid w:val="12D23B50"/>
    <w:rsid w:val="136F1CA1"/>
    <w:rsid w:val="14151024"/>
    <w:rsid w:val="14DF056C"/>
    <w:rsid w:val="153320AA"/>
    <w:rsid w:val="15484215"/>
    <w:rsid w:val="173431CA"/>
    <w:rsid w:val="18194E5B"/>
    <w:rsid w:val="181F565E"/>
    <w:rsid w:val="18644328"/>
    <w:rsid w:val="19F45B80"/>
    <w:rsid w:val="1BF33CB3"/>
    <w:rsid w:val="1CBC7F17"/>
    <w:rsid w:val="1DE83672"/>
    <w:rsid w:val="21221225"/>
    <w:rsid w:val="251A5A2E"/>
    <w:rsid w:val="253F7042"/>
    <w:rsid w:val="27315D1D"/>
    <w:rsid w:val="289522DC"/>
    <w:rsid w:val="29F23E8A"/>
    <w:rsid w:val="2AB229AF"/>
    <w:rsid w:val="2B703E7F"/>
    <w:rsid w:val="2C9C1E8B"/>
    <w:rsid w:val="2CD45709"/>
    <w:rsid w:val="2DCF6290"/>
    <w:rsid w:val="2DE47F8D"/>
    <w:rsid w:val="2F9C0D3C"/>
    <w:rsid w:val="2FEF0479"/>
    <w:rsid w:val="312E2739"/>
    <w:rsid w:val="31F938DC"/>
    <w:rsid w:val="33AC05AD"/>
    <w:rsid w:val="33C817B8"/>
    <w:rsid w:val="348558FB"/>
    <w:rsid w:val="349A791E"/>
    <w:rsid w:val="34EB2FBF"/>
    <w:rsid w:val="368E1805"/>
    <w:rsid w:val="37732382"/>
    <w:rsid w:val="38194053"/>
    <w:rsid w:val="389D667A"/>
    <w:rsid w:val="39A007DC"/>
    <w:rsid w:val="39CC2DEE"/>
    <w:rsid w:val="3A4900CA"/>
    <w:rsid w:val="3BD75E19"/>
    <w:rsid w:val="3BFC1641"/>
    <w:rsid w:val="3C014B02"/>
    <w:rsid w:val="3C3064C7"/>
    <w:rsid w:val="3D8F3346"/>
    <w:rsid w:val="3DBA03C3"/>
    <w:rsid w:val="40B41A41"/>
    <w:rsid w:val="417D62D7"/>
    <w:rsid w:val="44BA339E"/>
    <w:rsid w:val="44DF2E05"/>
    <w:rsid w:val="45561319"/>
    <w:rsid w:val="46ED7A5B"/>
    <w:rsid w:val="4851316C"/>
    <w:rsid w:val="4A601412"/>
    <w:rsid w:val="4A7E72E8"/>
    <w:rsid w:val="4B320132"/>
    <w:rsid w:val="4BB52B12"/>
    <w:rsid w:val="4C5E2941"/>
    <w:rsid w:val="4CA84DFC"/>
    <w:rsid w:val="4FE631D9"/>
    <w:rsid w:val="50013995"/>
    <w:rsid w:val="50FC089B"/>
    <w:rsid w:val="52A66D10"/>
    <w:rsid w:val="52A728C6"/>
    <w:rsid w:val="52B4767F"/>
    <w:rsid w:val="5350380E"/>
    <w:rsid w:val="537312E8"/>
    <w:rsid w:val="549B0AFE"/>
    <w:rsid w:val="550A5C7C"/>
    <w:rsid w:val="58DA547C"/>
    <w:rsid w:val="599E3867"/>
    <w:rsid w:val="5B080B1A"/>
    <w:rsid w:val="5C225BD1"/>
    <w:rsid w:val="60591866"/>
    <w:rsid w:val="61524C25"/>
    <w:rsid w:val="61A30912"/>
    <w:rsid w:val="61DF7695"/>
    <w:rsid w:val="61F25ACE"/>
    <w:rsid w:val="625F5EB0"/>
    <w:rsid w:val="6385489B"/>
    <w:rsid w:val="63961BE1"/>
    <w:rsid w:val="646D1D84"/>
    <w:rsid w:val="65071890"/>
    <w:rsid w:val="666351EC"/>
    <w:rsid w:val="6B4A52A8"/>
    <w:rsid w:val="6CD52A4C"/>
    <w:rsid w:val="6D6A50B2"/>
    <w:rsid w:val="707D6E3D"/>
    <w:rsid w:val="70D0347E"/>
    <w:rsid w:val="70F83C7C"/>
    <w:rsid w:val="72A526E9"/>
    <w:rsid w:val="73B337FA"/>
    <w:rsid w:val="74867A1E"/>
    <w:rsid w:val="78342545"/>
    <w:rsid w:val="786D3CA8"/>
    <w:rsid w:val="792B1C21"/>
    <w:rsid w:val="7B2B4DE7"/>
    <w:rsid w:val="7BDE6D2E"/>
    <w:rsid w:val="7CA358D5"/>
    <w:rsid w:val="7CA62089"/>
    <w:rsid w:val="7D6C452F"/>
    <w:rsid w:val="7E266DD3"/>
    <w:rsid w:val="7F61468B"/>
    <w:rsid w:val="7F9B73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left"/>
    </w:pPr>
    <w:rPr>
      <w:rFonts w:eastAsia="宋体" w:asciiTheme="minorAscii" w:hAnsiTheme="minorAscii" w:cstheme="minorBidi"/>
      <w:kern w:val="2"/>
      <w:sz w:val="24"/>
      <w:szCs w:val="24"/>
      <w:lang w:val="en-US" w:eastAsia="zh-CN" w:bidi="ar-SA"/>
    </w:rPr>
  </w:style>
  <w:style w:type="paragraph" w:styleId="5">
    <w:name w:val="heading 1"/>
    <w:basedOn w:val="1"/>
    <w:next w:val="1"/>
    <w:qFormat/>
    <w:uiPriority w:val="0"/>
    <w:pPr>
      <w:keepNext/>
      <w:keepLines/>
      <w:spacing w:before="340" w:beforeLines="0" w:beforeAutospacing="0" w:after="330" w:afterLines="0" w:afterAutospacing="0" w:line="360" w:lineRule="auto"/>
      <w:jc w:val="center"/>
      <w:outlineLvl w:val="0"/>
    </w:pPr>
    <w:rPr>
      <w:b/>
      <w:kern w:val="44"/>
      <w:sz w:val="28"/>
    </w:rPr>
  </w:style>
  <w:style w:type="paragraph" w:styleId="6">
    <w:name w:val="heading 2"/>
    <w:basedOn w:val="1"/>
    <w:next w:val="1"/>
    <w:semiHidden/>
    <w:unhideWhenUsed/>
    <w:qFormat/>
    <w:uiPriority w:val="0"/>
    <w:pPr>
      <w:keepNext/>
      <w:keepLines/>
      <w:spacing w:before="260" w:beforeLines="0" w:beforeAutospacing="0" w:after="260" w:afterLines="0" w:afterAutospacing="0" w:line="360" w:lineRule="auto"/>
      <w:jc w:val="center"/>
      <w:outlineLvl w:val="1"/>
    </w:pPr>
    <w:rPr>
      <w:rFonts w:ascii="Arial" w:hAnsi="Arial"/>
      <w:b/>
      <w:sz w:val="24"/>
    </w:rPr>
  </w:style>
  <w:style w:type="paragraph" w:styleId="7">
    <w:name w:val="heading 3"/>
    <w:basedOn w:val="1"/>
    <w:next w:val="1"/>
    <w:semiHidden/>
    <w:unhideWhenUsed/>
    <w:qFormat/>
    <w:uiPriority w:val="0"/>
    <w:pPr>
      <w:keepNext/>
      <w:keepLines/>
      <w:spacing w:before="260" w:beforeLines="0" w:beforeAutospacing="0" w:after="260" w:afterLines="0" w:afterAutospacing="0" w:line="360" w:lineRule="auto"/>
      <w:outlineLvl w:val="2"/>
    </w:pPr>
    <w:rPr>
      <w:b/>
      <w:sz w:val="24"/>
    </w:rPr>
  </w:style>
  <w:style w:type="character" w:default="1" w:styleId="25">
    <w:name w:val="Default Paragraph Font"/>
    <w:semiHidden/>
    <w:qFormat/>
    <w:uiPriority w:val="0"/>
  </w:style>
  <w:style w:type="table" w:default="1" w:styleId="24">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4"/>
    <w:qFormat/>
    <w:uiPriority w:val="0"/>
    <w:pPr>
      <w:widowControl w:val="0"/>
      <w:ind w:firstLine="420" w:firstLineChars="100"/>
      <w:jc w:val="both"/>
    </w:pPr>
    <w:rPr>
      <w:rFonts w:ascii="Calibri" w:hAnsi="Calibri" w:eastAsia="宋体" w:cs="Times New Roman"/>
      <w:sz w:val="21"/>
      <w:szCs w:val="22"/>
    </w:rPr>
  </w:style>
  <w:style w:type="paragraph" w:styleId="3">
    <w:name w:val="Body Text"/>
    <w:basedOn w:val="1"/>
    <w:next w:val="2"/>
    <w:qFormat/>
    <w:uiPriority w:val="0"/>
    <w:pPr>
      <w:spacing w:after="120"/>
    </w:pPr>
    <w:rPr>
      <w:rFonts w:ascii="Times New Roman" w:hAnsi="Times New Roman" w:eastAsia="宋体" w:cs="Times New Roman"/>
      <w:kern w:val="0"/>
      <w:sz w:val="24"/>
      <w:szCs w:val="24"/>
    </w:rPr>
  </w:style>
  <w:style w:type="paragraph" w:styleId="4">
    <w:name w:val="toc 6"/>
    <w:basedOn w:val="1"/>
    <w:next w:val="1"/>
    <w:qFormat/>
    <w:uiPriority w:val="0"/>
    <w:pPr>
      <w:ind w:left="1050"/>
      <w:jc w:val="left"/>
    </w:pPr>
    <w:rPr>
      <w:sz w:val="18"/>
      <w:szCs w:val="18"/>
    </w:rPr>
  </w:style>
  <w:style w:type="paragraph" w:styleId="8">
    <w:name w:val="List Number"/>
    <w:basedOn w:val="1"/>
    <w:qFormat/>
    <w:uiPriority w:val="0"/>
    <w:pPr>
      <w:numPr>
        <w:ilvl w:val="0"/>
        <w:numId w:val="1"/>
      </w:numPr>
    </w:pPr>
  </w:style>
  <w:style w:type="paragraph" w:styleId="9">
    <w:name w:val="Normal Indent"/>
    <w:basedOn w:val="1"/>
    <w:next w:val="1"/>
    <w:qFormat/>
    <w:uiPriority w:val="0"/>
    <w:pPr>
      <w:ind w:firstLine="420"/>
    </w:pPr>
    <w:rPr>
      <w:rFonts w:ascii="Times New Roman" w:hAnsi="Times New Roman" w:eastAsia="宋体" w:cs="Times New Roman"/>
      <w:sz w:val="21"/>
      <w:szCs w:val="21"/>
    </w:rPr>
  </w:style>
  <w:style w:type="paragraph" w:styleId="10">
    <w:name w:val="Body Text Indent"/>
    <w:basedOn w:val="1"/>
    <w:qFormat/>
    <w:uiPriority w:val="0"/>
    <w:pPr>
      <w:spacing w:line="200" w:lineRule="atLeast"/>
      <w:ind w:firstLine="301"/>
    </w:pPr>
    <w:rPr>
      <w:rFonts w:ascii="Times New Roman" w:hAnsi="Times New Roman" w:eastAsia="宋体" w:cs="Times New Roman"/>
      <w:kern w:val="0"/>
      <w:sz w:val="24"/>
      <w:szCs w:val="24"/>
    </w:rPr>
  </w:style>
  <w:style w:type="paragraph" w:styleId="11">
    <w:name w:val="toc 3"/>
    <w:basedOn w:val="1"/>
    <w:next w:val="1"/>
    <w:qFormat/>
    <w:uiPriority w:val="0"/>
    <w:pPr>
      <w:ind w:left="840" w:leftChars="400"/>
    </w:pPr>
  </w:style>
  <w:style w:type="paragraph" w:styleId="12">
    <w:name w:val="Plain Text"/>
    <w:basedOn w:val="1"/>
    <w:next w:val="1"/>
    <w:qFormat/>
    <w:uiPriority w:val="0"/>
    <w:pPr>
      <w:spacing w:beforeLines="50" w:afterLines="50" w:line="400" w:lineRule="atLeast"/>
    </w:pPr>
    <w:rPr>
      <w:rFonts w:ascii="宋体" w:hAnsi="Courier New" w:eastAsia="宋体" w:cs="Times New Roman"/>
      <w:kern w:val="0"/>
      <w:sz w:val="21"/>
      <w:szCs w:val="21"/>
    </w:rPr>
  </w:style>
  <w:style w:type="paragraph" w:styleId="13">
    <w:name w:val="Date"/>
    <w:basedOn w:val="1"/>
    <w:next w:val="1"/>
    <w:qFormat/>
    <w:uiPriority w:val="0"/>
    <w:pPr>
      <w:ind w:left="2500" w:leftChars="2500"/>
    </w:pPr>
    <w:rPr>
      <w:rFonts w:ascii="Times New Roman" w:hAnsi="Times New Roman" w:eastAsia="宋体" w:cs="Times New Roman"/>
      <w:kern w:val="0"/>
      <w:sz w:val="24"/>
      <w:szCs w:val="24"/>
    </w:rPr>
  </w:style>
  <w:style w:type="paragraph" w:styleId="14">
    <w:name w:val="Body Text Indent 2"/>
    <w:basedOn w:val="1"/>
    <w:qFormat/>
    <w:uiPriority w:val="0"/>
    <w:pPr>
      <w:snapToGrid w:val="0"/>
      <w:ind w:firstLine="542" w:firstLineChars="225"/>
    </w:pPr>
    <w:rPr>
      <w:rFonts w:ascii="仿宋_GB2312" w:hAnsi="宋体" w:eastAsia="宋体" w:cs="Times New Roman"/>
      <w:b/>
      <w:bCs/>
      <w:color w:val="000000"/>
      <w:sz w:val="24"/>
      <w:szCs w:val="24"/>
    </w:rPr>
  </w:style>
  <w:style w:type="paragraph" w:styleId="15">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17">
    <w:name w:val="toc 1"/>
    <w:basedOn w:val="1"/>
    <w:next w:val="1"/>
    <w:qFormat/>
    <w:uiPriority w:val="0"/>
    <w:rPr>
      <w:rFonts w:ascii="Times New Roman" w:hAnsi="Times New Roman" w:eastAsia="宋体" w:cs="Times New Roman"/>
      <w:sz w:val="21"/>
      <w:szCs w:val="21"/>
    </w:rPr>
  </w:style>
  <w:style w:type="paragraph" w:styleId="18">
    <w:name w:val="toc 2"/>
    <w:basedOn w:val="1"/>
    <w:next w:val="1"/>
    <w:qFormat/>
    <w:uiPriority w:val="0"/>
    <w:pPr>
      <w:ind w:left="420" w:leftChars="200"/>
    </w:pPr>
    <w:rPr>
      <w:rFonts w:ascii="Times New Roman" w:hAnsi="Times New Roman" w:eastAsia="宋体" w:cs="Times New Roman"/>
    </w:rPr>
  </w:style>
  <w:style w:type="paragraph" w:styleId="19">
    <w:name w:val="Body Text 2"/>
    <w:basedOn w:val="1"/>
    <w:qFormat/>
    <w:uiPriority w:val="0"/>
    <w:pPr>
      <w:widowControl/>
      <w:snapToGrid w:val="0"/>
      <w:spacing w:before="50" w:afterLines="50" w:line="400" w:lineRule="atLeast"/>
      <w:jc w:val="left"/>
    </w:pPr>
    <w:rPr>
      <w:rFonts w:ascii="Times New Roman" w:hAnsi="Times New Roman" w:eastAsia="宋体" w:cs="Times New Roman"/>
      <w:kern w:val="0"/>
      <w:sz w:val="24"/>
      <w:szCs w:val="24"/>
    </w:rPr>
  </w:style>
  <w:style w:type="paragraph" w:styleId="20">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szCs w:val="20"/>
    </w:rPr>
  </w:style>
  <w:style w:type="paragraph" w:styleId="21">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22">
    <w:name w:val="Normal (Web)"/>
    <w:basedOn w:val="1"/>
    <w:qFormat/>
    <w:uiPriority w:val="0"/>
    <w:rPr>
      <w:rFonts w:ascii="Times New Roman" w:hAnsi="Times New Roman" w:eastAsia="宋体" w:cs="Times New Roman"/>
      <w:sz w:val="24"/>
    </w:rPr>
  </w:style>
  <w:style w:type="paragraph" w:styleId="23">
    <w:name w:val="Title"/>
    <w:basedOn w:val="1"/>
    <w:next w:val="1"/>
    <w:qFormat/>
    <w:uiPriority w:val="0"/>
    <w:pPr>
      <w:spacing w:before="240" w:after="60"/>
      <w:jc w:val="center"/>
      <w:outlineLvl w:val="0"/>
    </w:pPr>
    <w:rPr>
      <w:rFonts w:ascii="Cambria" w:hAnsi="Cambria" w:eastAsia="宋体" w:cs="Times New Roman"/>
      <w:b/>
      <w:bCs/>
      <w:sz w:val="32"/>
      <w:szCs w:val="32"/>
    </w:rPr>
  </w:style>
  <w:style w:type="character" w:styleId="26">
    <w:name w:val="page number"/>
    <w:qFormat/>
    <w:uiPriority w:val="0"/>
  </w:style>
  <w:style w:type="character" w:styleId="27">
    <w:name w:val="line number"/>
    <w:qFormat/>
    <w:uiPriority w:val="0"/>
    <w:rPr>
      <w:rFonts w:ascii="Times New Roman" w:hAnsi="Times New Roman" w:eastAsia="宋体" w:cs="Times New Roman"/>
    </w:rPr>
  </w:style>
  <w:style w:type="character" w:styleId="28">
    <w:name w:val="Hyperlink"/>
    <w:qFormat/>
    <w:uiPriority w:val="0"/>
    <w:rPr>
      <w:rFonts w:ascii="Times New Roman" w:hAnsi="Times New Roman" w:eastAsia="宋体" w:cs="Times New Roman"/>
      <w:color w:val="0000FF"/>
      <w:u w:val="single"/>
    </w:rPr>
  </w:style>
  <w:style w:type="paragraph" w:customStyle="1" w:styleId="29">
    <w:name w:val="正文段"/>
    <w:basedOn w:val="1"/>
    <w:qFormat/>
    <w:uiPriority w:val="0"/>
    <w:pPr>
      <w:widowControl/>
      <w:snapToGrid w:val="0"/>
      <w:spacing w:afterLines="50"/>
      <w:ind w:firstLine="200" w:firstLineChars="200"/>
    </w:pPr>
    <w:rPr>
      <w:rFonts w:ascii="Times New Roman" w:hAnsi="Times New Roman" w:eastAsia="宋体" w:cs="Times New Roman"/>
      <w:kern w:val="0"/>
      <w:sz w:val="24"/>
      <w:szCs w:val="24"/>
    </w:rPr>
  </w:style>
  <w:style w:type="paragraph" w:customStyle="1" w:styleId="3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1">
    <w:name w:val="Char"/>
    <w:basedOn w:val="1"/>
    <w:qFormat/>
    <w:uiPriority w:val="0"/>
    <w:rPr>
      <w:rFonts w:ascii="仿宋_GB2312" w:hAnsi="Times New Roman" w:eastAsia="仿宋_GB2312" w:cs="仿宋_GB2312"/>
      <w:b/>
      <w:bCs/>
      <w:sz w:val="32"/>
      <w:szCs w:val="32"/>
    </w:rPr>
  </w:style>
  <w:style w:type="paragraph" w:customStyle="1" w:styleId="32">
    <w:name w:val="p0"/>
    <w:basedOn w:val="1"/>
    <w:qFormat/>
    <w:uiPriority w:val="0"/>
    <w:pPr>
      <w:widowControl/>
    </w:pPr>
    <w:rPr>
      <w:rFonts w:ascii="Times New Roman" w:hAnsi="Times New Roman" w:eastAsia="宋体" w:cs="Times New Roman"/>
      <w:kern w:val="0"/>
      <w:sz w:val="21"/>
      <w:szCs w:val="21"/>
    </w:rPr>
  </w:style>
  <w:style w:type="paragraph" w:customStyle="1" w:styleId="33">
    <w:name w:val="Blockquote"/>
    <w:basedOn w:val="1"/>
    <w:qFormat/>
    <w:uiPriority w:val="0"/>
    <w:pPr>
      <w:autoSpaceDE w:val="0"/>
      <w:autoSpaceDN w:val="0"/>
      <w:adjustRightInd w:val="0"/>
      <w:spacing w:before="100" w:after="100"/>
      <w:ind w:left="360" w:right="360"/>
      <w:jc w:val="left"/>
    </w:pPr>
    <w:rPr>
      <w:kern w:val="0"/>
      <w:sz w:val="24"/>
    </w:rPr>
  </w:style>
  <w:style w:type="paragraph" w:customStyle="1" w:styleId="34">
    <w:name w:val="Plain Text"/>
    <w:basedOn w:val="35"/>
    <w:qFormat/>
    <w:uiPriority w:val="0"/>
    <w:pPr>
      <w:adjustRightInd w:val="0"/>
      <w:textAlignment w:val="baseline"/>
    </w:pPr>
    <w:rPr>
      <w:rFonts w:ascii="宋体" w:hAnsi="Courier New" w:eastAsia="楷体_GB2312" w:cs="Times New Roman"/>
      <w:sz w:val="26"/>
      <w:szCs w:val="20"/>
    </w:rPr>
  </w:style>
  <w:style w:type="paragraph" w:customStyle="1" w:styleId="35">
    <w:name w:val="Normal"/>
    <w:qFormat/>
    <w:uiPriority w:val="0"/>
    <w:pPr>
      <w:widowControl w:val="0"/>
      <w:jc w:val="both"/>
    </w:pPr>
    <w:rPr>
      <w:rFonts w:hint="eastAsia" w:ascii="Times New Roman" w:hAnsi="Times New Roman" w:eastAsia="宋体" w:cs="Times New Roman"/>
      <w:kern w:val="2"/>
      <w:sz w:val="21"/>
      <w:szCs w:val="22"/>
      <w:lang w:val="en-US" w:eastAsia="zh-CN" w:bidi="ar-SA"/>
    </w:rPr>
  </w:style>
  <w:style w:type="paragraph" w:customStyle="1" w:styleId="36">
    <w:name w:val="默认段落字体 Para Char Char Char Char Char Char Char Char Char1 Char Char Char Char"/>
    <w:basedOn w:val="1"/>
    <w:qFormat/>
    <w:uiPriority w:val="0"/>
    <w:rPr>
      <w:rFonts w:ascii="Tahoma" w:hAnsi="Tahoma" w:eastAsia="宋体" w:cs="Tahoma"/>
      <w:sz w:val="24"/>
      <w:szCs w:val="24"/>
    </w:rPr>
  </w:style>
  <w:style w:type="paragraph" w:customStyle="1" w:styleId="37">
    <w:name w:val="xl30"/>
    <w:basedOn w:val="1"/>
    <w:qFormat/>
    <w:uiPriority w:val="0"/>
    <w:pPr>
      <w:widowControl/>
      <w:spacing w:before="100" w:beforeAutospacing="1" w:after="100" w:afterAutospacing="1"/>
      <w:jc w:val="center"/>
    </w:pPr>
    <w:rPr>
      <w:rFonts w:ascii="宋体" w:hAnsi="宋体"/>
      <w:b/>
      <w:bCs/>
      <w:kern w:val="0"/>
      <w:sz w:val="44"/>
      <w:szCs w:val="44"/>
    </w:rPr>
  </w:style>
  <w:style w:type="paragraph" w:customStyle="1" w:styleId="38">
    <w:name w:val="正文缩进2格"/>
    <w:basedOn w:val="1"/>
    <w:qFormat/>
    <w:uiPriority w:val="0"/>
    <w:pPr>
      <w:spacing w:line="600" w:lineRule="exact"/>
      <w:ind w:firstLine="639" w:firstLineChars="206"/>
    </w:pPr>
    <w:rPr>
      <w:rFonts w:ascii="仿宋_GB2312" w:hAnsi="宋体" w:eastAsia="仿宋_GB2312"/>
      <w:sz w:val="31"/>
      <w:szCs w:val="2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88</Pages>
  <Words>228</Words>
  <Characters>262</Characters>
  <Lines>0</Lines>
  <Paragraphs>0</Paragraphs>
  <TotalTime>11</TotalTime>
  <ScaleCrop>false</ScaleCrop>
  <LinksUpToDate>false</LinksUpToDate>
  <CharactersWithSpaces>291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2023-05-15T06:06:00Z</dcterms:created>
  <dc:creator>何何何小红</dc:creator>
  <cp:lastModifiedBy>何何何小红</cp:lastModifiedBy>
  <cp:lastPrinted>2023-06-01T08:37:00Z</cp:lastPrinted>
  <dcterms:modified xsi:type="dcterms:W3CDTF">2025-06-19T08:56:21Z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7C0EA5FB3EF744C9A554AF084D1A8512_11</vt:lpwstr>
  </property>
  <property fmtid="{D5CDD505-2E9C-101B-9397-08002B2CF9AE}" pid="4" name="KSOTemplateDocerSaveRecord">
    <vt:lpwstr>eyJoZGlkIjoiMjcxZjBmZTg1OGU0NjUzZDI0OGJlNjk5ZGZlNTI0MmIiLCJ1c2VySWQiOiIyMjA3MzU0MzcifQ==</vt:lpwstr>
  </property>
</Properties>
</file>