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 xml:space="preserve"> </w:t>
      </w:r>
    </w:p>
    <w:p>
      <w:pPr>
        <w:spacing w:line="360" w:lineRule="auto"/>
        <w:jc w:val="center"/>
        <w:rPr>
          <w:rFonts w:ascii="宋体" w:hAnsi="宋体" w:cs="宋体"/>
          <w:b/>
          <w:color w:val="000000" w:themeColor="text1"/>
          <w:sz w:val="24"/>
          <w:highlight w:val="none"/>
          <w14:textFill>
            <w14:solidFill>
              <w14:schemeClr w14:val="tx1"/>
            </w14:solidFill>
          </w14:textFill>
        </w:rPr>
      </w:pPr>
    </w:p>
    <w:p>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p>
    <w:p>
      <w:pPr>
        <w:spacing w:line="360" w:lineRule="auto"/>
        <w:jc w:val="center"/>
        <w:rPr>
          <w:rFonts w:ascii="宋体" w:hAnsi="宋体" w:cs="宋体"/>
          <w:b/>
          <w:color w:val="000000" w:themeColor="text1"/>
          <w:sz w:val="44"/>
          <w:szCs w:val="44"/>
          <w:highlight w:val="none"/>
          <w14:textFill>
            <w14:solidFill>
              <w14:schemeClr w14:val="tx1"/>
            </w14:solidFill>
          </w14:textFill>
        </w:rPr>
      </w:pPr>
    </w:p>
    <w:p>
      <w:pPr>
        <w:adjustRightInd/>
        <w:spacing w:line="360" w:lineRule="auto"/>
        <w:jc w:val="center"/>
        <w:rPr>
          <w:rFonts w:ascii="宋体" w:hAnsi="宋体" w:cs="宋体"/>
          <w:b/>
          <w:color w:val="000000" w:themeColor="text1"/>
          <w:sz w:val="48"/>
          <w:szCs w:val="48"/>
          <w:highlight w:val="none"/>
          <w14:textFill>
            <w14:solidFill>
              <w14:schemeClr w14:val="tx1"/>
            </w14:solidFill>
          </w14:textFill>
        </w:rPr>
      </w:pPr>
    </w:p>
    <w:p>
      <w:pPr>
        <w:adjustRightInd/>
        <w:spacing w:line="360" w:lineRule="auto"/>
        <w:jc w:val="center"/>
        <w:rPr>
          <w:rFonts w:ascii="宋体" w:hAnsi="宋体" w:cs="宋体"/>
          <w:color w:val="000000" w:themeColor="text1"/>
          <w:sz w:val="48"/>
          <w:szCs w:val="48"/>
          <w:highlight w:val="none"/>
          <w14:textFill>
            <w14:solidFill>
              <w14:schemeClr w14:val="tx1"/>
            </w14:solidFill>
          </w14:textFill>
        </w:rPr>
      </w:pPr>
      <w:r>
        <w:rPr>
          <w:rFonts w:hint="eastAsia" w:ascii="宋体" w:hAnsi="宋体" w:cs="宋体"/>
          <w:color w:val="000000" w:themeColor="text1"/>
          <w:sz w:val="48"/>
          <w:szCs w:val="48"/>
          <w:highlight w:val="none"/>
          <w:lang w:eastAsia="zh-CN"/>
          <w14:textFill>
            <w14:solidFill>
              <w14:schemeClr w14:val="tx1"/>
            </w14:solidFill>
          </w14:textFill>
        </w:rPr>
        <w:t>温州科技馆物业管理服务及设备维保和其他服务项目（重）</w:t>
      </w:r>
      <w:r>
        <w:rPr>
          <w:rFonts w:hint="eastAsia" w:ascii="宋体" w:hAnsi="宋体" w:cs="宋体"/>
          <w:color w:val="000000" w:themeColor="text1"/>
          <w:sz w:val="48"/>
          <w:szCs w:val="48"/>
          <w:highlight w:val="none"/>
          <w:lang w:val="en-US" w:eastAsia="zh-CN"/>
          <w14:textFill>
            <w14:solidFill>
              <w14:schemeClr w14:val="tx1"/>
            </w14:solidFill>
          </w14:textFill>
        </w:rPr>
        <w:t>招标文件</w:t>
      </w:r>
      <w:r>
        <w:rPr>
          <w:rFonts w:hint="eastAsia" w:ascii="宋体" w:hAnsi="宋体" w:cs="宋体"/>
          <w:color w:val="000000" w:themeColor="text1"/>
          <w:sz w:val="48"/>
          <w:szCs w:val="48"/>
          <w:highlight w:val="none"/>
          <w14:textFill>
            <w14:solidFill>
              <w14:schemeClr w14:val="tx1"/>
            </w14:solidFill>
          </w14:textFill>
        </w:rPr>
        <w:t xml:space="preserve"> </w:t>
      </w:r>
    </w:p>
    <w:p>
      <w:pPr>
        <w:adjustRightInd/>
        <w:spacing w:line="360" w:lineRule="auto"/>
        <w:jc w:val="center"/>
        <w:rPr>
          <w:rFonts w:hint="eastAsia" w:ascii="宋体" w:hAnsi="宋体" w:cs="宋体"/>
          <w:color w:val="000000" w:themeColor="text1"/>
          <w:sz w:val="48"/>
          <w:szCs w:val="48"/>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w:t>
      </w:r>
      <w:r>
        <w:rPr>
          <w:rFonts w:hint="eastAsia" w:ascii="宋体" w:hAnsi="宋体" w:cs="宋体"/>
          <w:color w:val="000000" w:themeColor="text1"/>
          <w:sz w:val="48"/>
          <w:szCs w:val="48"/>
          <w:highlight w:val="none"/>
          <w14:textFill>
            <w14:solidFill>
              <w14:schemeClr w14:val="tx1"/>
            </w14:solidFill>
          </w14:textFill>
        </w:rPr>
        <w:t>（</w:t>
      </w:r>
      <w:r>
        <w:rPr>
          <w:rFonts w:hint="eastAsia" w:ascii="宋体" w:hAnsi="宋体" w:cs="宋体"/>
          <w:color w:val="000000" w:themeColor="text1"/>
          <w:sz w:val="48"/>
          <w:szCs w:val="48"/>
          <w:highlight w:val="none"/>
          <w:lang w:val="en-US" w:eastAsia="zh-CN"/>
          <w14:textFill>
            <w14:solidFill>
              <w14:schemeClr w14:val="tx1"/>
            </w14:solidFill>
          </w14:textFill>
        </w:rPr>
        <w:t>电子采购</w:t>
      </w:r>
      <w:r>
        <w:rPr>
          <w:rFonts w:hint="eastAsia" w:ascii="宋体" w:hAnsi="宋体" w:cs="宋体"/>
          <w:color w:val="000000" w:themeColor="text1"/>
          <w:sz w:val="48"/>
          <w:szCs w:val="48"/>
          <w:highlight w:val="none"/>
          <w14:textFill>
            <w14:solidFill>
              <w14:schemeClr w14:val="tx1"/>
            </w14:solidFill>
          </w14:textFill>
        </w:rPr>
        <w:t>）</w:t>
      </w:r>
    </w:p>
    <w:p>
      <w:pPr>
        <w:snapToGrid w:val="0"/>
        <w:spacing w:line="360" w:lineRule="auto"/>
        <w:jc w:val="center"/>
        <w:rPr>
          <w:rFonts w:hint="default" w:ascii="宋体" w:hAnsi="宋体" w:eastAsia="宋体" w:cs="宋体"/>
          <w:color w:val="000000" w:themeColor="text1"/>
          <w:sz w:val="30"/>
          <w:szCs w:val="30"/>
          <w:highlight w:val="none"/>
          <w:lang w:val="en-US" w:eastAsia="zh-CN"/>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编号:</w:t>
      </w:r>
      <w:r>
        <w:rPr>
          <w:rFonts w:hint="eastAsia" w:ascii="宋体" w:hAnsi="宋体" w:cs="宋体"/>
          <w:color w:val="000000" w:themeColor="text1"/>
          <w:sz w:val="30"/>
          <w:szCs w:val="30"/>
          <w:highlight w:val="none"/>
          <w:lang w:val="en-US" w:eastAsia="zh-CN"/>
          <w14:textFill>
            <w14:solidFill>
              <w14:schemeClr w14:val="tx1"/>
            </w14:solidFill>
          </w14:textFill>
        </w:rPr>
        <w:t>Z-GB202507070003YXJ</w:t>
      </w:r>
    </w:p>
    <w:p>
      <w:pPr>
        <w:adjustRightInd/>
        <w:spacing w:line="360" w:lineRule="auto"/>
        <w:rPr>
          <w:rFonts w:ascii="宋体" w:hAnsi="宋体" w:cs="宋体"/>
          <w:color w:val="000000" w:themeColor="text1"/>
          <w:sz w:val="28"/>
          <w:szCs w:val="20"/>
          <w:highlight w:val="none"/>
          <w14:textFill>
            <w14:solidFill>
              <w14:schemeClr w14:val="tx1"/>
            </w14:solidFill>
          </w14:textFill>
        </w:rPr>
      </w:pPr>
    </w:p>
    <w:p>
      <w:pPr>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w:t>
      </w:r>
    </w:p>
    <w:p>
      <w:pPr>
        <w:spacing w:line="360" w:lineRule="auto"/>
        <w:jc w:val="center"/>
        <w:rPr>
          <w:rFonts w:ascii="宋体" w:hAnsi="宋体" w:cs="宋体"/>
          <w:b/>
          <w:color w:val="000000" w:themeColor="text1"/>
          <w:sz w:val="44"/>
          <w:szCs w:val="44"/>
          <w:highlight w:val="none"/>
          <w14:textFill>
            <w14:solidFill>
              <w14:schemeClr w14:val="tx1"/>
            </w14:solidFill>
          </w14:textFill>
        </w:rPr>
      </w:pPr>
    </w:p>
    <w:p>
      <w:pPr>
        <w:spacing w:line="360" w:lineRule="auto"/>
        <w:jc w:val="center"/>
        <w:rPr>
          <w:rFonts w:ascii="宋体" w:hAnsi="宋体" w:cs="宋体"/>
          <w:color w:val="000000" w:themeColor="text1"/>
          <w:sz w:val="24"/>
          <w:highlight w:val="none"/>
          <w14:textFill>
            <w14:solidFill>
              <w14:schemeClr w14:val="tx1"/>
            </w14:solidFill>
          </w14:textFill>
        </w:rPr>
      </w:pPr>
    </w:p>
    <w:p>
      <w:pPr>
        <w:spacing w:line="360" w:lineRule="auto"/>
        <w:jc w:val="center"/>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32"/>
          <w:szCs w:val="32"/>
          <w:highlight w:val="none"/>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cs="宋体"/>
          <w:color w:val="000000" w:themeColor="text1"/>
          <w:sz w:val="32"/>
          <w:szCs w:val="32"/>
          <w:highlight w:val="none"/>
          <w:lang w:eastAsia="zh-CN"/>
          <w14:textFill>
            <w14:solidFill>
              <w14:schemeClr w14:val="tx1"/>
            </w14:solidFill>
          </w14:textFill>
        </w:rPr>
        <w:t xml:space="preserve">温州科技馆 </w:t>
      </w:r>
    </w:p>
    <w:p>
      <w:pPr>
        <w:snapToGrid w:val="0"/>
        <w:spacing w:line="360" w:lineRule="auto"/>
        <w:jc w:val="center"/>
        <w:rPr>
          <w:rFonts w:hint="eastAsia" w:ascii="宋体" w:hAnsi="宋体" w:cs="宋体"/>
          <w:color w:val="000000" w:themeColor="text1"/>
          <w:sz w:val="32"/>
          <w:szCs w:val="32"/>
          <w:highlight w:val="none"/>
          <w:lang w:eastAsia="zh-CN"/>
          <w14:textFill>
            <w14:solidFill>
              <w14:schemeClr w14:val="tx1"/>
            </w14:solidFill>
          </w14:textFill>
        </w:rPr>
      </w:pPr>
      <w:r>
        <w:rPr>
          <w:rFonts w:hint="eastAsia" w:ascii="宋体" w:hAnsi="宋体" w:cs="宋体"/>
          <w:color w:val="000000" w:themeColor="text1"/>
          <w:sz w:val="32"/>
          <w:szCs w:val="32"/>
          <w:highlight w:val="none"/>
          <w:lang w:eastAsia="zh-CN"/>
          <w14:textFill>
            <w14:solidFill>
              <w14:schemeClr w14:val="tx1"/>
            </w14:solidFill>
          </w14:textFill>
        </w:rPr>
        <w:t>温州市政务服务管理中心（温州市政府采购中心）</w:t>
      </w:r>
    </w:p>
    <w:p>
      <w:pPr>
        <w:snapToGrid w:val="0"/>
        <w:spacing w:line="360" w:lineRule="auto"/>
        <w:jc w:val="center"/>
        <w:rPr>
          <w:rFonts w:hint="eastAsia" w:ascii="宋体" w:hAnsi="宋体" w:cs="宋体"/>
          <w:color w:val="000000" w:themeColor="text1"/>
          <w:sz w:val="32"/>
          <w:szCs w:val="32"/>
          <w:highlight w:val="none"/>
          <w:lang w:eastAsia="zh-CN"/>
          <w14:textFill>
            <w14:solidFill>
              <w14:schemeClr w14:val="tx1"/>
            </w14:solidFill>
          </w14:textFill>
        </w:rPr>
      </w:pPr>
      <w:r>
        <w:rPr>
          <w:rFonts w:hint="eastAsia" w:ascii="宋体" w:hAnsi="宋体" w:cs="宋体"/>
          <w:color w:val="000000" w:themeColor="text1"/>
          <w:sz w:val="32"/>
          <w:szCs w:val="32"/>
          <w:highlight w:val="none"/>
          <w:lang w:eastAsia="zh-CN"/>
          <w14:textFill>
            <w14:solidFill>
              <w14:schemeClr w14:val="tx1"/>
            </w14:solidFill>
          </w14:textFill>
        </w:rPr>
        <w:t>二〇</w:t>
      </w:r>
      <w:r>
        <w:rPr>
          <w:rFonts w:hint="eastAsia" w:ascii="宋体" w:hAnsi="宋体" w:cs="宋体"/>
          <w:color w:val="000000" w:themeColor="text1"/>
          <w:sz w:val="32"/>
          <w:szCs w:val="32"/>
          <w:highlight w:val="none"/>
          <w:lang w:val="en-US" w:eastAsia="zh-CN"/>
          <w14:textFill>
            <w14:solidFill>
              <w14:schemeClr w14:val="tx1"/>
            </w14:solidFill>
          </w14:textFill>
        </w:rPr>
        <w:t>二五</w:t>
      </w:r>
      <w:r>
        <w:rPr>
          <w:rFonts w:hint="eastAsia" w:ascii="宋体" w:hAnsi="宋体" w:cs="宋体"/>
          <w:color w:val="000000" w:themeColor="text1"/>
          <w:sz w:val="32"/>
          <w:szCs w:val="32"/>
          <w:highlight w:val="none"/>
          <w:lang w:eastAsia="zh-CN"/>
          <w14:textFill>
            <w14:solidFill>
              <w14:schemeClr w14:val="tx1"/>
            </w14:solidFill>
          </w14:textFill>
        </w:rPr>
        <w:t>年</w:t>
      </w:r>
      <w:r>
        <w:rPr>
          <w:rFonts w:hint="eastAsia" w:ascii="宋体" w:hAnsi="宋体" w:cs="宋体"/>
          <w:color w:val="000000" w:themeColor="text1"/>
          <w:sz w:val="32"/>
          <w:szCs w:val="32"/>
          <w:highlight w:val="none"/>
          <w:lang w:val="en-US" w:eastAsia="zh-CN"/>
          <w14:textFill>
            <w14:solidFill>
              <w14:schemeClr w14:val="tx1"/>
            </w14:solidFill>
          </w14:textFill>
        </w:rPr>
        <w:t>七</w:t>
      </w:r>
      <w:r>
        <w:rPr>
          <w:rFonts w:hint="eastAsia" w:ascii="宋体" w:hAnsi="宋体" w:cs="宋体"/>
          <w:color w:val="000000" w:themeColor="text1"/>
          <w:sz w:val="32"/>
          <w:szCs w:val="32"/>
          <w:highlight w:val="none"/>
          <w:lang w:eastAsia="zh-CN"/>
          <w14:textFill>
            <w14:solidFill>
              <w14:schemeClr w14:val="tx1"/>
            </w14:solidFill>
          </w14:textFill>
        </w:rPr>
        <w:t>月</w:t>
      </w:r>
      <w:r>
        <w:rPr>
          <w:rFonts w:hint="eastAsia" w:ascii="宋体" w:hAnsi="宋体" w:cs="宋体"/>
          <w:color w:val="000000" w:themeColor="text1"/>
          <w:sz w:val="32"/>
          <w:szCs w:val="32"/>
          <w:highlight w:val="none"/>
          <w:lang w:val="en-US" w:eastAsia="zh-CN"/>
          <w14:textFill>
            <w14:solidFill>
              <w14:schemeClr w14:val="tx1"/>
            </w14:solidFill>
          </w14:textFill>
        </w:rPr>
        <w:t>八</w:t>
      </w:r>
      <w:r>
        <w:rPr>
          <w:rFonts w:hint="eastAsia" w:ascii="宋体" w:hAnsi="宋体" w:cs="宋体"/>
          <w:color w:val="000000" w:themeColor="text1"/>
          <w:sz w:val="32"/>
          <w:szCs w:val="32"/>
          <w:highlight w:val="none"/>
          <w:lang w:eastAsia="zh-CN"/>
          <w14:textFill>
            <w14:solidFill>
              <w14:schemeClr w14:val="tx1"/>
            </w14:solidFill>
          </w14:textFill>
        </w:rPr>
        <w:t>日</w:t>
      </w:r>
    </w:p>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bookmarkStart w:id="0" w:name="_Hlt67893495"/>
      <w:bookmarkEnd w:id="0"/>
    </w:p>
    <w:p>
      <w:pPr>
        <w:pStyle w:val="634"/>
        <w:rPr>
          <w:color w:val="000000" w:themeColor="text1"/>
          <w:highlight w:val="none"/>
          <w14:textFill>
            <w14:solidFill>
              <w14:schemeClr w14:val="tx1"/>
            </w14:solidFill>
          </w14:textFill>
        </w:rPr>
      </w:pPr>
    </w:p>
    <w:p>
      <w:pPr>
        <w:spacing w:line="360" w:lineRule="auto"/>
        <w:jc w:val="center"/>
        <w:rPr>
          <w:rFonts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目  录</w:t>
      </w:r>
    </w:p>
    <w:p>
      <w:pPr>
        <w:spacing w:line="360" w:lineRule="auto"/>
        <w:rPr>
          <w:rFonts w:ascii="宋体" w:hAnsi="宋体" w:cs="宋体"/>
          <w:color w:val="000000" w:themeColor="text1"/>
          <w:sz w:val="32"/>
          <w:szCs w:val="32"/>
          <w:highlight w:val="none"/>
          <w14:textFill>
            <w14:solidFill>
              <w14:schemeClr w14:val="tx1"/>
            </w14:solidFill>
          </w14:textFill>
        </w:rPr>
      </w:pPr>
    </w:p>
    <w:p>
      <w:pPr>
        <w:spacing w:line="360" w:lineRule="auto"/>
        <w:rPr>
          <w:rFonts w:ascii="宋体" w:hAnsi="宋体" w:cs="宋体"/>
          <w:color w:val="000000" w:themeColor="text1"/>
          <w:sz w:val="32"/>
          <w:szCs w:val="32"/>
          <w:highlight w:val="none"/>
          <w14:textFill>
            <w14:solidFill>
              <w14:schemeClr w14:val="tx1"/>
            </w14:solidFill>
          </w14:textFill>
        </w:rPr>
      </w:pPr>
    </w:p>
    <w:p>
      <w:pPr>
        <w:spacing w:line="360" w:lineRule="auto"/>
        <w:ind w:firstLine="1280" w:firstLineChars="400"/>
        <w:rPr>
          <w:rFonts w:hint="default" w:ascii="宋体" w:hAnsi="宋体" w:eastAsia="宋体" w:cs="宋体"/>
          <w:color w:val="000000" w:themeColor="text1"/>
          <w:sz w:val="32"/>
          <w:szCs w:val="32"/>
          <w:highlight w:val="none"/>
          <w:lang w:val="en-US" w:eastAsia="zh-CN"/>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第一部分      招标公告</w:t>
      </w:r>
    </w:p>
    <w:p>
      <w:pPr>
        <w:spacing w:line="360" w:lineRule="auto"/>
        <w:ind w:firstLine="1280" w:firstLineChars="400"/>
        <w:rPr>
          <w:rFonts w:hint="default" w:ascii="宋体" w:hAnsi="宋体" w:eastAsia="宋体" w:cs="宋体"/>
          <w:color w:val="000000" w:themeColor="text1"/>
          <w:sz w:val="32"/>
          <w:szCs w:val="32"/>
          <w:highlight w:val="none"/>
          <w:lang w:val="en-US" w:eastAsia="zh-CN"/>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第二部分      投标人须知</w:t>
      </w:r>
    </w:p>
    <w:p>
      <w:pPr>
        <w:spacing w:line="360" w:lineRule="auto"/>
        <w:ind w:firstLine="1280" w:firstLineChars="400"/>
        <w:rPr>
          <w:rFonts w:hint="default" w:ascii="宋体" w:hAnsi="宋体" w:eastAsia="宋体" w:cs="宋体"/>
          <w:color w:val="000000" w:themeColor="text1"/>
          <w:sz w:val="32"/>
          <w:szCs w:val="32"/>
          <w:highlight w:val="none"/>
          <w:lang w:val="en-US" w:eastAsia="zh-CN"/>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第三部分      采购需求</w:t>
      </w:r>
    </w:p>
    <w:p>
      <w:pPr>
        <w:spacing w:line="360" w:lineRule="auto"/>
        <w:ind w:firstLine="1280" w:firstLineChars="400"/>
        <w:rPr>
          <w:rFonts w:hint="default" w:ascii="宋体" w:hAnsi="宋体" w:eastAsia="宋体" w:cs="宋体"/>
          <w:color w:val="000000" w:themeColor="text1"/>
          <w:sz w:val="32"/>
          <w:szCs w:val="32"/>
          <w:highlight w:val="none"/>
          <w:lang w:val="en-US" w:eastAsia="zh-CN"/>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第四部分      评标办法</w:t>
      </w:r>
    </w:p>
    <w:p>
      <w:pPr>
        <w:spacing w:line="360" w:lineRule="auto"/>
        <w:ind w:firstLine="1280" w:firstLineChars="400"/>
        <w:rPr>
          <w:rFonts w:hint="default" w:ascii="宋体" w:hAnsi="宋体" w:eastAsia="宋体" w:cs="宋体"/>
          <w:color w:val="000000" w:themeColor="text1"/>
          <w:sz w:val="32"/>
          <w:szCs w:val="32"/>
          <w:highlight w:val="none"/>
          <w:lang w:val="en-US" w:eastAsia="zh-CN"/>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第五部分      拟签订的合同文本</w:t>
      </w:r>
    </w:p>
    <w:p>
      <w:pPr>
        <w:spacing w:line="360" w:lineRule="auto"/>
        <w:ind w:firstLine="1280" w:firstLineChars="400"/>
        <w:rPr>
          <w:rFonts w:hint="default" w:ascii="宋体" w:hAnsi="宋体" w:eastAsia="宋体" w:cs="宋体"/>
          <w:color w:val="000000" w:themeColor="text1"/>
          <w:sz w:val="32"/>
          <w:szCs w:val="32"/>
          <w:highlight w:val="none"/>
          <w:lang w:val="en-US" w:eastAsia="zh-CN"/>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第六部分      应提交的有关格式范例</w:t>
      </w: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bookmarkStart w:id="1" w:name="_Hlt91233176"/>
      <w:bookmarkEnd w:id="1"/>
      <w:bookmarkStart w:id="2" w:name="_Toc91899869"/>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560" w:lineRule="exact"/>
        <w:ind w:left="567" w:leftChars="270" w:right="565" w:rightChars="269" w:firstLine="424" w:firstLineChars="202"/>
        <w:rPr>
          <w:rFonts w:hint="eastAsia" w:ascii="楷体" w:hAnsi="楷体" w:eastAsia="楷体"/>
          <w:bCs/>
          <w:color w:val="000000" w:themeColor="text1"/>
          <w:szCs w:val="21"/>
          <w:highlight w:val="none"/>
          <w:u w:val="single"/>
          <w14:textFill>
            <w14:solidFill>
              <w14:schemeClr w14:val="tx1"/>
            </w14:solidFill>
          </w14:textFill>
        </w:rPr>
      </w:pPr>
    </w:p>
    <w:p>
      <w:pPr>
        <w:spacing w:line="560" w:lineRule="exact"/>
        <w:ind w:left="567" w:leftChars="270" w:right="565" w:rightChars="269" w:firstLine="424" w:firstLineChars="202"/>
        <w:rPr>
          <w:rFonts w:hint="eastAsia" w:ascii="楷体" w:hAnsi="楷体" w:eastAsia="楷体"/>
          <w:bCs/>
          <w:color w:val="000000" w:themeColor="text1"/>
          <w:szCs w:val="21"/>
          <w:highlight w:val="none"/>
          <w:u w:val="single"/>
          <w14:textFill>
            <w14:solidFill>
              <w14:schemeClr w14:val="tx1"/>
            </w14:solidFill>
          </w14:textFill>
        </w:rPr>
      </w:pPr>
    </w:p>
    <w:p>
      <w:pPr>
        <w:spacing w:line="560" w:lineRule="exact"/>
        <w:ind w:left="567" w:leftChars="270" w:right="565" w:rightChars="269" w:firstLine="424" w:firstLineChars="202"/>
        <w:rPr>
          <w:rFonts w:ascii="宋体" w:hAnsi="宋体"/>
          <w:b/>
          <w:bCs/>
          <w:color w:val="000000" w:themeColor="text1"/>
          <w:szCs w:val="21"/>
          <w:highlight w:val="none"/>
          <w14:textFill>
            <w14:solidFill>
              <w14:schemeClr w14:val="tx1"/>
            </w14:solidFill>
          </w14:textFill>
        </w:rPr>
      </w:pPr>
      <w:r>
        <w:rPr>
          <w:rFonts w:hint="eastAsia" w:ascii="楷体" w:hAnsi="楷体" w:eastAsia="楷体"/>
          <w:bCs/>
          <w:color w:val="000000" w:themeColor="text1"/>
          <w:szCs w:val="21"/>
          <w:highlight w:val="none"/>
          <w:u w:val="single"/>
          <w14:textFill>
            <w14:solidFill>
              <w14:schemeClr w14:val="tx1"/>
            </w14:solidFill>
          </w14:textFill>
        </w:rPr>
        <w:t>注：▲</w:t>
      </w:r>
      <w:r>
        <w:rPr>
          <w:rFonts w:hint="eastAsia" w:ascii="楷体" w:hAnsi="楷体" w:eastAsia="楷体"/>
          <w:bCs/>
          <w:color w:val="000000" w:themeColor="text1"/>
          <w:szCs w:val="21"/>
          <w:highlight w:val="none"/>
          <w:u w:val="single"/>
          <w:lang w:val="en-US" w:eastAsia="zh-CN"/>
          <w14:textFill>
            <w14:solidFill>
              <w14:schemeClr w14:val="tx1"/>
            </w14:solidFill>
          </w14:textFill>
        </w:rPr>
        <w:t>招标文件</w:t>
      </w:r>
      <w:r>
        <w:rPr>
          <w:rFonts w:hint="eastAsia" w:ascii="楷体" w:hAnsi="楷体" w:eastAsia="楷体"/>
          <w:bCs/>
          <w:color w:val="000000" w:themeColor="text1"/>
          <w:szCs w:val="21"/>
          <w:highlight w:val="none"/>
          <w:u w:val="single"/>
          <w14:textFill>
            <w14:solidFill>
              <w14:schemeClr w14:val="tx1"/>
            </w14:solidFill>
          </w14:textFill>
        </w:rPr>
        <w:t>中标“▲”且加下划线部分，为</w:t>
      </w:r>
      <w:r>
        <w:rPr>
          <w:rFonts w:hint="eastAsia" w:ascii="楷体" w:hAnsi="楷体" w:eastAsia="楷体"/>
          <w:bCs/>
          <w:color w:val="000000" w:themeColor="text1"/>
          <w:szCs w:val="21"/>
          <w:highlight w:val="none"/>
          <w:u w:val="single"/>
          <w:lang w:val="en-US" w:eastAsia="zh-CN"/>
          <w14:textFill>
            <w14:solidFill>
              <w14:schemeClr w14:val="tx1"/>
            </w14:solidFill>
          </w14:textFill>
        </w:rPr>
        <w:t>招标</w:t>
      </w:r>
      <w:r>
        <w:rPr>
          <w:rFonts w:hint="eastAsia" w:ascii="楷体" w:hAnsi="楷体" w:eastAsia="楷体"/>
          <w:bCs/>
          <w:color w:val="000000" w:themeColor="text1"/>
          <w:szCs w:val="21"/>
          <w:highlight w:val="none"/>
          <w:u w:val="single"/>
          <w14:textFill>
            <w14:solidFill>
              <w14:schemeClr w14:val="tx1"/>
            </w14:solidFill>
          </w14:textFill>
        </w:rPr>
        <w:t>的实质性要求，着重提醒各</w:t>
      </w:r>
      <w:r>
        <w:rPr>
          <w:rFonts w:hint="eastAsia" w:ascii="楷体" w:hAnsi="楷体" w:eastAsia="楷体"/>
          <w:bCs/>
          <w:color w:val="000000" w:themeColor="text1"/>
          <w:szCs w:val="21"/>
          <w:highlight w:val="none"/>
          <w:u w:val="single"/>
          <w:lang w:val="en-US" w:eastAsia="zh-CN"/>
          <w14:textFill>
            <w14:solidFill>
              <w14:schemeClr w14:val="tx1"/>
            </w14:solidFill>
          </w14:textFill>
        </w:rPr>
        <w:t>投标人</w:t>
      </w:r>
      <w:r>
        <w:rPr>
          <w:rFonts w:hint="eastAsia" w:ascii="楷体" w:hAnsi="楷体" w:eastAsia="楷体"/>
          <w:bCs/>
          <w:color w:val="000000" w:themeColor="text1"/>
          <w:szCs w:val="21"/>
          <w:highlight w:val="none"/>
          <w:u w:val="single"/>
          <w14:textFill>
            <w14:solidFill>
              <w14:schemeClr w14:val="tx1"/>
            </w14:solidFill>
          </w14:textFill>
        </w:rPr>
        <w:t>必须响应。各</w:t>
      </w:r>
      <w:r>
        <w:rPr>
          <w:rFonts w:hint="eastAsia" w:ascii="楷体" w:hAnsi="楷体" w:eastAsia="楷体"/>
          <w:bCs/>
          <w:color w:val="000000" w:themeColor="text1"/>
          <w:szCs w:val="21"/>
          <w:highlight w:val="none"/>
          <w:u w:val="single"/>
          <w:lang w:val="en-US" w:eastAsia="zh-CN"/>
          <w14:textFill>
            <w14:solidFill>
              <w14:schemeClr w14:val="tx1"/>
            </w14:solidFill>
          </w14:textFill>
        </w:rPr>
        <w:t>投标人</w:t>
      </w:r>
      <w:r>
        <w:rPr>
          <w:rFonts w:hint="eastAsia" w:ascii="楷体" w:hAnsi="楷体" w:eastAsia="楷体"/>
          <w:bCs/>
          <w:color w:val="000000" w:themeColor="text1"/>
          <w:szCs w:val="21"/>
          <w:highlight w:val="none"/>
          <w:u w:val="single"/>
          <w14:textFill>
            <w14:solidFill>
              <w14:schemeClr w14:val="tx1"/>
            </w14:solidFill>
          </w14:textFill>
        </w:rPr>
        <w:t>必须认真阅读和理解</w:t>
      </w:r>
      <w:r>
        <w:rPr>
          <w:rFonts w:hint="eastAsia" w:ascii="楷体" w:hAnsi="楷体" w:eastAsia="楷体"/>
          <w:bCs/>
          <w:color w:val="000000" w:themeColor="text1"/>
          <w:szCs w:val="21"/>
          <w:highlight w:val="none"/>
          <w:u w:val="single"/>
          <w:lang w:val="en-US" w:eastAsia="zh-CN"/>
          <w14:textFill>
            <w14:solidFill>
              <w14:schemeClr w14:val="tx1"/>
            </w14:solidFill>
          </w14:textFill>
        </w:rPr>
        <w:t>招标文件</w:t>
      </w:r>
      <w:r>
        <w:rPr>
          <w:rFonts w:hint="eastAsia" w:ascii="楷体" w:hAnsi="楷体" w:eastAsia="楷体"/>
          <w:bCs/>
          <w:color w:val="000000" w:themeColor="text1"/>
          <w:szCs w:val="21"/>
          <w:highlight w:val="none"/>
          <w:u w:val="single"/>
          <w14:textFill>
            <w14:solidFill>
              <w14:schemeClr w14:val="tx1"/>
            </w14:solidFill>
          </w14:textFill>
        </w:rPr>
        <w:t>中的每一个条款及要求，因误读</w:t>
      </w:r>
      <w:r>
        <w:rPr>
          <w:rFonts w:hint="eastAsia" w:ascii="楷体" w:hAnsi="楷体" w:eastAsia="楷体"/>
          <w:bCs/>
          <w:color w:val="000000" w:themeColor="text1"/>
          <w:szCs w:val="21"/>
          <w:highlight w:val="none"/>
          <w:u w:val="single"/>
          <w:lang w:val="en-US" w:eastAsia="zh-CN"/>
          <w14:textFill>
            <w14:solidFill>
              <w14:schemeClr w14:val="tx1"/>
            </w14:solidFill>
          </w14:textFill>
        </w:rPr>
        <w:t>招标文件</w:t>
      </w:r>
      <w:r>
        <w:rPr>
          <w:rFonts w:hint="eastAsia" w:ascii="楷体" w:hAnsi="楷体" w:eastAsia="楷体"/>
          <w:bCs/>
          <w:color w:val="000000" w:themeColor="text1"/>
          <w:szCs w:val="21"/>
          <w:highlight w:val="none"/>
          <w:u w:val="single"/>
          <w14:textFill>
            <w14:solidFill>
              <w14:schemeClr w14:val="tx1"/>
            </w14:solidFill>
          </w14:textFill>
        </w:rPr>
        <w:t>而造成的后果，采购人及采</w:t>
      </w:r>
      <w:r>
        <w:rPr>
          <w:rFonts w:hint="eastAsia" w:ascii="楷体" w:hAnsi="楷体" w:eastAsia="楷体"/>
          <w:bCs/>
          <w:color w:val="000000" w:themeColor="text1"/>
          <w:szCs w:val="21"/>
          <w:highlight w:val="none"/>
          <w:u w:val="single"/>
          <w:lang w:val="en-US" w:eastAsia="zh-CN"/>
          <w14:textFill>
            <w14:solidFill>
              <w14:schemeClr w14:val="tx1"/>
            </w14:solidFill>
          </w14:textFill>
        </w:rPr>
        <w:t>购代理</w:t>
      </w:r>
      <w:r>
        <w:rPr>
          <w:rFonts w:hint="eastAsia" w:ascii="楷体" w:hAnsi="楷体" w:eastAsia="楷体"/>
          <w:bCs/>
          <w:color w:val="000000" w:themeColor="text1"/>
          <w:szCs w:val="21"/>
          <w:highlight w:val="none"/>
          <w:u w:val="single"/>
          <w14:textFill>
            <w14:solidFill>
              <w14:schemeClr w14:val="tx1"/>
            </w14:solidFill>
          </w14:textFill>
        </w:rPr>
        <w:t>机构概不负责。</w:t>
      </w: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bookmarkEnd w:id="2"/>
    <w:p>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bookmarkStart w:id="3" w:name="_Hlt74649545"/>
      <w:bookmarkEnd w:id="3"/>
      <w:bookmarkStart w:id="4" w:name="_Hlt74728647"/>
      <w:bookmarkEnd w:id="4"/>
      <w:bookmarkStart w:id="5" w:name="_Hlt74707423"/>
      <w:bookmarkEnd w:id="5"/>
      <w:bookmarkStart w:id="6" w:name="_Hlt74729822"/>
      <w:bookmarkEnd w:id="6"/>
      <w:bookmarkStart w:id="7" w:name="第二部分"/>
      <w:bookmarkStart w:id="8" w:name="_Toc91899870"/>
      <w:bookmarkStart w:id="9" w:name="_Toc91899871"/>
      <w:r>
        <w:rPr>
          <w:rFonts w:hint="eastAsia" w:ascii="宋体" w:hAnsi="宋体" w:cs="宋体"/>
          <w:b/>
          <w:color w:val="000000" w:themeColor="text1"/>
          <w:sz w:val="36"/>
          <w:szCs w:val="20"/>
          <w:highlight w:val="none"/>
          <w14:textFill>
            <w14:solidFill>
              <w14:schemeClr w14:val="tx1"/>
            </w14:solidFill>
          </w14:textFill>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none"/>
          <w:lang w:eastAsia="zh-CN"/>
          <w14:textFill>
            <w14:solidFill>
              <w14:schemeClr w14:val="tx1"/>
            </w14:solidFill>
          </w14:textFill>
        </w:rPr>
        <w:t>温州科技馆物业管理服务及设备维保和其他服务项目（重）</w:t>
      </w:r>
      <w:r>
        <w:rPr>
          <w:rFonts w:hint="eastAsia" w:ascii="宋体" w:hAnsi="宋体" w:cs="宋体"/>
          <w:color w:val="000000" w:themeColor="text1"/>
          <w:sz w:val="24"/>
          <w:highlight w:val="none"/>
          <w14:textFill>
            <w14:solidFill>
              <w14:schemeClr w14:val="tx1"/>
            </w14:solidFill>
          </w14:textFill>
        </w:rPr>
        <w:t>招标项目的潜在投标人应在政采云平台（</w:t>
      </w:r>
      <w:r>
        <w:rPr>
          <w:rFonts w:hint="eastAsia" w:ascii="宋体" w:hAnsi="宋体" w:cs="宋体"/>
          <w:color w:val="000000" w:themeColor="text1"/>
          <w:sz w:val="24"/>
          <w:highlight w:val="none"/>
          <w14:textFill>
            <w14:solidFill>
              <w14:schemeClr w14:val="tx1"/>
            </w14:solidFill>
          </w14:textFill>
        </w:rPr>
        <w:fldChar w:fldCharType="begin"/>
      </w:r>
      <w:r>
        <w:rPr>
          <w:rFonts w:hint="eastAsia" w:ascii="宋体" w:hAnsi="宋体" w:cs="宋体"/>
          <w:color w:val="000000" w:themeColor="text1"/>
          <w:sz w:val="24"/>
          <w:highlight w:val="none"/>
          <w14:textFill>
            <w14:solidFill>
              <w14:schemeClr w14:val="tx1"/>
            </w14:solidFill>
          </w14:textFill>
        </w:rPr>
        <w:instrText xml:space="preserve"> HYPERLINK "https://www.zcygov.cn/）获取（下载）招标文件，并于202%20年%20月%20日%20点%20分00秒" </w:instrText>
      </w:r>
      <w:r>
        <w:rPr>
          <w:rFonts w:hint="eastAsia"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https://www.zcygov.cn/）获取（下载）招标文件，并于</w:t>
      </w:r>
      <w:r>
        <w:rPr>
          <w:rFonts w:hint="eastAsia" w:ascii="宋体" w:hAnsi="宋体" w:cs="宋体"/>
          <w:color w:val="000000" w:themeColor="text1"/>
          <w:sz w:val="24"/>
          <w:highlight w:val="none"/>
          <w:u w:val="single"/>
          <w:lang w:eastAsia="zh-CN"/>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lang w:eastAsia="zh-CN"/>
          <w14:textFill>
            <w14:solidFill>
              <w14:schemeClr w14:val="tx1"/>
            </w14:solidFill>
          </w14:textFill>
        </w:rPr>
        <w:t xml:space="preserve"> 年</w:t>
      </w:r>
      <w:r>
        <w:rPr>
          <w:rFonts w:hint="eastAsia" w:ascii="宋体" w:hAnsi="宋体" w:cs="宋体"/>
          <w:color w:val="000000" w:themeColor="text1"/>
          <w:sz w:val="24"/>
          <w:highlight w:val="none"/>
          <w:u w:val="single"/>
          <w:lang w:val="en-US" w:eastAsia="zh-CN"/>
          <w14:textFill>
            <w14:solidFill>
              <w14:schemeClr w14:val="tx1"/>
            </w14:solidFill>
          </w14:textFill>
        </w:rPr>
        <w:t>7</w:t>
      </w:r>
      <w:r>
        <w:rPr>
          <w:rFonts w:hint="eastAsia" w:ascii="宋体" w:hAnsi="宋体" w:cs="宋体"/>
          <w:color w:val="000000" w:themeColor="text1"/>
          <w:sz w:val="24"/>
          <w:highlight w:val="none"/>
          <w:u w:val="single"/>
          <w:lang w:eastAsia="zh-CN"/>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31</w:t>
      </w:r>
      <w:r>
        <w:rPr>
          <w:rFonts w:hint="eastAsia" w:ascii="宋体" w:hAnsi="宋体" w:cs="宋体"/>
          <w:color w:val="000000" w:themeColor="text1"/>
          <w:sz w:val="24"/>
          <w:highlight w:val="none"/>
          <w:u w:val="single"/>
          <w:lang w:eastAsia="zh-CN"/>
          <w14:textFill>
            <w14:solidFill>
              <w14:schemeClr w14:val="tx1"/>
            </w14:solidFill>
          </w14:textFill>
        </w:rPr>
        <w:t xml:space="preserve"> 日 09点 00分</w:t>
      </w:r>
      <w:r>
        <w:rPr>
          <w:rFonts w:hint="eastAsia" w:ascii="宋体" w:hAnsi="宋体" w:cs="宋体"/>
          <w:color w:val="000000" w:themeColor="text1"/>
          <w:sz w:val="24"/>
          <w:highlight w:val="none"/>
          <w:u w:val="single"/>
          <w14:textFill>
            <w14:solidFill>
              <w14:schemeClr w14:val="tx1"/>
            </w14:solidFill>
          </w14:textFill>
        </w:rPr>
        <w:t>00秒</w:t>
      </w:r>
      <w:r>
        <w:rPr>
          <w:rFonts w:hint="eastAsia" w:ascii="宋体" w:hAnsi="宋体" w:cs="宋体"/>
          <w:color w:val="000000" w:themeColor="text1"/>
          <w:sz w:val="24"/>
          <w:highlight w:val="none"/>
          <w14:textFill>
            <w14:solidFill>
              <w14:schemeClr w14:val="tx1"/>
            </w14:solidFill>
          </w14:textFill>
        </w:rPr>
        <w:fldChar w:fldCharType="end"/>
      </w:r>
      <w:bookmarkStart w:id="524" w:name="_GoBack"/>
      <w:bookmarkEnd w:id="524"/>
      <w:r>
        <w:rPr>
          <w:rFonts w:hint="eastAsia" w:ascii="宋体" w:hAnsi="宋体" w:cs="宋体"/>
          <w:color w:val="000000" w:themeColor="text1"/>
          <w:sz w:val="24"/>
          <w:highlight w:val="none"/>
          <w14:textFill>
            <w14:solidFill>
              <w14:schemeClr w14:val="tx1"/>
            </w14:solidFill>
          </w14:textFill>
        </w:rPr>
        <w:t>（北京时间）前递交（上传）投标文件。</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一、项目基本情况                                            </w:t>
      </w:r>
    </w:p>
    <w:p>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Z-GB202507070003YXJ</w:t>
      </w:r>
    </w:p>
    <w:p>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项目名称：</w:t>
      </w:r>
      <w:r>
        <w:rPr>
          <w:rFonts w:hint="eastAsia" w:ascii="宋体" w:hAnsi="宋体" w:cs="宋体"/>
          <w:color w:val="000000" w:themeColor="text1"/>
          <w:sz w:val="24"/>
          <w:highlight w:val="none"/>
          <w:lang w:eastAsia="zh-CN"/>
          <w14:textFill>
            <w14:solidFill>
              <w14:schemeClr w14:val="tx1"/>
            </w14:solidFill>
          </w14:textFill>
        </w:rPr>
        <w:t>温州科技馆物业管理服务及设备维保和其他服务项目（重）</w:t>
      </w:r>
    </w:p>
    <w:p>
      <w:pPr>
        <w:spacing w:line="360" w:lineRule="auto"/>
        <w:ind w:firstLine="480"/>
        <w:rPr>
          <w:rFonts w:hint="default" w:ascii="宋体" w:hAnsi="宋体" w:cs="宋体"/>
          <w:color w:val="000000" w:themeColor="text1"/>
          <w:sz w:val="24"/>
          <w:highlight w:val="none"/>
          <w:lang w:val="en-US"/>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预算金额（元）：</w:t>
      </w:r>
      <w:r>
        <w:rPr>
          <w:rFonts w:hint="eastAsia" w:ascii="宋体" w:hAnsi="宋体" w:cs="宋体"/>
          <w:color w:val="000000" w:themeColor="text1"/>
          <w:sz w:val="24"/>
          <w:highlight w:val="none"/>
          <w:lang w:val="en-US" w:eastAsia="zh-CN"/>
          <w14:textFill>
            <w14:solidFill>
              <w14:schemeClr w14:val="tx1"/>
            </w14:solidFill>
          </w14:textFill>
        </w:rPr>
        <w:t>2637600</w:t>
      </w:r>
    </w:p>
    <w:p>
      <w:pPr>
        <w:spacing w:line="360" w:lineRule="auto"/>
        <w:ind w:firstLine="48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最高限价（元）：</w:t>
      </w:r>
      <w:r>
        <w:rPr>
          <w:rFonts w:hint="eastAsia" w:ascii="宋体" w:hAnsi="宋体" w:cs="宋体"/>
          <w:color w:val="000000" w:themeColor="text1"/>
          <w:sz w:val="24"/>
          <w:highlight w:val="none"/>
          <w:lang w:val="en-US" w:eastAsia="zh-CN"/>
          <w14:textFill>
            <w14:solidFill>
              <w14:schemeClr w14:val="tx1"/>
            </w14:solidFill>
          </w14:textFill>
        </w:rPr>
        <w:t>2637600</w:t>
      </w:r>
    </w:p>
    <w:p>
      <w:pPr>
        <w:keepNext w:val="0"/>
        <w:keepLines w:val="0"/>
        <w:pageBreakBefore w:val="0"/>
        <w:kinsoku/>
        <w:wordWrap/>
        <w:overflowPunct/>
        <w:topLinePunct w:val="0"/>
        <w:autoSpaceDE/>
        <w:autoSpaceDN/>
        <w:bidi w:val="0"/>
        <w:snapToGrid/>
        <w:spacing w:line="240" w:lineRule="auto"/>
        <w:ind w:firstLine="482" w:firstLineChars="200"/>
        <w:textAlignment w:val="auto"/>
        <w:rPr>
          <w:rFonts w:hint="eastAsia"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采购需求：</w:t>
      </w:r>
    </w:p>
    <w:p>
      <w:pPr>
        <w:keepNext w:val="0"/>
        <w:keepLines w:val="0"/>
        <w:pageBreakBefore w:val="0"/>
        <w:kinsoku/>
        <w:wordWrap/>
        <w:overflowPunct/>
        <w:topLinePunct w:val="0"/>
        <w:autoSpaceDE/>
        <w:autoSpaceDN/>
        <w:bidi w:val="0"/>
        <w:snapToGrid/>
        <w:spacing w:line="240" w:lineRule="auto"/>
        <w:ind w:firstLine="480" w:firstLineChars="200"/>
        <w:textAlignment w:val="auto"/>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pPr>
      <w:r>
        <w:rPr>
          <w:rFonts w:hint="eastAsia" w:hAnsi="宋体" w:cs="宋体"/>
          <w:bCs/>
          <w:snapToGrid/>
          <w:color w:val="000000" w:themeColor="text1"/>
          <w:kern w:val="2"/>
          <w:sz w:val="24"/>
          <w:szCs w:val="24"/>
          <w:highlight w:val="none"/>
          <w:lang w:val="en-US" w:eastAsia="zh-CN"/>
          <w14:textFill>
            <w14:solidFill>
              <w14:schemeClr w14:val="tx1"/>
            </w14:solidFill>
          </w14:textFill>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240" w:lineRule="auto"/>
        <w:ind w:left="0" w:right="0" w:firstLine="0"/>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 xml:space="preserve">   标项</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名称: 温州科技馆物业管理服务及设备维保和其他服务项目（重）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240" w:lineRule="auto"/>
        <w:ind w:left="0" w:right="0" w:firstLine="0"/>
        <w:textAlignment w:val="auto"/>
        <w:rPr>
          <w:rFonts w:hint="eastAsia" w:eastAsia="宋体" w:cs="宋体"/>
          <w:color w:val="000000" w:themeColor="text1"/>
          <w:highlight w:val="none"/>
          <w:lang w:val="en-US" w:eastAsia="zh-CN"/>
          <w14:textFill>
            <w14:solidFill>
              <w14:schemeClr w14:val="tx1"/>
            </w14:solidFill>
          </w14:textFill>
        </w:rPr>
      </w:pPr>
      <w:r>
        <w:rPr>
          <w:rFonts w:cs="宋体"/>
          <w:color w:val="000000" w:themeColor="text1"/>
          <w:highlight w:val="none"/>
          <w14:textFill>
            <w14:solidFill>
              <w14:schemeClr w14:val="tx1"/>
            </w14:solidFill>
          </w14:textFill>
        </w:rPr>
        <w:t>   </w:t>
      </w: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 xml:space="preserve"> 数量:12个月</w:t>
      </w: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   预算金额（元）:2637600</w:t>
      </w:r>
    </w:p>
    <w:p>
      <w:pPr>
        <w:keepNext w:val="0"/>
        <w:keepLines w:val="0"/>
        <w:pageBreakBefore w:val="0"/>
        <w:kinsoku/>
        <w:wordWrap/>
        <w:overflowPunct/>
        <w:topLinePunct w:val="0"/>
        <w:autoSpaceDE/>
        <w:autoSpaceDN/>
        <w:bidi w:val="0"/>
        <w:snapToGrid/>
        <w:spacing w:line="240" w:lineRule="auto"/>
        <w:ind w:firstLine="480" w:firstLineChars="20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简要规格描述或项目基本概况介绍、用途：</w:t>
      </w:r>
      <w:r>
        <w:rPr>
          <w:rFonts w:hint="eastAsia" w:ascii="宋体" w:hAnsi="宋体" w:eastAsia="宋体" w:cs="宋体"/>
          <w:color w:val="000000" w:themeColor="text1"/>
          <w:kern w:val="0"/>
          <w:sz w:val="24"/>
          <w:highlight w:val="none"/>
          <w14:textFill>
            <w14:solidFill>
              <w14:schemeClr w14:val="tx1"/>
            </w14:solidFill>
          </w14:textFill>
        </w:rPr>
        <w:t xml:space="preserve">本项目为非预留份额的采购项目，所属行业为物业管理。温州科技馆范围内（包含附属办公楼中科技馆权属范围物业、公用设施分摊及科技馆权属馆外设备设施）物业管理服务，包括安保（含消控）服务、绿化、保洁服务及设备维保服务和其他服务。具体以招标文件第三部分采购需求为准，供应商可点击本公告下方“浏览采购文件”查看采购需求。 </w:t>
      </w:r>
    </w:p>
    <w:p>
      <w:pPr>
        <w:pStyle w:val="58"/>
        <w:keepNext w:val="0"/>
        <w:keepLines w:val="0"/>
        <w:pageBreakBefore w:val="0"/>
        <w:widowControl/>
        <w:kinsoku/>
        <w:wordWrap/>
        <w:overflowPunct/>
        <w:topLinePunct w:val="0"/>
        <w:autoSpaceDE/>
        <w:autoSpaceDN/>
        <w:bidi w:val="0"/>
        <w:adjustRightInd w:val="0"/>
        <w:snapToGrid/>
        <w:spacing w:line="240" w:lineRule="auto"/>
        <w:textAlignment w:val="auto"/>
        <w:rPr>
          <w:rFonts w:cs="宋体"/>
          <w:color w:val="000000" w:themeColor="text1"/>
          <w:highlight w:val="none"/>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 xml:space="preserve"> </w:t>
      </w:r>
      <w:r>
        <w:rPr>
          <w:rFonts w:cs="宋体"/>
          <w:color w:val="000000" w:themeColor="text1"/>
          <w:highlight w:val="none"/>
          <w14:textFill>
            <w14:solidFill>
              <w14:schemeClr w14:val="tx1"/>
            </w14:solidFill>
          </w14:textFill>
        </w:rPr>
        <w:t>  备注：/ </w:t>
      </w:r>
    </w:p>
    <w:p>
      <w:pPr>
        <w:pStyle w:val="58"/>
        <w:keepNext w:val="0"/>
        <w:keepLines w:val="0"/>
        <w:pageBreakBefore w:val="0"/>
        <w:widowControl/>
        <w:kinsoku/>
        <w:wordWrap/>
        <w:overflowPunct/>
        <w:topLinePunct w:val="0"/>
        <w:autoSpaceDE/>
        <w:autoSpaceDN/>
        <w:bidi w:val="0"/>
        <w:adjustRightInd w:val="0"/>
        <w:snapToGrid/>
        <w:spacing w:line="240" w:lineRule="auto"/>
        <w:ind w:firstLine="480" w:firstLineChars="200"/>
        <w:textAlignment w:val="auto"/>
        <w:rPr>
          <w:rFonts w:hint="eastAsia" w:cs="宋体"/>
          <w:color w:val="000000" w:themeColor="text1"/>
          <w:highlight w:val="none"/>
          <w:lang w:val="en-US" w:eastAsia="zh-CN"/>
          <w14:textFill>
            <w14:solidFill>
              <w14:schemeClr w14:val="tx1"/>
            </w14:solidFill>
          </w14:textFill>
        </w:rPr>
      </w:pPr>
      <w:r>
        <w:rPr>
          <w:rFonts w:cs="宋体"/>
          <w:color w:val="000000" w:themeColor="text1"/>
          <w:highlight w:val="none"/>
          <w14:textFill>
            <w14:solidFill>
              <w14:schemeClr w14:val="tx1"/>
            </w14:solidFill>
          </w14:textFill>
        </w:rPr>
        <w:t>合同履约期限：</w:t>
      </w: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2025年8月27日-2026年8月26日</w:t>
      </w:r>
    </w:p>
    <w:p>
      <w:pPr>
        <w:pStyle w:val="58"/>
        <w:keepNext w:val="0"/>
        <w:keepLines w:val="0"/>
        <w:pageBreakBefore w:val="0"/>
        <w:widowControl/>
        <w:kinsoku/>
        <w:wordWrap/>
        <w:overflowPunct/>
        <w:topLinePunct w:val="0"/>
        <w:autoSpaceDE/>
        <w:autoSpaceDN/>
        <w:bidi w:val="0"/>
        <w:adjustRightInd w:val="0"/>
        <w:snapToGrid/>
        <w:spacing w:line="240" w:lineRule="auto"/>
        <w:textAlignment w:val="auto"/>
        <w:rPr>
          <w:rFonts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 xml:space="preserve">  </w:t>
      </w:r>
      <w:r>
        <w:rPr>
          <w:rFonts w:hint="eastAsia" w:cs="宋体"/>
          <w:color w:val="000000" w:themeColor="text1"/>
          <w:highlight w:val="none"/>
          <w:lang w:val="en-US" w:eastAsia="zh-CN"/>
          <w14:textFill>
            <w14:solidFill>
              <w14:schemeClr w14:val="tx1"/>
            </w14:solidFill>
          </w14:textFill>
        </w:rPr>
        <w:t xml:space="preserve"> </w:t>
      </w:r>
      <w:r>
        <w:rPr>
          <w:rFonts w:cs="宋体"/>
          <w:color w:val="000000" w:themeColor="text1"/>
          <w:highlight w:val="none"/>
          <w14:textFill>
            <w14:solidFill>
              <w14:schemeClr w14:val="tx1"/>
            </w14:solidFill>
          </w14:textFill>
        </w:rPr>
        <w:t>本项目（否）接受联合体投标。</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二、申请人的资格要求：</w:t>
      </w:r>
    </w:p>
    <w:p>
      <w:pPr>
        <w:spacing w:line="360" w:lineRule="auto"/>
        <w:ind w:firstLine="480"/>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落实政府采购政策需满足的资格要求：无</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 </w:t>
      </w:r>
    </w:p>
    <w:p>
      <w:pPr>
        <w:spacing w:line="360" w:lineRule="auto"/>
        <w:ind w:firstLine="48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.本项目的特定资格要求：无</w:t>
      </w:r>
      <w:r>
        <w:rPr>
          <w:rFonts w:hint="eastAsia" w:ascii="宋体" w:hAnsi="宋体" w:cs="宋体"/>
          <w:color w:val="000000" w:themeColor="text1"/>
          <w:sz w:val="24"/>
          <w:highlight w:val="none"/>
          <w:lang w:eastAsia="zh-CN"/>
          <w14:textFill>
            <w14:solidFill>
              <w14:schemeClr w14:val="tx1"/>
            </w14:solidFill>
          </w14:textFill>
        </w:rPr>
        <w:t>。</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三、获取招标文件 </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u w:val="single"/>
          <w:lang w:eastAsia="zh-CN"/>
          <w14:textFill>
            <w14:solidFill>
              <w14:schemeClr w14:val="tx1"/>
            </w14:solidFill>
          </w14:textFill>
        </w:rPr>
        <w:t>2025 年</w:t>
      </w:r>
      <w:r>
        <w:rPr>
          <w:rFonts w:hint="eastAsia" w:ascii="宋体" w:hAnsi="宋体" w:cs="宋体"/>
          <w:color w:val="000000" w:themeColor="text1"/>
          <w:sz w:val="24"/>
          <w:highlight w:val="none"/>
          <w:u w:val="single"/>
          <w:lang w:val="en-US" w:eastAsia="zh-CN"/>
          <w14:textFill>
            <w14:solidFill>
              <w14:schemeClr w14:val="tx1"/>
            </w14:solidFill>
          </w14:textFill>
        </w:rPr>
        <w:t>7</w:t>
      </w:r>
      <w:r>
        <w:rPr>
          <w:rFonts w:hint="eastAsia" w:ascii="宋体" w:hAnsi="宋体" w:cs="宋体"/>
          <w:color w:val="000000" w:themeColor="text1"/>
          <w:sz w:val="24"/>
          <w:highlight w:val="none"/>
          <w:u w:val="single"/>
          <w:lang w:eastAsia="zh-CN"/>
          <w14:textFill>
            <w14:solidFill>
              <w14:schemeClr w14:val="tx1"/>
            </w14:solidFill>
          </w14:textFill>
        </w:rPr>
        <w:t xml:space="preserve"> 月 </w:t>
      </w:r>
      <w:r>
        <w:rPr>
          <w:rFonts w:hint="eastAsia" w:ascii="宋体" w:hAnsi="宋体" w:cs="宋体"/>
          <w:color w:val="000000" w:themeColor="text1"/>
          <w:sz w:val="24"/>
          <w:highlight w:val="none"/>
          <w:u w:val="single"/>
          <w:lang w:val="en-US" w:eastAsia="zh-CN"/>
          <w14:textFill>
            <w14:solidFill>
              <w14:schemeClr w14:val="tx1"/>
            </w14:solidFill>
          </w14:textFill>
        </w:rPr>
        <w:t xml:space="preserve">31 </w:t>
      </w:r>
      <w:r>
        <w:rPr>
          <w:rFonts w:hint="eastAsia" w:ascii="宋体" w:hAnsi="宋体" w:cs="宋体"/>
          <w:color w:val="000000" w:themeColor="text1"/>
          <w:sz w:val="24"/>
          <w:highlight w:val="none"/>
          <w:u w:val="single"/>
          <w:lang w:eastAsia="zh-CN"/>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政采云平台（https://www.zcygov.cn/）</w:t>
      </w:r>
      <w:r>
        <w:rPr>
          <w:rFonts w:hint="eastAsia" w:ascii="宋体" w:hAnsi="宋体" w:cs="宋体"/>
          <w:color w:val="000000" w:themeColor="text1"/>
          <w:sz w:val="24"/>
          <w:highlight w:val="none"/>
          <w:lang w:val="en-US" w:eastAsia="zh-CN"/>
          <w14:textFill>
            <w14:solidFill>
              <w14:schemeClr w14:val="tx1"/>
            </w14:solidFill>
          </w14:textFill>
        </w:rPr>
        <w:t>线上获取</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售价（元）：</w:t>
      </w:r>
      <w:r>
        <w:rPr>
          <w:rFonts w:hint="eastAsia" w:ascii="宋体" w:hAnsi="宋体" w:cs="宋体"/>
          <w:color w:val="000000" w:themeColor="text1"/>
          <w:sz w:val="24"/>
          <w:highlight w:val="none"/>
          <w14:textFill>
            <w14:solidFill>
              <w14:schemeClr w14:val="tx1"/>
            </w14:solidFill>
          </w14:textFill>
        </w:rPr>
        <w:t xml:space="preserve">0 </w:t>
      </w:r>
      <w:r>
        <w:rPr>
          <w:rFonts w:hint="eastAsia" w:ascii="宋体" w:hAnsi="宋体" w:cs="宋体"/>
          <w:color w:val="000000" w:themeColor="text1"/>
          <w:sz w:val="24"/>
          <w:highlight w:val="none"/>
          <w14:textFill>
            <w14:solidFill>
              <w14:schemeClr w14:val="tx1"/>
            </w14:solidFill>
          </w14:textFill>
        </w:rPr>
        <w:tab/>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四、提交投标文件截止时间、开标时间和地点</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提交投标文件截止时间：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lang w:eastAsia="zh-CN"/>
          <w14:textFill>
            <w14:solidFill>
              <w14:schemeClr w14:val="tx1"/>
            </w14:solidFill>
          </w14:textFill>
        </w:rPr>
        <w:t xml:space="preserve"> 年</w:t>
      </w:r>
      <w:r>
        <w:rPr>
          <w:rFonts w:hint="eastAsia" w:ascii="宋体" w:hAnsi="宋体" w:cs="宋体"/>
          <w:color w:val="000000" w:themeColor="text1"/>
          <w:sz w:val="24"/>
          <w:highlight w:val="none"/>
          <w:u w:val="single"/>
          <w:lang w:val="en-US" w:eastAsia="zh-CN"/>
          <w14:textFill>
            <w14:solidFill>
              <w14:schemeClr w14:val="tx1"/>
            </w14:solidFill>
          </w14:textFill>
        </w:rPr>
        <w:t>7</w:t>
      </w:r>
      <w:r>
        <w:rPr>
          <w:rFonts w:hint="eastAsia" w:ascii="宋体" w:hAnsi="宋体" w:cs="宋体"/>
          <w:color w:val="000000" w:themeColor="text1"/>
          <w:sz w:val="24"/>
          <w:highlight w:val="none"/>
          <w:u w:val="single"/>
          <w:lang w:eastAsia="zh-CN"/>
          <w14:textFill>
            <w14:solidFill>
              <w14:schemeClr w14:val="tx1"/>
            </w14:solidFill>
          </w14:textFill>
        </w:rPr>
        <w:t xml:space="preserve"> 月</w:t>
      </w:r>
      <w:r>
        <w:rPr>
          <w:rFonts w:hint="eastAsia" w:ascii="宋体" w:hAnsi="宋体" w:cs="宋体"/>
          <w:color w:val="000000" w:themeColor="text1"/>
          <w:sz w:val="24"/>
          <w:highlight w:val="none"/>
          <w:u w:val="single"/>
          <w:lang w:val="en-US" w:eastAsia="zh-CN"/>
          <w14:textFill>
            <w14:solidFill>
              <w14:schemeClr w14:val="tx1"/>
            </w14:solidFill>
          </w14:textFill>
        </w:rPr>
        <w:t>31</w:t>
      </w:r>
      <w:r>
        <w:rPr>
          <w:rFonts w:hint="eastAsia" w:ascii="宋体" w:hAnsi="宋体" w:cs="宋体"/>
          <w:color w:val="000000" w:themeColor="text1"/>
          <w:sz w:val="24"/>
          <w:highlight w:val="none"/>
          <w:u w:val="single"/>
          <w:lang w:eastAsia="zh-CN"/>
          <w14:textFill>
            <w14:solidFill>
              <w14:schemeClr w14:val="tx1"/>
            </w14:solidFill>
          </w14:textFill>
        </w:rPr>
        <w:t xml:space="preserve"> 日 09点 00分</w:t>
      </w:r>
      <w:r>
        <w:rPr>
          <w:rFonts w:hint="eastAsia" w:ascii="宋体" w:hAnsi="宋体" w:cs="宋体"/>
          <w:color w:val="000000" w:themeColor="text1"/>
          <w:sz w:val="24"/>
          <w:highlight w:val="none"/>
          <w:u w:val="single"/>
          <w14:textFill>
            <w14:solidFill>
              <w14:schemeClr w14:val="tx1"/>
            </w14:solidFill>
          </w14:textFill>
        </w:rPr>
        <w:t>00秒</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（北京时间）</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pPr>
        <w:spacing w:line="360" w:lineRule="auto"/>
        <w:ind w:firstLine="482" w:firstLineChars="200"/>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开标时间：</w:t>
      </w:r>
      <w:r>
        <w:rPr>
          <w:rFonts w:hint="eastAsia" w:ascii="宋体" w:hAnsi="宋体" w:cs="宋体"/>
          <w:color w:val="000000" w:themeColor="text1"/>
          <w:sz w:val="24"/>
          <w:highlight w:val="none"/>
          <w:u w:val="single"/>
          <w:lang w:eastAsia="zh-CN"/>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lang w:eastAsia="zh-CN"/>
          <w14:textFill>
            <w14:solidFill>
              <w14:schemeClr w14:val="tx1"/>
            </w14:solidFill>
          </w14:textFill>
        </w:rPr>
        <w:t xml:space="preserve"> 年</w:t>
      </w:r>
      <w:r>
        <w:rPr>
          <w:rFonts w:hint="eastAsia" w:ascii="宋体" w:hAnsi="宋体" w:cs="宋体"/>
          <w:color w:val="000000" w:themeColor="text1"/>
          <w:sz w:val="24"/>
          <w:highlight w:val="none"/>
          <w:u w:val="single"/>
          <w:lang w:val="en-US" w:eastAsia="zh-CN"/>
          <w14:textFill>
            <w14:solidFill>
              <w14:schemeClr w14:val="tx1"/>
            </w14:solidFill>
          </w14:textFill>
        </w:rPr>
        <w:t>7</w:t>
      </w:r>
      <w:r>
        <w:rPr>
          <w:rFonts w:hint="eastAsia" w:ascii="宋体" w:hAnsi="宋体" w:cs="宋体"/>
          <w:color w:val="000000" w:themeColor="text1"/>
          <w:sz w:val="24"/>
          <w:highlight w:val="none"/>
          <w:u w:val="single"/>
          <w:lang w:eastAsia="zh-CN"/>
          <w14:textFill>
            <w14:solidFill>
              <w14:schemeClr w14:val="tx1"/>
            </w14:solidFill>
          </w14:textFill>
        </w:rPr>
        <w:t xml:space="preserve"> 月</w:t>
      </w:r>
      <w:r>
        <w:rPr>
          <w:rFonts w:hint="eastAsia" w:ascii="宋体" w:hAnsi="宋体" w:cs="宋体"/>
          <w:color w:val="000000" w:themeColor="text1"/>
          <w:sz w:val="24"/>
          <w:highlight w:val="none"/>
          <w:u w:val="single"/>
          <w:lang w:val="en-US" w:eastAsia="zh-CN"/>
          <w14:textFill>
            <w14:solidFill>
              <w14:schemeClr w14:val="tx1"/>
            </w14:solidFill>
          </w14:textFill>
        </w:rPr>
        <w:t>31</w:t>
      </w:r>
      <w:r>
        <w:rPr>
          <w:rFonts w:hint="eastAsia" w:ascii="宋体" w:hAnsi="宋体" w:cs="宋体"/>
          <w:color w:val="000000" w:themeColor="text1"/>
          <w:sz w:val="24"/>
          <w:highlight w:val="none"/>
          <w:u w:val="single"/>
          <w:lang w:eastAsia="zh-CN"/>
          <w14:textFill>
            <w14:solidFill>
              <w14:schemeClr w14:val="tx1"/>
            </w14:solidFill>
          </w14:textFill>
        </w:rPr>
        <w:t xml:space="preserve"> 日 09点 00分</w:t>
      </w:r>
      <w:r>
        <w:rPr>
          <w:rFonts w:hint="eastAsia" w:ascii="宋体" w:hAnsi="宋体" w:cs="宋体"/>
          <w:color w:val="000000" w:themeColor="text1"/>
          <w:sz w:val="24"/>
          <w:highlight w:val="none"/>
          <w:u w:val="single"/>
          <w14:textFill>
            <w14:solidFill>
              <w14:schemeClr w14:val="tx1"/>
            </w14:solidFill>
          </w14:textFill>
        </w:rPr>
        <w:t>00秒</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开标地点（网址）：</w:t>
      </w:r>
      <w:r>
        <w:rPr>
          <w:rFonts w:hint="eastAsia" w:ascii="宋体" w:hAnsi="宋体" w:cs="宋体"/>
          <w:color w:val="000000" w:themeColor="text1"/>
          <w:sz w:val="24"/>
          <w:highlight w:val="none"/>
          <w14:textFill>
            <w14:solidFill>
              <w14:schemeClr w14:val="tx1"/>
            </w14:solidFill>
          </w14:textFill>
        </w:rPr>
        <w:t>政采云平台（https://www.zcygov.cn/）</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五、公告期限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个工作日。</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六、其他补充事宜</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w:t>
      </w:r>
      <w:r>
        <w:rPr>
          <w:rFonts w:ascii="宋体" w:hAnsi="宋体" w:cs="宋体"/>
          <w:color w:val="000000" w:themeColor="text1"/>
          <w:sz w:val="24"/>
          <w:highlight w:val="none"/>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七、对本次采购提出询问、质疑、投诉，请按以下方式联系</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1.采购人信息</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名    称：</w:t>
      </w:r>
      <w:r>
        <w:rPr>
          <w:rFonts w:hint="eastAsia" w:ascii="宋体" w:hAnsi="宋体" w:cs="宋体"/>
          <w:color w:val="000000" w:themeColor="text1"/>
          <w:sz w:val="24"/>
          <w:highlight w:val="none"/>
          <w:lang w:eastAsia="zh-CN"/>
          <w14:textFill>
            <w14:solidFill>
              <w14:schemeClr w14:val="tx1"/>
            </w14:solidFill>
          </w14:textFill>
        </w:rPr>
        <w:t>温州科技馆</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地    址：</w:t>
      </w:r>
      <w:r>
        <w:rPr>
          <w:rFonts w:hint="eastAsia" w:ascii="宋体" w:hAnsi="宋体" w:cs="宋体"/>
          <w:color w:val="000000" w:themeColor="text1"/>
          <w:sz w:val="24"/>
          <w:highlight w:val="none"/>
          <w:lang w:val="en-US" w:eastAsia="zh-CN"/>
          <w14:textFill>
            <w14:solidFill>
              <w14:schemeClr w14:val="tx1"/>
            </w14:solidFill>
          </w14:textFill>
        </w:rPr>
        <w:t>温州市鹿城区市府路481号</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项目联系人（询问）：潘</w:t>
      </w:r>
      <w:r>
        <w:rPr>
          <w:rFonts w:hint="eastAsia" w:ascii="宋体" w:hAnsi="宋体" w:cs="宋体"/>
          <w:color w:val="000000" w:themeColor="text1"/>
          <w:sz w:val="24"/>
          <w:highlight w:val="none"/>
          <w:lang w:val="en-US" w:eastAsia="zh-CN"/>
          <w14:textFill>
            <w14:solidFill>
              <w14:schemeClr w14:val="tx1"/>
            </w14:solidFill>
          </w14:textFill>
        </w:rPr>
        <w:t>女士</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项目联系方式（询问）：0577-88962117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质疑联系人：戴加锋</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质疑联系方式：13750900370</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2.采购代理机构信息            </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名称：温州市政务服务管理中心（温州市政府采购中心）</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地址：温州市会展路1268号“温州市民中心”A座41</w:t>
      </w:r>
      <w:r>
        <w:rPr>
          <w:rFonts w:hint="eastAsia" w:ascii="宋体" w:hAnsi="宋体" w:cs="宋体"/>
          <w:color w:val="000000" w:themeColor="text1"/>
          <w:sz w:val="24"/>
          <w:highlight w:val="none"/>
          <w:lang w:val="en-US" w:eastAsia="zh-CN"/>
          <w14:textFill>
            <w14:solidFill>
              <w14:schemeClr w14:val="tx1"/>
            </w14:solidFill>
          </w14:textFill>
        </w:rPr>
        <w:t>0</w:t>
      </w:r>
      <w:r>
        <w:rPr>
          <w:rFonts w:hint="eastAsia" w:ascii="宋体" w:hAnsi="宋体" w:eastAsia="宋体" w:cs="宋体"/>
          <w:color w:val="000000" w:themeColor="text1"/>
          <w:sz w:val="24"/>
          <w:highlight w:val="none"/>
          <w14:textFill>
            <w14:solidFill>
              <w14:schemeClr w14:val="tx1"/>
            </w14:solidFill>
          </w14:textFill>
        </w:rPr>
        <w:t>室         </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项目联系人（询问）：</w:t>
      </w:r>
      <w:r>
        <w:rPr>
          <w:rFonts w:hint="eastAsia" w:ascii="宋体" w:hAnsi="宋体" w:cs="宋体"/>
          <w:color w:val="000000" w:themeColor="text1"/>
          <w:sz w:val="24"/>
          <w:highlight w:val="none"/>
          <w:lang w:val="en-US" w:eastAsia="zh-CN"/>
          <w14:textFill>
            <w14:solidFill>
              <w14:schemeClr w14:val="tx1"/>
            </w14:solidFill>
          </w14:textFill>
        </w:rPr>
        <w:t>叶献骏</w:t>
      </w:r>
      <w:r>
        <w:rPr>
          <w:rFonts w:hint="eastAsia" w:ascii="宋体" w:hAnsi="宋体" w:eastAsia="宋体" w:cs="宋体"/>
          <w:color w:val="000000" w:themeColor="text1"/>
          <w:sz w:val="24"/>
          <w:highlight w:val="none"/>
          <w14:textFill>
            <w14:solidFill>
              <w14:schemeClr w14:val="tx1"/>
            </w14:solidFill>
          </w14:textFill>
        </w:rPr>
        <w:t>            </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项目联系方式（询问）：0577-88925672</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质疑联系人：金健戈      </w:t>
      </w: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质疑联系方式：0577-88926822</w:t>
      </w:r>
    </w:p>
    <w:p>
      <w:pPr>
        <w:keepNext w:val="0"/>
        <w:keepLines w:val="0"/>
        <w:pageBreakBefore w:val="0"/>
        <w:kinsoku/>
        <w:wordWrap/>
        <w:overflowPunct/>
        <w:topLinePunct w:val="0"/>
        <w:autoSpaceDE/>
        <w:autoSpaceDN/>
        <w:bidi w:val="0"/>
        <w:adjustRightInd w:val="0"/>
        <w:snapToGrid/>
        <w:spacing w:line="240" w:lineRule="auto"/>
        <w:ind w:firstLine="240" w:firstLineChars="100"/>
        <w:textAlignment w:val="auto"/>
        <w:rPr>
          <w:rFonts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3.同级政府采购监督管理部门            </w:t>
      </w:r>
      <w:r>
        <w:rPr>
          <w:rFonts w:cs="宋体"/>
          <w:color w:val="000000" w:themeColor="text1"/>
          <w:highlight w:val="none"/>
          <w14:textFill>
            <w14:solidFill>
              <w14:schemeClr w14:val="tx1"/>
            </w14:solidFill>
          </w14:textFill>
        </w:rPr>
        <w:t>           </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pPr>
        <w:spacing w:line="360"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名称：温州市财政局（浙江省政府采购行政裁决服务中心（温州））</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地址：温州市鹿城区滨江街道瓯江路展银大厦1606室 </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联系人：李老师、王老师 </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监督投诉电话：0577-85501561</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0577-85501562</w:t>
      </w:r>
    </w:p>
    <w:p>
      <w:pPr>
        <w:spacing w:line="360" w:lineRule="auto"/>
        <w:ind w:firstLine="480"/>
        <w:rPr>
          <w:rFonts w:hint="eastAsia" w:ascii="宋体" w:hAnsi="宋体" w:cs="宋体"/>
          <w:color w:val="000000" w:themeColor="text1"/>
          <w:sz w:val="24"/>
          <w:highlight w:val="none"/>
          <w:lang w:val="en-US" w:eastAsia="zh-CN"/>
          <w14:textFill>
            <w14:solidFill>
              <w14:schemeClr w14:val="tx1"/>
            </w14:solidFill>
          </w14:textFill>
        </w:rPr>
      </w:pPr>
    </w:p>
    <w:p>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CA问题联系电话（人工）：汇信CA 400-888-4636；天谷CA 400-087-8198。</w:t>
      </w:r>
    </w:p>
    <w:p>
      <w:pPr>
        <w:widowControl/>
        <w:adjustRightInd/>
        <w:jc w:val="left"/>
        <w:rPr>
          <w:rFonts w:ascii="宋体" w:hAnsi="宋体" w:cs="宋体"/>
          <w:b/>
          <w:color w:val="000000" w:themeColor="text1"/>
          <w:sz w:val="36"/>
          <w:szCs w:val="20"/>
          <w:highlight w:val="none"/>
          <w14:textFill>
            <w14:solidFill>
              <w14:schemeClr w14:val="tx1"/>
            </w14:solidFill>
          </w14:textFill>
        </w:rPr>
      </w:pPr>
      <w:r>
        <w:rPr>
          <w:rFonts w:ascii="宋体" w:hAnsi="宋体" w:cs="宋体"/>
          <w:b/>
          <w:color w:val="000000" w:themeColor="text1"/>
          <w:sz w:val="36"/>
          <w:szCs w:val="20"/>
          <w:highlight w:val="none"/>
          <w14:textFill>
            <w14:solidFill>
              <w14:schemeClr w14:val="tx1"/>
            </w14:solidFill>
          </w14:textFill>
        </w:rPr>
        <w:br w:type="page"/>
      </w:r>
    </w:p>
    <w:p>
      <w:pPr>
        <w:adjustRightInd/>
        <w:spacing w:line="360" w:lineRule="auto"/>
        <w:jc w:val="center"/>
        <w:outlineLvl w:val="0"/>
        <w:rPr>
          <w:rFonts w:hint="eastAsia"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第二部分</w:t>
      </w:r>
      <w:bookmarkEnd w:id="7"/>
      <w:r>
        <w:rPr>
          <w:rFonts w:hint="eastAsia" w:ascii="宋体" w:hAnsi="宋体" w:cs="宋体"/>
          <w:b/>
          <w:color w:val="000000" w:themeColor="text1"/>
          <w:sz w:val="36"/>
          <w:szCs w:val="20"/>
          <w:highlight w:val="none"/>
          <w14:textFill>
            <w14:solidFill>
              <w14:schemeClr w14:val="tx1"/>
            </w14:solidFill>
          </w14:textFill>
        </w:rPr>
        <w:t xml:space="preserve"> 投标人须知</w:t>
      </w:r>
      <w:bookmarkEnd w:id="8"/>
    </w:p>
    <w:p>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前附表</w:t>
      </w:r>
    </w:p>
    <w:tbl>
      <w:tblPr>
        <w:tblStyle w:val="62"/>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29"/>
        <w:gridCol w:w="1843"/>
        <w:gridCol w:w="6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0" w:hRule="atLeast"/>
          <w:tblHeader/>
        </w:trPr>
        <w:tc>
          <w:tcPr>
            <w:tcW w:w="629" w:type="dxa"/>
            <w:tcBorders>
              <w:tl2br w:val="nil"/>
              <w:tr2bl w:val="nil"/>
            </w:tcBorders>
            <w:vAlign w:val="center"/>
          </w:tcPr>
          <w:p>
            <w:pPr>
              <w:snapToGrid w:val="0"/>
              <w:spacing w:line="360" w:lineRule="auto"/>
              <w:jc w:val="both"/>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843" w:type="dxa"/>
            <w:tcBorders>
              <w:tl2br w:val="nil"/>
              <w:tr2bl w:val="nil"/>
            </w:tcBorders>
            <w:vAlign w:val="center"/>
          </w:tcPr>
          <w:p>
            <w:pPr>
              <w:snapToGrid w:val="0"/>
              <w:spacing w:line="360" w:lineRule="auto"/>
              <w:jc w:val="both"/>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事项</w:t>
            </w:r>
          </w:p>
        </w:tc>
        <w:tc>
          <w:tcPr>
            <w:tcW w:w="6095" w:type="dxa"/>
            <w:tcBorders>
              <w:tl2br w:val="nil"/>
              <w:tr2bl w:val="nil"/>
            </w:tcBorders>
            <w:vAlign w:val="center"/>
          </w:tcPr>
          <w:p>
            <w:pPr>
              <w:snapToGrid w:val="0"/>
              <w:spacing w:line="360" w:lineRule="auto"/>
              <w:jc w:val="both"/>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本项目的特别规定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0" w:hRule="atLeast"/>
          <w:tblHeader/>
        </w:trPr>
        <w:tc>
          <w:tcPr>
            <w:tcW w:w="629" w:type="dxa"/>
            <w:tcBorders>
              <w:tl2br w:val="nil"/>
              <w:tr2bl w:val="nil"/>
            </w:tcBorders>
            <w:vAlign w:val="center"/>
          </w:tcPr>
          <w:p>
            <w:pPr>
              <w:snapToGrid w:val="0"/>
              <w:spacing w:line="360" w:lineRule="auto"/>
              <w:jc w:val="both"/>
              <w:rPr>
                <w:rFonts w:ascii="宋体" w:hAnsi="宋体" w:cs="宋体"/>
                <w:color w:val="000000" w:themeColor="text1"/>
                <w:sz w:val="24"/>
                <w:highlight w:val="none"/>
                <w14:textFill>
                  <w14:solidFill>
                    <w14:schemeClr w14:val="tx1"/>
                  </w14:solidFill>
                </w14:textFill>
              </w:rPr>
            </w:pPr>
          </w:p>
          <w:p>
            <w:pPr>
              <w:snapToGrid w:val="0"/>
              <w:spacing w:line="360"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843" w:type="dxa"/>
            <w:tcBorders>
              <w:tl2br w:val="nil"/>
              <w:tr2bl w:val="nil"/>
            </w:tcBorders>
            <w:vAlign w:val="center"/>
          </w:tcPr>
          <w:p>
            <w:pPr>
              <w:snapToGrid w:val="0"/>
              <w:spacing w:line="360" w:lineRule="auto"/>
              <w:jc w:val="both"/>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项目属性</w:t>
            </w:r>
          </w:p>
        </w:tc>
        <w:tc>
          <w:tcPr>
            <w:tcW w:w="6095" w:type="dxa"/>
            <w:tcBorders>
              <w:tl2br w:val="nil"/>
              <w:tr2bl w:val="nil"/>
            </w:tcBorders>
            <w:vAlign w:val="center"/>
          </w:tcPr>
          <w:p>
            <w:pPr>
              <w:numPr>
                <w:ilvl w:val="0"/>
                <w:numId w:val="1"/>
              </w:numPr>
              <w:spacing w:line="360" w:lineRule="auto"/>
              <w:jc w:val="both"/>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服务类</w:t>
            </w:r>
            <w:r>
              <w:rPr>
                <w:rFonts w:hint="eastAsia" w:ascii="宋体" w:hAnsi="宋体" w:cs="宋体"/>
                <w:color w:val="000000" w:themeColor="text1"/>
                <w:sz w:val="24"/>
                <w:highlight w:val="none"/>
                <w:lang w:eastAsia="zh-CN"/>
                <w14:textFill>
                  <w14:solidFill>
                    <w14:schemeClr w14:val="tx1"/>
                  </w14:solidFill>
                </w14:textFill>
              </w:rPr>
              <w:t>。</w:t>
            </w:r>
          </w:p>
          <w:p>
            <w:pPr>
              <w:numPr>
                <w:ilvl w:val="0"/>
                <w:numId w:val="1"/>
              </w:numPr>
              <w:spacing w:line="360"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本项目为非专门面向中小企业采购的政府采购项目。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08" w:hRule="atLeast"/>
          <w:tblHeader/>
        </w:trPr>
        <w:tc>
          <w:tcPr>
            <w:tcW w:w="629" w:type="dxa"/>
            <w:tcBorders>
              <w:tl2br w:val="nil"/>
              <w:tr2bl w:val="nil"/>
            </w:tcBorders>
            <w:vAlign w:val="center"/>
          </w:tcPr>
          <w:p>
            <w:pPr>
              <w:snapToGrid w:val="0"/>
              <w:spacing w:line="360" w:lineRule="auto"/>
              <w:jc w:val="both"/>
              <w:rPr>
                <w:rFonts w:ascii="宋体" w:hAnsi="宋体" w:cs="宋体"/>
                <w:color w:val="000000" w:themeColor="text1"/>
                <w:sz w:val="24"/>
                <w:highlight w:val="none"/>
                <w14:textFill>
                  <w14:solidFill>
                    <w14:schemeClr w14:val="tx1"/>
                  </w14:solidFill>
                </w14:textFill>
              </w:rPr>
            </w:pPr>
          </w:p>
          <w:p>
            <w:pPr>
              <w:snapToGrid w:val="0"/>
              <w:spacing w:line="360"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843" w:type="dxa"/>
            <w:tcBorders>
              <w:tl2br w:val="nil"/>
              <w:tr2bl w:val="nil"/>
            </w:tcBorders>
            <w:vAlign w:val="center"/>
          </w:tcPr>
          <w:p>
            <w:pPr>
              <w:snapToGrid w:val="0"/>
              <w:spacing w:line="360" w:lineRule="auto"/>
              <w:jc w:val="both"/>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采购标的及其对应的中小企业划分标准所属行业</w:t>
            </w:r>
          </w:p>
        </w:tc>
        <w:tc>
          <w:tcPr>
            <w:tcW w:w="6095" w:type="dxa"/>
            <w:tcBorders>
              <w:tl2br w:val="nil"/>
              <w:tr2bl w:val="nil"/>
            </w:tcBorders>
            <w:vAlign w:val="center"/>
          </w:tcPr>
          <w:p>
            <w:pPr>
              <w:snapToGrid w:val="0"/>
              <w:spacing w:line="360" w:lineRule="auto"/>
              <w:jc w:val="both"/>
              <w:rPr>
                <w:color w:val="000000" w:themeColor="text1"/>
                <w:sz w:val="24"/>
                <w:szCs w:val="24"/>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sz w:val="24"/>
                <w:szCs w:val="24"/>
                <w:highlight w:val="none"/>
                <w14:textFill>
                  <w14:solidFill>
                    <w14:schemeClr w14:val="tx1"/>
                  </w14:solidFill>
                </w14:textFill>
              </w:rPr>
              <w:t>标的：</w:t>
            </w:r>
            <w:r>
              <w:rPr>
                <w:rFonts w:hint="eastAsia"/>
                <w:color w:val="000000" w:themeColor="text1"/>
                <w:sz w:val="24"/>
                <w:szCs w:val="24"/>
                <w:highlight w:val="none"/>
                <w:u w:val="single"/>
                <w:lang w:val="en-US" w:eastAsia="zh-CN"/>
                <w14:textFill>
                  <w14:solidFill>
                    <w14:schemeClr w14:val="tx1"/>
                  </w14:solidFill>
                </w14:textFill>
              </w:rPr>
              <w:t>物业综</w:t>
            </w:r>
            <w:r>
              <w:rPr>
                <w:rFonts w:hint="eastAsia" w:ascii="Times New Roman" w:hAnsi="Times New Roman" w:cs="Times New Roman"/>
                <w:color w:val="000000" w:themeColor="text1"/>
                <w:sz w:val="24"/>
                <w:szCs w:val="24"/>
                <w:highlight w:val="none"/>
                <w:u w:val="single"/>
                <w:lang w:val="en-US" w:eastAsia="zh-CN"/>
                <w14:textFill>
                  <w14:solidFill>
                    <w14:schemeClr w14:val="tx1"/>
                  </w14:solidFill>
                </w14:textFill>
              </w:rPr>
              <w:t>合服务</w:t>
            </w:r>
            <w:r>
              <w:rPr>
                <w:rFonts w:hint="eastAsia"/>
                <w:color w:val="000000" w:themeColor="text1"/>
                <w:sz w:val="24"/>
                <w:szCs w:val="24"/>
                <w:highlight w:val="none"/>
                <w14:textFill>
                  <w14:solidFill>
                    <w14:schemeClr w14:val="tx1"/>
                  </w14:solidFill>
                </w14:textFill>
              </w:rPr>
              <w:t>，属于</w:t>
            </w:r>
            <w:r>
              <w:rPr>
                <w:rFonts w:hint="eastAsia" w:ascii="宋体" w:hAnsi="宋体"/>
                <w:color w:val="000000" w:themeColor="text1"/>
                <w:sz w:val="24"/>
                <w:szCs w:val="24"/>
                <w:highlight w:val="none"/>
                <w:u w:val="single"/>
                <w:lang w:val="en-US" w:eastAsia="zh-CN"/>
                <w14:textFill>
                  <w14:solidFill>
                    <w14:schemeClr w14:val="tx1"/>
                  </w14:solidFill>
                </w14:textFill>
              </w:rPr>
              <w:t>物业</w:t>
            </w:r>
            <w:r>
              <w:rPr>
                <w:rFonts w:hint="eastAsia" w:ascii="宋体" w:hAnsi="宋体" w:cs="Times New Roman"/>
                <w:color w:val="000000" w:themeColor="text1"/>
                <w:sz w:val="24"/>
                <w:szCs w:val="24"/>
                <w:highlight w:val="none"/>
                <w:u w:val="single"/>
                <w:lang w:val="en-US" w:eastAsia="zh-CN"/>
                <w14:textFill>
                  <w14:solidFill>
                    <w14:schemeClr w14:val="tx1"/>
                  </w14:solidFill>
                </w14:textFill>
              </w:rPr>
              <w:t>管理</w:t>
            </w:r>
            <w:r>
              <w:rPr>
                <w:rFonts w:hint="eastAsia"/>
                <w:color w:val="000000" w:themeColor="text1"/>
                <w:sz w:val="24"/>
                <w:szCs w:val="24"/>
                <w:highlight w:val="none"/>
                <w14:textFill>
                  <w14:solidFill>
                    <w14:schemeClr w14:val="tx1"/>
                  </w14:solidFill>
                </w14:textFill>
              </w:rPr>
              <w:t>行业；</w:t>
            </w:r>
          </w:p>
          <w:p>
            <w:pPr>
              <w:jc w:val="both"/>
              <w:rPr>
                <w:color w:val="000000" w:themeColor="text1"/>
                <w:highlight w:val="none"/>
                <w:lang w:val="en-US"/>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中小企业的划分标准依据《关于印发中小企业划型标准规定的通知》（工信部联企业〔2011〕300号）文件执行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726" w:hRule="atLeast"/>
          <w:tblHeader/>
        </w:trPr>
        <w:tc>
          <w:tcPr>
            <w:tcW w:w="629" w:type="dxa"/>
            <w:tcBorders>
              <w:tl2br w:val="nil"/>
              <w:tr2bl w:val="nil"/>
            </w:tcBorders>
            <w:vAlign w:val="center"/>
          </w:tcPr>
          <w:p>
            <w:pPr>
              <w:snapToGrid w:val="0"/>
              <w:spacing w:line="360" w:lineRule="auto"/>
              <w:jc w:val="both"/>
              <w:rPr>
                <w:rFonts w:ascii="宋体" w:hAnsi="宋体" w:cs="宋体"/>
                <w:color w:val="000000" w:themeColor="text1"/>
                <w:sz w:val="24"/>
                <w:highlight w:val="none"/>
                <w14:textFill>
                  <w14:solidFill>
                    <w14:schemeClr w14:val="tx1"/>
                  </w14:solidFill>
                </w14:textFill>
              </w:rPr>
            </w:pPr>
          </w:p>
          <w:p>
            <w:pPr>
              <w:snapToGrid w:val="0"/>
              <w:spacing w:line="360" w:lineRule="auto"/>
              <w:jc w:val="both"/>
              <w:rPr>
                <w:rFonts w:ascii="宋体" w:hAnsi="宋体" w:cs="宋体"/>
                <w:color w:val="000000" w:themeColor="text1"/>
                <w:sz w:val="24"/>
                <w:highlight w:val="none"/>
                <w14:textFill>
                  <w14:solidFill>
                    <w14:schemeClr w14:val="tx1"/>
                  </w14:solidFill>
                </w14:textFill>
              </w:rPr>
            </w:pPr>
          </w:p>
          <w:p>
            <w:pPr>
              <w:snapToGrid w:val="0"/>
              <w:spacing w:line="360"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843" w:type="dxa"/>
            <w:tcBorders>
              <w:tl2br w:val="nil"/>
              <w:tr2bl w:val="nil"/>
            </w:tcBorders>
            <w:vAlign w:val="center"/>
          </w:tcPr>
          <w:p>
            <w:pPr>
              <w:snapToGrid w:val="0"/>
              <w:spacing w:line="360" w:lineRule="auto"/>
              <w:jc w:val="both"/>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是否允许采购进口产品</w:t>
            </w:r>
          </w:p>
        </w:tc>
        <w:tc>
          <w:tcPr>
            <w:tcW w:w="6095" w:type="dxa"/>
            <w:tcBorders>
              <w:tl2br w:val="nil"/>
              <w:tr2bl w:val="nil"/>
            </w:tcBorders>
            <w:vAlign w:val="center"/>
          </w:tcPr>
          <w:p>
            <w:pPr>
              <w:spacing w:line="360" w:lineRule="auto"/>
              <w:jc w:val="both"/>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kern w:val="0"/>
                <w:sz w:val="24"/>
                <w:highlight w:val="none"/>
                <w14:textFill>
                  <w14:solidFill>
                    <w14:schemeClr w14:val="tx1"/>
                  </w14:solidFill>
                </w14:textFill>
              </w:rPr>
              <w:t>本项目不允许采购进口产品。</w:t>
            </w:r>
          </w:p>
          <w:p>
            <w:pPr>
              <w:spacing w:line="360" w:lineRule="auto"/>
              <w:jc w:val="both"/>
              <w:rPr>
                <w:rFonts w:ascii="宋体" w:hAnsi="宋体" w:cs="宋体"/>
                <w:color w:val="000000" w:themeColor="text1"/>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5285282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可以就</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采购进口产品。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134" w:hRule="atLeast"/>
          <w:tblHeader/>
        </w:trPr>
        <w:tc>
          <w:tcPr>
            <w:tcW w:w="629" w:type="dxa"/>
            <w:tcBorders>
              <w:tl2br w:val="nil"/>
              <w:tr2bl w:val="nil"/>
            </w:tcBorders>
            <w:vAlign w:val="center"/>
          </w:tcPr>
          <w:p>
            <w:pPr>
              <w:snapToGrid w:val="0"/>
              <w:spacing w:line="360"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843" w:type="dxa"/>
            <w:tcBorders>
              <w:tl2br w:val="nil"/>
              <w:tr2bl w:val="nil"/>
            </w:tcBorders>
            <w:vAlign w:val="center"/>
          </w:tcPr>
          <w:p>
            <w:pPr>
              <w:snapToGrid w:val="0"/>
              <w:spacing w:line="360" w:lineRule="auto"/>
              <w:ind w:firstLine="482" w:firstLineChars="200"/>
              <w:jc w:val="both"/>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分包</w:t>
            </w:r>
          </w:p>
        </w:tc>
        <w:tc>
          <w:tcPr>
            <w:tcW w:w="6095" w:type="dxa"/>
            <w:tcBorders>
              <w:tl2br w:val="nil"/>
              <w:tr2bl w:val="nil"/>
            </w:tcBorders>
            <w:vAlign w:val="center"/>
          </w:tcPr>
          <w:p>
            <w:pPr>
              <w:spacing w:line="360" w:lineRule="auto"/>
              <w:jc w:val="both"/>
              <w:rPr>
                <w:rFonts w:hint="eastAsia" w:ascii="宋体" w:hAnsi="宋体" w:eastAsia="宋体" w:cs="宋体"/>
                <w:color w:val="000000" w:themeColor="text1"/>
                <w:sz w:val="24"/>
                <w:highlight w:val="none"/>
                <w:lang w:val="en-US" w:eastAsia="zh-CN"/>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7286927"/>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 xml:space="preserve"> A</w:t>
            </w:r>
            <w:r>
              <w:rPr>
                <w:rFonts w:hint="eastAsia" w:ascii="宋体" w:hAnsi="宋体" w:cs="宋体"/>
                <w:color w:val="000000" w:themeColor="text1"/>
                <w:sz w:val="24"/>
                <w:highlight w:val="none"/>
                <w14:textFill>
                  <w14:solidFill>
                    <w14:schemeClr w14:val="tx1"/>
                  </w14:solidFill>
                </w14:textFill>
              </w:rPr>
              <w:t>同意将非主体、非关键性的</w:t>
            </w:r>
            <w:r>
              <w:rPr>
                <w:rFonts w:hint="eastAsia" w:ascii="宋体" w:hAnsi="宋体" w:cs="宋体"/>
                <w:color w:val="000000" w:themeColor="text1"/>
                <w:sz w:val="24"/>
                <w:highlight w:val="none"/>
                <w:u w:val="single"/>
                <w14:textFill>
                  <w14:solidFill>
                    <w14:schemeClr w14:val="tx1"/>
                  </w14:solidFill>
                </w14:textFill>
              </w:rPr>
              <w:t>设备专业维保、消杀、幕墙清洁、垃圾清运、绿化租摆</w:t>
            </w:r>
            <w:r>
              <w:rPr>
                <w:rFonts w:hint="eastAsia" w:ascii="宋体" w:hAnsi="宋体" w:cs="宋体"/>
                <w:color w:val="000000" w:themeColor="text1"/>
                <w:sz w:val="24"/>
                <w:highlight w:val="none"/>
                <w:u w:val="single"/>
                <w:lang w:val="en-US" w:eastAsia="zh-CN"/>
                <w14:textFill>
                  <w14:solidFill>
                    <w14:schemeClr w14:val="tx1"/>
                  </w14:solidFill>
                </w14:textFill>
              </w:rPr>
              <w:t>等</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工作分包</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分包单位必须符合国家规定的资质要求</w:t>
            </w:r>
            <w:r>
              <w:rPr>
                <w:rFonts w:hint="eastAsia" w:ascii="宋体" w:hAnsi="宋体" w:cs="宋体"/>
                <w:color w:val="000000" w:themeColor="text1"/>
                <w:sz w:val="24"/>
                <w:highlight w:val="none"/>
                <w:lang w:val="en-US" w:eastAsia="zh-CN"/>
                <w14:textFill>
                  <w14:solidFill>
                    <w14:schemeClr w14:val="tx1"/>
                  </w14:solidFill>
                </w14:textFill>
              </w:rPr>
              <w:t>。</w:t>
            </w:r>
          </w:p>
          <w:p>
            <w:pPr>
              <w:spacing w:line="360" w:lineRule="auto"/>
              <w:jc w:val="both"/>
              <w:rPr>
                <w:rFonts w:ascii="宋体" w:hAnsi="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sz w:val="24"/>
                  <w:highlight w:val="none"/>
                  <w14:textFill>
                    <w14:solidFill>
                      <w14:schemeClr w14:val="tx1"/>
                    </w14:solidFill>
                  </w14:textFill>
                </w:rPr>
                <w:id w:val="-1276331357"/>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MS Gothic" w:hAnsi="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B</w:t>
            </w:r>
            <w:r>
              <w:rPr>
                <w:rFonts w:hint="eastAsia" w:ascii="宋体" w:hAnsi="宋体" w:cs="宋体"/>
                <w:color w:val="000000" w:themeColor="text1"/>
                <w:sz w:val="24"/>
                <w:highlight w:val="none"/>
                <w14:textFill>
                  <w14:solidFill>
                    <w14:schemeClr w14:val="tx1"/>
                  </w14:solidFill>
                </w14:textFill>
              </w:rPr>
              <w:t>不同意分包。</w:t>
            </w:r>
          </w:p>
          <w:p>
            <w:pPr>
              <w:spacing w:line="360"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注：不得限制大中型企业向小微企业合理分包。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535" w:hRule="atLeast"/>
          <w:tblHeader/>
        </w:trPr>
        <w:tc>
          <w:tcPr>
            <w:tcW w:w="629" w:type="dxa"/>
            <w:tcBorders>
              <w:tl2br w:val="nil"/>
              <w:tr2bl w:val="nil"/>
            </w:tcBorders>
            <w:vAlign w:val="center"/>
          </w:tcPr>
          <w:p>
            <w:pPr>
              <w:snapToGrid w:val="0"/>
              <w:spacing w:line="360" w:lineRule="auto"/>
              <w:jc w:val="both"/>
              <w:rPr>
                <w:rFonts w:ascii="宋体" w:hAnsi="宋体" w:cs="宋体"/>
                <w:color w:val="000000" w:themeColor="text1"/>
                <w:sz w:val="24"/>
                <w:highlight w:val="none"/>
                <w14:textFill>
                  <w14:solidFill>
                    <w14:schemeClr w14:val="tx1"/>
                  </w14:solidFill>
                </w14:textFill>
              </w:rPr>
            </w:pPr>
          </w:p>
          <w:p>
            <w:pPr>
              <w:snapToGrid w:val="0"/>
              <w:spacing w:line="360" w:lineRule="auto"/>
              <w:jc w:val="both"/>
              <w:rPr>
                <w:rFonts w:ascii="宋体" w:hAnsi="宋体" w:cs="宋体"/>
                <w:color w:val="000000" w:themeColor="text1"/>
                <w:sz w:val="24"/>
                <w:highlight w:val="none"/>
                <w14:textFill>
                  <w14:solidFill>
                    <w14:schemeClr w14:val="tx1"/>
                  </w14:solidFill>
                </w14:textFill>
              </w:rPr>
            </w:pPr>
          </w:p>
          <w:p>
            <w:pPr>
              <w:snapToGrid w:val="0"/>
              <w:spacing w:line="360"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843" w:type="dxa"/>
            <w:tcBorders>
              <w:tl2br w:val="nil"/>
              <w:tr2bl w:val="nil"/>
            </w:tcBorders>
            <w:vAlign w:val="center"/>
          </w:tcPr>
          <w:p>
            <w:pPr>
              <w:snapToGrid w:val="0"/>
              <w:spacing w:line="360" w:lineRule="auto"/>
              <w:jc w:val="both"/>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开标前答疑会或现场考察</w:t>
            </w:r>
          </w:p>
        </w:tc>
        <w:tc>
          <w:tcPr>
            <w:tcW w:w="6095" w:type="dxa"/>
            <w:tcBorders>
              <w:tl2br w:val="nil"/>
              <w:tr2bl w:val="nil"/>
            </w:tcBorders>
            <w:vAlign w:val="center"/>
          </w:tcPr>
          <w:p>
            <w:pPr>
              <w:spacing w:line="360" w:lineRule="auto"/>
              <w:jc w:val="both"/>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r>
              <w:rPr>
                <w:rFonts w:hint="eastAsia" w:ascii="宋体" w:hAnsi="宋体" w:cs="宋体"/>
                <w:color w:val="000000" w:themeColor="text1"/>
                <w:sz w:val="24"/>
                <w:highlight w:val="none"/>
                <w:lang w:eastAsia="zh-CN"/>
                <w14:textFill>
                  <w14:solidFill>
                    <w14:schemeClr w14:val="tx1"/>
                  </w14:solidFill>
                </w14:textFill>
              </w:rPr>
              <w:t>。</w:t>
            </w:r>
          </w:p>
          <w:p>
            <w:pPr>
              <w:spacing w:line="360" w:lineRule="auto"/>
              <w:jc w:val="both"/>
              <w:rPr>
                <w:rFonts w:ascii="宋体" w:hAnsi="宋体" w:cs="宋体"/>
                <w:color w:val="000000" w:themeColor="text1"/>
                <w:sz w:val="24"/>
                <w:szCs w:val="20"/>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r>
              <w:rPr>
                <w:rFonts w:hint="eastAsia" w:ascii="宋体" w:hAnsi="宋体" w:cs="宋体"/>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，联系方式：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szCs w:val="20"/>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pPr>
              <w:snapToGrid w:val="0"/>
              <w:spacing w:line="360" w:lineRule="auto"/>
              <w:jc w:val="both"/>
              <w:rPr>
                <w:rFonts w:ascii="宋体" w:hAnsi="宋体" w:cs="宋体"/>
                <w:color w:val="000000" w:themeColor="text1"/>
                <w:sz w:val="24"/>
                <w:highlight w:val="none"/>
                <w14:textFill>
                  <w14:solidFill>
                    <w14:schemeClr w14:val="tx1"/>
                  </w14:solidFill>
                </w14:textFill>
              </w:rPr>
            </w:pPr>
          </w:p>
          <w:p>
            <w:pPr>
              <w:snapToGrid w:val="0"/>
              <w:spacing w:line="360" w:lineRule="auto"/>
              <w:jc w:val="both"/>
              <w:rPr>
                <w:rFonts w:ascii="宋体" w:hAnsi="宋体" w:cs="宋体"/>
                <w:color w:val="000000" w:themeColor="text1"/>
                <w:sz w:val="24"/>
                <w:highlight w:val="none"/>
                <w14:textFill>
                  <w14:solidFill>
                    <w14:schemeClr w14:val="tx1"/>
                  </w14:solidFill>
                </w14:textFill>
              </w:rPr>
            </w:pPr>
          </w:p>
          <w:p>
            <w:pPr>
              <w:snapToGrid w:val="0"/>
              <w:spacing w:line="360" w:lineRule="auto"/>
              <w:jc w:val="both"/>
              <w:rPr>
                <w:rFonts w:ascii="宋体" w:hAnsi="宋体" w:cs="宋体"/>
                <w:color w:val="000000" w:themeColor="text1"/>
                <w:sz w:val="24"/>
                <w:highlight w:val="none"/>
                <w14:textFill>
                  <w14:solidFill>
                    <w14:schemeClr w14:val="tx1"/>
                  </w14:solidFill>
                </w14:textFill>
              </w:rPr>
            </w:pPr>
          </w:p>
          <w:p>
            <w:pPr>
              <w:snapToGrid w:val="0"/>
              <w:spacing w:line="360" w:lineRule="auto"/>
              <w:jc w:val="both"/>
              <w:rPr>
                <w:rFonts w:ascii="宋体" w:hAnsi="宋体" w:cs="宋体"/>
                <w:color w:val="000000" w:themeColor="text1"/>
                <w:sz w:val="24"/>
                <w:highlight w:val="none"/>
                <w14:textFill>
                  <w14:solidFill>
                    <w14:schemeClr w14:val="tx1"/>
                  </w14:solidFill>
                </w14:textFill>
              </w:rPr>
            </w:pPr>
          </w:p>
          <w:p>
            <w:pPr>
              <w:snapToGrid w:val="0"/>
              <w:spacing w:line="360" w:lineRule="auto"/>
              <w:jc w:val="both"/>
              <w:rPr>
                <w:rFonts w:ascii="宋体" w:hAnsi="宋体" w:cs="宋体"/>
                <w:color w:val="000000" w:themeColor="text1"/>
                <w:sz w:val="24"/>
                <w:highlight w:val="none"/>
                <w14:textFill>
                  <w14:solidFill>
                    <w14:schemeClr w14:val="tx1"/>
                  </w14:solidFill>
                </w14:textFill>
              </w:rPr>
            </w:pPr>
          </w:p>
          <w:p>
            <w:pPr>
              <w:snapToGrid w:val="0"/>
              <w:spacing w:line="360" w:lineRule="auto"/>
              <w:jc w:val="both"/>
              <w:rPr>
                <w:rFonts w:ascii="宋体" w:hAnsi="宋体" w:cs="宋体"/>
                <w:color w:val="000000" w:themeColor="text1"/>
                <w:sz w:val="24"/>
                <w:highlight w:val="none"/>
                <w14:textFill>
                  <w14:solidFill>
                    <w14:schemeClr w14:val="tx1"/>
                  </w14:solidFill>
                </w14:textFill>
              </w:rPr>
            </w:pPr>
          </w:p>
          <w:p>
            <w:pPr>
              <w:snapToGrid w:val="0"/>
              <w:spacing w:line="360" w:lineRule="auto"/>
              <w:jc w:val="both"/>
              <w:rPr>
                <w:rFonts w:ascii="宋体" w:hAnsi="宋体" w:cs="宋体"/>
                <w:color w:val="000000" w:themeColor="text1"/>
                <w:sz w:val="24"/>
                <w:highlight w:val="none"/>
                <w14:textFill>
                  <w14:solidFill>
                    <w14:schemeClr w14:val="tx1"/>
                  </w14:solidFill>
                </w14:textFill>
              </w:rPr>
            </w:pPr>
          </w:p>
          <w:p>
            <w:pPr>
              <w:snapToGrid w:val="0"/>
              <w:spacing w:line="360" w:lineRule="auto"/>
              <w:jc w:val="both"/>
              <w:rPr>
                <w:rFonts w:ascii="宋体" w:hAnsi="宋体" w:cs="宋体"/>
                <w:color w:val="000000" w:themeColor="text1"/>
                <w:sz w:val="24"/>
                <w:highlight w:val="none"/>
                <w14:textFill>
                  <w14:solidFill>
                    <w14:schemeClr w14:val="tx1"/>
                  </w14:solidFill>
                </w14:textFill>
              </w:rPr>
            </w:pPr>
          </w:p>
          <w:p>
            <w:pPr>
              <w:snapToGrid w:val="0"/>
              <w:spacing w:line="360" w:lineRule="auto"/>
              <w:jc w:val="both"/>
              <w:rPr>
                <w:rFonts w:ascii="宋体" w:hAnsi="宋体" w:cs="宋体"/>
                <w:color w:val="000000" w:themeColor="text1"/>
                <w:sz w:val="24"/>
                <w:highlight w:val="none"/>
                <w14:textFill>
                  <w14:solidFill>
                    <w14:schemeClr w14:val="tx1"/>
                  </w14:solidFill>
                </w14:textFill>
              </w:rPr>
            </w:pPr>
          </w:p>
          <w:p>
            <w:pPr>
              <w:snapToGrid w:val="0"/>
              <w:spacing w:line="360"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843" w:type="dxa"/>
            <w:tcBorders>
              <w:tl2br w:val="nil"/>
              <w:tr2bl w:val="nil"/>
            </w:tcBorders>
            <w:vAlign w:val="center"/>
          </w:tcPr>
          <w:p>
            <w:pPr>
              <w:snapToGrid w:val="0"/>
              <w:spacing w:line="360" w:lineRule="auto"/>
              <w:jc w:val="both"/>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样品提供</w:t>
            </w:r>
          </w:p>
        </w:tc>
        <w:tc>
          <w:tcPr>
            <w:tcW w:w="6095" w:type="dxa"/>
            <w:tcBorders>
              <w:tl2br w:val="nil"/>
              <w:tr2bl w:val="nil"/>
            </w:tcBorders>
            <w:vAlign w:val="center"/>
          </w:tcPr>
          <w:p>
            <w:pPr>
              <w:spacing w:line="360" w:lineRule="auto"/>
              <w:jc w:val="both"/>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不要求提供。</w:t>
            </w:r>
          </w:p>
          <w:p>
            <w:pPr>
              <w:spacing w:line="360" w:lineRule="auto"/>
              <w:jc w:val="both"/>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B要求提供，</w:t>
            </w:r>
          </w:p>
          <w:p>
            <w:pPr>
              <w:spacing w:line="360" w:lineRule="auto"/>
              <w:jc w:val="both"/>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snapToGrid w:val="0"/>
                <w:color w:val="000000" w:themeColor="text1"/>
                <w:kern w:val="28"/>
                <w:sz w:val="24"/>
                <w:highlight w:val="none"/>
                <w14:textFill>
                  <w14:solidFill>
                    <w14:schemeClr w14:val="tx1"/>
                  </w14:solidFill>
                </w14:textFill>
              </w:rPr>
              <w:t>样品：</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pPr>
              <w:spacing w:line="360" w:lineRule="auto"/>
              <w:jc w:val="both"/>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r>
              <w:rPr>
                <w:rFonts w:hint="eastAsia" w:ascii="宋体" w:hAnsi="宋体" w:cs="宋体"/>
                <w:snapToGrid w:val="0"/>
                <w:color w:val="000000" w:themeColor="text1"/>
                <w:kern w:val="28"/>
                <w:sz w:val="24"/>
                <w:highlight w:val="none"/>
                <w14:textFill>
                  <w14:solidFill>
                    <w14:schemeClr w14:val="tx1"/>
                  </w14:solidFill>
                </w14:textFill>
              </w:rPr>
              <w:t>样品制作的标准和要求：</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pPr>
              <w:spacing w:line="360" w:lineRule="auto"/>
              <w:jc w:val="both"/>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（3）样品的评审方法以及评审标准</w:t>
            </w:r>
            <w:r>
              <w:rPr>
                <w:rFonts w:hint="eastAsia" w:ascii="宋体" w:hAnsi="宋体" w:cs="宋体"/>
                <w:snapToGrid w:val="0"/>
                <w:color w:val="000000" w:themeColor="text1"/>
                <w:kern w:val="28"/>
                <w:sz w:val="24"/>
                <w:highlight w:val="none"/>
                <w14:textFill>
                  <w14:solidFill>
                    <w14:schemeClr w14:val="tx1"/>
                  </w14:solidFill>
                </w14:textFill>
              </w:rPr>
              <w:t>：详见</w:t>
            </w:r>
            <w:r>
              <w:rPr>
                <w:rFonts w:hint="eastAsia" w:ascii="宋体" w:hAnsi="宋体" w:cs="宋体"/>
                <w:color w:val="000000" w:themeColor="text1"/>
                <w:sz w:val="24"/>
                <w:highlight w:val="none"/>
                <w:u w:val="single"/>
                <w14:textFill>
                  <w14:solidFill>
                    <w14:schemeClr w14:val="tx1"/>
                  </w14:solidFill>
                </w14:textFill>
              </w:rPr>
              <w:t>评标办法</w:t>
            </w:r>
            <w:r>
              <w:rPr>
                <w:rFonts w:hint="eastAsia" w:ascii="宋体" w:hAnsi="宋体" w:cs="宋体"/>
                <w:color w:val="000000" w:themeColor="text1"/>
                <w:kern w:val="0"/>
                <w:sz w:val="24"/>
                <w:highlight w:val="none"/>
                <w14:textFill>
                  <w14:solidFill>
                    <w14:schemeClr w14:val="tx1"/>
                  </w14:solidFill>
                </w14:textFill>
              </w:rPr>
              <w:t>；</w:t>
            </w:r>
          </w:p>
          <w:p>
            <w:pPr>
              <w:spacing w:line="360" w:lineRule="auto"/>
              <w:jc w:val="both"/>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（4）是否需要随样品提交检测报告：</w:t>
            </w:r>
            <w:sdt>
              <w:sdtPr>
                <w:rPr>
                  <w:rFonts w:hint="eastAsia" w:ascii="宋体" w:hAnsi="宋体" w:cs="宋体"/>
                  <w:color w:val="000000" w:themeColor="text1"/>
                  <w:kern w:val="0"/>
                  <w:sz w:val="24"/>
                  <w:highlight w:val="none"/>
                  <w14:textFill>
                    <w14:solidFill>
                      <w14:schemeClr w14:val="tx1"/>
                    </w14:solidFill>
                  </w14:textFill>
                </w:rPr>
                <w:id w:val="130342145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否；</w:t>
            </w:r>
            <w:sdt>
              <w:sdtPr>
                <w:rPr>
                  <w:rFonts w:hint="eastAsia" w:ascii="宋体" w:hAnsi="宋体" w:cs="宋体"/>
                  <w:color w:val="000000" w:themeColor="text1"/>
                  <w:kern w:val="0"/>
                  <w:sz w:val="24"/>
                  <w:highlight w:val="none"/>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是，检测机构的要求</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；检测内容</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pPr>
              <w:spacing w:line="360"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（5）提供样品的时间：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；联系人</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28"/>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pPr>
              <w:spacing w:line="360"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(6)采购活动结束后，对于未中标人提供的样品，采购人、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将通知未中标人在规定的时间内取回，逾期未取回的，采购人、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不负保管义务；对于中标人提供的样品，采购人将进行保管、封存，并作为履约验收的参考。</w:t>
            </w:r>
          </w:p>
          <w:p>
            <w:pPr>
              <w:spacing w:line="360" w:lineRule="auto"/>
              <w:jc w:val="both"/>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（7）制作、运输、安装和保管样品所发生的一切费用由投标人自理。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pPr>
              <w:snapToGrid w:val="0"/>
              <w:spacing w:line="360" w:lineRule="auto"/>
              <w:jc w:val="both"/>
              <w:rPr>
                <w:rFonts w:ascii="宋体" w:hAnsi="宋体" w:cs="宋体"/>
                <w:color w:val="000000" w:themeColor="text1"/>
                <w:sz w:val="24"/>
                <w:highlight w:val="none"/>
                <w14:textFill>
                  <w14:solidFill>
                    <w14:schemeClr w14:val="tx1"/>
                  </w14:solidFill>
                </w14:textFill>
              </w:rPr>
            </w:pPr>
          </w:p>
          <w:p>
            <w:pPr>
              <w:snapToGrid w:val="0"/>
              <w:spacing w:line="360" w:lineRule="auto"/>
              <w:jc w:val="both"/>
              <w:rPr>
                <w:rFonts w:ascii="宋体" w:hAnsi="宋体" w:cs="宋体"/>
                <w:color w:val="000000" w:themeColor="text1"/>
                <w:sz w:val="24"/>
                <w:highlight w:val="none"/>
                <w14:textFill>
                  <w14:solidFill>
                    <w14:schemeClr w14:val="tx1"/>
                  </w14:solidFill>
                </w14:textFill>
              </w:rPr>
            </w:pPr>
          </w:p>
          <w:p>
            <w:pPr>
              <w:snapToGrid w:val="0"/>
              <w:spacing w:line="360" w:lineRule="auto"/>
              <w:jc w:val="both"/>
              <w:rPr>
                <w:rFonts w:ascii="宋体" w:hAnsi="宋体" w:cs="宋体"/>
                <w:color w:val="000000" w:themeColor="text1"/>
                <w:sz w:val="24"/>
                <w:highlight w:val="none"/>
                <w14:textFill>
                  <w14:solidFill>
                    <w14:schemeClr w14:val="tx1"/>
                  </w14:solidFill>
                </w14:textFill>
              </w:rPr>
            </w:pPr>
          </w:p>
          <w:p>
            <w:pPr>
              <w:snapToGrid w:val="0"/>
              <w:spacing w:line="360" w:lineRule="auto"/>
              <w:jc w:val="both"/>
              <w:rPr>
                <w:rFonts w:ascii="宋体" w:hAnsi="宋体" w:cs="宋体"/>
                <w:color w:val="000000" w:themeColor="text1"/>
                <w:sz w:val="24"/>
                <w:highlight w:val="none"/>
                <w14:textFill>
                  <w14:solidFill>
                    <w14:schemeClr w14:val="tx1"/>
                  </w14:solidFill>
                </w14:textFill>
              </w:rPr>
            </w:pPr>
          </w:p>
          <w:p>
            <w:pPr>
              <w:snapToGrid w:val="0"/>
              <w:spacing w:line="360" w:lineRule="auto"/>
              <w:jc w:val="both"/>
              <w:rPr>
                <w:rFonts w:ascii="宋体" w:hAnsi="宋体" w:cs="宋体"/>
                <w:color w:val="000000" w:themeColor="text1"/>
                <w:sz w:val="24"/>
                <w:highlight w:val="none"/>
                <w14:textFill>
                  <w14:solidFill>
                    <w14:schemeClr w14:val="tx1"/>
                  </w14:solidFill>
                </w14:textFill>
              </w:rPr>
            </w:pPr>
          </w:p>
          <w:p>
            <w:pPr>
              <w:snapToGrid w:val="0"/>
              <w:spacing w:line="360" w:lineRule="auto"/>
              <w:jc w:val="both"/>
              <w:rPr>
                <w:rFonts w:ascii="宋体" w:hAnsi="宋体" w:cs="宋体"/>
                <w:color w:val="000000" w:themeColor="text1"/>
                <w:sz w:val="24"/>
                <w:highlight w:val="none"/>
                <w14:textFill>
                  <w14:solidFill>
                    <w14:schemeClr w14:val="tx1"/>
                  </w14:solidFill>
                </w14:textFill>
              </w:rPr>
            </w:pPr>
          </w:p>
          <w:p>
            <w:pPr>
              <w:snapToGrid w:val="0"/>
              <w:spacing w:line="360" w:lineRule="auto"/>
              <w:jc w:val="both"/>
              <w:rPr>
                <w:rFonts w:ascii="宋体" w:hAnsi="宋体" w:cs="宋体"/>
                <w:color w:val="000000" w:themeColor="text1"/>
                <w:sz w:val="24"/>
                <w:highlight w:val="none"/>
                <w14:textFill>
                  <w14:solidFill>
                    <w14:schemeClr w14:val="tx1"/>
                  </w14:solidFill>
                </w14:textFill>
              </w:rPr>
            </w:pPr>
          </w:p>
          <w:p>
            <w:pPr>
              <w:snapToGrid w:val="0"/>
              <w:spacing w:line="360" w:lineRule="auto"/>
              <w:jc w:val="both"/>
              <w:rPr>
                <w:rFonts w:ascii="宋体" w:hAnsi="宋体" w:cs="宋体"/>
                <w:color w:val="000000" w:themeColor="text1"/>
                <w:sz w:val="24"/>
                <w:highlight w:val="none"/>
                <w14:textFill>
                  <w14:solidFill>
                    <w14:schemeClr w14:val="tx1"/>
                  </w14:solidFill>
                </w14:textFill>
              </w:rPr>
            </w:pPr>
          </w:p>
          <w:p>
            <w:pPr>
              <w:snapToGrid w:val="0"/>
              <w:spacing w:line="360"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843" w:type="dxa"/>
            <w:tcBorders>
              <w:tl2br w:val="nil"/>
              <w:tr2bl w:val="nil"/>
            </w:tcBorders>
            <w:vAlign w:val="center"/>
          </w:tcPr>
          <w:p>
            <w:pPr>
              <w:snapToGrid w:val="0"/>
              <w:spacing w:line="360" w:lineRule="auto"/>
              <w:jc w:val="both"/>
              <w:rPr>
                <w:rFonts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方案讲解演示</w:t>
            </w:r>
          </w:p>
        </w:tc>
        <w:tc>
          <w:tcPr>
            <w:tcW w:w="6095" w:type="dxa"/>
            <w:tcBorders>
              <w:tl2br w:val="nil"/>
              <w:tr2bl w:val="nil"/>
            </w:tcBorders>
            <w:vAlign w:val="center"/>
          </w:tcPr>
          <w:p>
            <w:pPr>
              <w:spacing w:line="360" w:lineRule="auto"/>
              <w:jc w:val="both"/>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85934854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pPr>
              <w:spacing w:line="360" w:lineRule="auto"/>
              <w:jc w:val="both"/>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p>
          <w:p>
            <w:pPr>
              <w:snapToGrid w:val="0"/>
              <w:spacing w:line="360" w:lineRule="auto"/>
              <w:jc w:val="both"/>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（1）在评标时安排每个投标人进行方案讲解演示。每个投标人时间不超过</w:t>
            </w:r>
            <w:r>
              <w:rPr>
                <w:rFonts w:hint="eastAsia" w:ascii="宋体" w:hAnsi="宋体" w:cs="宋体"/>
                <w:color w:val="000000" w:themeColor="text1"/>
                <w:kern w:val="0"/>
                <w:sz w:val="24"/>
                <w:highlight w:val="none"/>
                <w:u w:val="single"/>
                <w14:textFill>
                  <w14:solidFill>
                    <w14:schemeClr w14:val="tx1"/>
                  </w14:solidFill>
                </w14:textFill>
              </w:rPr>
              <w:t>20</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u w:val="single"/>
                <w:lang w:val="en-US" w:eastAsia="zh-CN"/>
                <w14:textFill>
                  <w14:solidFill>
                    <w14:schemeClr w14:val="tx1"/>
                  </w14:solidFill>
                </w14:textFill>
              </w:rPr>
              <w:t>编制时可根据项目情况进行调整</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分钟，讲解次序以投标文件解密时间先后次序为准，讲解演示人员不超过</w:t>
            </w:r>
            <w:r>
              <w:rPr>
                <w:rFonts w:hint="eastAsia" w:ascii="宋体" w:hAnsi="宋体" w:cs="宋体"/>
                <w:color w:val="000000" w:themeColor="text1"/>
                <w:kern w:val="0"/>
                <w:sz w:val="24"/>
                <w:highlight w:val="none"/>
                <w:u w:val="single"/>
                <w14:textFill>
                  <w14:solidFill>
                    <w14:schemeClr w14:val="tx1"/>
                  </w14:solidFill>
                </w14:textFill>
              </w:rPr>
              <w:t>3</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u w:val="single"/>
                <w:lang w:val="en-US" w:eastAsia="zh-CN"/>
                <w14:textFill>
                  <w14:solidFill>
                    <w14:schemeClr w14:val="tx1"/>
                  </w14:solidFill>
                </w14:textFill>
              </w:rPr>
              <w:t>编制时可根据项目情况进行调整</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人。讲解演示结束后按要求解答评标委员会提问。</w:t>
            </w:r>
          </w:p>
          <w:p>
            <w:pPr>
              <w:snapToGrid w:val="0"/>
              <w:spacing w:line="360" w:lineRule="auto"/>
              <w:jc w:val="both"/>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（2）方案讲解演示可选择以下其中一种方式：</w:t>
            </w:r>
          </w:p>
          <w:p>
            <w:pPr>
              <w:snapToGrid w:val="0"/>
              <w:spacing w:line="360" w:lineRule="auto"/>
              <w:jc w:val="both"/>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方式一：政采云平台在线讲解演示。政采云平台在线讲解需投标人根据政采云平台操作要求做好准备工作，提前完善软硬件配置环境。</w:t>
            </w:r>
          </w:p>
          <w:p>
            <w:pPr>
              <w:snapToGrid w:val="0"/>
              <w:spacing w:line="360" w:lineRule="auto"/>
              <w:jc w:val="both"/>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方式二：交易中心现场讲解演示。现场讲解地点为</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，讲解演示所用电脑等设备由投标人自备。现场讲解演示人员进场时提供讲解人员名单（加盖公章或授权代表签名）及身份证明，否则不得讲解演示。</w:t>
            </w:r>
          </w:p>
          <w:p>
            <w:pPr>
              <w:snapToGrid w:val="0"/>
              <w:spacing w:line="360" w:lineRule="auto"/>
              <w:jc w:val="both"/>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61" w:hRule="atLeast"/>
          <w:tblHeader/>
        </w:trPr>
        <w:tc>
          <w:tcPr>
            <w:tcW w:w="629" w:type="dxa"/>
            <w:vMerge w:val="restart"/>
            <w:tcBorders>
              <w:tl2br w:val="nil"/>
              <w:tr2bl w:val="nil"/>
            </w:tcBorders>
            <w:vAlign w:val="center"/>
          </w:tcPr>
          <w:p>
            <w:pPr>
              <w:snapToGrid w:val="0"/>
              <w:spacing w:line="360" w:lineRule="auto"/>
              <w:jc w:val="both"/>
              <w:rPr>
                <w:rFonts w:ascii="宋体" w:hAnsi="宋体" w:cs="宋体"/>
                <w:color w:val="000000" w:themeColor="text1"/>
                <w:sz w:val="24"/>
                <w:highlight w:val="none"/>
                <w14:textFill>
                  <w14:solidFill>
                    <w14:schemeClr w14:val="tx1"/>
                  </w14:solidFill>
                </w14:textFill>
              </w:rPr>
            </w:pPr>
          </w:p>
          <w:p>
            <w:pPr>
              <w:snapToGrid w:val="0"/>
              <w:spacing w:line="360" w:lineRule="auto"/>
              <w:jc w:val="both"/>
              <w:rPr>
                <w:rFonts w:ascii="宋体" w:hAnsi="宋体" w:cs="宋体"/>
                <w:color w:val="000000" w:themeColor="text1"/>
                <w:sz w:val="24"/>
                <w:highlight w:val="none"/>
                <w14:textFill>
                  <w14:solidFill>
                    <w14:schemeClr w14:val="tx1"/>
                  </w14:solidFill>
                </w14:textFill>
              </w:rPr>
            </w:pPr>
          </w:p>
          <w:p>
            <w:pPr>
              <w:snapToGrid w:val="0"/>
              <w:spacing w:line="360"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843" w:type="dxa"/>
            <w:vMerge w:val="restart"/>
            <w:tcBorders>
              <w:tl2br w:val="nil"/>
              <w:tr2bl w:val="nil"/>
            </w:tcBorders>
            <w:vAlign w:val="center"/>
          </w:tcPr>
          <w:p>
            <w:pPr>
              <w:snapToGrid w:val="0"/>
              <w:spacing w:line="360" w:lineRule="auto"/>
              <w:jc w:val="both"/>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投标人应当提供的资格、资信证明文件</w:t>
            </w:r>
          </w:p>
        </w:tc>
        <w:tc>
          <w:tcPr>
            <w:tcW w:w="6095" w:type="dxa"/>
            <w:tcBorders>
              <w:tl2br w:val="nil"/>
              <w:tr2bl w:val="nil"/>
            </w:tcBorders>
            <w:vAlign w:val="center"/>
          </w:tcPr>
          <w:p>
            <w:pPr>
              <w:spacing w:line="360"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（1）资格证明文件：见招标文件第二部分11.1。</w:t>
            </w:r>
          </w:p>
          <w:p>
            <w:pPr>
              <w:spacing w:line="360" w:lineRule="auto"/>
              <w:jc w:val="both"/>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031" w:hRule="atLeast"/>
          <w:tblHeader/>
        </w:trPr>
        <w:tc>
          <w:tcPr>
            <w:tcW w:w="629" w:type="dxa"/>
            <w:vMerge w:val="continue"/>
            <w:tcBorders>
              <w:tl2br w:val="nil"/>
              <w:tr2bl w:val="nil"/>
            </w:tcBorders>
            <w:vAlign w:val="center"/>
          </w:tcPr>
          <w:p>
            <w:pPr>
              <w:snapToGrid w:val="0"/>
              <w:spacing w:line="360" w:lineRule="auto"/>
              <w:jc w:val="both"/>
              <w:rPr>
                <w:rFonts w:ascii="宋体" w:hAnsi="宋体" w:cs="宋体"/>
                <w:color w:val="000000" w:themeColor="text1"/>
                <w:sz w:val="24"/>
                <w:highlight w:val="none"/>
                <w14:textFill>
                  <w14:solidFill>
                    <w14:schemeClr w14:val="tx1"/>
                  </w14:solidFill>
                </w14:textFill>
              </w:rPr>
            </w:pPr>
          </w:p>
        </w:tc>
        <w:tc>
          <w:tcPr>
            <w:tcW w:w="1843" w:type="dxa"/>
            <w:vMerge w:val="continue"/>
            <w:tcBorders>
              <w:tl2br w:val="nil"/>
              <w:tr2bl w:val="nil"/>
            </w:tcBorders>
            <w:vAlign w:val="center"/>
          </w:tcPr>
          <w:p>
            <w:pPr>
              <w:snapToGrid w:val="0"/>
              <w:spacing w:line="360" w:lineRule="auto"/>
              <w:jc w:val="both"/>
              <w:rPr>
                <w:rFonts w:ascii="宋体" w:hAnsi="宋体" w:cs="宋体"/>
                <w:b/>
                <w:color w:val="000000" w:themeColor="text1"/>
                <w:sz w:val="24"/>
                <w:highlight w:val="none"/>
                <w14:textFill>
                  <w14:solidFill>
                    <w14:schemeClr w14:val="tx1"/>
                  </w14:solidFill>
                </w14:textFill>
              </w:rPr>
            </w:pPr>
          </w:p>
        </w:tc>
        <w:tc>
          <w:tcPr>
            <w:tcW w:w="6095" w:type="dxa"/>
            <w:tcBorders>
              <w:tl2br w:val="nil"/>
              <w:tr2bl w:val="nil"/>
            </w:tcBorders>
            <w:vAlign w:val="center"/>
          </w:tcPr>
          <w:p>
            <w:pPr>
              <w:spacing w:line="360"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（2）资信证明文件：根据招标文件第四部分评标标准提供。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pPr>
              <w:snapToGrid w:val="0"/>
              <w:spacing w:line="360" w:lineRule="auto"/>
              <w:jc w:val="both"/>
              <w:rPr>
                <w:rFonts w:ascii="宋体" w:hAnsi="宋体" w:cs="宋体"/>
                <w:color w:val="000000" w:themeColor="text1"/>
                <w:sz w:val="24"/>
                <w:highlight w:val="none"/>
                <w14:textFill>
                  <w14:solidFill>
                    <w14:schemeClr w14:val="tx1"/>
                  </w14:solidFill>
                </w14:textFill>
              </w:rPr>
            </w:pPr>
          </w:p>
          <w:p>
            <w:pPr>
              <w:snapToGrid w:val="0"/>
              <w:spacing w:line="360" w:lineRule="auto"/>
              <w:jc w:val="both"/>
              <w:rPr>
                <w:rFonts w:ascii="宋体" w:hAnsi="宋体" w:cs="宋体"/>
                <w:color w:val="000000" w:themeColor="text1"/>
                <w:sz w:val="24"/>
                <w:highlight w:val="none"/>
                <w14:textFill>
                  <w14:solidFill>
                    <w14:schemeClr w14:val="tx1"/>
                  </w14:solidFill>
                </w14:textFill>
              </w:rPr>
            </w:pPr>
          </w:p>
          <w:p>
            <w:pPr>
              <w:snapToGrid w:val="0"/>
              <w:spacing w:line="360" w:lineRule="auto"/>
              <w:jc w:val="both"/>
              <w:rPr>
                <w:rFonts w:ascii="宋体" w:hAnsi="宋体" w:cs="宋体"/>
                <w:color w:val="000000" w:themeColor="text1"/>
                <w:sz w:val="24"/>
                <w:highlight w:val="none"/>
                <w14:textFill>
                  <w14:solidFill>
                    <w14:schemeClr w14:val="tx1"/>
                  </w14:solidFill>
                </w14:textFill>
              </w:rPr>
            </w:pPr>
          </w:p>
          <w:p>
            <w:pPr>
              <w:snapToGrid w:val="0"/>
              <w:spacing w:line="360" w:lineRule="auto"/>
              <w:jc w:val="both"/>
              <w:rPr>
                <w:rFonts w:ascii="宋体" w:hAnsi="宋体" w:cs="宋体"/>
                <w:color w:val="000000" w:themeColor="text1"/>
                <w:sz w:val="24"/>
                <w:highlight w:val="none"/>
                <w14:textFill>
                  <w14:solidFill>
                    <w14:schemeClr w14:val="tx1"/>
                  </w14:solidFill>
                </w14:textFill>
              </w:rPr>
            </w:pPr>
          </w:p>
          <w:p>
            <w:pPr>
              <w:snapToGrid w:val="0"/>
              <w:spacing w:line="360" w:lineRule="auto"/>
              <w:jc w:val="both"/>
              <w:rPr>
                <w:rFonts w:ascii="宋体" w:hAnsi="宋体" w:cs="宋体"/>
                <w:color w:val="000000" w:themeColor="text1"/>
                <w:sz w:val="24"/>
                <w:highlight w:val="none"/>
                <w14:textFill>
                  <w14:solidFill>
                    <w14:schemeClr w14:val="tx1"/>
                  </w14:solidFill>
                </w14:textFill>
              </w:rPr>
            </w:pPr>
          </w:p>
          <w:p>
            <w:pPr>
              <w:snapToGrid w:val="0"/>
              <w:spacing w:line="360" w:lineRule="auto"/>
              <w:jc w:val="both"/>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9</w:t>
            </w:r>
          </w:p>
        </w:tc>
        <w:tc>
          <w:tcPr>
            <w:tcW w:w="1843" w:type="dxa"/>
            <w:tcBorders>
              <w:tl2br w:val="nil"/>
              <w:tr2bl w:val="nil"/>
            </w:tcBorders>
            <w:vAlign w:val="center"/>
          </w:tcPr>
          <w:p>
            <w:pPr>
              <w:snapToGrid w:val="0"/>
              <w:spacing w:line="360" w:lineRule="auto"/>
              <w:jc w:val="both"/>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报价要求</w:t>
            </w:r>
          </w:p>
        </w:tc>
        <w:tc>
          <w:tcPr>
            <w:tcW w:w="6095" w:type="dxa"/>
            <w:tcBorders>
              <w:tl2br w:val="nil"/>
              <w:tr2bl w:val="nil"/>
            </w:tcBorders>
            <w:vAlign w:val="center"/>
          </w:tcPr>
          <w:p>
            <w:pPr>
              <w:snapToGrid w:val="0"/>
              <w:spacing w:line="360" w:lineRule="auto"/>
              <w:jc w:val="both"/>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highlight w:val="none"/>
                <w:lang w:val="zh-CN"/>
                <w14:textFill>
                  <w14:solidFill>
                    <w14:schemeClr w14:val="tx1"/>
                  </w14:solidFill>
                </w14:textFill>
              </w:rPr>
              <w:t>投标文件</w:t>
            </w:r>
            <w:r>
              <w:rPr>
                <w:rFonts w:hint="eastAsia" w:ascii="宋体" w:hAnsi="宋体" w:cs="宋体"/>
                <w:b/>
                <w:bCs/>
                <w:color w:val="000000" w:themeColor="text1"/>
                <w:sz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r>
              <w:rPr>
                <w:rFonts w:hint="eastAsia" w:ascii="宋体" w:hAnsi="宋体" w:cs="宋体"/>
                <w:b/>
                <w:color w:val="000000" w:themeColor="text1"/>
                <w:kern w:val="0"/>
                <w:sz w:val="24"/>
                <w:highlight w:val="none"/>
                <w:lang w:val="zh-CN"/>
                <w14:textFill>
                  <w14:solidFill>
                    <w14:schemeClr w14:val="tx1"/>
                  </w14:solidFill>
                </w14:textFill>
              </w:rPr>
              <w:t>提醒：验收时检测费用由采购人承担，不包含在投标总价中。</w:t>
            </w:r>
          </w:p>
          <w:p>
            <w:pPr>
              <w:snapToGrid w:val="0"/>
              <w:spacing w:line="360" w:lineRule="auto"/>
              <w:jc w:val="both"/>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投标报价出现下列情形的，投标无效：</w:t>
            </w:r>
          </w:p>
          <w:p>
            <w:pPr>
              <w:snapToGrid w:val="0"/>
              <w:spacing w:line="360" w:lineRule="auto"/>
              <w:ind w:firstLine="241" w:firstLineChars="100"/>
              <w:jc w:val="both"/>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投标文件出现不是唯一的、有选择性投标报价的；</w:t>
            </w:r>
          </w:p>
          <w:p>
            <w:pPr>
              <w:snapToGrid w:val="0"/>
              <w:spacing w:line="360" w:lineRule="auto"/>
              <w:ind w:firstLine="241" w:firstLineChars="100"/>
              <w:jc w:val="both"/>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投标报价超过招标文件中规定的预算金额或者最高限价的;</w:t>
            </w:r>
          </w:p>
          <w:p>
            <w:pPr>
              <w:spacing w:line="360" w:lineRule="auto"/>
              <w:ind w:firstLine="241" w:firstLineChars="100"/>
              <w:jc w:val="both"/>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highlight w:val="none"/>
                <w14:textFill>
                  <w14:solidFill>
                    <w14:schemeClr w14:val="tx1"/>
                  </w14:solidFill>
                </w14:textFill>
              </w:rPr>
              <w:t>;</w:t>
            </w:r>
          </w:p>
          <w:p>
            <w:pPr>
              <w:spacing w:line="360" w:lineRule="auto"/>
              <w:ind w:firstLine="241" w:firstLineChars="100"/>
              <w:jc w:val="both"/>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投标人对根据修正原则修正后的报价不确认的</w:t>
            </w:r>
            <w:r>
              <w:rPr>
                <w:rFonts w:hint="eastAsia" w:ascii="宋体" w:hAnsi="宋体" w:cs="宋体"/>
                <w:b/>
                <w:color w:val="000000" w:themeColor="text1"/>
                <w:sz w:val="24"/>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98" w:hRule="atLeast"/>
          <w:tblHeader/>
        </w:trPr>
        <w:tc>
          <w:tcPr>
            <w:tcW w:w="629" w:type="dxa"/>
            <w:tcBorders>
              <w:tl2br w:val="nil"/>
              <w:tr2bl w:val="nil"/>
            </w:tcBorders>
            <w:vAlign w:val="center"/>
          </w:tcPr>
          <w:p>
            <w:pPr>
              <w:snapToGrid w:val="0"/>
              <w:spacing w:line="360" w:lineRule="auto"/>
              <w:jc w:val="both"/>
              <w:rPr>
                <w:rFonts w:ascii="宋体" w:hAnsi="宋体" w:cs="宋体"/>
                <w:color w:val="000000" w:themeColor="text1"/>
                <w:sz w:val="24"/>
                <w:highlight w:val="none"/>
                <w14:textFill>
                  <w14:solidFill>
                    <w14:schemeClr w14:val="tx1"/>
                  </w14:solidFill>
                </w14:textFill>
              </w:rPr>
            </w:pPr>
          </w:p>
          <w:p>
            <w:pPr>
              <w:snapToGrid w:val="0"/>
              <w:spacing w:line="360" w:lineRule="auto"/>
              <w:jc w:val="both"/>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0</w:t>
            </w:r>
          </w:p>
        </w:tc>
        <w:tc>
          <w:tcPr>
            <w:tcW w:w="1843" w:type="dxa"/>
            <w:tcBorders>
              <w:tl2br w:val="nil"/>
              <w:tr2bl w:val="nil"/>
            </w:tcBorders>
            <w:vAlign w:val="center"/>
          </w:tcPr>
          <w:p>
            <w:pPr>
              <w:snapToGrid w:val="0"/>
              <w:spacing w:line="360" w:lineRule="auto"/>
              <w:jc w:val="both"/>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中小企业信用融资</w:t>
            </w:r>
          </w:p>
        </w:tc>
        <w:tc>
          <w:tcPr>
            <w:tcW w:w="6095" w:type="dxa"/>
            <w:tcBorders>
              <w:tl2br w:val="nil"/>
              <w:tr2bl w:val="nil"/>
            </w:tcBorders>
            <w:vAlign w:val="center"/>
          </w:tcPr>
          <w:p>
            <w:pPr>
              <w:spacing w:line="360" w:lineRule="auto"/>
              <w:ind w:firstLine="480" w:firstLineChars="200"/>
              <w:jc w:val="both"/>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734" w:hRule="atLeast"/>
          <w:tblHeader/>
        </w:trPr>
        <w:tc>
          <w:tcPr>
            <w:tcW w:w="629" w:type="dxa"/>
            <w:tcBorders>
              <w:tl2br w:val="nil"/>
              <w:tr2bl w:val="nil"/>
            </w:tcBorders>
            <w:vAlign w:val="center"/>
          </w:tcPr>
          <w:p>
            <w:pPr>
              <w:snapToGrid w:val="0"/>
              <w:spacing w:line="360" w:lineRule="auto"/>
              <w:jc w:val="both"/>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1</w:t>
            </w:r>
          </w:p>
        </w:tc>
        <w:tc>
          <w:tcPr>
            <w:tcW w:w="1843" w:type="dxa"/>
            <w:tcBorders>
              <w:tl2br w:val="nil"/>
              <w:tr2bl w:val="nil"/>
            </w:tcBorders>
            <w:vAlign w:val="center"/>
          </w:tcPr>
          <w:p>
            <w:pPr>
              <w:snapToGrid w:val="0"/>
              <w:spacing w:line="360" w:lineRule="auto"/>
              <w:jc w:val="both"/>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备份投标文件送达地点和签收人员 </w:t>
            </w:r>
          </w:p>
        </w:tc>
        <w:tc>
          <w:tcPr>
            <w:tcW w:w="6095" w:type="dxa"/>
            <w:tcBorders>
              <w:tl2br w:val="nil"/>
              <w:tr2bl w:val="nil"/>
            </w:tcBorders>
            <w:vAlign w:val="center"/>
          </w:tcPr>
          <w:p>
            <w:pPr>
              <w:pStyle w:val="34"/>
              <w:spacing w:line="360" w:lineRule="auto"/>
              <w:jc w:val="both"/>
              <w:rPr>
                <w:rFonts w:hint="default" w:hAnsi="宋体" w:eastAsia="宋体" w:cs="宋体"/>
                <w:b w:val="0"/>
                <w:bCs/>
                <w:color w:val="000000" w:themeColor="text1"/>
                <w:kern w:val="28"/>
                <w:sz w:val="24"/>
                <w:highlight w:val="none"/>
                <w:lang w:val="en-US" w:eastAsia="zh-CN"/>
                <w14:textFill>
                  <w14:solidFill>
                    <w14:schemeClr w14:val="tx1"/>
                  </w14:solidFill>
                </w14:textFill>
              </w:rPr>
            </w:pPr>
            <w:r>
              <w:rPr>
                <w:rFonts w:hint="eastAsia" w:hAnsi="宋体" w:cs="宋体"/>
                <w:color w:val="000000" w:themeColor="text1"/>
                <w:kern w:val="28"/>
                <w:sz w:val="24"/>
                <w:szCs w:val="24"/>
                <w:highlight w:val="none"/>
                <w:u w:val="none"/>
                <w14:textFill>
                  <w14:solidFill>
                    <w14:schemeClr w14:val="tx1"/>
                  </w14:solidFill>
                </w14:textFill>
              </w:rPr>
              <w:t>备份投标文件送达地点：</w:t>
            </w:r>
            <w:r>
              <w:rPr>
                <w:rFonts w:cs="宋体"/>
                <w:color w:val="000000" w:themeColor="text1"/>
                <w:highlight w:val="none"/>
                <w:u w:val="single"/>
                <w14:textFill>
                  <w14:solidFill>
                    <w14:schemeClr w14:val="tx1"/>
                  </w14:solidFill>
                </w14:textFill>
              </w:rPr>
              <w:t>温州市</w:t>
            </w:r>
            <w:r>
              <w:rPr>
                <w:rFonts w:hint="eastAsia" w:cs="宋体"/>
                <w:color w:val="000000" w:themeColor="text1"/>
                <w:highlight w:val="none"/>
                <w:u w:val="single"/>
                <w:lang w:val="en-US" w:eastAsia="zh-CN"/>
                <w14:textFill>
                  <w14:solidFill>
                    <w14:schemeClr w14:val="tx1"/>
                  </w14:solidFill>
                </w14:textFill>
              </w:rPr>
              <w:t>鹿城区</w:t>
            </w:r>
            <w:r>
              <w:rPr>
                <w:rFonts w:cs="宋体"/>
                <w:color w:val="000000" w:themeColor="text1"/>
                <w:highlight w:val="none"/>
                <w:u w:val="single"/>
                <w14:textFill>
                  <w14:solidFill>
                    <w14:schemeClr w14:val="tx1"/>
                  </w14:solidFill>
                </w14:textFill>
              </w:rPr>
              <w:t>会展路1268号温州市民中心A座</w:t>
            </w:r>
            <w:r>
              <w:rPr>
                <w:rFonts w:hint="eastAsia" w:cs="宋体"/>
                <w:color w:val="000000" w:themeColor="text1"/>
                <w:highlight w:val="none"/>
                <w:u w:val="single"/>
                <w:lang w:val="en-US" w:eastAsia="zh-CN"/>
                <w14:textFill>
                  <w14:solidFill>
                    <w14:schemeClr w14:val="tx1"/>
                  </w14:solidFill>
                </w14:textFill>
              </w:rPr>
              <w:t>408</w:t>
            </w:r>
            <w:r>
              <w:rPr>
                <w:rFonts w:cs="宋体"/>
                <w:color w:val="000000" w:themeColor="text1"/>
                <w:highlight w:val="none"/>
                <w:u w:val="single"/>
                <w14:textFill>
                  <w14:solidFill>
                    <w14:schemeClr w14:val="tx1"/>
                  </w14:solidFill>
                </w14:textFill>
              </w:rPr>
              <w:t>室</w:t>
            </w:r>
            <w:r>
              <w:rPr>
                <w:rFonts w:hint="eastAsia" w:cs="宋体"/>
                <w:color w:val="000000" w:themeColor="text1"/>
                <w:highlight w:val="none"/>
                <w:u w:val="single"/>
                <w:lang w:val="en-US" w:eastAsia="zh-CN"/>
                <w14:textFill>
                  <w14:solidFill>
                    <w14:schemeClr w14:val="tx1"/>
                  </w14:solidFill>
                </w14:textFill>
              </w:rPr>
              <w:t>-叶先生收</w:t>
            </w:r>
            <w:r>
              <w:rPr>
                <w:rFonts w:hint="eastAsia" w:hAnsi="宋体" w:cs="宋体"/>
                <w:color w:val="000000" w:themeColor="text1"/>
                <w:kern w:val="28"/>
                <w:sz w:val="24"/>
                <w:szCs w:val="24"/>
                <w:highlight w:val="none"/>
                <w:u w:val="none"/>
                <w14:textFill>
                  <w14:solidFill>
                    <w14:schemeClr w14:val="tx1"/>
                  </w14:solidFill>
                </w14:textFill>
              </w:rPr>
              <w:t>；备份投标文件签收人员联系电话：</w:t>
            </w:r>
            <w:r>
              <w:rPr>
                <w:rFonts w:hint="eastAsia" w:ascii="宋体" w:eastAsia="宋体" w:cs="宋体"/>
                <w:color w:val="000000" w:themeColor="text1"/>
                <w:highlight w:val="none"/>
                <w:u w:val="single"/>
                <w:lang w:val="en-US" w:eastAsia="zh-CN"/>
                <w14:textFill>
                  <w14:solidFill>
                    <w14:schemeClr w14:val="tx1"/>
                  </w14:solidFill>
                </w14:textFill>
              </w:rPr>
              <w:t>0577-88925672</w:t>
            </w:r>
            <w:r>
              <w:rPr>
                <w:rFonts w:hint="eastAsia" w:hAnsi="宋体" w:cs="宋体"/>
                <w:color w:val="000000" w:themeColor="text1"/>
                <w:sz w:val="24"/>
                <w:highlight w:val="none"/>
                <w:u w:val="none"/>
                <w14:textFill>
                  <w14:solidFill>
                    <w14:schemeClr w14:val="tx1"/>
                  </w14:solidFill>
                </w14:textFill>
              </w:rPr>
              <w:t xml:space="preserve"> </w:t>
            </w:r>
            <w:r>
              <w:rPr>
                <w:rFonts w:hint="eastAsia" w:hAnsi="宋体" w:cs="宋体"/>
                <w:color w:val="000000" w:themeColor="text1"/>
                <w:sz w:val="24"/>
                <w:szCs w:val="24"/>
                <w:highlight w:val="none"/>
                <w:u w:val="none"/>
                <w14:textFill>
                  <w14:solidFill>
                    <w14:schemeClr w14:val="tx1"/>
                  </w14:solidFill>
                </w14:textFill>
              </w:rPr>
              <w:t>。</w:t>
            </w:r>
            <w:r>
              <w:rPr>
                <w:rFonts w:hint="eastAsia" w:hAnsi="宋体" w:cs="宋体"/>
                <w:b/>
                <w:color w:val="000000" w:themeColor="text1"/>
                <w:sz w:val="24"/>
                <w:szCs w:val="24"/>
                <w:highlight w:val="none"/>
                <w:u w:val="none"/>
                <w14:textFill>
                  <w14:solidFill>
                    <w14:schemeClr w14:val="tx1"/>
                  </w14:solidFill>
                </w14:textFill>
              </w:rPr>
              <w:t>采购人、</w:t>
            </w:r>
            <w:r>
              <w:rPr>
                <w:rFonts w:hint="eastAsia" w:hAnsi="宋体" w:cs="宋体"/>
                <w:b/>
                <w:color w:val="000000" w:themeColor="text1"/>
                <w:sz w:val="24"/>
                <w:szCs w:val="24"/>
                <w:highlight w:val="none"/>
                <w:u w:val="none"/>
                <w:lang w:eastAsia="zh-CN"/>
                <w14:textFill>
                  <w14:solidFill>
                    <w14:schemeClr w14:val="tx1"/>
                  </w14:solidFill>
                </w14:textFill>
              </w:rPr>
              <w:t>采购代理机构</w:t>
            </w:r>
            <w:r>
              <w:rPr>
                <w:rFonts w:hint="eastAsia" w:hAnsi="宋体" w:cs="宋体"/>
                <w:b/>
                <w:color w:val="000000" w:themeColor="text1"/>
                <w:sz w:val="24"/>
                <w:szCs w:val="24"/>
                <w:highlight w:val="none"/>
                <w:u w:val="none"/>
                <w14:textFill>
                  <w14:solidFill>
                    <w14:schemeClr w14:val="tx1"/>
                  </w14:solidFill>
                </w14:textFill>
              </w:rPr>
              <w:t>不强制或变相强制投标人提交备份投标文件。</w:t>
            </w:r>
            <w:r>
              <w:rPr>
                <w:rFonts w:hint="eastAsia" w:hAnsi="宋体" w:cs="宋体"/>
                <w:b w:val="0"/>
                <w:bCs/>
                <w:color w:val="000000" w:themeColor="text1"/>
                <w:sz w:val="24"/>
                <w:szCs w:val="24"/>
                <w:highlight w:val="none"/>
                <w:u w:val="none"/>
                <w:lang w:val="en-US" w:eastAsia="zh-CN"/>
                <w14:textFill>
                  <w14:solidFill>
                    <w14:schemeClr w14:val="tx1"/>
                  </w14:solidFill>
                </w14:textFill>
              </w:rPr>
              <w:t>采购活动结束后，备份投标文件存储介质请于3个工作日内取回，逾期未取回，不负保管义务。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35" w:hRule="atLeast"/>
          <w:tblHeader/>
        </w:trPr>
        <w:tc>
          <w:tcPr>
            <w:tcW w:w="629" w:type="dxa"/>
            <w:vMerge w:val="restart"/>
            <w:tcBorders>
              <w:tl2br w:val="nil"/>
              <w:tr2bl w:val="nil"/>
            </w:tcBorders>
            <w:vAlign w:val="center"/>
          </w:tcPr>
          <w:p>
            <w:pPr>
              <w:snapToGrid w:val="0"/>
              <w:spacing w:line="360" w:lineRule="auto"/>
              <w:jc w:val="both"/>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2</w:t>
            </w:r>
          </w:p>
        </w:tc>
        <w:tc>
          <w:tcPr>
            <w:tcW w:w="1843" w:type="dxa"/>
            <w:vMerge w:val="restart"/>
            <w:tcBorders>
              <w:tl2br w:val="nil"/>
              <w:tr2bl w:val="nil"/>
            </w:tcBorders>
            <w:vAlign w:val="center"/>
          </w:tcPr>
          <w:p>
            <w:pPr>
              <w:snapToGrid w:val="0"/>
              <w:spacing w:line="360" w:lineRule="auto"/>
              <w:jc w:val="both"/>
              <w:rPr>
                <w:rFonts w:ascii="宋体" w:hAnsi="宋体" w:cs="宋体"/>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特别说明</w:t>
            </w:r>
          </w:p>
        </w:tc>
        <w:tc>
          <w:tcPr>
            <w:tcW w:w="6095" w:type="dxa"/>
            <w:tcBorders>
              <w:tl2br w:val="nil"/>
              <w:tr2bl w:val="nil"/>
            </w:tcBorders>
            <w:vAlign w:val="center"/>
          </w:tcPr>
          <w:p>
            <w:pPr>
              <w:spacing w:line="360" w:lineRule="auto"/>
              <w:jc w:val="both"/>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联合体投标的，联合体各方分别提供与联合体协议中规定的分工内容相应的业绩证明材料，业绩数量以提供材料较少的一方为准。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5" w:hRule="atLeast"/>
          <w:tblHeader/>
        </w:trPr>
        <w:tc>
          <w:tcPr>
            <w:tcW w:w="629" w:type="dxa"/>
            <w:vMerge w:val="continue"/>
            <w:tcBorders>
              <w:tl2br w:val="nil"/>
              <w:tr2bl w:val="nil"/>
            </w:tcBorders>
            <w:vAlign w:val="center"/>
          </w:tcPr>
          <w:p>
            <w:pPr>
              <w:snapToGrid w:val="0"/>
              <w:spacing w:line="360" w:lineRule="auto"/>
              <w:jc w:val="both"/>
              <w:rPr>
                <w:rFonts w:ascii="宋体" w:hAnsi="宋体" w:cs="宋体"/>
                <w:color w:val="000000" w:themeColor="text1"/>
                <w:sz w:val="24"/>
                <w:highlight w:val="none"/>
                <w14:textFill>
                  <w14:solidFill>
                    <w14:schemeClr w14:val="tx1"/>
                  </w14:solidFill>
                </w14:textFill>
              </w:rPr>
            </w:pPr>
          </w:p>
        </w:tc>
        <w:tc>
          <w:tcPr>
            <w:tcW w:w="1843" w:type="dxa"/>
            <w:vMerge w:val="continue"/>
            <w:tcBorders>
              <w:tl2br w:val="nil"/>
              <w:tr2bl w:val="nil"/>
            </w:tcBorders>
            <w:vAlign w:val="center"/>
          </w:tcPr>
          <w:p>
            <w:pPr>
              <w:snapToGrid w:val="0"/>
              <w:spacing w:line="360" w:lineRule="auto"/>
              <w:jc w:val="both"/>
              <w:rPr>
                <w:rFonts w:ascii="宋体" w:hAnsi="宋体" w:cs="宋体"/>
                <w:b/>
                <w:color w:val="000000" w:themeColor="text1"/>
                <w:sz w:val="24"/>
                <w:highlight w:val="none"/>
                <w14:textFill>
                  <w14:solidFill>
                    <w14:schemeClr w14:val="tx1"/>
                  </w14:solidFill>
                </w14:textFill>
              </w:rPr>
            </w:pPr>
          </w:p>
        </w:tc>
        <w:tc>
          <w:tcPr>
            <w:tcW w:w="6095" w:type="dxa"/>
            <w:tcBorders>
              <w:tl2br w:val="nil"/>
              <w:tr2bl w:val="nil"/>
            </w:tcBorders>
            <w:vAlign w:val="center"/>
          </w:tcPr>
          <w:p>
            <w:pPr>
              <w:spacing w:line="360" w:lineRule="auto"/>
              <w:jc w:val="both"/>
              <w:rPr>
                <w:rFonts w:ascii="宋体" w:hAnsi="宋体" w:cs="宋体"/>
                <w:snapToGrid w:val="0"/>
                <w:color w:val="000000" w:themeColor="text1"/>
                <w:kern w:val="28"/>
                <w:sz w:val="24"/>
                <w:highlight w:val="none"/>
                <w14:textFill>
                  <w14:solidFill>
                    <w14:schemeClr w14:val="tx1"/>
                  </w14:solidFill>
                </w14:textFill>
              </w:rPr>
            </w:pPr>
            <w:sdt>
              <w:sdtPr>
                <w:rPr>
                  <w:rFonts w:hint="eastAsia" w:cs="Arial" w:asciiTheme="minorEastAsia" w:hAnsiTheme="minorEastAsia" w:eastAsiaTheme="minorEastAsia"/>
                  <w:color w:val="000000" w:themeColor="text1"/>
                  <w:kern w:val="0"/>
                  <w:sz w:val="24"/>
                  <w:highlight w:val="none"/>
                  <w14:textFill>
                    <w14:solidFill>
                      <w14:schemeClr w14:val="tx1"/>
                    </w14:solidFill>
                  </w14:textFill>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MS Mincho" w:hAnsi="MS Mincho" w:eastAsia="MS Mincho" w:cs="MS Mincho"/>
                    <w:color w:val="000000" w:themeColor="text1"/>
                    <w:kern w:val="0"/>
                    <w:sz w:val="24"/>
                    <w:highlight w:val="none"/>
                    <w14:textFill>
                      <w14:solidFill>
                        <w14:schemeClr w14:val="tx1"/>
                      </w14:solidFill>
                    </w14:textFill>
                  </w:rPr>
                  <w:t>☐</w:t>
                </w:r>
              </w:sdtContent>
            </w:sdt>
            <w:r>
              <w:rPr>
                <w:rFonts w:hint="eastAsia" w:ascii="宋体" w:hAnsi="宋体" w:cs="宋体"/>
                <w:snapToGrid w:val="0"/>
                <w:color w:val="000000" w:themeColor="text1"/>
                <w:kern w:val="28"/>
                <w:sz w:val="24"/>
                <w:highlight w:val="none"/>
                <w14:textFill>
                  <w14:solidFill>
                    <w14:schemeClr w14:val="tx1"/>
                  </w14:solidFill>
                </w14:textFill>
              </w:rPr>
              <w:t>联合体投标的，联合体各方均需按招标文件第四部分评标标准要求提供资信证明文件，否则视为不符合相关要求。</w:t>
            </w:r>
          </w:p>
          <w:p>
            <w:pPr>
              <w:spacing w:line="360" w:lineRule="auto"/>
              <w:jc w:val="both"/>
              <w:rPr>
                <w:rFonts w:ascii="宋体" w:hAnsi="宋体" w:cs="宋体"/>
                <w:snapToGrid w:val="0"/>
                <w:color w:val="000000" w:themeColor="text1"/>
                <w:kern w:val="28"/>
                <w:sz w:val="24"/>
                <w:highlight w:val="none"/>
                <w14:textFill>
                  <w14:solidFill>
                    <w14:schemeClr w14:val="tx1"/>
                  </w14:solidFill>
                </w14:textFill>
              </w:rPr>
            </w:pPr>
            <w:sdt>
              <w:sdtPr>
                <w:rPr>
                  <w:rFonts w:hint="eastAsia" w:cs="Arial" w:asciiTheme="minorEastAsia" w:hAnsiTheme="minorEastAsia" w:eastAsiaTheme="minorEastAsia"/>
                  <w:color w:val="000000" w:themeColor="text1"/>
                  <w:kern w:val="0"/>
                  <w:sz w:val="24"/>
                  <w:highlight w:val="none"/>
                  <w14:textFill>
                    <w14:solidFill>
                      <w14:schemeClr w14:val="tx1"/>
                    </w14:solidFill>
                  </w14:textFill>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MS Gothic" w:hAnsi="MS Gothic" w:cs="Arial" w:eastAsiaTheme="minorEastAsia"/>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snapToGrid w:val="0"/>
                <w:color w:val="000000" w:themeColor="text1"/>
                <w:kern w:val="28"/>
                <w:sz w:val="24"/>
                <w:highlight w:val="none"/>
                <w14:textFill>
                  <w14:solidFill>
                    <w14:schemeClr w14:val="tx1"/>
                  </w14:solidFill>
                </w14:textFill>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p>
    <w:bookmarkEnd w:id="9"/>
    <w:p>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bookmarkStart w:id="10" w:name="第三部分"/>
      <w:bookmarkStart w:id="11" w:name="_Toc164416483"/>
      <w:r>
        <w:rPr>
          <w:rFonts w:hint="eastAsia" w:ascii="宋体" w:hAnsi="宋体" w:cs="宋体"/>
          <w:b/>
          <w:color w:val="000000" w:themeColor="text1"/>
          <w:sz w:val="32"/>
          <w:szCs w:val="20"/>
          <w:highlight w:val="none"/>
          <w14:textFill>
            <w14:solidFill>
              <w14:schemeClr w14:val="tx1"/>
            </w14:solidFill>
          </w14:textFill>
        </w:rPr>
        <w:t>一、总则</w:t>
      </w:r>
    </w:p>
    <w:p>
      <w:pPr>
        <w:snapToGrid w:val="0"/>
        <w:spacing w:line="360" w:lineRule="auto"/>
        <w:ind w:firstLine="361" w:firstLineChars="150"/>
        <w:jc w:val="left"/>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 适用范围</w:t>
      </w:r>
    </w:p>
    <w:p>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2.定义</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“采购人”系指招标公告中载明的本项目的采购人。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”系指招标公告中载明的本项目的</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“投标人”系指是指响应招标、参加投标竞争的法人、其他组织或者自然人。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2.6“电子交易平台”</w:t>
      </w:r>
      <w:r>
        <w:rPr>
          <w:rFonts w:hint="eastAsia" w:ascii="宋体" w:hAnsi="宋体" w:cs="宋体"/>
          <w:color w:val="000000" w:themeColor="text1"/>
          <w:sz w:val="24"/>
          <w:highlight w:val="none"/>
          <w:lang w:val="en-US" w:eastAsia="zh-CN"/>
          <w14:textFill>
            <w14:solidFill>
              <w14:schemeClr w14:val="tx1"/>
            </w14:solidFill>
          </w14:textFill>
        </w:rPr>
        <w:t>系</w:t>
      </w:r>
      <w:r>
        <w:rPr>
          <w:rFonts w:hint="eastAsia" w:ascii="宋体" w:hAnsi="宋体" w:cs="宋体"/>
          <w:color w:val="000000" w:themeColor="text1"/>
          <w:sz w:val="24"/>
          <w:highlight w:val="none"/>
          <w14:textFill>
            <w14:solidFill>
              <w14:schemeClr w14:val="tx1"/>
            </w14:solidFill>
          </w14:textFill>
        </w:rPr>
        <w:t>指本项目政府采购活动所依托的政府采购云平台（https://www.zcygov.cn/）。</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 “▲</w:t>
      </w:r>
      <w:r>
        <w:rPr>
          <w:rFonts w:hint="eastAsia" w:ascii="宋体" w:hAnsi="宋体" w:cs="宋体"/>
          <w:color w:val="000000" w:themeColor="text1"/>
          <w:sz w:val="24"/>
          <w:highlight w:val="none"/>
          <w:lang w:val="en-US" w:eastAsia="zh-CN"/>
          <w14:textFill>
            <w14:solidFill>
              <w14:schemeClr w14:val="tx1"/>
            </w14:solidFill>
          </w14:textFill>
        </w:rPr>
        <w:t>且加下划线部分</w:t>
      </w:r>
      <w:r>
        <w:rPr>
          <w:rFonts w:hint="eastAsia" w:ascii="宋体" w:hAnsi="宋体" w:cs="宋体"/>
          <w:color w:val="000000" w:themeColor="text1"/>
          <w:sz w:val="24"/>
          <w:highlight w:val="none"/>
          <w14:textFill>
            <w14:solidFill>
              <w14:schemeClr w14:val="tx1"/>
            </w14:solidFill>
          </w14:textFill>
        </w:rPr>
        <w:t>” 系指实质性要求条款，“</w:t>
      </w:r>
      <w:sdt>
        <w:sdtPr>
          <w:rPr>
            <w:rFonts w:hint="eastAsia" w:ascii="宋体" w:hAnsi="宋体" w:cs="宋体"/>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系指适用本项目的要求，“</w:t>
      </w:r>
      <w:sdt>
        <w:sdtPr>
          <w:rPr>
            <w:rFonts w:hint="eastAsia" w:ascii="宋体" w:hAnsi="宋体" w:cs="宋体"/>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系指不适用本项目的要求。</w:t>
      </w:r>
    </w:p>
    <w:p>
      <w:pPr>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采购项目需要落实的政府采购政策</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不会对其加以限制，仍将按照公平竞争原则实施采购）；</w:t>
      </w:r>
      <w:r>
        <w:rPr>
          <w:rFonts w:hint="eastAsia" w:ascii="宋体" w:hAnsi="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支持绿色发展</w:t>
      </w:r>
    </w:p>
    <w:p>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themeColor="text1"/>
          <w:sz w:val="24"/>
          <w:highlight w:val="none"/>
          <w:u w:val="singl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r>
        <w:rPr>
          <w:rFonts w:hint="eastAsia" w:ascii="宋体" w:hAnsi="宋体" w:cs="宋体"/>
          <w:b/>
          <w:color w:val="000000" w:themeColor="text1"/>
          <w:sz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3.2.4 </w:t>
      </w:r>
      <w:r>
        <w:rPr>
          <w:rFonts w:hint="eastAsia" w:ascii="宋体" w:hAnsi="宋体" w:cs="宋体"/>
          <w:color w:val="000000" w:themeColor="text1"/>
          <w:sz w:val="24"/>
          <w:highlight w:val="none"/>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3.3支持中小企业发展</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pPr>
        <w:widowControl/>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3.3.2</w:t>
      </w:r>
      <w:r>
        <w:rPr>
          <w:rFonts w:hint="eastAsia" w:ascii="宋体" w:hAnsi="宋体" w:cs="宋体"/>
          <w:color w:val="000000" w:themeColor="text1"/>
          <w:kern w:val="0"/>
          <w:sz w:val="24"/>
          <w:highlight w:val="none"/>
          <w14:textFill>
            <w14:solidFill>
              <w14:schemeClr w14:val="tx1"/>
            </w14:solidFill>
          </w14:textFill>
        </w:rPr>
        <w:t>在政府采购活动中，投标人提供的货物、工程或者服务符合下列情形的，享受中小企业扶持政策：</w:t>
      </w:r>
    </w:p>
    <w:p>
      <w:pPr>
        <w:widowControl/>
        <w:spacing w:line="360" w:lineRule="auto"/>
        <w:ind w:firstLine="480" w:firstLineChars="200"/>
        <w:jc w:val="left"/>
        <w:rPr>
          <w:rFonts w:cs="仿宋" w:asciiTheme="minorEastAsia" w:hAnsiTheme="minorEastAsia"/>
          <w:color w:val="000000" w:themeColor="text1"/>
          <w:kern w:val="0"/>
          <w:sz w:val="24"/>
          <w:highlight w:val="none"/>
          <w14:textFill>
            <w14:solidFill>
              <w14:schemeClr w14:val="tx1"/>
            </w14:solidFill>
          </w14:textFill>
        </w:rPr>
      </w:pPr>
      <w:r>
        <w:rPr>
          <w:rFonts w:hint="eastAsia" w:cs="仿宋" w:asciiTheme="minorEastAsia" w:hAnsiTheme="minorEastAsia"/>
          <w:color w:val="000000" w:themeColor="text1"/>
          <w:kern w:val="0"/>
          <w:sz w:val="24"/>
          <w:highlight w:val="none"/>
          <w14:textFill>
            <w14:solidFill>
              <w14:schemeClr w14:val="tx1"/>
            </w14:solidFill>
          </w14:textFill>
        </w:rPr>
        <w:t>3.3.2.1在货物采购项目中，货物由中小企业制造，即货物由中小企业生产且使用该中小企业商号或者注册商标；</w:t>
      </w:r>
    </w:p>
    <w:p>
      <w:pPr>
        <w:widowControl/>
        <w:spacing w:line="360" w:lineRule="auto"/>
        <w:ind w:firstLine="480" w:firstLineChars="200"/>
        <w:jc w:val="left"/>
        <w:rPr>
          <w:rFonts w:cs="仿宋" w:asciiTheme="minorEastAsia" w:hAnsiTheme="minorEastAsia"/>
          <w:color w:val="000000" w:themeColor="text1"/>
          <w:kern w:val="0"/>
          <w:sz w:val="24"/>
          <w:highlight w:val="none"/>
          <w14:textFill>
            <w14:solidFill>
              <w14:schemeClr w14:val="tx1"/>
            </w14:solidFill>
          </w14:textFill>
        </w:rPr>
      </w:pPr>
      <w:r>
        <w:rPr>
          <w:rFonts w:hint="eastAsia" w:cs="仿宋" w:asciiTheme="minorEastAsia" w:hAnsiTheme="minorEastAsia"/>
          <w:color w:val="000000" w:themeColor="text1"/>
          <w:kern w:val="0"/>
          <w:sz w:val="24"/>
          <w:highlight w:val="none"/>
          <w14:textFill>
            <w14:solidFill>
              <w14:schemeClr w14:val="tx1"/>
            </w14:solidFill>
          </w14:textFill>
        </w:rPr>
        <w:t>3.3.2.2在工程采购项目中，工程由中小企业承建，即工程施工单位为中小企业；</w:t>
      </w:r>
    </w:p>
    <w:p>
      <w:pPr>
        <w:widowControl/>
        <w:spacing w:line="360" w:lineRule="auto"/>
        <w:ind w:firstLine="480" w:firstLineChars="200"/>
        <w:jc w:val="left"/>
        <w:rPr>
          <w:rFonts w:cs="仿宋" w:asciiTheme="minorEastAsia" w:hAnsiTheme="minorEastAsia"/>
          <w:color w:val="000000" w:themeColor="text1"/>
          <w:kern w:val="0"/>
          <w:sz w:val="24"/>
          <w:highlight w:val="none"/>
          <w14:textFill>
            <w14:solidFill>
              <w14:schemeClr w14:val="tx1"/>
            </w14:solidFill>
          </w14:textFill>
        </w:rPr>
      </w:pPr>
      <w:r>
        <w:rPr>
          <w:rFonts w:hint="eastAsia" w:cs="仿宋" w:asciiTheme="minorEastAsia" w:hAnsiTheme="minorEastAsia"/>
          <w:color w:val="000000" w:themeColor="text1"/>
          <w:kern w:val="0"/>
          <w:sz w:val="24"/>
          <w:highlight w:val="none"/>
          <w14:textFill>
            <w14:solidFill>
              <w14:schemeClr w14:val="tx1"/>
            </w14:solidFill>
          </w14:textFill>
        </w:rPr>
        <w:t>3.3.2.3在服务采购项目中，服务由中小企业承接，即提供服务的人员为中小企业依照《</w:t>
      </w:r>
      <w:r>
        <w:rPr>
          <w:rFonts w:hint="eastAsia" w:ascii="宋体" w:hAnsi="宋体" w:cs="宋体"/>
          <w:color w:val="000000" w:themeColor="text1"/>
          <w:kern w:val="0"/>
          <w:sz w:val="24"/>
          <w:highlight w:val="none"/>
          <w:u w:val="none"/>
          <w14:textFill>
            <w14:solidFill>
              <w14:schemeClr w14:val="tx1"/>
            </w14:solidFill>
          </w14:textFill>
        </w:rPr>
        <w:t>中华人民共和国</w:t>
      </w:r>
      <w:r>
        <w:rPr>
          <w:rFonts w:hint="eastAsia" w:ascii="宋体" w:hAnsi="宋体" w:cs="宋体"/>
          <w:color w:val="000000" w:themeColor="text1"/>
          <w:kern w:val="0"/>
          <w:sz w:val="24"/>
          <w:highlight w:val="none"/>
          <w:u w:val="none"/>
          <w:lang w:val="en-US" w:eastAsia="zh-CN"/>
          <w14:textFill>
            <w14:solidFill>
              <w14:schemeClr w14:val="tx1"/>
            </w14:solidFill>
          </w14:textFill>
        </w:rPr>
        <w:t>民法典</w:t>
      </w:r>
      <w:r>
        <w:rPr>
          <w:rFonts w:hint="eastAsia" w:cs="仿宋" w:asciiTheme="minorEastAsia" w:hAnsiTheme="minorEastAsia"/>
          <w:color w:val="000000" w:themeColor="text1"/>
          <w:kern w:val="0"/>
          <w:sz w:val="24"/>
          <w:highlight w:val="none"/>
          <w14:textFill>
            <w14:solidFill>
              <w14:schemeClr w14:val="tx1"/>
            </w14:solidFill>
          </w14:textFill>
        </w:rPr>
        <w:t>》订立劳动合同的从业人员。</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在服务采购项目中，服务由中小企业承接，即提供服务的人员为中小企业依照</w:t>
      </w:r>
      <w:r>
        <w:rPr>
          <w:rFonts w:hint="eastAsia" w:ascii="宋体" w:hAnsi="宋体" w:cs="宋体"/>
          <w:color w:val="000000" w:themeColor="text1"/>
          <w:kern w:val="0"/>
          <w:sz w:val="24"/>
          <w:highlight w:val="none"/>
          <w:u w:val="none"/>
          <w14:textFill>
            <w14:solidFill>
              <w14:schemeClr w14:val="tx1"/>
            </w14:solidFill>
          </w14:textFill>
        </w:rPr>
        <w:t>《中华人民共和国</w:t>
      </w:r>
      <w:r>
        <w:rPr>
          <w:rFonts w:hint="eastAsia" w:ascii="宋体" w:hAnsi="宋体" w:cs="宋体"/>
          <w:color w:val="000000" w:themeColor="text1"/>
          <w:kern w:val="0"/>
          <w:sz w:val="24"/>
          <w:highlight w:val="none"/>
          <w:u w:val="none"/>
          <w:lang w:val="en-US" w:eastAsia="zh-CN"/>
          <w14:textFill>
            <w14:solidFill>
              <w14:schemeClr w14:val="tx1"/>
            </w14:solidFill>
          </w14:textFill>
        </w:rPr>
        <w:t>民法典</w:t>
      </w:r>
      <w:r>
        <w:rPr>
          <w:rFonts w:hint="eastAsia" w:ascii="宋体" w:hAnsi="宋体" w:cs="宋体"/>
          <w:color w:val="000000" w:themeColor="text1"/>
          <w:kern w:val="0"/>
          <w:sz w:val="24"/>
          <w:highlight w:val="none"/>
          <w:u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订立劳动合同的从业人员。</w:t>
      </w:r>
      <w:r>
        <w:rPr>
          <w:rFonts w:hint="eastAsia" w:cs="仿宋" w:asciiTheme="minorEastAsia" w:hAnsiTheme="minorEastAsia"/>
          <w:color w:val="000000" w:themeColor="text1"/>
          <w:kern w:val="0"/>
          <w:sz w:val="24"/>
          <w:highlight w:val="none"/>
          <w14:textFill>
            <w14:solidFill>
              <w14:schemeClr w14:val="tx1"/>
            </w14:solidFill>
          </w14:textFill>
        </w:rPr>
        <w:t>在货物采购项目中，供应商提供的货物既有中小企业制造货物，也有大型企业制造货物的，不享受中小企业扶持政策。</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w:t>
      </w:r>
      <w:r>
        <w:rPr>
          <w:rFonts w:hint="eastAsia" w:ascii="宋体" w:hAnsi="宋体" w:cs="宋体"/>
          <w:bCs/>
          <w:color w:val="000000" w:themeColor="text1"/>
          <w:sz w:val="24"/>
          <w:highlight w:val="none"/>
          <w14:textFill>
            <w14:solidFill>
              <w14:schemeClr w14:val="tx1"/>
            </w14:solidFill>
          </w14:textFill>
        </w:rPr>
        <w:t>支持创新发展</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 采购人优先采购被认定为首台套产品和“制造精品”的自主创新产品。</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3.4.2首台套产品被纳入《首台套产品推广应用指导目录》之日起</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3.5平等对待内外资企业和符合条件的破产重整企业</w:t>
      </w:r>
    </w:p>
    <w:p>
      <w:pPr>
        <w:spacing w:line="360" w:lineRule="auto"/>
        <w:ind w:firstLine="240"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highlight w:val="none"/>
          <w14:textFill>
            <w14:solidFill>
              <w14:schemeClr w14:val="tx1"/>
            </w14:solidFill>
          </w14:textFill>
        </w:rPr>
        <w:cr/>
      </w:r>
      <w:r>
        <w:rPr>
          <w:rFonts w:hint="eastAsia" w:ascii="宋体" w:hAnsi="宋体" w:cs="宋体"/>
          <w:b/>
          <w:color w:val="000000" w:themeColor="text1"/>
          <w:sz w:val="24"/>
          <w:highlight w:val="none"/>
          <w14:textFill>
            <w14:solidFill>
              <w14:schemeClr w14:val="tx1"/>
            </w14:solidFill>
          </w14:textFill>
        </w:rPr>
        <w:t>4. 询问、质疑、投诉</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4.2供应商询问</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供应商对政府采购活动事项有疑问的，可以提出询问，采购人应当在3个工作日内对供应商依法提出的询问作出答复，但答复的内容不得涉及商业秘密。</w:t>
      </w:r>
    </w:p>
    <w:p>
      <w:pPr>
        <w:autoSpaceDE w:val="0"/>
        <w:autoSpaceDN w:val="0"/>
        <w:spacing w:line="360" w:lineRule="auto"/>
        <w:ind w:firstLine="240"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4.3供应商质疑</w:t>
      </w:r>
    </w:p>
    <w:p>
      <w:pPr>
        <w:pStyle w:val="34"/>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.2供应商认为招标文件、采购过程和中标结果使自己的权益受到损害的，可以在知道或者应知其权益受到损害之日起七个工作日内，以书面形式向采购人提出质疑，否则，采购人不予受理：</w:t>
      </w:r>
    </w:p>
    <w:p>
      <w:pPr>
        <w:pStyle w:val="5"/>
        <w:spacing w:line="360" w:lineRule="auto"/>
        <w:ind w:firstLine="480" w:firstLineChars="200"/>
        <w:rPr>
          <w:rFonts w:hAnsi="宋体" w:cs="宋体"/>
          <w:snapToGrid/>
          <w:color w:val="000000" w:themeColor="text1"/>
          <w:kern w:val="2"/>
          <w:sz w:val="24"/>
          <w:highlight w:val="none"/>
          <w14:textFill>
            <w14:solidFill>
              <w14:schemeClr w14:val="tx1"/>
            </w14:solidFill>
          </w14:textFill>
        </w:rPr>
      </w:pPr>
      <w:r>
        <w:rPr>
          <w:rFonts w:hint="eastAsia" w:hAnsi="宋体" w:cs="宋体"/>
          <w:snapToGrid/>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pPr>
        <w:pStyle w:val="34"/>
        <w:spacing w:line="360" w:lineRule="auto"/>
        <w:ind w:left="479" w:leftChars="22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w:t>
      </w:r>
      <w:r>
        <w:rPr>
          <w:rFonts w:hint="eastAsia" w:hAnsi="宋体" w:cs="宋体"/>
          <w:color w:val="000000" w:themeColor="text1"/>
          <w:sz w:val="24"/>
          <w:highlight w:val="none"/>
          <w14:textFill>
            <w14:solidFill>
              <w14:schemeClr w14:val="tx1"/>
            </w14:solidFill>
          </w14:textFill>
        </w:rPr>
        <w:t>供应商提出质疑应当提交质疑函和必要的证明材料。质疑函应当包括下列内容：</w:t>
      </w:r>
    </w:p>
    <w:p>
      <w:pPr>
        <w:pStyle w:val="34"/>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4.3.3.1供应商的姓名或者名称、地址、邮编、联系人及联系电话；</w:t>
      </w:r>
    </w:p>
    <w:p>
      <w:pPr>
        <w:pStyle w:val="34"/>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4.3.3.2质疑项目的名称、编号；</w:t>
      </w:r>
    </w:p>
    <w:p>
      <w:pPr>
        <w:pStyle w:val="34"/>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4.3.3.3具体、明确的质疑事项和与质疑事项相关的请求；</w:t>
      </w:r>
    </w:p>
    <w:p>
      <w:pPr>
        <w:pStyle w:val="34"/>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4.3.3.4事实依据；</w:t>
      </w:r>
    </w:p>
    <w:p>
      <w:pPr>
        <w:pStyle w:val="34"/>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4.3.3.5必要的法律依据；</w:t>
      </w:r>
    </w:p>
    <w:p>
      <w:pPr>
        <w:pStyle w:val="34"/>
        <w:spacing w:line="360" w:lineRule="auto"/>
        <w:ind w:firstLine="960" w:firstLineChars="4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4.3.3.6提出质疑的日期。</w:t>
      </w:r>
    </w:p>
    <w:p>
      <w:pPr>
        <w:pStyle w:val="886"/>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质疑函范本及制作说明详见附件2。</w:t>
      </w:r>
    </w:p>
    <w:p>
      <w:pPr>
        <w:pStyle w:val="886"/>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rPr>
          <w:rFonts w:hint="default" w:eastAsia="宋体"/>
          <w:color w:val="000000" w:themeColor="text1"/>
          <w:highlight w:val="none"/>
          <w:u w:val="none"/>
          <w:lang w:val="en-US" w:eastAsia="zh-CN"/>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.5采购人应当在收到供应商的书面质疑后七个工作日内作出答复，并以书面形式通知质疑供应商和其他与质疑处理结果有利害关系的政府采购当事人，但答复的内容不得涉及商业秘密。</w:t>
      </w:r>
      <w:r>
        <w:rPr>
          <w:rFonts w:hint="eastAsia"/>
          <w:color w:val="000000" w:themeColor="text1"/>
          <w:highlight w:val="none"/>
          <w:u w:val="none"/>
          <w14:textFill>
            <w14:solidFill>
              <w14:schemeClr w14:val="tx1"/>
            </w14:solidFill>
          </w14:textFill>
        </w:rPr>
        <w:t>根据《</w:t>
      </w:r>
      <w:r>
        <w:rPr>
          <w:rFonts w:hint="eastAsia" w:ascii="宋体" w:hAnsi="宋体" w:eastAsia="宋体" w:cs="宋体"/>
          <w:color w:val="000000" w:themeColor="text1"/>
          <w:kern w:val="0"/>
          <w:sz w:val="24"/>
          <w:szCs w:val="24"/>
          <w:highlight w:val="none"/>
          <w:u w:val="none"/>
          <w:lang w:val="zh-CN" w:eastAsia="zh-CN" w:bidi="zh-CN"/>
          <w14:textFill>
            <w14:solidFill>
              <w14:schemeClr w14:val="tx1"/>
            </w14:solidFill>
          </w14:textFill>
        </w:rPr>
        <w:t>浙江省财政厅关于进一步促进政府采购公平竞争打造最优营商环境的通知</w:t>
      </w:r>
      <w:r>
        <w:rPr>
          <w:rFonts w:hint="eastAsia" w:ascii="宋体" w:hAnsi="宋体" w:eastAsia="宋体" w:cs="宋体"/>
          <w:color w:val="000000" w:themeColor="text1"/>
          <w:kern w:val="0"/>
          <w:sz w:val="24"/>
          <w:szCs w:val="24"/>
          <w:highlight w:val="none"/>
          <w:u w:val="none"/>
          <w:lang w:val="en-US" w:eastAsia="zh-CN" w:bidi="zh-CN"/>
          <w14:textFill>
            <w14:solidFill>
              <w14:schemeClr w14:val="tx1"/>
            </w14:solidFill>
          </w14:textFill>
        </w:rPr>
        <w:t>（</w:t>
      </w:r>
      <w:r>
        <w:rPr>
          <w:rFonts w:hint="eastAsia" w:ascii="宋体" w:hAnsi="宋体" w:eastAsia="宋体" w:cs="宋体"/>
          <w:color w:val="000000" w:themeColor="text1"/>
          <w:kern w:val="0"/>
          <w:sz w:val="24"/>
          <w:szCs w:val="24"/>
          <w:highlight w:val="none"/>
          <w:u w:val="none"/>
          <w:lang w:val="zh-CN" w:eastAsia="zh-CN" w:bidi="zh-CN"/>
          <w14:textFill>
            <w14:solidFill>
              <w14:schemeClr w14:val="tx1"/>
            </w14:solidFill>
          </w14:textFill>
        </w:rPr>
        <w:t>浙财采监〔2021〕22号</w:t>
      </w:r>
      <w:r>
        <w:rPr>
          <w:rFonts w:hint="eastAsia" w:ascii="宋体" w:hAnsi="宋体" w:cs="宋体"/>
          <w:color w:val="000000" w:themeColor="text1"/>
          <w:kern w:val="0"/>
          <w:sz w:val="24"/>
          <w:szCs w:val="24"/>
          <w:highlight w:val="none"/>
          <w:u w:val="none"/>
          <w:lang w:val="en-US" w:eastAsia="zh-CN" w:bidi="zh-CN"/>
          <w14:textFill>
            <w14:solidFill>
              <w14:schemeClr w14:val="tx1"/>
            </w14:solidFill>
          </w14:textFill>
        </w:rPr>
        <w:t>)</w:t>
      </w:r>
      <w:r>
        <w:rPr>
          <w:rFonts w:hint="eastAsia"/>
          <w:color w:val="000000" w:themeColor="text1"/>
          <w:highlight w:val="none"/>
          <w:u w:val="none"/>
          <w14:textFill>
            <w14:solidFill>
              <w14:schemeClr w14:val="tx1"/>
            </w14:solidFill>
          </w14:textFill>
        </w:rPr>
        <w:t>,采购人在浙江政府采购网的“其他公告”栏目公开质疑答复，答复内容应当完整。质疑函作为附件上传。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4.4供应商投诉</w:t>
      </w:r>
    </w:p>
    <w:p>
      <w:pPr>
        <w:pStyle w:val="886"/>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4.4.1质疑供应商对采购人的答复不满意或者采购人未在规定的时间内作出答复的，可以在答复期满后十五个工作日内向同级政府采购监督管理部门提出投诉。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w:t>
      </w:r>
      <w:r>
        <w:rPr>
          <w:rFonts w:hint="eastAsia"/>
          <w:color w:val="000000" w:themeColor="text1"/>
          <w:highlight w:val="none"/>
          <w:lang w:val="zh-CN"/>
          <w14:textFill>
            <w14:solidFill>
              <w14:schemeClr w14:val="tx1"/>
            </w14:solidFill>
          </w14:textFill>
        </w:rPr>
        <w:t>2</w:t>
      </w:r>
      <w:r>
        <w:rPr>
          <w:rFonts w:hint="eastAsia"/>
          <w:color w:val="000000" w:themeColor="text1"/>
          <w:highlight w:val="none"/>
          <w14:textFill>
            <w14:solidFill>
              <w14:schemeClr w14:val="tx1"/>
            </w14:solidFill>
          </w14:textFill>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4.4.3供应商投诉应当有明确的请求和必要的证明材料。</w:t>
      </w:r>
    </w:p>
    <w:p>
      <w:pPr>
        <w:pStyle w:val="886"/>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投诉书范本及制作说明详见附件3。</w:t>
      </w:r>
    </w:p>
    <w:p>
      <w:pPr>
        <w:pStyle w:val="886"/>
        <w:numPr>
          <w:ilvl w:val="0"/>
          <w:numId w:val="2"/>
        </w:numPr>
        <w:shd w:val="clear" w:color="auto" w:fill="FFFFFF"/>
        <w:snapToGrid w:val="0"/>
        <w:spacing w:after="240" w:afterAutospacing="0" w:line="360" w:lineRule="auto"/>
        <w:ind w:firstLine="400"/>
        <w:contextualSpacing/>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其他说明</w:t>
      </w:r>
    </w:p>
    <w:p>
      <w:pPr>
        <w:pStyle w:val="886"/>
        <w:shd w:val="clear" w:color="auto" w:fill="FFFFFF"/>
        <w:snapToGrid w:val="0"/>
        <w:spacing w:after="240" w:afterAutospacing="0" w:line="360" w:lineRule="auto"/>
        <w:ind w:firstLine="400"/>
        <w:contextualSpacing/>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5.1招标</w:t>
      </w:r>
      <w:r>
        <w:rPr>
          <w:rFonts w:hint="eastAsia"/>
          <w:color w:val="000000" w:themeColor="text1"/>
          <w:highlight w:val="none"/>
          <w14:textFill>
            <w14:solidFill>
              <w14:schemeClr w14:val="tx1"/>
            </w14:solidFill>
          </w14:textFill>
        </w:rPr>
        <w:t>文件中所涉及的产品品牌或型号均为建议性要求或为代替部分技术指标描述，</w:t>
      </w:r>
      <w:r>
        <w:rPr>
          <w:rFonts w:hint="eastAsia"/>
          <w:color w:val="000000" w:themeColor="text1"/>
          <w:highlight w:val="none"/>
          <w:lang w:val="en-US" w:eastAsia="zh-CN"/>
          <w14:textFill>
            <w14:solidFill>
              <w14:schemeClr w14:val="tx1"/>
            </w14:solidFill>
          </w14:textFill>
        </w:rPr>
        <w:t>投标人</w:t>
      </w:r>
      <w:r>
        <w:rPr>
          <w:rFonts w:hint="eastAsia"/>
          <w:color w:val="000000" w:themeColor="text1"/>
          <w:highlight w:val="none"/>
          <w14:textFill>
            <w14:solidFill>
              <w14:schemeClr w14:val="tx1"/>
            </w14:solidFill>
          </w14:textFill>
        </w:rPr>
        <w:t>可以选择其他品牌型号的产品参加投标但投标产品须具有相当于或优于采购文件要求的指标、性能。否则，评标委员会将对其作出不利的评审。</w:t>
      </w:r>
    </w:p>
    <w:p>
      <w:pPr>
        <w:pStyle w:val="886"/>
        <w:shd w:val="clear" w:color="auto" w:fill="FFFFFF"/>
        <w:snapToGrid w:val="0"/>
        <w:spacing w:after="240" w:afterAutospacing="0" w:line="360" w:lineRule="auto"/>
        <w:ind w:firstLine="400"/>
        <w:contextualSpacing/>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5.2招标文件中如有描述歧义或前后不一致的地方，评标委员会有权按公平、合理的原则进行评判，但对同一条款的评判适用于每个投标人。</w:t>
      </w:r>
    </w:p>
    <w:p>
      <w:pPr>
        <w:adjustRightInd/>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 xml:space="preserve">      二、招标文件的构成、澄清、修改</w:t>
      </w:r>
    </w:p>
    <w:p>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5．招标文件的构成</w:t>
      </w:r>
    </w:p>
    <w:p>
      <w:pPr>
        <w:pStyle w:val="34"/>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 招标文件包括下列文件及附件：</w:t>
      </w:r>
    </w:p>
    <w:p>
      <w:pPr>
        <w:pStyle w:val="34"/>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5.1.1招标公告；</w:t>
      </w:r>
    </w:p>
    <w:p>
      <w:pPr>
        <w:pStyle w:val="34"/>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5.1.2投标人须知；</w:t>
      </w:r>
    </w:p>
    <w:p>
      <w:pPr>
        <w:pStyle w:val="34"/>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5.1.3采购需求；</w:t>
      </w:r>
    </w:p>
    <w:p>
      <w:pPr>
        <w:pStyle w:val="34"/>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5.1.4评标办法；</w:t>
      </w:r>
    </w:p>
    <w:p>
      <w:pPr>
        <w:pStyle w:val="34"/>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5.1.5拟签订的合同文本；</w:t>
      </w:r>
    </w:p>
    <w:p>
      <w:pPr>
        <w:pStyle w:val="34"/>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5.1.6</w:t>
      </w:r>
      <w:r>
        <w:rPr>
          <w:rFonts w:hint="eastAsia" w:hAnsi="宋体" w:cs="宋体"/>
          <w:color w:val="000000" w:themeColor="text1"/>
          <w:sz w:val="24"/>
          <w:szCs w:val="24"/>
          <w:highlight w:val="none"/>
          <w14:textFill>
            <w14:solidFill>
              <w14:schemeClr w14:val="tx1"/>
            </w14:solidFill>
          </w14:textFill>
        </w:rPr>
        <w:t>应提交的有关格式范例。</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5.2与本项目有关的</w:t>
      </w:r>
      <w:r>
        <w:rPr>
          <w:rFonts w:hint="eastAsia" w:ascii="宋体" w:hAnsi="宋体" w:cs="宋体"/>
          <w:bCs/>
          <w:color w:val="000000" w:themeColor="text1"/>
          <w:sz w:val="24"/>
          <w:highlight w:val="none"/>
          <w14:textFill>
            <w14:solidFill>
              <w14:schemeClr w14:val="tx1"/>
            </w14:solidFill>
          </w14:textFill>
        </w:rPr>
        <w:t>澄清或者修改的内容为招标文件的组成部分</w:t>
      </w:r>
      <w:r>
        <w:rPr>
          <w:rFonts w:hint="eastAsia" w:ascii="宋体" w:hAnsi="宋体" w:cs="宋体"/>
          <w:color w:val="000000" w:themeColor="text1"/>
          <w:sz w:val="24"/>
          <w:highlight w:val="none"/>
          <w14:textFill>
            <w14:solidFill>
              <w14:schemeClr w14:val="tx1"/>
            </w14:solidFill>
          </w14:textFill>
        </w:rPr>
        <w:t>。</w:t>
      </w:r>
    </w:p>
    <w:p>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6. 招标文件的澄清、修改</w:t>
      </w:r>
    </w:p>
    <w:p>
      <w:pPr>
        <w:pStyle w:val="12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6.1已获取招标文件的潜在投标人，若有问题需要澄清，应于投标截止时间前，以书面形式向</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提出。</w:t>
      </w:r>
    </w:p>
    <w:p>
      <w:pPr>
        <w:pStyle w:val="12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6.2 </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color w:val="000000" w:themeColor="text1"/>
          <w:sz w:val="18"/>
          <w:szCs w:val="18"/>
          <w:highlight w:val="none"/>
          <w:lang w:val="en-US"/>
          <w14:textFill>
            <w14:solidFill>
              <w14:schemeClr w14:val="tx1"/>
            </w14:solidFill>
          </w14:textFill>
        </w:rPr>
      </w:pPr>
      <w:r>
        <w:rPr>
          <w:rFonts w:hint="eastAsia" w:hAnsi="宋体" w:cs="宋体"/>
          <w:color w:val="000000" w:themeColor="text1"/>
          <w:szCs w:val="24"/>
          <w:highlight w:val="none"/>
          <w:lang w:val="en-US"/>
          <w14:textFill>
            <w14:solidFill>
              <w14:schemeClr w14:val="tx1"/>
            </w14:solidFill>
          </w14:textFill>
        </w:rPr>
        <w:t xml:space="preserve">    </w:t>
      </w:r>
    </w:p>
    <w:p>
      <w:pPr>
        <w:adjustRightInd/>
        <w:spacing w:line="360" w:lineRule="auto"/>
        <w:jc w:val="center"/>
        <w:outlineLvl w:val="0"/>
        <w:rPr>
          <w:rFonts w:ascii="宋体" w:hAnsi="宋体" w:cs="宋体"/>
          <w:b/>
          <w:color w:val="000000" w:themeColor="text1"/>
          <w:sz w:val="30"/>
          <w:szCs w:val="20"/>
          <w:highlight w:val="none"/>
          <w14:textFill>
            <w14:solidFill>
              <w14:schemeClr w14:val="tx1"/>
            </w14:solidFill>
          </w14:textFill>
        </w:rPr>
      </w:pPr>
      <w:r>
        <w:rPr>
          <w:rFonts w:hint="eastAsia" w:ascii="宋体" w:hAnsi="宋体" w:cs="宋体"/>
          <w:b/>
          <w:color w:val="000000" w:themeColor="text1"/>
          <w:sz w:val="30"/>
          <w:szCs w:val="20"/>
          <w:highlight w:val="none"/>
          <w14:textFill>
            <w14:solidFill>
              <w14:schemeClr w14:val="tx1"/>
            </w14:solidFill>
          </w14:textFill>
        </w:rPr>
        <w:t>三、投标</w:t>
      </w:r>
    </w:p>
    <w:p>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7. 招标文件的获取</w:t>
      </w:r>
    </w:p>
    <w:p>
      <w:pPr>
        <w:spacing w:line="360" w:lineRule="auto"/>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8.开标前答疑会或现场考察</w:t>
      </w:r>
    </w:p>
    <w:p>
      <w:pPr>
        <w:pStyle w:val="34"/>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color w:val="000000" w:themeColor="text1"/>
          <w:szCs w:val="24"/>
          <w:highlight w:val="none"/>
          <w14:textFill>
            <w14:solidFill>
              <w14:schemeClr w14:val="tx1"/>
            </w14:solidFill>
          </w14:textFill>
        </w:rPr>
      </w:pPr>
      <w:r>
        <w:rPr>
          <w:rFonts w:hint="eastAsia" w:hAnsi="宋体" w:cs="宋体"/>
          <w:b/>
          <w:color w:val="000000" w:themeColor="text1"/>
          <w:kern w:val="28"/>
          <w:sz w:val="24"/>
          <w:szCs w:val="24"/>
          <w:highlight w:val="none"/>
          <w14:textFill>
            <w14:solidFill>
              <w14:schemeClr w14:val="tx1"/>
            </w14:solidFill>
          </w14:textFill>
        </w:rPr>
        <w:t>9.投标保证金</w:t>
      </w:r>
    </w:p>
    <w:p>
      <w:pPr>
        <w:pStyle w:val="5"/>
        <w:spacing w:line="360" w:lineRule="auto"/>
        <w:ind w:firstLine="470" w:firstLineChars="196"/>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本项目不需缴纳投标保证金。</w:t>
      </w:r>
    </w:p>
    <w:p>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10. 投标文件的语言</w:t>
      </w:r>
    </w:p>
    <w:p>
      <w:pPr>
        <w:autoSpaceDE w:val="0"/>
        <w:autoSpaceDN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投标文件及投标人与采购有关的来往通知、函件和文件均应使用中文。</w:t>
      </w:r>
    </w:p>
    <w:p>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11. 投标文件的组成</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hint="eastAsia" w:ascii="宋体" w:hAnsi="宋体" w:cs="宋体"/>
          <w:b/>
          <w:color w:val="000000" w:themeColor="text1"/>
          <w:sz w:val="24"/>
          <w:highlight w:val="none"/>
          <w14:textFill>
            <w14:solidFill>
              <w14:schemeClr w14:val="tx1"/>
            </w14:solidFill>
          </w14:textFill>
        </w:rPr>
        <w:t>资格文件</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11.1.1符合参加政府采购活动应当具备的一般条件的承诺函；</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1.1.2</w:t>
      </w:r>
      <w:r>
        <w:rPr>
          <w:rFonts w:hint="eastAsia" w:ascii="宋体" w:hAnsi="宋体" w:cs="宋体"/>
          <w:snapToGrid w:val="0"/>
          <w:color w:val="000000" w:themeColor="text1"/>
          <w:kern w:val="28"/>
          <w:sz w:val="24"/>
          <w:szCs w:val="20"/>
          <w:highlight w:val="none"/>
          <w14:textFill>
            <w14:solidFill>
              <w14:schemeClr w14:val="tx1"/>
            </w14:solidFill>
          </w14:textFill>
        </w:rPr>
        <w:t>联合协议（如果有)；</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11.2.1投标函；</w:t>
      </w:r>
      <w:r>
        <w:rPr>
          <w:rFonts w:hint="eastAsia" w:ascii="宋体" w:hAnsi="宋体" w:cs="宋体"/>
          <w:color w:val="000000" w:themeColor="text1"/>
          <w:sz w:val="24"/>
          <w:highlight w:val="none"/>
          <w:lang w:val="zh-CN"/>
          <w14:textFill>
            <w14:solidFill>
              <w14:schemeClr w14:val="tx1"/>
            </w14:solidFill>
          </w14:textFill>
        </w:rPr>
        <w:t xml:space="preserve"> </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11.2.2授权委托书或法定代表人（单位负责人、自然人本人）身份证明；</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格式自拟</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pPr>
        <w:snapToGrid w:val="0"/>
        <w:spacing w:line="360" w:lineRule="auto"/>
        <w:ind w:firstLine="960" w:firstLineChars="4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pPr>
        <w:pStyle w:val="23"/>
        <w:ind w:firstLine="960" w:firstLineChars="400"/>
        <w:rPr>
          <w:rFonts w:hint="default"/>
          <w:color w:val="000000" w:themeColor="text1"/>
          <w:highlight w:val="none"/>
          <w:lang w:val="en-US"/>
          <w14:textFill>
            <w14:solidFill>
              <w14:schemeClr w14:val="tx1"/>
            </w14:solidFill>
          </w14:textFill>
        </w:rPr>
      </w:pPr>
      <w:r>
        <w:rPr>
          <w:rFonts w:hint="eastAsia" w:cs="仿宋" w:asciiTheme="minorEastAsia" w:hAnsiTheme="minorEastAsia"/>
          <w:color w:val="000000" w:themeColor="text1"/>
          <w:sz w:val="24"/>
          <w:highlight w:val="none"/>
          <w:lang w:val="en-US" w:eastAsia="zh-CN"/>
          <w14:textFill>
            <w14:solidFill>
              <w14:schemeClr w14:val="tx1"/>
            </w14:solidFill>
          </w14:textFill>
        </w:rPr>
        <w:t>11.2.9供应商认为需要的其他文件资料.</w:t>
      </w:r>
    </w:p>
    <w:p>
      <w:pPr>
        <w:snapToGrid w:val="0"/>
        <w:spacing w:line="360" w:lineRule="auto"/>
        <w:ind w:firstLine="480" w:firstLineChars="200"/>
        <w:rPr>
          <w:rFonts w:ascii="宋体" w:hAnsi="宋体" w:cs="宋体"/>
          <w:color w:val="000000" w:themeColor="text1"/>
          <w:sz w:val="24"/>
          <w:highlight w:val="none"/>
          <w:u w:val="singl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11.</w:t>
      </w: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报价文件：</w:t>
      </w:r>
      <w:r>
        <w:rPr>
          <w:rFonts w:hint="eastAsia" w:ascii="宋体" w:hAnsi="宋体" w:cs="宋体"/>
          <w:color w:val="000000" w:themeColor="text1"/>
          <w:sz w:val="24"/>
          <w:highlight w:val="none"/>
          <w14:textFill>
            <w14:solidFill>
              <w14:schemeClr w14:val="tx1"/>
            </w14:solidFill>
          </w14:textFill>
        </w:rPr>
        <w:t xml:space="preserve"> </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11.3.1开标一览表（报价表）；</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11.3.2中小企业声明函。</w:t>
      </w:r>
    </w:p>
    <w:p>
      <w:pPr>
        <w:spacing w:line="360" w:lineRule="auto"/>
        <w:ind w:firstLine="723" w:firstLineChars="3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pPr>
        <w:spacing w:line="360" w:lineRule="auto"/>
        <w:ind w:firstLine="723" w:firstLineChars="3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投标人提供虚假材料投标的，投标无效。</w:t>
      </w:r>
    </w:p>
    <w:p>
      <w:pPr>
        <w:pStyle w:val="128"/>
        <w:snapToGrid w:val="0"/>
        <w:spacing w:before="0"/>
        <w:ind w:firstLine="0" w:firstLineChars="0"/>
        <w:outlineLvl w:val="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12</w:t>
      </w:r>
      <w:r>
        <w:rPr>
          <w:rFonts w:hint="eastAsia" w:ascii="宋体" w:hAnsi="宋体" w:cs="宋体"/>
          <w:b/>
          <w:color w:val="000000" w:themeColor="text1"/>
          <w:kern w:val="0"/>
          <w:szCs w:val="24"/>
          <w:highlight w:val="none"/>
          <w:lang w:val="zh-CN"/>
          <w14:textFill>
            <w14:solidFill>
              <w14:schemeClr w14:val="tx1"/>
            </w14:solidFill>
          </w14:textFill>
        </w:rPr>
        <w:t xml:space="preserve">. </w:t>
      </w:r>
      <w:r>
        <w:rPr>
          <w:rFonts w:hint="eastAsia" w:ascii="宋体" w:hAnsi="宋体" w:cs="宋体"/>
          <w:b/>
          <w:color w:val="000000" w:themeColor="text1"/>
          <w:szCs w:val="24"/>
          <w:highlight w:val="none"/>
          <w14:textFill>
            <w14:solidFill>
              <w14:schemeClr w14:val="tx1"/>
            </w14:solidFill>
          </w14:textFill>
        </w:rPr>
        <w:t>投标文件的编制</w:t>
      </w:r>
    </w:p>
    <w:p>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13.投标文件的签署、盖章</w:t>
      </w:r>
    </w:p>
    <w:p>
      <w:pPr>
        <w:pStyle w:val="128"/>
        <w:snapToGrid w:val="0"/>
        <w:spacing w:before="0"/>
        <w:ind w:firstLine="480"/>
        <w:rPr>
          <w:rFonts w:ascii="宋体" w:hAnsi="宋体" w:cs="宋体"/>
          <w:b/>
          <w:color w:val="000000" w:themeColor="text1"/>
          <w:highlight w:val="none"/>
          <w:u w:val="singl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13.1投标文件按照招标文件第六部分格式要</w:t>
      </w:r>
      <w:r>
        <w:rPr>
          <w:rFonts w:hint="eastAsia" w:ascii="宋体" w:hAnsi="宋体" w:cs="宋体"/>
          <w:color w:val="000000" w:themeColor="text1"/>
          <w:highlight w:val="none"/>
          <w14:textFill>
            <w14:solidFill>
              <w14:schemeClr w14:val="tx1"/>
            </w14:solidFill>
          </w14:textFill>
        </w:rPr>
        <w:t>求进行签署、盖章。</w:t>
      </w:r>
      <w:r>
        <w:rPr>
          <w:rFonts w:hint="eastAsia" w:ascii="宋体" w:hAnsi="宋体" w:cs="宋体"/>
          <w:b/>
          <w:color w:val="000000" w:themeColor="text1"/>
          <w:highlight w:val="none"/>
          <w:u w:val="single"/>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highlight w:val="none"/>
          <w:u w:val="single"/>
          <w14:textFill>
            <w14:solidFill>
              <w14:schemeClr w14:val="tx1"/>
            </w14:solidFill>
          </w14:textFill>
        </w:rPr>
        <w:t>。</w:t>
      </w:r>
    </w:p>
    <w:p>
      <w:pPr>
        <w:pStyle w:val="12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13.3招标文件对投标文件签署、盖章的要求适用于电子签名。</w:t>
      </w:r>
    </w:p>
    <w:p>
      <w:pPr>
        <w:pStyle w:val="128"/>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14. 投标文件的提交、补充、修改、撤回</w:t>
      </w:r>
    </w:p>
    <w:p>
      <w:pPr>
        <w:pStyle w:val="128"/>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14.3采购人、</w:t>
      </w:r>
      <w:r>
        <w:rPr>
          <w:rFonts w:hint="eastAsia" w:ascii="宋体" w:hAnsi="宋体" w:cs="宋体"/>
          <w:color w:val="000000" w:themeColor="text1"/>
          <w:szCs w:val="24"/>
          <w:highlight w:val="none"/>
          <w:lang w:eastAsia="zh-CN"/>
          <w14:textFill>
            <w14:solidFill>
              <w14:schemeClr w14:val="tx1"/>
            </w14:solidFill>
          </w14:textFill>
        </w:rPr>
        <w:t>采购代理机构</w:t>
      </w:r>
      <w:r>
        <w:rPr>
          <w:rFonts w:hint="eastAsia" w:ascii="宋体" w:hAnsi="宋体" w:cs="宋体"/>
          <w:color w:val="000000" w:themeColor="text1"/>
          <w:szCs w:val="24"/>
          <w:highlight w:val="none"/>
          <w14:textFill>
            <w14:solidFill>
              <w14:schemeClr w14:val="tx1"/>
            </w14:solidFill>
          </w14:textFill>
        </w:rPr>
        <w:t>可以视情况延长投标文件提交的截止时间。在上述情况下，</w:t>
      </w:r>
      <w:r>
        <w:rPr>
          <w:rFonts w:hint="eastAsia" w:ascii="宋体" w:hAnsi="宋体" w:cs="宋体"/>
          <w:color w:val="000000" w:themeColor="text1"/>
          <w:szCs w:val="24"/>
          <w:highlight w:val="none"/>
          <w:lang w:eastAsia="zh-CN"/>
          <w14:textFill>
            <w14:solidFill>
              <w14:schemeClr w14:val="tx1"/>
            </w14:solidFill>
          </w14:textFill>
        </w:rPr>
        <w:t>采购代理机构</w:t>
      </w:r>
      <w:r>
        <w:rPr>
          <w:rFonts w:hint="eastAsia" w:ascii="宋体" w:hAnsi="宋体" w:cs="宋体"/>
          <w:color w:val="000000" w:themeColor="text1"/>
          <w:szCs w:val="24"/>
          <w:highlight w:val="none"/>
          <w14:textFill>
            <w14:solidFill>
              <w14:schemeClr w14:val="tx1"/>
            </w14:solidFill>
          </w14:textFill>
        </w:rPr>
        <w:t>与投标人以前在投标截止期方面的全部权利、责任和义务，将适用于延长至新的投标截止期。</w:t>
      </w:r>
    </w:p>
    <w:p>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15.备份投标文件</w:t>
      </w:r>
    </w:p>
    <w:p>
      <w:pPr>
        <w:pStyle w:val="34"/>
        <w:spacing w:line="360" w:lineRule="auto"/>
        <w:ind w:firstLine="360" w:firstLineChars="15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hAnsi="宋体" w:cs="宋体"/>
          <w:b/>
          <w:color w:val="000000" w:themeColor="text1"/>
          <w:sz w:val="24"/>
          <w:szCs w:val="24"/>
          <w:highlight w:val="none"/>
          <w14:textFill>
            <w14:solidFill>
              <w14:schemeClr w14:val="tx1"/>
            </w14:solidFill>
          </w14:textFill>
        </w:rPr>
        <w:t>但采购人、</w:t>
      </w:r>
      <w:r>
        <w:rPr>
          <w:rFonts w:hint="eastAsia" w:hAnsi="宋体" w:cs="宋体"/>
          <w:b/>
          <w:color w:val="000000" w:themeColor="text1"/>
          <w:sz w:val="24"/>
          <w:szCs w:val="24"/>
          <w:highlight w:val="none"/>
          <w:lang w:eastAsia="zh-CN"/>
          <w14:textFill>
            <w14:solidFill>
              <w14:schemeClr w14:val="tx1"/>
            </w14:solidFill>
          </w14:textFill>
        </w:rPr>
        <w:t>采购代理机构</w:t>
      </w:r>
      <w:r>
        <w:rPr>
          <w:rFonts w:hint="eastAsia" w:hAnsi="宋体" w:cs="宋体"/>
          <w:b/>
          <w:color w:val="000000" w:themeColor="text1"/>
          <w:sz w:val="24"/>
          <w:szCs w:val="24"/>
          <w:highlight w:val="none"/>
          <w14:textFill>
            <w14:solidFill>
              <w14:schemeClr w14:val="tx1"/>
            </w14:solidFill>
          </w14:textFill>
        </w:rPr>
        <w:t>不强制或变相强制投标人提交备份投标文件。</w:t>
      </w:r>
    </w:p>
    <w:p>
      <w:pPr>
        <w:pStyle w:val="34"/>
        <w:spacing w:line="360" w:lineRule="auto"/>
        <w:ind w:firstLine="480" w:firstLineChars="200"/>
        <w:rPr>
          <w:rFonts w:hint="default" w:hAnsi="宋体" w:eastAsia="宋体" w:cs="宋体"/>
          <w:b/>
          <w:color w:val="000000" w:themeColor="text1"/>
          <w:sz w:val="24"/>
          <w:szCs w:val="24"/>
          <w:highlight w:val="none"/>
          <w:u w:val="none"/>
          <w:lang w:val="en-US" w:eastAsia="zh-CN"/>
          <w14:textFill>
            <w14:solidFill>
              <w14:schemeClr w14:val="tx1"/>
            </w14:solidFill>
          </w14:textFill>
        </w:rPr>
      </w:pPr>
      <w:r>
        <w:rPr>
          <w:rFonts w:hint="eastAsia" w:hAnsi="宋体" w:cs="宋体"/>
          <w:color w:val="000000" w:themeColor="text1"/>
          <w:sz w:val="24"/>
          <w:szCs w:val="24"/>
          <w:highlight w:val="none"/>
          <w:u w:val="none"/>
          <w14:textFill>
            <w14:solidFill>
              <w14:schemeClr w14:val="tx1"/>
            </w14:solidFill>
          </w14:textFill>
        </w:rPr>
        <w:t>15.2备份投标文件须在“政采云投标客户端”制作生成，并储存在</w:t>
      </w:r>
      <w:r>
        <w:rPr>
          <w:rFonts w:hint="eastAsia" w:hAnsi="宋体" w:cs="宋体"/>
          <w:color w:val="000000" w:themeColor="text1"/>
          <w:sz w:val="24"/>
          <w:highlight w:val="none"/>
          <w:u w:val="none"/>
          <w14:textFill>
            <w14:solidFill>
              <w14:schemeClr w14:val="tx1"/>
            </w14:solidFill>
          </w14:textFill>
        </w:rPr>
        <w:t>DVD光盘</w:t>
      </w:r>
      <w:r>
        <w:rPr>
          <w:rFonts w:hint="eastAsia" w:hAnsi="宋体" w:cs="宋体"/>
          <w:color w:val="000000" w:themeColor="text1"/>
          <w:sz w:val="24"/>
          <w:highlight w:val="none"/>
          <w:u w:val="none"/>
          <w:lang w:val="en-US" w:eastAsia="zh-CN"/>
          <w14:textFill>
            <w14:solidFill>
              <w14:schemeClr w14:val="tx1"/>
            </w14:solidFill>
          </w14:textFill>
        </w:rPr>
        <w:t>等存储介质</w:t>
      </w:r>
      <w:r>
        <w:rPr>
          <w:rFonts w:hint="eastAsia" w:hAnsi="宋体" w:cs="宋体"/>
          <w:color w:val="000000" w:themeColor="text1"/>
          <w:sz w:val="24"/>
          <w:szCs w:val="24"/>
          <w:highlight w:val="none"/>
          <w:u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highlight w:val="none"/>
          <w:u w:val="none"/>
          <w14:textFill>
            <w14:solidFill>
              <w14:schemeClr w14:val="tx1"/>
            </w14:solidFill>
          </w14:textFill>
        </w:rPr>
        <w:t>不符合上述制作、</w:t>
      </w:r>
      <w:r>
        <w:rPr>
          <w:rFonts w:hint="eastAsia" w:hAnsi="宋体" w:cs="宋体"/>
          <w:b/>
          <w:color w:val="000000" w:themeColor="text1"/>
          <w:sz w:val="24"/>
          <w:szCs w:val="24"/>
          <w:highlight w:val="none"/>
          <w:u w:val="none"/>
          <w14:textFill>
            <w14:solidFill>
              <w14:schemeClr w14:val="tx1"/>
            </w14:solidFill>
          </w14:textFill>
        </w:rPr>
        <w:t>存储、密封规定的备份投标文件将被视为无效或者被拒绝接收。</w:t>
      </w:r>
      <w:r>
        <w:rPr>
          <w:rFonts w:hint="eastAsia" w:hAnsi="宋体" w:cs="宋体"/>
          <w:b/>
          <w:color w:val="000000" w:themeColor="text1"/>
          <w:sz w:val="24"/>
          <w:szCs w:val="24"/>
          <w:highlight w:val="none"/>
          <w:u w:val="none"/>
          <w:lang w:val="en-US" w:eastAsia="zh-CN"/>
          <w14:textFill>
            <w14:solidFill>
              <w14:schemeClr w14:val="tx1"/>
            </w14:solidFill>
          </w14:textFill>
        </w:rPr>
        <w:t xml:space="preserve"> </w:t>
      </w:r>
    </w:p>
    <w:p>
      <w:pPr>
        <w:pStyle w:val="34"/>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将拒绝接受逾期送达的备份投标文件。</w:t>
      </w:r>
    </w:p>
    <w:p>
      <w:pPr>
        <w:pStyle w:val="34"/>
        <w:spacing w:line="360" w:lineRule="auto"/>
        <w:ind w:firstLine="480" w:firstLineChars="200"/>
        <w:rPr>
          <w:rFonts w:hint="default" w:hAnsi="宋体" w:eastAsia="宋体" w:cs="宋体"/>
          <w:color w:val="000000" w:themeColor="text1"/>
          <w:sz w:val="24"/>
          <w:szCs w:val="24"/>
          <w:highlight w:val="none"/>
          <w:u w:val="none"/>
          <w:lang w:val="en-US" w:eastAsia="zh-CN"/>
          <w14:textFill>
            <w14:solidFill>
              <w14:schemeClr w14:val="tx1"/>
            </w14:solidFill>
          </w14:textFill>
        </w:rPr>
      </w:pPr>
      <w:r>
        <w:rPr>
          <w:rFonts w:hint="eastAsia" w:hAnsi="宋体" w:cs="宋体"/>
          <w:color w:val="000000" w:themeColor="text1"/>
          <w:sz w:val="24"/>
          <w:szCs w:val="24"/>
          <w:highlight w:val="none"/>
          <w:u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000000" w:themeColor="text1"/>
          <w:sz w:val="24"/>
          <w:szCs w:val="24"/>
          <w:highlight w:val="none"/>
          <w:u w:val="none"/>
          <w14:textFill>
            <w14:solidFill>
              <w14:schemeClr w14:val="tx1"/>
            </w14:solidFill>
          </w14:textFill>
        </w:rPr>
        <w:t>招标文件第二部分投标人须知前附表规定的备份投标文件送达地点；</w:t>
      </w:r>
      <w:r>
        <w:rPr>
          <w:rFonts w:hint="eastAsia" w:hAnsi="宋体" w:cs="宋体"/>
          <w:color w:val="000000" w:themeColor="text1"/>
          <w:sz w:val="24"/>
          <w:szCs w:val="24"/>
          <w:highlight w:val="none"/>
          <w:u w:val="none"/>
          <w14:textFill>
            <w14:solidFill>
              <w14:schemeClr w14:val="tx1"/>
            </w14:solidFill>
          </w14:textFill>
        </w:rPr>
        <w:t>送达时间以签收人签收时间为准。</w:t>
      </w:r>
      <w:r>
        <w:rPr>
          <w:rFonts w:hint="eastAsia" w:hAnsi="宋体" w:cs="宋体"/>
          <w:color w:val="000000" w:themeColor="text1"/>
          <w:sz w:val="24"/>
          <w:szCs w:val="24"/>
          <w:highlight w:val="none"/>
          <w:u w:val="none"/>
          <w:lang w:eastAsia="zh-CN"/>
          <w14:textFill>
            <w14:solidFill>
              <w14:schemeClr w14:val="tx1"/>
            </w14:solidFill>
          </w14:textFill>
        </w:rPr>
        <w:t>采购代理机构</w:t>
      </w:r>
      <w:r>
        <w:rPr>
          <w:rFonts w:hint="eastAsia" w:hAnsi="宋体" w:cs="宋体"/>
          <w:color w:val="000000" w:themeColor="text1"/>
          <w:sz w:val="24"/>
          <w:szCs w:val="24"/>
          <w:highlight w:val="none"/>
          <w:u w:val="none"/>
          <w14:textFill>
            <w14:solidFill>
              <w14:schemeClr w14:val="tx1"/>
            </w14:solidFill>
          </w14:textFill>
        </w:rPr>
        <w:t>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15.5投标人仅提交备份投标文件，未在电子交易平台传输递交投标文件的，投标无效。</w:t>
      </w:r>
    </w:p>
    <w:p>
      <w:pPr>
        <w:pStyle w:val="128"/>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16.投标文件的无效处理</w:t>
      </w:r>
    </w:p>
    <w:p>
      <w:pPr>
        <w:pStyle w:val="25"/>
        <w:spacing w:line="360" w:lineRule="auto"/>
        <w:ind w:firstLine="360" w:firstLineChars="15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有招标文件第四部分</w:t>
      </w:r>
      <w:r>
        <w:rPr>
          <w:rFonts w:cs="宋体"/>
          <w:color w:val="000000" w:themeColor="text1"/>
          <w:szCs w:val="21"/>
          <w:highlight w:val="none"/>
          <w14:textFill>
            <w14:solidFill>
              <w14:schemeClr w14:val="tx1"/>
            </w14:solidFill>
          </w14:textFill>
        </w:rPr>
        <w:t>4.2规定</w:t>
      </w:r>
      <w:r>
        <w:rPr>
          <w:rFonts w:hint="eastAsia" w:cs="宋体"/>
          <w:color w:val="000000" w:themeColor="text1"/>
          <w:szCs w:val="21"/>
          <w:highlight w:val="none"/>
          <w14:textFill>
            <w14:solidFill>
              <w14:schemeClr w14:val="tx1"/>
            </w14:solidFill>
          </w14:textFill>
        </w:rPr>
        <w:t>的情形之一的，投标无效：</w:t>
      </w:r>
    </w:p>
    <w:p>
      <w:pPr>
        <w:pStyle w:val="128"/>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17.投标有效期</w:t>
      </w:r>
    </w:p>
    <w:p>
      <w:pPr>
        <w:spacing w:line="360" w:lineRule="auto"/>
        <w:ind w:firstLine="480" w:firstLineChars="2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17.1</w:t>
      </w:r>
      <w:r>
        <w:rPr>
          <w:rFonts w:hint="eastAsia" w:ascii="宋体" w:hAnsi="宋体" w:cs="宋体"/>
          <w:b/>
          <w:bCs/>
          <w:color w:val="000000" w:themeColor="text1"/>
          <w:sz w:val="24"/>
          <w:szCs w:val="20"/>
          <w:highlight w:val="none"/>
          <w:u w:val="single"/>
          <w14:textFill>
            <w14:solidFill>
              <w14:schemeClr w14:val="tx1"/>
            </w14:solidFill>
          </w14:textFill>
        </w:rPr>
        <w:t>▲投标有效期为从提交投标文件的截止之日起90天。投标人的投标文件中承</w:t>
      </w:r>
      <w:r>
        <w:rPr>
          <w:rFonts w:hint="eastAsia" w:ascii="宋体" w:hAnsi="宋体" w:cs="宋体"/>
          <w:b/>
          <w:bCs/>
          <w:color w:val="000000" w:themeColor="text1"/>
          <w:sz w:val="24"/>
          <w:szCs w:val="21"/>
          <w:highlight w:val="none"/>
          <w:u w:val="single"/>
          <w14:textFill>
            <w14:solidFill>
              <w14:schemeClr w14:val="tx1"/>
            </w14:solidFill>
          </w14:textFill>
        </w:rPr>
        <w:t>诺的投标有效期少于招标文件中载明的投标有效期的，投标无效</w:t>
      </w:r>
      <w:r>
        <w:rPr>
          <w:rFonts w:hint="eastAsia" w:ascii="宋体" w:hAnsi="宋体" w:cs="宋体"/>
          <w:b/>
          <w:color w:val="000000" w:themeColor="text1"/>
          <w:sz w:val="24"/>
          <w:szCs w:val="21"/>
          <w:highlight w:val="none"/>
          <w14:textFill>
            <w14:solidFill>
              <w14:schemeClr w14:val="tx1"/>
            </w14:solidFill>
          </w14:textFill>
        </w:rPr>
        <w:t>。</w:t>
      </w:r>
    </w:p>
    <w:p>
      <w:pPr>
        <w:pStyle w:val="128"/>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17.2投标文件合格投递后，自投标截止日期起，在投标有效期内有效。</w:t>
      </w:r>
    </w:p>
    <w:p>
      <w:pPr>
        <w:pStyle w:val="128"/>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17.3在原定投标有效期满之前，如果出现特殊情况，</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可以以书面形式通知投标人延长投标有效期。投标人同意延长的，不得要求或被允许修改其投标文件，投标人拒绝延长的，其投标无效。</w:t>
      </w:r>
    </w:p>
    <w:p>
      <w:pPr>
        <w:pStyle w:val="128"/>
        <w:spacing w:before="0"/>
        <w:ind w:firstLine="643"/>
        <w:rPr>
          <w:rFonts w:ascii="宋体" w:hAnsi="宋体" w:cs="宋体"/>
          <w:b/>
          <w:color w:val="000000" w:themeColor="text1"/>
          <w:sz w:val="32"/>
          <w:highlight w:val="none"/>
          <w14:textFill>
            <w14:solidFill>
              <w14:schemeClr w14:val="tx1"/>
            </w14:solidFill>
          </w14:textFill>
        </w:rPr>
      </w:pPr>
    </w:p>
    <w:p>
      <w:pPr>
        <w:pStyle w:val="128"/>
        <w:spacing w:before="0"/>
        <w:ind w:firstLine="1928" w:firstLineChars="600"/>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四、开标、资格审查与信用信息查询</w:t>
      </w:r>
    </w:p>
    <w:p>
      <w:pPr>
        <w:pStyle w:val="554"/>
        <w:spacing w:before="0" w:line="360" w:lineRule="auto"/>
        <w:ind w:left="0" w:firstLine="241"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18.开标</w:t>
      </w:r>
      <w:r>
        <w:rPr>
          <w:rFonts w:hint="eastAsia" w:ascii="宋体" w:hAnsi="宋体" w:cs="宋体"/>
          <w:color w:val="000000" w:themeColor="text1"/>
          <w:sz w:val="24"/>
          <w:highlight w:val="none"/>
          <w14:textFill>
            <w14:solidFill>
              <w14:schemeClr w14:val="tx1"/>
            </w14:solidFill>
          </w14:textFill>
        </w:rPr>
        <w:t xml:space="preserve"> </w:t>
      </w:r>
    </w:p>
    <w:p>
      <w:pPr>
        <w:pStyle w:val="554"/>
        <w:spacing w:before="0" w:line="360" w:lineRule="auto"/>
        <w:ind w:left="0"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18.2开标时，电子交易平台按开标时间自动提取所有投标文件。</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18.3</w:t>
      </w:r>
      <w:r>
        <w:rPr>
          <w:rFonts w:hint="eastAsia" w:ascii="宋体" w:hAnsi="宋体" w:cs="宋体"/>
          <w:b/>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　19、资格审查</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采购人或</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依据法律法规和招标文件的规定，对投标人的资格进行审查。</w:t>
      </w:r>
    </w:p>
    <w:p>
      <w:pPr>
        <w:pStyle w:val="128"/>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kern w:val="0"/>
          <w:szCs w:val="24"/>
          <w:highlight w:val="none"/>
          <w:lang w:val="en-US" w:eastAsia="zh-CN"/>
          <w14:textFill>
            <w14:solidFill>
              <w14:schemeClr w14:val="tx1"/>
            </w14:solidFill>
          </w14:textFill>
        </w:rPr>
        <w:t>2</w:t>
      </w:r>
      <w:r>
        <w:rPr>
          <w:rFonts w:hint="eastAsia" w:ascii="宋体" w:hAnsi="宋体" w:cs="宋体"/>
          <w:color w:val="000000" w:themeColor="text1"/>
          <w:kern w:val="0"/>
          <w:szCs w:val="24"/>
          <w:highlight w:val="none"/>
          <w14:textFill>
            <w14:solidFill>
              <w14:schemeClr w14:val="tx1"/>
            </w14:solidFill>
          </w14:textFill>
        </w:rPr>
        <w:t>投标人未按照招标文件要求提供与</w:t>
      </w:r>
      <w:r>
        <w:rPr>
          <w:rFonts w:hint="eastAsia" w:ascii="宋体" w:hAnsi="宋体" w:cs="宋体"/>
          <w:color w:val="000000" w:themeColor="text1"/>
          <w:highlight w:val="none"/>
          <w14:textFill>
            <w14:solidFill>
              <w14:schemeClr w14:val="tx1"/>
            </w14:solidFill>
          </w14:textFill>
        </w:rPr>
        <w:t>资格条件相应的</w:t>
      </w:r>
      <w:r>
        <w:rPr>
          <w:rFonts w:hint="eastAsia" w:ascii="宋体" w:hAnsi="宋体" w:cs="宋体"/>
          <w:color w:val="000000" w:themeColor="text1"/>
          <w:kern w:val="0"/>
          <w:szCs w:val="24"/>
          <w:highlight w:val="none"/>
          <w14:textFill>
            <w14:solidFill>
              <w14:schemeClr w14:val="tx1"/>
            </w14:solidFill>
          </w14:textFill>
        </w:rPr>
        <w:t>有效资格证明材料的，视为</w:t>
      </w:r>
      <w:r>
        <w:rPr>
          <w:rFonts w:hint="eastAsia" w:ascii="宋体" w:hAnsi="宋体" w:cs="宋体"/>
          <w:color w:val="000000" w:themeColor="text1"/>
          <w:highlight w:val="none"/>
          <w14:textFill>
            <w14:solidFill>
              <w14:schemeClr w14:val="tx1"/>
            </w14:solidFill>
          </w14:textFill>
        </w:rPr>
        <w:t>投标人不具备招标文件中规定的资格要求，其投标无效。</w:t>
      </w:r>
    </w:p>
    <w:p>
      <w:pPr>
        <w:pStyle w:val="128"/>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对未通过资格审查的投标人，采购人或</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告知其未通过的原因。</w:t>
      </w:r>
    </w:p>
    <w:p>
      <w:pPr>
        <w:pStyle w:val="128"/>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合格投标人不足3家的，不再评标。</w:t>
      </w:r>
    </w:p>
    <w:p>
      <w:pPr>
        <w:pStyle w:val="128"/>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20、信用信息查询</w:t>
      </w:r>
    </w:p>
    <w:p>
      <w:pPr>
        <w:pStyle w:val="128"/>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20.1信用信息查询渠道及截止时间：</w:t>
      </w:r>
      <w:r>
        <w:rPr>
          <w:rFonts w:hint="eastAsia" w:ascii="宋体" w:hAnsi="宋体" w:cs="宋体"/>
          <w:color w:val="000000" w:themeColor="text1"/>
          <w:kern w:val="0"/>
          <w:szCs w:val="24"/>
          <w:highlight w:val="none"/>
          <w:lang w:eastAsia="zh-CN"/>
          <w14:textFill>
            <w14:solidFill>
              <w14:schemeClr w14:val="tx1"/>
            </w14:solidFill>
          </w14:textFill>
        </w:rPr>
        <w:t>采购</w:t>
      </w:r>
      <w:r>
        <w:rPr>
          <w:rFonts w:hint="eastAsia" w:ascii="宋体" w:hAnsi="宋体" w:cs="宋体"/>
          <w:color w:val="000000" w:themeColor="text1"/>
          <w:kern w:val="0"/>
          <w:szCs w:val="24"/>
          <w:highlight w:val="none"/>
          <w:lang w:val="en-US" w:eastAsia="zh-CN"/>
          <w14:textFill>
            <w14:solidFill>
              <w14:schemeClr w14:val="tx1"/>
            </w14:solidFill>
          </w14:textFill>
        </w:rPr>
        <w:t>人</w:t>
      </w:r>
      <w:r>
        <w:rPr>
          <w:rFonts w:hint="eastAsia" w:ascii="宋体" w:hAnsi="宋体" w:cs="宋体"/>
          <w:color w:val="000000" w:themeColor="text1"/>
          <w:kern w:val="0"/>
          <w:szCs w:val="24"/>
          <w:highlight w:val="none"/>
          <w14:textFill>
            <w14:solidFill>
              <w14:schemeClr w14:val="tx1"/>
            </w14:solidFill>
          </w14:textFill>
        </w:rPr>
        <w:t>将在资格审查时通过“信用中国”网站(www.creditchina.gov.cn)、中国政府采购网(www.ccgp.gov.cn)渠道查询投标人接受资格时的信用记录。</w:t>
      </w:r>
    </w:p>
    <w:p>
      <w:pPr>
        <w:pStyle w:val="128"/>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r>
        <w:rPr>
          <w:rFonts w:hint="eastAsia" w:ascii="宋体" w:hAnsi="宋体" w:cs="宋体"/>
          <w:color w:val="000000" w:themeColor="text1"/>
          <w:kern w:val="0"/>
          <w:szCs w:val="24"/>
          <w:highlight w:val="none"/>
          <w:lang w:eastAsia="zh-CN"/>
          <w14:textFill>
            <w14:solidFill>
              <w14:schemeClr w14:val="tx1"/>
            </w14:solidFill>
          </w14:textFill>
        </w:rPr>
        <w:t>（</w:t>
      </w:r>
      <w:r>
        <w:rPr>
          <w:rFonts w:hint="eastAsia" w:ascii="宋体" w:hAnsi="宋体" w:cs="宋体"/>
          <w:color w:val="000000" w:themeColor="text1"/>
          <w:kern w:val="0"/>
          <w:szCs w:val="24"/>
          <w:highlight w:val="none"/>
          <w:lang w:val="en-US" w:eastAsia="zh-CN"/>
          <w14:textFill>
            <w14:solidFill>
              <w14:schemeClr w14:val="tx1"/>
            </w14:solidFill>
          </w14:textFill>
        </w:rPr>
        <w:t>如有</w:t>
      </w:r>
      <w:r>
        <w:rPr>
          <w:rFonts w:hint="eastAsia" w:ascii="宋体" w:hAnsi="宋体" w:cs="宋体"/>
          <w:color w:val="000000" w:themeColor="text1"/>
          <w:kern w:val="0"/>
          <w:szCs w:val="24"/>
          <w:highlight w:val="none"/>
          <w:lang w:eastAsia="zh-CN"/>
          <w14:textFill>
            <w14:solidFill>
              <w14:schemeClr w14:val="tx1"/>
            </w14:solidFill>
          </w14:textFill>
        </w:rPr>
        <w:t>）</w:t>
      </w:r>
      <w:r>
        <w:rPr>
          <w:rFonts w:hint="eastAsia" w:ascii="宋体" w:hAnsi="宋体" w:cs="宋体"/>
          <w:color w:val="000000" w:themeColor="text1"/>
          <w:kern w:val="0"/>
          <w:szCs w:val="24"/>
          <w:highlight w:val="none"/>
          <w14:textFill>
            <w14:solidFill>
              <w14:schemeClr w14:val="tx1"/>
            </w14:solidFill>
          </w14:textFill>
        </w:rPr>
        <w:t>。</w:t>
      </w:r>
    </w:p>
    <w:p>
      <w:pPr>
        <w:pStyle w:val="128"/>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highlight w:val="none"/>
          <w14:textFill>
            <w14:solidFill>
              <w14:schemeClr w14:val="tx1"/>
            </w14:solidFill>
          </w14:textFill>
        </w:rPr>
        <w:t>。</w:t>
      </w:r>
    </w:p>
    <w:p>
      <w:pPr>
        <w:pStyle w:val="128"/>
        <w:spacing w:before="0"/>
        <w:ind w:firstLine="0" w:firstLineChars="0"/>
        <w:rPr>
          <w:rFonts w:ascii="宋体" w:hAnsi="宋体" w:cs="宋体"/>
          <w:color w:val="000000" w:themeColor="text1"/>
          <w:kern w:val="0"/>
          <w:szCs w:val="24"/>
          <w:highlight w:val="none"/>
          <w14:textFill>
            <w14:solidFill>
              <w14:schemeClr w14:val="tx1"/>
            </w14:solidFill>
          </w14:textFill>
        </w:rPr>
      </w:pPr>
    </w:p>
    <w:p>
      <w:pP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五、评标</w:t>
      </w:r>
    </w:p>
    <w:p>
      <w:pPr>
        <w:spacing w:line="360" w:lineRule="auto"/>
        <w:rPr>
          <w:rFonts w:ascii="宋体" w:hAnsi="宋体" w:cs="宋体"/>
          <w:b/>
          <w:color w:val="000000" w:themeColor="text1"/>
          <w:sz w:val="24"/>
          <w:highlight w:val="none"/>
          <w14:textFill>
            <w14:solidFill>
              <w14:schemeClr w14:val="tx1"/>
            </w14:solidFill>
          </w14:textFill>
        </w:rPr>
      </w:pPr>
      <w:bookmarkStart w:id="12" w:name="_Toc91899903"/>
      <w:r>
        <w:rPr>
          <w:rFonts w:hint="eastAsia" w:ascii="宋体" w:hAnsi="宋体" w:cs="宋体"/>
          <w:b/>
          <w:color w:val="000000" w:themeColor="text1"/>
          <w:sz w:val="24"/>
          <w:highlight w:val="none"/>
          <w14:textFill>
            <w14:solidFill>
              <w14:schemeClr w14:val="tx1"/>
            </w14:solidFill>
          </w14:textFill>
        </w:rPr>
        <w:t>21.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themeColor="text1"/>
          <w:sz w:val="24"/>
          <w:highlight w:val="none"/>
          <w14:textFill>
            <w14:solidFill>
              <w14:schemeClr w14:val="tx1"/>
            </w14:solidFill>
          </w14:textFill>
        </w:rPr>
        <w:t>详见招标文件第四部分评标办法。</w:t>
      </w:r>
    </w:p>
    <w:p>
      <w:pPr>
        <w:spacing w:line="360" w:lineRule="auto"/>
        <w:rPr>
          <w:rFonts w:ascii="宋体" w:hAnsi="宋体" w:cs="宋体"/>
          <w:b/>
          <w:color w:val="000000" w:themeColor="text1"/>
          <w:sz w:val="24"/>
          <w:highlight w:val="none"/>
          <w14:textFill>
            <w14:solidFill>
              <w14:schemeClr w14:val="tx1"/>
            </w14:solidFill>
          </w14:textFill>
        </w:rPr>
      </w:pPr>
    </w:p>
    <w:p>
      <w:pP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六、定 标</w:t>
      </w:r>
    </w:p>
    <w:p>
      <w:pPr>
        <w:pStyle w:val="25"/>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22. 确定中标供应商</w:t>
      </w:r>
    </w:p>
    <w:p>
      <w:pPr>
        <w:pStyle w:val="128"/>
        <w:snapToGrid w:val="0"/>
        <w:spacing w:before="0"/>
        <w:ind w:firstLine="480"/>
        <w:rPr>
          <w:rFonts w:ascii="宋体" w:hAnsi="宋体" w:cs="宋体"/>
          <w:b/>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23. 中标通知与中标结果公告</w:t>
      </w:r>
    </w:p>
    <w:p>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23.1自中标人确定之日起2个工作日内，</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通过电子交易平台向中标人发出中标通知书，同时编制发布采购结果公告。</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也可以以纸质形式进行中标通知。</w:t>
      </w:r>
    </w:p>
    <w:p>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23.2中标结果公告内容包括采购人及其委托的</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的名称、地址、联系方式，项目名称和项目编号，中标人名称、地址和中标金额，主要中标标的的名称、规格型号、数量、单价、服务要求，开标记录、</w:t>
      </w:r>
      <w:bookmarkStart w:id="13" w:name="_Hlk101184471"/>
      <w:r>
        <w:rPr>
          <w:rFonts w:hint="eastAsia" w:ascii="宋体" w:hAnsi="宋体" w:cs="宋体"/>
          <w:color w:val="000000" w:themeColor="text1"/>
          <w:sz w:val="24"/>
          <w:highlight w:val="none"/>
          <w14:textFill>
            <w14:solidFill>
              <w14:schemeClr w14:val="tx1"/>
            </w14:solidFill>
          </w14:textFill>
        </w:rPr>
        <w:t>资格审查情况、评审专家抽取规则、符合性审查情况、</w:t>
      </w:r>
      <w:bookmarkEnd w:id="13"/>
      <w:r>
        <w:rPr>
          <w:rFonts w:hint="eastAsia" w:ascii="宋体" w:hAnsi="宋体" w:cs="宋体"/>
          <w:color w:val="000000" w:themeColor="text1"/>
          <w:sz w:val="24"/>
          <w:highlight w:val="none"/>
          <w14:textFill>
            <w14:solidFill>
              <w14:schemeClr w14:val="tx1"/>
            </w14:solidFill>
          </w14:textFill>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23.3公告期限为1个工作日。</w:t>
      </w:r>
    </w:p>
    <w:p>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p>
    <w:p>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七、合同授予</w:t>
      </w:r>
    </w:p>
    <w:p>
      <w:pPr>
        <w:pStyle w:val="25"/>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 xml:space="preserve">24. </w:t>
      </w:r>
      <w:r>
        <w:rPr>
          <w:rFonts w:hint="eastAsia" w:cs="宋体"/>
          <w:color w:val="000000" w:themeColor="text1"/>
          <w:highlight w:val="none"/>
          <w14:textFill>
            <w14:solidFill>
              <w14:schemeClr w14:val="tx1"/>
            </w14:solidFill>
          </w14:textFill>
        </w:rPr>
        <w:t>合同主要条款详见第五部分拟签订的合同文本。</w:t>
      </w:r>
    </w:p>
    <w:p>
      <w:pPr>
        <w:pStyle w:val="25"/>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25. 合同的签订</w:t>
      </w:r>
    </w:p>
    <w:p>
      <w:pPr>
        <w:widowControl/>
        <w:shd w:val="clear" w:color="auto" w:fill="FFFFFF"/>
        <w:spacing w:line="360" w:lineRule="auto"/>
        <w:ind w:firstLine="48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w:t>
      </w:r>
      <w:r>
        <w:rPr>
          <w:rFonts w:hint="eastAsia" w:ascii="宋体" w:hAnsi="宋体"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pPr>
        <w:adjustRightInd w:val="0"/>
        <w:snapToGrid w:val="0"/>
        <w:spacing w:line="360" w:lineRule="auto"/>
        <w:ind w:firstLine="480" w:firstLineChars="200"/>
        <w:rPr>
          <w:rFonts w:hint="eastAsia" w:ascii="宋体" w:hAnsi="宋体" w:eastAsia="宋体" w:cs="宋体"/>
          <w:color w:val="000000" w:themeColor="text1"/>
          <w:kern w:val="2"/>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0"/>
          <w:highlight w:val="none"/>
          <w:lang w:val="en-US" w:eastAsia="zh-CN" w:bidi="ar-SA"/>
          <w14:textFill>
            <w14:solidFill>
              <w14:schemeClr w14:val="tx1"/>
            </w14:solidFill>
          </w14:textFill>
        </w:rPr>
        <w:t>25.4排名第一的中标候选人放弃中标；因不可抗力提出不能履行合同；或者招标文件规定应当提交履约保证金而在规定的期限内未能提交的；或未能在规定时间内与采购单位签订合同的；或者经质疑，确因排名第一的候选人在本次采购活动中存在违法违规行为或其他原因使质疑成立的；或者存在违法违规行为被采购监管部门处理的；采购单位可以按照评标报告推荐的中标候选人名单排序，确定下一候选人为中标，也可以重新开展政府采购活动。</w:t>
      </w:r>
    </w:p>
    <w:p>
      <w:pPr>
        <w:pStyle w:val="128"/>
        <w:snapToGrid w:val="0"/>
        <w:spacing w:before="0" w:after="12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pPr>
        <w:pStyle w:val="25"/>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26. 履约保证金</w:t>
      </w:r>
    </w:p>
    <w:p>
      <w:pPr>
        <w:tabs>
          <w:tab w:val="left" w:pos="0"/>
        </w:tabs>
        <w:spacing w:line="360" w:lineRule="auto"/>
        <w:ind w:firstLine="4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cs="宋体"/>
          <w:color w:val="000000" w:themeColor="text1"/>
          <w:sz w:val="24"/>
          <w:highlight w:val="none"/>
          <w14:textFill>
            <w14:solidFill>
              <w14:schemeClr w14:val="tx1"/>
            </w14:solidFill>
          </w14:textFill>
        </w:rPr>
        <w:t>。履约保证金的数额不得超过政府采购合同金额的</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highlight w:val="none"/>
          <w14:textFill>
            <w14:solidFill>
              <w14:schemeClr w14:val="tx1"/>
            </w14:solidFill>
          </w14:textFill>
        </w:rPr>
        <w:t>。</w:t>
      </w:r>
    </w:p>
    <w:p>
      <w:pPr>
        <w:pStyle w:val="3"/>
        <w:ind w:left="0" w:firstLine="480" w:firstLineChars="200"/>
        <w:rPr>
          <w:rFonts w:ascii="宋体" w:hAnsi="宋体" w:eastAsia="宋体" w:cs="宋体"/>
          <w:b w:val="0"/>
          <w:bCs w:val="0"/>
          <w:snapToGrid w:val="0"/>
          <w:color w:val="000000" w:themeColor="text1"/>
          <w:kern w:val="28"/>
          <w:sz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供应商</w:t>
      </w:r>
      <w:r>
        <w:rPr>
          <w:rFonts w:hint="eastAsia" w:ascii="宋体" w:hAnsi="宋体" w:eastAsia="宋体" w:cs="宋体"/>
          <w:b w:val="0"/>
          <w:bCs w:val="0"/>
          <w:snapToGrid w:val="0"/>
          <w:color w:val="000000" w:themeColor="text1"/>
          <w:kern w:val="28"/>
          <w:sz w:val="24"/>
          <w:highlight w:val="none"/>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rPr>
          <w:color w:val="000000" w:themeColor="text1"/>
          <w:highlight w:val="none"/>
          <w14:textFill>
            <w14:solidFill>
              <w14:schemeClr w14:val="tx1"/>
            </w14:solidFill>
          </w14:textFill>
        </w:rPr>
      </w:pPr>
      <w:r>
        <w:rPr>
          <w:rFonts w:ascii="宋体" w:hAnsi="宋体" w:eastAsia="宋体"/>
          <w:b/>
          <w:bCs/>
          <w:color w:val="000000" w:themeColor="text1"/>
          <w:sz w:val="24"/>
          <w:szCs w:val="32"/>
          <w:highlight w:val="none"/>
          <w:lang w:val="en-US"/>
          <w14:textFill>
            <w14:solidFill>
              <w14:schemeClr w14:val="tx1"/>
            </w14:solidFill>
          </w14:textFill>
        </w:rPr>
        <w:t>27.预付款</w:t>
      </w:r>
    </w:p>
    <w:p>
      <w:pPr>
        <w:adjustRightInd/>
        <w:spacing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采购单位应当在政府采购合同中约定预付款，对中小企业合同预付款比例原则上不低于合同金额的</w:t>
      </w:r>
      <w:r>
        <w:rPr>
          <w:rFonts w:ascii="宋体" w:hAnsi="宋体"/>
          <w:color w:val="000000" w:themeColor="text1"/>
          <w:sz w:val="24"/>
          <w:highlight w:val="none"/>
          <w14:textFill>
            <w14:solidFill>
              <w14:schemeClr w14:val="tx1"/>
            </w14:solidFill>
          </w14:textFill>
        </w:rPr>
        <w:t>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70%；项目分年安排预算的，每年预付款比例</w:t>
      </w:r>
      <w:r>
        <w:rPr>
          <w:rFonts w:hint="eastAsia" w:ascii="宋体" w:hAnsi="宋体"/>
          <w:color w:val="000000" w:themeColor="text1"/>
          <w:sz w:val="24"/>
          <w:highlight w:val="none"/>
          <w14:textFill>
            <w14:solidFill>
              <w14:schemeClr w14:val="tx1"/>
            </w14:solidFill>
          </w14:textFill>
        </w:rPr>
        <w:t>不低于</w:t>
      </w:r>
      <w:r>
        <w:rPr>
          <w:rFonts w:ascii="宋体" w:hAnsi="宋体"/>
          <w:color w:val="000000" w:themeColor="text1"/>
          <w:sz w:val="24"/>
          <w:highlight w:val="none"/>
          <w14:textFill>
            <w14:solidFill>
              <w14:schemeClr w14:val="tx1"/>
            </w14:solidFill>
          </w14:textFill>
        </w:rPr>
        <w:t>项目年度计划支付资金额的40％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70%；采购项目实施以人工投入为主的，</w:t>
      </w:r>
      <w:r>
        <w:rPr>
          <w:rFonts w:hint="eastAsia" w:ascii="宋体" w:hAnsi="宋体"/>
          <w:color w:val="000000" w:themeColor="text1"/>
          <w:sz w:val="24"/>
          <w:highlight w:val="none"/>
          <w14:textFill>
            <w14:solidFill>
              <w14:schemeClr w14:val="tx1"/>
            </w14:solidFill>
          </w14:textFill>
        </w:rPr>
        <w:t>可适当降低预付款比例，但不得低于</w:t>
      </w:r>
      <w:r>
        <w:rPr>
          <w:rFonts w:ascii="宋体" w:hAnsi="宋体"/>
          <w:color w:val="000000" w:themeColor="text1"/>
          <w:sz w:val="24"/>
          <w:highlight w:val="none"/>
          <w14:textFill>
            <w14:solidFill>
              <w14:schemeClr w14:val="tx1"/>
            </w14:solidFill>
          </w14:textFill>
        </w:rPr>
        <w:t>20%。对供应商为大型企业的项目或者以人工投入为主且实行按月定期结算支付款项的项目，预付款可低于上述比例或者不约定预付款。在签订合同时，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明确表示无需预付款或者主动要求降低预付款比例的，</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可不适用前述规定。</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根据项目特点、供应商诚信等因素，可以要求</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提交银行、保险公司等金融机构出具的预付款保函或其他担保措施。政府采购预付款应在合同生效以及具备实施条件后</w:t>
      </w:r>
      <w:r>
        <w:rPr>
          <w:rFonts w:hint="eastAsia" w:ascii="宋体" w:hAnsi="宋体"/>
          <w:color w:val="000000" w:themeColor="text1"/>
          <w:sz w:val="24"/>
          <w:highlight w:val="none"/>
          <w:lang w:val="en-US" w:eastAsia="zh-CN"/>
          <w14:textFill>
            <w14:solidFill>
              <w14:schemeClr w14:val="tx1"/>
            </w14:solidFill>
          </w14:textFill>
        </w:rPr>
        <w:t>7</w:t>
      </w:r>
      <w:r>
        <w:rPr>
          <w:rFonts w:ascii="宋体" w:hAnsi="宋体"/>
          <w:color w:val="000000" w:themeColor="text1"/>
          <w:sz w:val="24"/>
          <w:highlight w:val="none"/>
          <w14:textFill>
            <w14:solidFill>
              <w14:schemeClr w14:val="tx1"/>
            </w14:solidFill>
          </w14:textFill>
        </w:rPr>
        <w:t>个工作日内支付。</w:t>
      </w:r>
      <w:r>
        <w:rPr>
          <w:rFonts w:hint="eastAsia" w:ascii="宋体" w:hAnsi="宋体"/>
          <w:color w:val="000000" w:themeColor="text1"/>
          <w:sz w:val="24"/>
          <w:highlight w:val="none"/>
          <w14:textFill>
            <w14:solidFill>
              <w14:schemeClr w14:val="tx1"/>
            </w14:solidFill>
          </w14:textFill>
        </w:rPr>
        <w:t>政府采购工程以及与工程建设有关的货物、服务，采用招标方式采购的，预付款从其相关规定。供应商可登录政采云前台大厅选择金融服务</w:t>
      </w:r>
      <w:r>
        <w:rPr>
          <w:rFonts w:ascii="宋体" w:hAnsi="宋体"/>
          <w:color w:val="000000" w:themeColor="text1"/>
          <w:sz w:val="24"/>
          <w:highlight w:val="non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highlight w:val="none"/>
          <w14:textFill>
            <w14:solidFill>
              <w14:schemeClr w14:val="tx1"/>
            </w14:solidFill>
          </w14:textFill>
        </w:rPr>
        <w:t>/保函受理—确认保单—支付保费—成功出单。政</w:t>
      </w:r>
      <w:r>
        <w:rPr>
          <w:rFonts w:hint="eastAsia" w:ascii="宋体" w:hAnsi="宋体"/>
          <w:color w:val="000000" w:themeColor="text1"/>
          <w:sz w:val="24"/>
          <w:highlight w:val="none"/>
          <w14:textFill>
            <w14:solidFill>
              <w14:schemeClr w14:val="tx1"/>
            </w14:solidFill>
          </w14:textFill>
        </w:rPr>
        <w:t>采云金融专线</w:t>
      </w:r>
      <w:r>
        <w:rPr>
          <w:rFonts w:ascii="宋体" w:hAnsi="宋体"/>
          <w:color w:val="000000" w:themeColor="text1"/>
          <w:sz w:val="24"/>
          <w:highlight w:val="none"/>
          <w14:textFill>
            <w14:solidFill>
              <w14:schemeClr w14:val="tx1"/>
            </w14:solidFill>
          </w14:textFill>
        </w:rPr>
        <w:t>400-903-9583。</w:t>
      </w:r>
    </w:p>
    <w:p>
      <w:pPr>
        <w:rPr>
          <w:color w:val="000000" w:themeColor="text1"/>
          <w:highlight w:val="none"/>
          <w14:textFill>
            <w14:solidFill>
              <w14:schemeClr w14:val="tx1"/>
            </w14:solidFill>
          </w14:textFill>
        </w:rPr>
      </w:pPr>
    </w:p>
    <w:p>
      <w:pPr>
        <w:snapToGrid w:val="0"/>
        <w:spacing w:line="360" w:lineRule="auto"/>
        <w:ind w:firstLine="3357" w:firstLineChars="1045"/>
        <w:rPr>
          <w:rFonts w:ascii="宋体" w:hAnsi="宋体" w:cs="宋体"/>
          <w:b/>
          <w:color w:val="000000" w:themeColor="text1"/>
          <w:sz w:val="32"/>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snapToGrid w:val="0"/>
        <w:spacing w:line="360" w:lineRule="auto"/>
        <w:ind w:firstLine="2570" w:firstLineChars="8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八、电子交易活动的中止</w:t>
      </w:r>
    </w:p>
    <w:p>
      <w:pPr>
        <w:pStyle w:val="128"/>
        <w:snapToGrid w:val="0"/>
        <w:spacing w:before="0"/>
        <w:ind w:firstLine="0" w:firstLineChars="0"/>
        <w:rPr>
          <w:rFonts w:ascii="宋体" w:hAnsi="宋体" w:cs="宋体"/>
          <w:color w:val="000000" w:themeColor="text1"/>
          <w:highlight w:val="none"/>
          <w14:textFill>
            <w14:solidFill>
              <w14:schemeClr w14:val="tx1"/>
            </w14:solidFill>
          </w14:textFill>
        </w:rPr>
      </w:pPr>
      <w:r>
        <w:rPr>
          <w:rFonts w:ascii="宋体" w:hAnsi="宋体" w:cs="宋体"/>
          <w:b/>
          <w:bCs/>
          <w:color w:val="000000" w:themeColor="text1"/>
          <w:sz w:val="24"/>
          <w:szCs w:val="20"/>
          <w:highlight w:val="none"/>
          <w14:textFill>
            <w14:solidFill>
              <w14:schemeClr w14:val="tx1"/>
            </w14:solidFill>
          </w14:textFill>
        </w:rPr>
        <w:t>2</w:t>
      </w:r>
      <w:r>
        <w:rPr>
          <w:rFonts w:ascii="宋体" w:hAnsi="宋体" w:cs="宋体"/>
          <w:b/>
          <w:bCs/>
          <w:color w:val="000000" w:themeColor="text1"/>
          <w:sz w:val="24"/>
          <w:szCs w:val="24"/>
          <w:highlight w:val="none"/>
          <w14:textFill>
            <w14:solidFill>
              <w14:schemeClr w14:val="tx1"/>
            </w14:solidFill>
          </w14:textFill>
        </w:rPr>
        <w:t>8</w:t>
      </w:r>
      <w:r>
        <w:rPr>
          <w:rFonts w:hint="eastAsia" w:ascii="宋体" w:hAnsi="宋体" w:cs="宋体"/>
          <w:b/>
          <w:color w:val="000000" w:themeColor="text1"/>
          <w:szCs w:val="24"/>
          <w:highlight w:val="none"/>
          <w14:textFill>
            <w14:solidFill>
              <w14:schemeClr w14:val="tx1"/>
            </w14:solidFill>
          </w14:textFill>
        </w:rPr>
        <w:t>. 电子交易活动的中止。</w:t>
      </w:r>
      <w:r>
        <w:rPr>
          <w:rFonts w:hint="eastAsia" w:ascii="宋体" w:hAnsi="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可中止电子交易活动：</w:t>
      </w:r>
    </w:p>
    <w:p>
      <w:pPr>
        <w:pStyle w:val="12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28.1电子交易平台发生故障而无法登录访问的； </w:t>
      </w:r>
    </w:p>
    <w:p>
      <w:pPr>
        <w:pStyle w:val="12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28.2电子交易平台应用或数据库出现错误，不能进行正常操作的；</w:t>
      </w:r>
    </w:p>
    <w:p>
      <w:pPr>
        <w:pStyle w:val="12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28.3电子交易平台发现严重安全漏洞，有潜在泄密危险的；</w:t>
      </w:r>
    </w:p>
    <w:p>
      <w:pPr>
        <w:pStyle w:val="12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28.4病毒发作导致不能进行正常操作的； </w:t>
      </w:r>
    </w:p>
    <w:p>
      <w:pPr>
        <w:pStyle w:val="12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28.5其他无法保证电子交易的公平、公正和安全的情况。</w:t>
      </w:r>
    </w:p>
    <w:p>
      <w:pPr>
        <w:pStyle w:val="128"/>
        <w:snapToGrid w:val="0"/>
        <w:spacing w:before="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000000" w:themeColor="text1"/>
          <w:sz w:val="24"/>
          <w:highlight w:val="none"/>
          <w14:textFill>
            <w14:solidFill>
              <w14:schemeClr w14:val="tx1"/>
            </w14:solidFill>
          </w14:textFill>
        </w:rPr>
      </w:pPr>
    </w:p>
    <w:p>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九、验收</w:t>
      </w:r>
    </w:p>
    <w:p>
      <w:pPr>
        <w:pStyle w:val="25"/>
        <w:spacing w:line="360" w:lineRule="auto"/>
        <w:ind w:firstLine="0" w:firstLineChars="0"/>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30.验收</w:t>
      </w:r>
    </w:p>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bookmarkStart w:id="14" w:name="_Hlt74729768"/>
      <w:bookmarkEnd w:id="14"/>
      <w:bookmarkStart w:id="15" w:name="_Hlt74730295"/>
      <w:bookmarkEnd w:id="15"/>
      <w:bookmarkStart w:id="16" w:name="_Hlt68403820"/>
      <w:bookmarkEnd w:id="16"/>
      <w:bookmarkStart w:id="17" w:name="_Hlt75236011"/>
      <w:bookmarkEnd w:id="17"/>
      <w:bookmarkStart w:id="18" w:name="_Hlt75236290"/>
      <w:bookmarkEnd w:id="18"/>
      <w:bookmarkStart w:id="19" w:name="_Hlt74714665"/>
      <w:bookmarkEnd w:id="19"/>
      <w:bookmarkStart w:id="20" w:name="_Hlt74707468"/>
      <w:bookmarkEnd w:id="20"/>
      <w:bookmarkStart w:id="21" w:name="_Hlt75236101"/>
      <w:bookmarkEnd w:id="21"/>
      <w:bookmarkStart w:id="22" w:name="_Hlt68057669"/>
      <w:bookmarkEnd w:id="22"/>
      <w:bookmarkStart w:id="23" w:name="_Hlt68072998"/>
      <w:bookmarkEnd w:id="23"/>
      <w:bookmarkStart w:id="24" w:name="_Hlt68072990"/>
      <w:bookmarkEnd w:id="24"/>
      <w:bookmarkStart w:id="25" w:name="_Hlt68073093"/>
      <w:bookmarkEnd w:id="25"/>
    </w:p>
    <w:p>
      <w:pPr>
        <w:pStyle w:val="2"/>
        <w:rPr>
          <w:rFonts w:ascii="宋体" w:hAnsi="宋体" w:cs="宋体"/>
          <w:color w:val="000000" w:themeColor="text1"/>
          <w:kern w:val="0"/>
          <w:sz w:val="24"/>
          <w:highlight w:val="none"/>
          <w14:textFill>
            <w14:solidFill>
              <w14:schemeClr w14:val="tx1"/>
            </w14:solidFill>
          </w14:textFill>
        </w:rPr>
      </w:pPr>
    </w:p>
    <w:p>
      <w:pPr>
        <w:rPr>
          <w:rFonts w:ascii="宋体" w:hAnsi="宋体" w:cs="宋体"/>
          <w:color w:val="000000" w:themeColor="text1"/>
          <w:kern w:val="0"/>
          <w:sz w:val="24"/>
          <w:highlight w:val="none"/>
          <w14:textFill>
            <w14:solidFill>
              <w14:schemeClr w14:val="tx1"/>
            </w14:solidFill>
          </w14:textFill>
        </w:rPr>
      </w:pPr>
    </w:p>
    <w:p>
      <w:pPr>
        <w:pStyle w:val="2"/>
        <w:rPr>
          <w:rFonts w:ascii="宋体" w:hAnsi="宋体" w:cs="宋体"/>
          <w:color w:val="000000" w:themeColor="text1"/>
          <w:kern w:val="0"/>
          <w:sz w:val="24"/>
          <w:highlight w:val="none"/>
          <w14:textFill>
            <w14:solidFill>
              <w14:schemeClr w14:val="tx1"/>
            </w14:solidFill>
          </w14:textFill>
        </w:rPr>
      </w:pPr>
    </w:p>
    <w:p>
      <w:pPr>
        <w:rPr>
          <w:rFonts w:ascii="宋体" w:hAnsi="宋体" w:cs="宋体"/>
          <w:color w:val="000000" w:themeColor="text1"/>
          <w:kern w:val="0"/>
          <w:sz w:val="24"/>
          <w:highlight w:val="none"/>
          <w14:textFill>
            <w14:solidFill>
              <w14:schemeClr w14:val="tx1"/>
            </w14:solidFill>
          </w14:textFill>
        </w:rPr>
      </w:pPr>
    </w:p>
    <w:p>
      <w:pPr>
        <w:rPr>
          <w:rFonts w:ascii="宋体" w:hAnsi="宋体" w:cs="宋体"/>
          <w:color w:val="000000" w:themeColor="text1"/>
          <w:kern w:val="0"/>
          <w:sz w:val="24"/>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第三部分   采购需求</w:t>
      </w:r>
    </w:p>
    <w:p>
      <w:pPr>
        <w:pStyle w:val="3"/>
        <w:spacing w:line="680" w:lineRule="exact"/>
        <w:jc w:val="center"/>
        <w:rPr>
          <w:rFonts w:hint="eastAsia" w:ascii="宋体" w:hAnsi="宋体" w:eastAsia="宋体" w:cs="宋体"/>
          <w:b w:val="0"/>
          <w:color w:val="000000" w:themeColor="text1"/>
          <w:szCs w:val="21"/>
          <w:highlight w:val="none"/>
          <w14:textFill>
            <w14:solidFill>
              <w14:schemeClr w14:val="tx1"/>
            </w14:solidFill>
          </w14:textFill>
        </w:rPr>
      </w:pPr>
      <w:bookmarkStart w:id="26" w:name="_Toc460707940"/>
      <w:bookmarkStart w:id="27" w:name="_Toc55472251"/>
      <w:bookmarkStart w:id="28" w:name="_Toc6413"/>
      <w:bookmarkStart w:id="29" w:name="_Toc467576654"/>
      <w:bookmarkStart w:id="30" w:name="_Toc26215"/>
      <w:bookmarkStart w:id="31" w:name="_Toc522220192"/>
      <w:r>
        <w:rPr>
          <w:rFonts w:hint="eastAsia" w:ascii="宋体" w:hAnsi="宋体" w:eastAsia="宋体" w:cs="宋体"/>
          <w:b/>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一、概 述</w:t>
      </w:r>
      <w:bookmarkEnd w:id="26"/>
      <w:bookmarkEnd w:id="27"/>
      <w:bookmarkEnd w:id="28"/>
      <w:bookmarkEnd w:id="29"/>
      <w:bookmarkEnd w:id="30"/>
      <w:bookmarkEnd w:id="31"/>
    </w:p>
    <w:p>
      <w:pPr>
        <w:pStyle w:val="58"/>
        <w:keepNext w:val="0"/>
        <w:keepLines w:val="0"/>
        <w:pageBreakBefore w:val="0"/>
        <w:kinsoku/>
        <w:wordWrap/>
        <w:overflowPunct/>
        <w:topLinePunct w:val="0"/>
        <w:autoSpaceDE/>
        <w:autoSpaceDN/>
        <w:bidi w:val="0"/>
        <w:spacing w:before="0" w:beforeLines="0" w:beforeAutospacing="0" w:after="0" w:afterLines="0" w:afterAutospacing="0" w:line="480" w:lineRule="exac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Style w:val="70"/>
          <w:rFonts w:hint="eastAsia" w:ascii="宋体" w:hAnsi="宋体" w:eastAsia="宋体" w:cs="宋体"/>
          <w:color w:val="000000" w:themeColor="text1"/>
          <w:highlight w:val="none"/>
          <w:lang w:val="en-US" w:eastAsia="zh-CN"/>
          <w14:textFill>
            <w14:solidFill>
              <w14:schemeClr w14:val="tx1"/>
            </w14:solidFill>
          </w14:textFill>
        </w:rPr>
        <w:t>1、</w:t>
      </w:r>
      <w:r>
        <w:rPr>
          <w:rStyle w:val="70"/>
          <w:rFonts w:hint="eastAsia" w:ascii="宋体" w:hAnsi="宋体" w:eastAsia="宋体" w:cs="宋体"/>
          <w:color w:val="000000" w:themeColor="text1"/>
          <w:highlight w:val="none"/>
          <w14:textFill>
            <w14:solidFill>
              <w14:schemeClr w14:val="tx1"/>
            </w14:solidFill>
          </w14:textFill>
        </w:rPr>
        <w:t>项目基本情况</w:t>
      </w:r>
      <w:r>
        <w:rPr>
          <w:rFonts w:hint="eastAsia" w:ascii="宋体" w:hAnsi="宋体" w:eastAsia="宋体" w:cs="宋体"/>
          <w:color w:val="000000" w:themeColor="text1"/>
          <w:highlight w:val="none"/>
          <w14:textFill>
            <w14:solidFill>
              <w14:schemeClr w14:val="tx1"/>
            </w14:solidFill>
          </w14:textFill>
        </w:rPr>
        <w:t>   </w:t>
      </w:r>
      <w:r>
        <w:rPr>
          <w:rFonts w:hint="eastAsia" w:ascii="宋体" w:hAnsi="宋体" w:eastAsia="宋体" w:cs="宋体"/>
          <w:color w:val="000000" w:themeColor="text1"/>
          <w:highlight w:val="none"/>
          <w:lang w:val="en-US" w:eastAsia="zh-CN"/>
          <w14:textFill>
            <w14:solidFill>
              <w14:schemeClr w14:val="tx1"/>
            </w14:solidFill>
          </w14:textFill>
        </w:rPr>
        <w:t xml:space="preserve"> </w:t>
      </w:r>
    </w:p>
    <w:p>
      <w:pPr>
        <w:pStyle w:val="58"/>
        <w:keepNext w:val="0"/>
        <w:keepLines w:val="0"/>
        <w:pageBreakBefore w:val="0"/>
        <w:kinsoku/>
        <w:wordWrap/>
        <w:overflowPunct/>
        <w:topLinePunct w:val="0"/>
        <w:autoSpaceDE/>
        <w:autoSpaceDN/>
        <w:bidi w:val="0"/>
        <w:spacing w:before="0" w:beforeLines="0" w:beforeAutospacing="0" w:after="0" w:afterLines="0" w:afterAutospacing="0" w:line="480" w:lineRule="exact"/>
        <w:ind w:firstLine="720"/>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1.1基本情况：温州科技馆是温州市重点文化、教育、休闲和旅游公益性公众服务基地，是市政建设的形象工程和文明建设的重要窗口，温州市十大标志性建筑之一，也是我市实施科教兴市，普及科学知识，弘扬科学精神，传播科学思想和科学方法，提高公众科学文化素养的社会公益性科普教育场所，向社会免费开放。2023年改造提升后重新开馆，常设展品400余件，展示面积1.5万平米，分为三个部分：北部为儿童厅；南面分为三层，一层为明眸皓齿展区、科学长廊展区、创科空间等展区，二层为生命与健康展区、探索与发现展区，三层为走进太空展区、温州“zhi”造展区；中间为公共空间和临展展区，顶层建有180座的球幕影院，底层建有50座的4D动感影院；二楼234座的综合会议室、二楼西侧一个剧场、三楼西侧一个教室</w:t>
      </w:r>
    </w:p>
    <w:p>
      <w:pPr>
        <w:keepNext w:val="0"/>
        <w:keepLines w:val="0"/>
        <w:pageBreakBefore w:val="0"/>
        <w:kinsoku/>
        <w:wordWrap/>
        <w:overflowPunct/>
        <w:topLinePunct w:val="0"/>
        <w:autoSpaceDE/>
        <w:autoSpaceDN/>
        <w:bidi w:val="0"/>
        <w:adjustRightInd w:val="0"/>
        <w:snapToGrid w:val="0"/>
        <w:spacing w:beforeAutospacing="0" w:afterAutospacing="0" w:line="480" w:lineRule="exact"/>
        <w:ind w:left="655" w:leftChars="312" w:firstLine="110" w:firstLineChars="50"/>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1.2</w:t>
      </w:r>
      <w:r>
        <w:rPr>
          <w:rFonts w:hint="eastAsia" w:ascii="宋体" w:hAnsi="宋体" w:eastAsia="宋体" w:cs="宋体"/>
          <w:bCs/>
          <w:color w:val="000000" w:themeColor="text1"/>
          <w:sz w:val="22"/>
          <w:szCs w:val="22"/>
          <w:highlight w:val="none"/>
          <w14:textFill>
            <w14:solidFill>
              <w14:schemeClr w14:val="tx1"/>
            </w14:solidFill>
          </w14:textFill>
        </w:rPr>
        <w:t xml:space="preserve"> 建设地点：温州市市府路481号；</w:t>
      </w:r>
    </w:p>
    <w:p>
      <w:pPr>
        <w:keepNext w:val="0"/>
        <w:keepLines w:val="0"/>
        <w:pageBreakBefore w:val="0"/>
        <w:kinsoku/>
        <w:wordWrap/>
        <w:overflowPunct/>
        <w:topLinePunct w:val="0"/>
        <w:autoSpaceDE/>
        <w:autoSpaceDN/>
        <w:bidi w:val="0"/>
        <w:adjustRightInd w:val="0"/>
        <w:snapToGrid w:val="0"/>
        <w:spacing w:beforeAutospacing="0" w:afterAutospacing="0" w:line="480" w:lineRule="exact"/>
        <w:ind w:left="655" w:leftChars="312" w:firstLine="110" w:firstLineChars="50"/>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1.</w:t>
      </w:r>
      <w:r>
        <w:rPr>
          <w:rFonts w:hint="eastAsia" w:ascii="宋体" w:hAnsi="宋体" w:eastAsia="宋体" w:cs="宋体"/>
          <w:bCs/>
          <w:color w:val="000000" w:themeColor="text1"/>
          <w:sz w:val="22"/>
          <w:szCs w:val="22"/>
          <w:highlight w:val="none"/>
          <w:lang w:val="en-US" w:eastAsia="zh-CN"/>
          <w14:textFill>
            <w14:solidFill>
              <w14:schemeClr w14:val="tx1"/>
            </w14:solidFill>
          </w14:textFill>
        </w:rPr>
        <w:t xml:space="preserve">3 </w:t>
      </w:r>
      <w:r>
        <w:rPr>
          <w:rFonts w:hint="eastAsia" w:ascii="宋体" w:hAnsi="宋体" w:eastAsia="宋体" w:cs="宋体"/>
          <w:bCs/>
          <w:color w:val="000000" w:themeColor="text1"/>
          <w:sz w:val="22"/>
          <w:szCs w:val="22"/>
          <w:highlight w:val="none"/>
          <w14:textFill>
            <w14:solidFill>
              <w14:schemeClr w14:val="tx1"/>
            </w14:solidFill>
          </w14:textFill>
        </w:rPr>
        <w:t>综合基地面积：占地约2.6万平方米；</w:t>
      </w:r>
    </w:p>
    <w:p>
      <w:pPr>
        <w:keepNext w:val="0"/>
        <w:keepLines w:val="0"/>
        <w:pageBreakBefore w:val="0"/>
        <w:kinsoku/>
        <w:wordWrap/>
        <w:overflowPunct/>
        <w:topLinePunct w:val="0"/>
        <w:autoSpaceDE/>
        <w:autoSpaceDN/>
        <w:bidi w:val="0"/>
        <w:adjustRightInd w:val="0"/>
        <w:snapToGrid w:val="0"/>
        <w:spacing w:beforeAutospacing="0" w:afterAutospacing="0" w:line="480" w:lineRule="exact"/>
        <w:ind w:left="655" w:leftChars="312" w:firstLine="110" w:firstLineChars="50"/>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1.</w:t>
      </w:r>
      <w:r>
        <w:rPr>
          <w:rFonts w:hint="eastAsia" w:ascii="宋体" w:hAnsi="宋体" w:eastAsia="宋体" w:cs="宋体"/>
          <w:bCs/>
          <w:color w:val="000000" w:themeColor="text1"/>
          <w:sz w:val="22"/>
          <w:szCs w:val="22"/>
          <w:highlight w:val="none"/>
          <w:lang w:val="en-US" w:eastAsia="zh-CN"/>
          <w14:textFill>
            <w14:solidFill>
              <w14:schemeClr w14:val="tx1"/>
            </w14:solidFill>
          </w14:textFill>
        </w:rPr>
        <w:t>4</w:t>
      </w:r>
      <w:r>
        <w:rPr>
          <w:rFonts w:hint="eastAsia" w:ascii="宋体" w:hAnsi="宋体" w:eastAsia="宋体" w:cs="宋体"/>
          <w:bCs/>
          <w:color w:val="000000" w:themeColor="text1"/>
          <w:sz w:val="22"/>
          <w:szCs w:val="22"/>
          <w:highlight w:val="none"/>
          <w14:textFill>
            <w14:solidFill>
              <w14:schemeClr w14:val="tx1"/>
            </w14:solidFill>
          </w14:textFill>
        </w:rPr>
        <w:t xml:space="preserve"> 建筑面积：总建筑面积约2.8万平方米，展区面积1.5万平米；</w:t>
      </w:r>
    </w:p>
    <w:p>
      <w:pPr>
        <w:keepNext w:val="0"/>
        <w:keepLines w:val="0"/>
        <w:pageBreakBefore w:val="0"/>
        <w:kinsoku/>
        <w:wordWrap/>
        <w:overflowPunct/>
        <w:topLinePunct w:val="0"/>
        <w:autoSpaceDE/>
        <w:autoSpaceDN/>
        <w:bidi w:val="0"/>
        <w:adjustRightInd w:val="0"/>
        <w:snapToGrid w:val="0"/>
        <w:spacing w:beforeAutospacing="0" w:afterAutospacing="0" w:line="480" w:lineRule="exact"/>
        <w:ind w:left="655" w:leftChars="312" w:firstLine="110" w:firstLineChars="50"/>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1.</w:t>
      </w:r>
      <w:r>
        <w:rPr>
          <w:rFonts w:hint="eastAsia" w:ascii="宋体" w:hAnsi="宋体" w:eastAsia="宋体" w:cs="宋体"/>
          <w:bCs/>
          <w:color w:val="000000" w:themeColor="text1"/>
          <w:sz w:val="22"/>
          <w:szCs w:val="22"/>
          <w:highlight w:val="none"/>
          <w:lang w:val="en-US" w:eastAsia="zh-CN"/>
          <w14:textFill>
            <w14:solidFill>
              <w14:schemeClr w14:val="tx1"/>
            </w14:solidFill>
          </w14:textFill>
        </w:rPr>
        <w:t>5</w:t>
      </w:r>
      <w:r>
        <w:rPr>
          <w:rFonts w:hint="eastAsia" w:ascii="宋体" w:hAnsi="宋体" w:eastAsia="宋体" w:cs="宋体"/>
          <w:bCs/>
          <w:color w:val="000000" w:themeColor="text1"/>
          <w:sz w:val="22"/>
          <w:szCs w:val="22"/>
          <w:highlight w:val="none"/>
          <w14:textFill>
            <w14:solidFill>
              <w14:schemeClr w14:val="tx1"/>
            </w14:solidFill>
          </w14:textFill>
        </w:rPr>
        <w:t xml:space="preserve">  科技馆展区开馆时间为每周三到周日9：00至16：30，周一、周二闭馆，节假日等特殊情况则根据馆内另行安排；行政办公时间为周一至周五；</w:t>
      </w:r>
    </w:p>
    <w:p>
      <w:pPr>
        <w:keepNext w:val="0"/>
        <w:keepLines w:val="0"/>
        <w:pageBreakBefore w:val="0"/>
        <w:kinsoku/>
        <w:wordWrap/>
        <w:overflowPunct/>
        <w:topLinePunct w:val="0"/>
        <w:autoSpaceDE/>
        <w:autoSpaceDN/>
        <w:bidi w:val="0"/>
        <w:adjustRightInd w:val="0"/>
        <w:snapToGrid w:val="0"/>
        <w:spacing w:beforeAutospacing="0" w:afterAutospacing="0" w:line="480" w:lineRule="exact"/>
        <w:ind w:left="655" w:leftChars="312" w:firstLine="110" w:firstLineChars="50"/>
        <w:textAlignment w:val="auto"/>
        <w:rPr>
          <w:rFonts w:hint="eastAsia" w:ascii="宋体" w:hAnsi="宋体" w:eastAsia="宋体" w:cs="宋体"/>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 xml:space="preserve">1.6 </w:t>
      </w:r>
      <w:r>
        <w:rPr>
          <w:rFonts w:hint="eastAsia" w:ascii="宋体" w:hAnsi="宋体" w:eastAsia="宋体" w:cs="宋体"/>
          <w:bCs/>
          <w:color w:val="000000" w:themeColor="text1"/>
          <w:sz w:val="22"/>
          <w:szCs w:val="22"/>
          <w:highlight w:val="none"/>
          <w14:textFill>
            <w14:solidFill>
              <w14:schemeClr w14:val="tx1"/>
            </w14:solidFill>
          </w14:textFill>
        </w:rPr>
        <w:t>物业特点：温州科技馆设备设施种类多，智能化程度高，专业性强，除供配电、给排水、空调、电梯、消防、智能化等系统通用设施外，还具有舞台、灯光、音响等专用系统设备，涉及到现代控制技术、计算机技术等现代高新技术。温州科技馆常年处在开放状态，参观人群以未成年人为主，参观人流量较大，特别是在重大节假日、寒暑假、春秋游期及临时展览展出时，会出现参观人流、车流双高峰。而科技馆是市公安局内部保卫重点单位、市级消防重点单位，消防管理、安全保卫工作是重中之重。</w:t>
      </w:r>
      <w:r>
        <w:rPr>
          <w:rFonts w:hint="eastAsia" w:ascii="宋体" w:hAnsi="宋体" w:eastAsia="宋体" w:cs="宋体"/>
          <w:bCs/>
          <w:color w:val="000000" w:themeColor="text1"/>
          <w:sz w:val="22"/>
          <w:szCs w:val="22"/>
          <w:highlight w:val="non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beforeAutospacing="0" w:afterAutospacing="0" w:line="480" w:lineRule="exact"/>
        <w:textAlignment w:val="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2.   服务范围及内容</w:t>
      </w:r>
    </w:p>
    <w:p>
      <w:pPr>
        <w:keepNext w:val="0"/>
        <w:keepLines w:val="0"/>
        <w:pageBreakBefore w:val="0"/>
        <w:kinsoku/>
        <w:wordWrap/>
        <w:overflowPunct/>
        <w:topLinePunct w:val="0"/>
        <w:autoSpaceDE/>
        <w:autoSpaceDN/>
        <w:bidi w:val="0"/>
        <w:adjustRightInd w:val="0"/>
        <w:snapToGrid w:val="0"/>
        <w:spacing w:beforeAutospacing="0" w:afterAutospacing="0" w:line="480" w:lineRule="exact"/>
        <w:ind w:left="525" w:leftChars="250"/>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温州科技馆范围内（包含附属办公楼中科技馆权属范围物业、公用设施分摊及科技馆权属馆外设备设施）物业管理服务，包括安保（含消控）服务、</w:t>
      </w:r>
      <w:r>
        <w:rPr>
          <w:rFonts w:hint="eastAsia" w:ascii="宋体" w:hAnsi="宋体" w:eastAsia="宋体" w:cs="宋体"/>
          <w:bCs/>
          <w:color w:val="000000" w:themeColor="text1"/>
          <w:sz w:val="22"/>
          <w:szCs w:val="22"/>
          <w:highlight w:val="none"/>
          <w:lang w:eastAsia="zh-CN"/>
          <w14:textFill>
            <w14:solidFill>
              <w14:schemeClr w14:val="tx1"/>
            </w14:solidFill>
          </w14:textFill>
        </w:rPr>
        <w:t>工程技术</w:t>
      </w:r>
      <w:r>
        <w:rPr>
          <w:rFonts w:hint="eastAsia" w:ascii="宋体" w:hAnsi="宋体" w:eastAsia="宋体" w:cs="宋体"/>
          <w:bCs/>
          <w:color w:val="000000" w:themeColor="text1"/>
          <w:sz w:val="22"/>
          <w:szCs w:val="22"/>
          <w:highlight w:val="none"/>
          <w14:textFill>
            <w14:solidFill>
              <w14:schemeClr w14:val="tx1"/>
            </w14:solidFill>
          </w14:textFill>
        </w:rPr>
        <w:t>服务、保洁服务</w:t>
      </w:r>
      <w:r>
        <w:rPr>
          <w:rFonts w:hint="eastAsia" w:ascii="宋体" w:hAnsi="宋体" w:eastAsia="宋体" w:cs="宋体"/>
          <w:bCs/>
          <w:color w:val="000000" w:themeColor="text1"/>
          <w:sz w:val="22"/>
          <w:szCs w:val="22"/>
          <w:highlight w:val="none"/>
          <w:lang w:eastAsia="zh-CN"/>
          <w14:textFill>
            <w14:solidFill>
              <w14:schemeClr w14:val="tx1"/>
            </w14:solidFill>
          </w14:textFill>
        </w:rPr>
        <w:t>、绿化及设备维保和其他服务</w:t>
      </w:r>
      <w:r>
        <w:rPr>
          <w:rFonts w:hint="eastAsia" w:ascii="宋体" w:hAnsi="宋体" w:eastAsia="宋体" w:cs="宋体"/>
          <w:bCs/>
          <w:color w:val="000000" w:themeColor="text1"/>
          <w:sz w:val="22"/>
          <w:szCs w:val="2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beforeAutospacing="0" w:afterAutospacing="0" w:line="480" w:lineRule="exact"/>
        <w:textAlignment w:val="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3.   服务目标</w:t>
      </w:r>
    </w:p>
    <w:p>
      <w:pPr>
        <w:keepNext w:val="0"/>
        <w:keepLines w:val="0"/>
        <w:pageBreakBefore w:val="0"/>
        <w:kinsoku/>
        <w:wordWrap/>
        <w:overflowPunct/>
        <w:topLinePunct w:val="0"/>
        <w:autoSpaceDE/>
        <w:autoSpaceDN/>
        <w:bidi w:val="0"/>
        <w:adjustRightInd w:val="0"/>
        <w:snapToGrid w:val="0"/>
        <w:spacing w:beforeAutospacing="0" w:afterAutospacing="0" w:line="48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围绕“精细管理、用心服务、常做常新”的品牌理念，为科技馆营造文明、优美、和谐、温馨、高效、安全的参观环境，让游客享受前所未有的星级酒店式科技馆游览体验。</w:t>
      </w:r>
      <w:r>
        <w:rPr>
          <w:rFonts w:hint="eastAsia" w:ascii="宋体" w:hAnsi="宋体" w:eastAsia="宋体" w:cs="宋体"/>
          <w:color w:val="000000" w:themeColor="text1"/>
          <w:highlight w:val="none"/>
          <w14:textFill>
            <w14:solidFill>
              <w14:schemeClr w14:val="tx1"/>
            </w14:solidFill>
          </w14:textFill>
        </w:rPr>
        <w:t> </w:t>
      </w:r>
    </w:p>
    <w:p>
      <w:pPr>
        <w:keepNext w:val="0"/>
        <w:keepLines w:val="0"/>
        <w:pageBreakBefore w:val="0"/>
        <w:numPr>
          <w:ilvl w:val="0"/>
          <w:numId w:val="3"/>
        </w:numPr>
        <w:kinsoku/>
        <w:wordWrap/>
        <w:overflowPunct/>
        <w:topLinePunct w:val="0"/>
        <w:autoSpaceDE/>
        <w:autoSpaceDN/>
        <w:bidi w:val="0"/>
        <w:adjustRightInd w:val="0"/>
        <w:snapToGrid w:val="0"/>
        <w:spacing w:beforeAutospacing="0" w:afterAutospacing="0" w:line="480" w:lineRule="exact"/>
        <w:textAlignment w:val="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 xml:space="preserve">  服务</w:t>
      </w: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期:2025年8月27日-2026年8月26日</w:t>
      </w:r>
    </w:p>
    <w:p>
      <w:pPr>
        <w:keepNext w:val="0"/>
        <w:keepLines w:val="0"/>
        <w:pageBreakBefore w:val="0"/>
        <w:numPr>
          <w:ilvl w:val="0"/>
          <w:numId w:val="3"/>
        </w:numPr>
        <w:kinsoku/>
        <w:wordWrap/>
        <w:overflowPunct/>
        <w:topLinePunct w:val="0"/>
        <w:autoSpaceDE/>
        <w:autoSpaceDN/>
        <w:bidi w:val="0"/>
        <w:adjustRightInd w:val="0"/>
        <w:snapToGrid w:val="0"/>
        <w:spacing w:beforeAutospacing="0" w:afterAutospacing="0" w:line="48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lang w:val="en-US" w:eastAsia="zh-CN"/>
          <w14:textFill>
            <w14:solidFill>
              <w14:schemeClr w14:val="tx1"/>
            </w14:solidFill>
          </w14:textFill>
        </w:rPr>
        <w:t>本项目规模较小，采购需求并不复杂‌，可以由单个有能力的承包商独立完成‌，为了优化承包商实施项目管理成本，及方便本单位履约监督管理，本项目不接受联合体投标。允许将非主体、非关键性的</w:t>
      </w:r>
      <w:r>
        <w:rPr>
          <w:rFonts w:hint="eastAsia" w:ascii="宋体" w:hAnsi="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设备</w:t>
      </w:r>
      <w:r>
        <w:rPr>
          <w:rFonts w:hint="eastAsia" w:ascii="宋体" w:hAnsi="宋体" w:cs="宋体"/>
          <w:color w:val="000000" w:themeColor="text1"/>
          <w:sz w:val="22"/>
          <w:szCs w:val="22"/>
          <w:highlight w:val="none"/>
          <w:u w:val="single"/>
          <w:lang w:val="en-US" w:eastAsia="zh-CN"/>
          <w14:textFill>
            <w14:solidFill>
              <w14:schemeClr w14:val="tx1"/>
            </w14:solidFill>
          </w14:textFill>
        </w:rPr>
        <w:t>专业</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维保、消杀、幕墙清洁、垃圾清运、绿化租摆</w:t>
      </w:r>
      <w:r>
        <w:rPr>
          <w:rFonts w:hint="eastAsia" w:ascii="宋体" w:hAnsi="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lang w:val="en-US" w:eastAsia="zh-CN"/>
          <w14:textFill>
            <w14:solidFill>
              <w14:schemeClr w14:val="tx1"/>
            </w14:solidFill>
          </w14:textFill>
        </w:rPr>
        <w:t>等工作分包。</w:t>
      </w:r>
    </w:p>
    <w:p>
      <w:pPr>
        <w:pStyle w:val="3"/>
        <w:spacing w:line="680" w:lineRule="exact"/>
        <w:ind w:firstLine="2530" w:firstLineChars="90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二</w:t>
      </w:r>
      <w:r>
        <w:rPr>
          <w:rFonts w:hint="eastAsia" w:ascii="宋体" w:hAnsi="宋体" w:eastAsia="宋体" w:cs="宋体"/>
          <w:color w:val="000000" w:themeColor="text1"/>
          <w:sz w:val="28"/>
          <w:szCs w:val="28"/>
          <w:highlight w:val="none"/>
          <w14:textFill>
            <w14:solidFill>
              <w14:schemeClr w14:val="tx1"/>
            </w14:solidFill>
          </w14:textFill>
        </w:rPr>
        <w:t>、服务范围、内容、要求</w:t>
      </w:r>
      <w:r>
        <w:rPr>
          <w:rFonts w:hint="eastAsia" w:ascii="宋体" w:hAnsi="宋体" w:eastAsia="宋体" w:cs="宋体"/>
          <w:color w:val="000000" w:themeColor="text1"/>
          <w:highlight w:val="none"/>
          <w14:textFill>
            <w14:solidFill>
              <w14:schemeClr w14:val="tx1"/>
            </w14:solidFill>
          </w14:textFill>
        </w:rPr>
        <w:t> </w:t>
      </w:r>
    </w:p>
    <w:p>
      <w:pPr>
        <w:adjustRightInd w:val="0"/>
        <w:snapToGrid w:val="0"/>
        <w:spacing w:line="440" w:lineRule="exact"/>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1.   安保服务</w:t>
      </w:r>
    </w:p>
    <w:p>
      <w:pPr>
        <w:spacing w:after="120" w:afterLines="50" w:line="440" w:lineRule="exact"/>
        <w:ind w:left="550" w:hanging="550" w:hangingChars="2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1.1  主要内容：科技馆秩序维护、场馆安全防范、安全监控、治安巡逻、消防安全、门岗执勤、停车库（场）管理、应急处置、其他配合任务（公益性活动、自办临展，科技馆接待任务中的礼仪、安保及其他配合工作）等。超过合同约定范围外的服务，根据实际情况由双方另行协商确定。</w:t>
      </w:r>
    </w:p>
    <w:p>
      <w:pPr>
        <w:spacing w:after="120" w:afterLines="50" w:line="440" w:lineRule="exact"/>
        <w:ind w:left="550" w:hanging="550" w:hangingChars="2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1.2  服务要求：根据科技馆开闭馆时间进行班次安排，对温州科技馆整个区域内提供全天候24小时的保安服务。设立固定保安岗位和流动巡逻岗，确保人身财产安全。安防与消防监控系统要保证24小时值班监控。对违法违纪行为要及时处理。具体保安流动及固定岗位设定，巡更点及路线，全天巡更次数等保安实施细则必须满足采购人要求。如因采购人的特殊安保需求，要增加保安人手，中标人必须无条件配合，不得以任何借口推脱，双方以实际出勤情况定期结算，价格双方另行协商确定。</w:t>
      </w:r>
    </w:p>
    <w:p>
      <w:pPr>
        <w:spacing w:after="120" w:afterLines="50" w:line="440" w:lineRule="exact"/>
        <w:ind w:left="550" w:hanging="550" w:hangingChars="2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1.3  节假日、临时展览活动开馆要求：根据科技馆工作要求，配合人员安排。</w:t>
      </w:r>
    </w:p>
    <w:p>
      <w:pPr>
        <w:spacing w:after="120" w:afterLines="50" w:line="440" w:lineRule="exact"/>
        <w:ind w:left="550" w:hanging="550" w:hangingChars="2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1.4  岗位职责具体要求</w:t>
      </w:r>
    </w:p>
    <w:p>
      <w:pPr>
        <w:spacing w:after="120" w:afterLines="50" w:line="440" w:lineRule="exact"/>
        <w:ind w:left="550" w:hanging="550" w:hangingChars="2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r>
        <w:rPr>
          <w:rFonts w:hint="eastAsia" w:ascii="宋体" w:hAnsi="宋体" w:cs="宋体"/>
          <w:color w:val="000000" w:themeColor="text1"/>
          <w:sz w:val="22"/>
          <w:szCs w:val="22"/>
          <w:highlight w:val="none"/>
          <w:lang w:eastAsia="zh-CN"/>
          <w14:textFill>
            <w14:solidFill>
              <w14:schemeClr w14:val="tx1"/>
            </w14:solidFill>
          </w14:textFill>
        </w:rPr>
        <w:t>安防主管</w:t>
      </w:r>
      <w:r>
        <w:rPr>
          <w:rFonts w:hint="eastAsia" w:ascii="宋体" w:hAnsi="宋体" w:eastAsia="宋体" w:cs="宋体"/>
          <w:color w:val="000000" w:themeColor="text1"/>
          <w:sz w:val="22"/>
          <w:szCs w:val="22"/>
          <w:highlight w:val="none"/>
          <w14:textFill>
            <w14:solidFill>
              <w14:schemeClr w14:val="tx1"/>
            </w14:solidFill>
          </w14:textFill>
        </w:rPr>
        <w:t>：全面负责温州科技馆的日常治安安全、消防安全管理、安保队伍管理等工作，配合</w:t>
      </w:r>
      <w:r>
        <w:rPr>
          <w:rFonts w:hint="eastAsia" w:ascii="宋体" w:hAnsi="宋体" w:eastAsia="宋体" w:cs="宋体"/>
          <w:color w:val="000000" w:themeColor="text1"/>
          <w:sz w:val="22"/>
          <w:szCs w:val="22"/>
          <w:highlight w:val="none"/>
          <w:lang w:eastAsia="zh-CN"/>
          <w14:textFill>
            <w14:solidFill>
              <w14:schemeClr w14:val="tx1"/>
            </w14:solidFill>
          </w14:textFill>
        </w:rPr>
        <w:t>消防应急救援支队要求的有关巡查、资料报备等相关要求</w:t>
      </w:r>
      <w:r>
        <w:rPr>
          <w:rFonts w:hint="eastAsia" w:ascii="宋体" w:hAnsi="宋体" w:eastAsia="宋体" w:cs="宋体"/>
          <w:color w:val="000000" w:themeColor="text1"/>
          <w:sz w:val="22"/>
          <w:szCs w:val="22"/>
          <w:highlight w:val="none"/>
          <w14:textFill>
            <w14:solidFill>
              <w14:schemeClr w14:val="tx1"/>
            </w14:solidFill>
          </w14:textFill>
        </w:rPr>
        <w:t>，根据科技馆日常经营需要做好人员调配及其他工作。</w:t>
      </w:r>
    </w:p>
    <w:p>
      <w:pPr>
        <w:spacing w:after="120" w:afterLines="50" w:line="440" w:lineRule="exact"/>
        <w:ind w:left="550" w:hanging="550" w:hangingChars="2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（2）质检员：协助</w:t>
      </w:r>
      <w:r>
        <w:rPr>
          <w:rFonts w:hint="eastAsia" w:ascii="宋体" w:hAnsi="宋体" w:cs="宋体"/>
          <w:color w:val="000000" w:themeColor="text1"/>
          <w:sz w:val="22"/>
          <w:szCs w:val="22"/>
          <w:highlight w:val="none"/>
          <w:lang w:eastAsia="zh-CN"/>
          <w14:textFill>
            <w14:solidFill>
              <w14:schemeClr w14:val="tx1"/>
            </w14:solidFill>
          </w14:textFill>
        </w:rPr>
        <w:t>安防主管</w:t>
      </w:r>
      <w:r>
        <w:rPr>
          <w:rFonts w:hint="eastAsia" w:ascii="宋体" w:hAnsi="宋体" w:eastAsia="宋体" w:cs="宋体"/>
          <w:color w:val="000000" w:themeColor="text1"/>
          <w:sz w:val="22"/>
          <w:szCs w:val="22"/>
          <w:highlight w:val="none"/>
          <w14:textFill>
            <w14:solidFill>
              <w14:schemeClr w14:val="tx1"/>
            </w14:solidFill>
          </w14:textFill>
        </w:rPr>
        <w:t>做好安保服务工作，</w:t>
      </w:r>
      <w:r>
        <w:rPr>
          <w:rFonts w:hint="eastAsia" w:ascii="宋体" w:hAnsi="宋体" w:cs="宋体"/>
          <w:color w:val="000000" w:themeColor="text1"/>
          <w:sz w:val="22"/>
          <w:szCs w:val="22"/>
          <w:highlight w:val="none"/>
          <w:lang w:eastAsia="zh-CN"/>
          <w14:textFill>
            <w14:solidFill>
              <w14:schemeClr w14:val="tx1"/>
            </w14:solidFill>
          </w14:textFill>
        </w:rPr>
        <w:t>安防主管</w:t>
      </w:r>
      <w:r>
        <w:rPr>
          <w:rFonts w:hint="eastAsia" w:ascii="宋体" w:hAnsi="宋体" w:eastAsia="宋体" w:cs="宋体"/>
          <w:color w:val="000000" w:themeColor="text1"/>
          <w:sz w:val="22"/>
          <w:szCs w:val="22"/>
          <w:highlight w:val="none"/>
          <w14:textFill>
            <w14:solidFill>
              <w14:schemeClr w14:val="tx1"/>
            </w14:solidFill>
          </w14:textFill>
        </w:rPr>
        <w:t>不在岗时负责处理队内事务。</w:t>
      </w:r>
    </w:p>
    <w:p>
      <w:pPr>
        <w:spacing w:after="120" w:afterLines="50" w:line="440" w:lineRule="exact"/>
        <w:ind w:left="550" w:hanging="550" w:hangingChars="2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（3）消控室岗位要求：负责消控室、安全监控中心24小时在岗值班，应急处置，必须具有相关消防上岗合格证。</w:t>
      </w:r>
    </w:p>
    <w:p>
      <w:pPr>
        <w:spacing w:after="120" w:afterLines="50" w:line="440" w:lineRule="exact"/>
        <w:ind w:left="550" w:hanging="550" w:hangingChars="2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（4）南门岗岗位要求：要求</w:t>
      </w:r>
      <w:r>
        <w:rPr>
          <w:rFonts w:hint="eastAsia" w:ascii="宋体" w:hAnsi="宋体" w:eastAsia="宋体" w:cs="宋体"/>
          <w:color w:val="000000" w:themeColor="text1"/>
          <w:sz w:val="22"/>
          <w:szCs w:val="22"/>
          <w:highlight w:val="none"/>
          <w:lang w:eastAsia="zh-CN"/>
          <w14:textFill>
            <w14:solidFill>
              <w14:schemeClr w14:val="tx1"/>
            </w14:solidFill>
          </w14:textFill>
        </w:rPr>
        <w:t>每</w:t>
      </w:r>
      <w:r>
        <w:rPr>
          <w:rFonts w:hint="eastAsia" w:ascii="宋体" w:hAnsi="宋体" w:eastAsia="宋体" w:cs="宋体"/>
          <w:color w:val="000000" w:themeColor="text1"/>
          <w:sz w:val="22"/>
          <w:szCs w:val="22"/>
          <w:highlight w:val="none"/>
          <w14:textFill>
            <w14:solidFill>
              <w14:schemeClr w14:val="tx1"/>
            </w14:solidFill>
          </w14:textFill>
        </w:rPr>
        <w:t>天24小时</w:t>
      </w:r>
      <w:r>
        <w:rPr>
          <w:rFonts w:hint="eastAsia" w:ascii="宋体" w:hAnsi="宋体" w:cs="宋体"/>
          <w:color w:val="000000" w:themeColor="text1"/>
          <w:sz w:val="22"/>
          <w:szCs w:val="22"/>
          <w:highlight w:val="none"/>
          <w:lang w:eastAsia="zh-CN"/>
          <w14:textFill>
            <w14:solidFill>
              <w14:schemeClr w14:val="tx1"/>
            </w14:solidFill>
          </w14:textFill>
        </w:rPr>
        <w:t>有</w:t>
      </w:r>
      <w:r>
        <w:rPr>
          <w:rFonts w:hint="eastAsia" w:ascii="宋体" w:hAnsi="宋体" w:eastAsia="宋体" w:cs="宋体"/>
          <w:color w:val="000000" w:themeColor="text1"/>
          <w:sz w:val="22"/>
          <w:szCs w:val="22"/>
          <w:highlight w:val="none"/>
          <w14:textFill>
            <w14:solidFill>
              <w14:schemeClr w14:val="tx1"/>
            </w14:solidFill>
          </w14:textFill>
        </w:rPr>
        <w:t>人员在岗，秩序维护，注意自身仪表、仪容形象、精神饱满，注意可疑人物所携带物品，仔细询问，发现情况及时处置，并做好交接班。并及时正确无误地收发各种报刊杂志、函件，认真做好人员、车辆出入登记、来访联系处理等工作。</w:t>
      </w:r>
    </w:p>
    <w:p>
      <w:pPr>
        <w:spacing w:after="120" w:afterLines="50" w:line="440" w:lineRule="exact"/>
        <w:ind w:left="550" w:hanging="550" w:hangingChars="25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5</w:t>
      </w: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lang w:eastAsia="zh-CN"/>
          <w14:textFill>
            <w14:solidFill>
              <w14:schemeClr w14:val="tx1"/>
            </w14:solidFill>
          </w14:textFill>
        </w:rPr>
        <w:t>北</w:t>
      </w:r>
      <w:r>
        <w:rPr>
          <w:rFonts w:hint="eastAsia" w:ascii="宋体" w:hAnsi="宋体" w:eastAsia="宋体" w:cs="宋体"/>
          <w:color w:val="000000" w:themeColor="text1"/>
          <w:sz w:val="22"/>
          <w:szCs w:val="22"/>
          <w:highlight w:val="none"/>
          <w14:textFill>
            <w14:solidFill>
              <w14:schemeClr w14:val="tx1"/>
            </w14:solidFill>
          </w14:textFill>
        </w:rPr>
        <w:t>门岗岗位要求</w:t>
      </w:r>
      <w:r>
        <w:rPr>
          <w:rFonts w:hint="eastAsia" w:ascii="宋体" w:hAnsi="宋体" w:eastAsia="宋体" w:cs="宋体"/>
          <w:color w:val="000000" w:themeColor="text1"/>
          <w:sz w:val="22"/>
          <w:szCs w:val="22"/>
          <w:highlight w:val="none"/>
          <w:lang w:eastAsia="zh-CN"/>
          <w14:textFill>
            <w14:solidFill>
              <w14:schemeClr w14:val="tx1"/>
            </w14:solidFill>
          </w14:textFill>
        </w:rPr>
        <w:t>：体貌端正，善于与人交流，能及时解决突发事件。</w:t>
      </w:r>
    </w:p>
    <w:p>
      <w:pPr>
        <w:spacing w:after="120" w:afterLines="50" w:line="440" w:lineRule="exac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6</w:t>
      </w:r>
      <w:r>
        <w:rPr>
          <w:rFonts w:hint="eastAsia" w:ascii="宋体" w:hAnsi="宋体" w:eastAsia="宋体" w:cs="宋体"/>
          <w:color w:val="000000" w:themeColor="text1"/>
          <w:sz w:val="22"/>
          <w:szCs w:val="22"/>
          <w:highlight w:val="none"/>
          <w:lang w:eastAsia="zh-CN"/>
          <w14:textFill>
            <w14:solidFill>
              <w14:schemeClr w14:val="tx1"/>
            </w14:solidFill>
          </w14:textFill>
        </w:rPr>
        <w:t>）车库岗</w:t>
      </w:r>
      <w:r>
        <w:rPr>
          <w:rFonts w:hint="eastAsia" w:ascii="宋体" w:hAnsi="宋体" w:eastAsia="宋体" w:cs="宋体"/>
          <w:b w:val="0"/>
          <w:bCs w:val="0"/>
          <w:color w:val="000000" w:themeColor="text1"/>
          <w:kern w:val="2"/>
          <w:sz w:val="22"/>
          <w:szCs w:val="22"/>
          <w:highlight w:val="none"/>
          <w:lang w:eastAsia="zh-CN"/>
          <w14:textFill>
            <w14:solidFill>
              <w14:schemeClr w14:val="tx1"/>
            </w14:solidFill>
          </w14:textFill>
        </w:rPr>
        <w:t>岗位</w:t>
      </w:r>
      <w:r>
        <w:rPr>
          <w:rFonts w:hint="eastAsia" w:ascii="宋体" w:hAnsi="宋体" w:eastAsia="宋体" w:cs="宋体"/>
          <w:color w:val="000000" w:themeColor="text1"/>
          <w:sz w:val="22"/>
          <w:szCs w:val="22"/>
          <w:highlight w:val="none"/>
          <w:lang w:eastAsia="zh-CN"/>
          <w14:textFill>
            <w14:solidFill>
              <w14:schemeClr w14:val="tx1"/>
            </w14:solidFill>
          </w14:textFill>
        </w:rPr>
        <w:t>要求：要求责任心强，语言沟通能力强、善于处理突发矛盾</w:t>
      </w:r>
      <w:r>
        <w:rPr>
          <w:rFonts w:hint="eastAsia" w:ascii="宋体" w:hAnsi="宋体" w:eastAsia="宋体" w:cs="宋体"/>
          <w:color w:val="000000" w:themeColor="text1"/>
          <w:sz w:val="22"/>
          <w:szCs w:val="22"/>
          <w:highlight w:val="none"/>
          <w:lang w:val="en-US" w:eastAsia="zh-CN"/>
          <w14:textFill>
            <w14:solidFill>
              <w14:schemeClr w14:val="tx1"/>
            </w14:solidFill>
          </w14:textFill>
        </w:rPr>
        <w:t>。</w:t>
      </w:r>
    </w:p>
    <w:p>
      <w:pPr>
        <w:spacing w:after="120" w:afterLines="50" w:line="440" w:lineRule="exact"/>
        <w:ind w:left="550" w:hanging="550" w:hangingChars="2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7</w:t>
      </w:r>
      <w:r>
        <w:rPr>
          <w:rFonts w:hint="eastAsia" w:ascii="宋体" w:hAnsi="宋体" w:eastAsia="宋体" w:cs="宋体"/>
          <w:color w:val="000000" w:themeColor="text1"/>
          <w:sz w:val="22"/>
          <w:szCs w:val="22"/>
          <w:highlight w:val="none"/>
          <w14:textFill>
            <w14:solidFill>
              <w14:schemeClr w14:val="tx1"/>
            </w14:solidFill>
          </w14:textFill>
        </w:rPr>
        <w:t>）其他定岗或巡岗要求：注意自身仪表、仪容形象、精神饱满，注意可疑人物所携带物品，仔细询问，发现情况及时处置，并做好交接班。前门门岗还负责检票、人员出入管控。定期巡逻，注意文明执勤，巡逻人员要维护巡逻线路区域正常运营秩序，注意及时发现和妥善处理可疑人员及可疑情况，并制止违反规定的行为；负责即时应急情况处置，发现反常或意外情况，除及时向领导报告外，要采取必要措施以防止火灾事故及破坏行为的发生；发现偷盗、闹事、示丑、斗殴、凶杀、放火、投毒、爆炸等犯罪分子，要坚决果断地采取措施，力争抓获犯罪分子，一切有现场的案件或事件要妥善保护好现场、迅速上报并积极协助调查；对重要部门、要害部位要勤查看，展馆、设备房、财务部门、档案库房、重要机房、配电房、车库等以及无人值班但有可能发生问题的地方应定期巡逻并做好巡逻记录；节假日、夜间巡逻时，增加巡逻次数，确保治安消防保卫工作不出问题；熟练掌握消防知识，严格执行相关消防管理规范，会熟练使用消防器材，对初起火灾能及时扑灭，正确处置，并组织人员疏散。</w:t>
      </w:r>
    </w:p>
    <w:p>
      <w:pPr>
        <w:adjustRightInd w:val="0"/>
        <w:snapToGrid w:val="0"/>
        <w:spacing w:line="440" w:lineRule="exact"/>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 xml:space="preserve">2.   </w:t>
      </w:r>
      <w:r>
        <w:rPr>
          <w:rFonts w:hint="eastAsia" w:ascii="宋体" w:hAnsi="宋体" w:eastAsia="宋体" w:cs="宋体"/>
          <w:b/>
          <w:bCs/>
          <w:color w:val="000000" w:themeColor="text1"/>
          <w:sz w:val="22"/>
          <w:szCs w:val="22"/>
          <w:highlight w:val="none"/>
          <w:lang w:eastAsia="zh-CN"/>
          <w14:textFill>
            <w14:solidFill>
              <w14:schemeClr w14:val="tx1"/>
            </w14:solidFill>
          </w14:textFill>
        </w:rPr>
        <w:t>设备运行维护</w:t>
      </w:r>
      <w:r>
        <w:rPr>
          <w:rFonts w:hint="eastAsia" w:ascii="宋体" w:hAnsi="宋体" w:eastAsia="宋体" w:cs="宋体"/>
          <w:b/>
          <w:bCs/>
          <w:color w:val="000000" w:themeColor="text1"/>
          <w:sz w:val="22"/>
          <w:szCs w:val="22"/>
          <w:highlight w:val="none"/>
          <w14:textFill>
            <w14:solidFill>
              <w14:schemeClr w14:val="tx1"/>
            </w14:solidFill>
          </w14:textFill>
        </w:rPr>
        <w:t>服务</w:t>
      </w:r>
    </w:p>
    <w:p>
      <w:pPr>
        <w:spacing w:after="120" w:afterLines="50" w:line="440" w:lineRule="exact"/>
        <w:ind w:left="550" w:hanging="550" w:hangingChars="2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2.1  主要内容：包括但不限于科技馆地下设备机房内所有设备（配电系统、</w:t>
      </w:r>
      <w:r>
        <w:rPr>
          <w:rFonts w:hint="eastAsia" w:ascii="宋体" w:hAnsi="宋体" w:eastAsia="宋体" w:cs="宋体"/>
          <w:color w:val="000000" w:themeColor="text1"/>
          <w:sz w:val="22"/>
          <w:szCs w:val="22"/>
          <w:highlight w:val="none"/>
          <w:lang w:eastAsia="zh-CN"/>
          <w14:textFill>
            <w14:solidFill>
              <w14:schemeClr w14:val="tx1"/>
            </w14:solidFill>
          </w14:textFill>
        </w:rPr>
        <w:t>发电机组、监控系统、</w:t>
      </w:r>
      <w:r>
        <w:rPr>
          <w:rFonts w:hint="eastAsia" w:ascii="宋体" w:hAnsi="宋体" w:eastAsia="宋体" w:cs="宋体"/>
          <w:color w:val="000000" w:themeColor="text1"/>
          <w:sz w:val="22"/>
          <w:szCs w:val="22"/>
          <w:highlight w:val="none"/>
          <w14:textFill>
            <w14:solidFill>
              <w14:schemeClr w14:val="tx1"/>
            </w14:solidFill>
          </w14:textFill>
        </w:rPr>
        <w:t>照明系统、电梯系统、冷暖通系统、给排水系统、消防系统、污水处理系统等）的正常运维、维修、保养、</w:t>
      </w:r>
      <w:r>
        <w:rPr>
          <w:rFonts w:hint="eastAsia" w:ascii="宋体" w:hAnsi="宋体" w:eastAsia="宋体" w:cs="宋体"/>
          <w:color w:val="000000" w:themeColor="text1"/>
          <w:sz w:val="22"/>
          <w:szCs w:val="22"/>
          <w:highlight w:val="none"/>
          <w:lang w:val="en-US" w:eastAsia="zh-CN"/>
          <w14:textFill>
            <w14:solidFill>
              <w14:schemeClr w14:val="tx1"/>
            </w14:solidFill>
          </w14:textFill>
        </w:rPr>
        <w:t>防雷装置检测及访客系统</w:t>
      </w:r>
      <w:r>
        <w:rPr>
          <w:rFonts w:hint="eastAsia" w:ascii="宋体" w:hAnsi="宋体" w:eastAsia="宋体" w:cs="宋体"/>
          <w:color w:val="000000" w:themeColor="text1"/>
          <w:sz w:val="22"/>
          <w:szCs w:val="22"/>
          <w:highlight w:val="none"/>
          <w14:textFill>
            <w14:solidFill>
              <w14:schemeClr w14:val="tx1"/>
            </w14:solidFill>
          </w14:textFill>
        </w:rPr>
        <w:t>等的正常运行维护服务等工作。包括但不限于科技馆场馆设施的日常维修工作及项目维修改造配合监督工作。</w:t>
      </w:r>
    </w:p>
    <w:p>
      <w:pPr>
        <w:spacing w:after="120" w:afterLines="50" w:line="440" w:lineRule="exact"/>
        <w:ind w:left="550" w:hanging="550" w:hangingChars="25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2.2  岗位要求：岗位</w:t>
      </w:r>
      <w:r>
        <w:rPr>
          <w:rFonts w:hint="eastAsia" w:ascii="宋体" w:hAnsi="宋体" w:eastAsia="宋体" w:cs="宋体"/>
          <w:color w:val="000000" w:themeColor="text1"/>
          <w:sz w:val="22"/>
          <w:szCs w:val="22"/>
          <w:highlight w:val="none"/>
          <w:lang w:eastAsia="zh-CN"/>
          <w14:textFill>
            <w14:solidFill>
              <w14:schemeClr w14:val="tx1"/>
            </w14:solidFill>
          </w14:textFill>
        </w:rPr>
        <w:t>每日</w:t>
      </w:r>
      <w:r>
        <w:rPr>
          <w:rFonts w:hint="eastAsia" w:ascii="宋体" w:hAnsi="宋体" w:eastAsia="宋体" w:cs="宋体"/>
          <w:color w:val="000000" w:themeColor="text1"/>
          <w:sz w:val="22"/>
          <w:szCs w:val="22"/>
          <w:highlight w:val="none"/>
          <w14:textFill>
            <w14:solidFill>
              <w14:schemeClr w14:val="tx1"/>
            </w14:solidFill>
          </w14:textFill>
        </w:rPr>
        <w:t>24小时</w:t>
      </w:r>
      <w:r>
        <w:rPr>
          <w:rFonts w:hint="eastAsia" w:ascii="宋体" w:hAnsi="宋体" w:eastAsia="宋体" w:cs="宋体"/>
          <w:color w:val="000000" w:themeColor="text1"/>
          <w:sz w:val="22"/>
          <w:szCs w:val="22"/>
          <w:highlight w:val="none"/>
          <w:lang w:eastAsia="zh-CN"/>
          <w14:textFill>
            <w14:solidFill>
              <w14:schemeClr w14:val="tx1"/>
            </w14:solidFill>
          </w14:textFill>
        </w:rPr>
        <w:t>需有</w:t>
      </w:r>
      <w:r>
        <w:rPr>
          <w:rFonts w:hint="eastAsia" w:ascii="宋体" w:hAnsi="宋体" w:eastAsia="宋体" w:cs="宋体"/>
          <w:color w:val="000000" w:themeColor="text1"/>
          <w:sz w:val="22"/>
          <w:szCs w:val="22"/>
          <w:highlight w:val="none"/>
          <w14:textFill>
            <w14:solidFill>
              <w14:schemeClr w14:val="tx1"/>
            </w14:solidFill>
          </w14:textFill>
        </w:rPr>
        <w:t>人员</w:t>
      </w:r>
      <w:r>
        <w:rPr>
          <w:rFonts w:hint="eastAsia" w:ascii="宋体" w:hAnsi="宋体" w:eastAsia="宋体" w:cs="宋体"/>
          <w:color w:val="000000" w:themeColor="text1"/>
          <w:sz w:val="22"/>
          <w:szCs w:val="22"/>
          <w:highlight w:val="none"/>
          <w:lang w:eastAsia="zh-CN"/>
          <w14:textFill>
            <w14:solidFill>
              <w14:schemeClr w14:val="tx1"/>
            </w14:solidFill>
          </w14:textFill>
        </w:rPr>
        <w:t>轮值</w:t>
      </w:r>
      <w:r>
        <w:rPr>
          <w:rFonts w:hint="eastAsia" w:ascii="宋体" w:hAnsi="宋体" w:eastAsia="宋体" w:cs="宋体"/>
          <w:color w:val="000000" w:themeColor="text1"/>
          <w:sz w:val="22"/>
          <w:szCs w:val="22"/>
          <w:highlight w:val="none"/>
          <w14:textFill>
            <w14:solidFill>
              <w14:schemeClr w14:val="tx1"/>
            </w14:solidFill>
          </w14:textFill>
        </w:rPr>
        <w:t>在岗</w:t>
      </w:r>
      <w:r>
        <w:rPr>
          <w:rFonts w:hint="eastAsia" w:ascii="宋体" w:hAnsi="宋体" w:eastAsia="宋体" w:cs="宋体"/>
          <w:color w:val="000000" w:themeColor="text1"/>
          <w:sz w:val="22"/>
          <w:szCs w:val="22"/>
          <w:highlight w:val="none"/>
          <w:lang w:eastAsia="zh-CN"/>
          <w14:textFill>
            <w14:solidFill>
              <w14:schemeClr w14:val="tx1"/>
            </w14:solidFill>
          </w14:textFill>
        </w:rPr>
        <w:t>。</w:t>
      </w:r>
    </w:p>
    <w:p>
      <w:pPr>
        <w:spacing w:after="120" w:afterLines="50" w:line="440" w:lineRule="exact"/>
        <w:ind w:left="550" w:hanging="550" w:hangingChars="2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2.3  具体要求</w:t>
      </w:r>
    </w:p>
    <w:p>
      <w:pPr>
        <w:spacing w:after="120" w:afterLines="50" w:line="440" w:lineRule="exact"/>
        <w:ind w:left="550" w:hanging="550" w:hangingChars="2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（1）制定各层次、各工种、管理、运维人员的岗位职责。制定各种管理制度，建立工程管理及运行相关台账。</w:t>
      </w:r>
    </w:p>
    <w:p>
      <w:pPr>
        <w:spacing w:after="120" w:afterLines="50" w:line="440" w:lineRule="exact"/>
        <w:ind w:left="550" w:hanging="550" w:hangingChars="2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（2）按照各专业各工种的工作规范、操作规程进行设备运行维护。</w:t>
      </w:r>
    </w:p>
    <w:p>
      <w:pPr>
        <w:spacing w:after="120" w:afterLines="50" w:line="440" w:lineRule="exact"/>
        <w:ind w:left="550" w:hanging="550" w:hangingChars="25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（3）提供各类设施设备管理、保养、检测和维修服务</w:t>
      </w:r>
      <w:r>
        <w:rPr>
          <w:rFonts w:hint="eastAsia" w:ascii="宋体" w:hAnsi="宋体" w:eastAsia="宋体" w:cs="宋体"/>
          <w:color w:val="000000" w:themeColor="text1"/>
          <w:sz w:val="22"/>
          <w:szCs w:val="22"/>
          <w:highlight w:val="none"/>
          <w:lang w:eastAsia="zh-CN"/>
          <w14:textFill>
            <w14:solidFill>
              <w14:schemeClr w14:val="tx1"/>
            </w14:solidFill>
          </w14:textFill>
        </w:rPr>
        <w:t>；做好第三方服务的监督检查工作；</w:t>
      </w:r>
      <w:r>
        <w:rPr>
          <w:rFonts w:hint="eastAsia" w:ascii="宋体" w:hAnsi="宋体" w:eastAsia="宋体" w:cs="宋体"/>
          <w:color w:val="000000" w:themeColor="text1"/>
          <w:sz w:val="22"/>
          <w:szCs w:val="22"/>
          <w:highlight w:val="none"/>
          <w14:textFill>
            <w14:solidFill>
              <w14:schemeClr w14:val="tx1"/>
            </w14:solidFill>
          </w14:textFill>
        </w:rPr>
        <w:t>协助配合更新、改造和工程项目建设</w:t>
      </w:r>
      <w:r>
        <w:rPr>
          <w:rFonts w:hint="eastAsia" w:ascii="宋体" w:hAnsi="宋体" w:eastAsia="宋体" w:cs="宋体"/>
          <w:color w:val="000000" w:themeColor="text1"/>
          <w:sz w:val="22"/>
          <w:szCs w:val="22"/>
          <w:highlight w:val="none"/>
          <w:lang w:eastAsia="zh-CN"/>
          <w14:textFill>
            <w14:solidFill>
              <w14:schemeClr w14:val="tx1"/>
            </w14:solidFill>
          </w14:textFill>
        </w:rPr>
        <w:t>；做好</w:t>
      </w:r>
      <w:r>
        <w:rPr>
          <w:rFonts w:hint="eastAsia" w:ascii="宋体" w:hAnsi="宋体" w:eastAsia="宋体" w:cs="宋体"/>
          <w:color w:val="000000" w:themeColor="text1"/>
          <w:sz w:val="22"/>
          <w:szCs w:val="22"/>
          <w:highlight w:val="none"/>
          <w14:textFill>
            <w14:solidFill>
              <w14:schemeClr w14:val="tx1"/>
            </w14:solidFill>
          </w14:textFill>
        </w:rPr>
        <w:t>对其他外来服务单位（如</w:t>
      </w:r>
      <w:r>
        <w:rPr>
          <w:rFonts w:hint="eastAsia" w:ascii="宋体" w:hAnsi="宋体" w:eastAsia="宋体" w:cs="宋体"/>
          <w:color w:val="000000" w:themeColor="text1"/>
          <w:sz w:val="22"/>
          <w:szCs w:val="22"/>
          <w:highlight w:val="none"/>
          <w:lang w:eastAsia="zh-CN"/>
          <w14:textFill>
            <w14:solidFill>
              <w14:schemeClr w14:val="tx1"/>
            </w14:solidFill>
          </w14:textFill>
        </w:rPr>
        <w:t>维保单位</w:t>
      </w:r>
      <w:r>
        <w:rPr>
          <w:rFonts w:hint="eastAsia" w:ascii="宋体" w:hAnsi="宋体" w:eastAsia="宋体" w:cs="宋体"/>
          <w:color w:val="000000" w:themeColor="text1"/>
          <w:sz w:val="22"/>
          <w:szCs w:val="22"/>
          <w:highlight w:val="none"/>
          <w14:textFill>
            <w14:solidFill>
              <w14:schemeClr w14:val="tx1"/>
            </w14:solidFill>
          </w14:textFill>
        </w:rPr>
        <w:t>或</w:t>
      </w:r>
      <w:r>
        <w:rPr>
          <w:rFonts w:hint="eastAsia" w:ascii="宋体" w:hAnsi="宋体" w:eastAsia="宋体" w:cs="宋体"/>
          <w:color w:val="000000" w:themeColor="text1"/>
          <w:sz w:val="22"/>
          <w:szCs w:val="22"/>
          <w:highlight w:val="none"/>
          <w:lang w:eastAsia="zh-CN"/>
          <w14:textFill>
            <w14:solidFill>
              <w14:schemeClr w14:val="tx1"/>
            </w14:solidFill>
          </w14:textFill>
        </w:rPr>
        <w:t>专业厂家</w:t>
      </w:r>
      <w:r>
        <w:rPr>
          <w:rFonts w:hint="eastAsia" w:ascii="宋体" w:hAnsi="宋体" w:eastAsia="宋体" w:cs="宋体"/>
          <w:color w:val="000000" w:themeColor="text1"/>
          <w:sz w:val="22"/>
          <w:szCs w:val="22"/>
          <w:highlight w:val="none"/>
          <w14:textFill>
            <w14:solidFill>
              <w14:schemeClr w14:val="tx1"/>
            </w14:solidFill>
          </w14:textFill>
        </w:rPr>
        <w:t>、施工单位等）监督、管理、</w:t>
      </w:r>
      <w:r>
        <w:rPr>
          <w:rFonts w:hint="eastAsia" w:ascii="宋体" w:hAnsi="宋体" w:eastAsia="宋体" w:cs="宋体"/>
          <w:color w:val="000000" w:themeColor="text1"/>
          <w:sz w:val="22"/>
          <w:szCs w:val="22"/>
          <w:highlight w:val="none"/>
          <w:lang w:eastAsia="zh-CN"/>
          <w14:textFill>
            <w14:solidFill>
              <w14:schemeClr w14:val="tx1"/>
            </w14:solidFill>
          </w14:textFill>
        </w:rPr>
        <w:t>沟通协调；场馆设施设备损坏及时报修，做好日常维护和小维修；</w:t>
      </w:r>
      <w:r>
        <w:rPr>
          <w:rFonts w:hint="eastAsia" w:ascii="宋体" w:hAnsi="宋体" w:eastAsia="宋体" w:cs="宋体"/>
          <w:color w:val="000000" w:themeColor="text1"/>
          <w:sz w:val="22"/>
          <w:szCs w:val="22"/>
          <w:highlight w:val="none"/>
          <w14:textFill>
            <w14:solidFill>
              <w14:schemeClr w14:val="tx1"/>
            </w14:solidFill>
          </w14:textFill>
        </w:rPr>
        <w:t>设备保养、检测和维修必须报甲方</w:t>
      </w:r>
      <w:r>
        <w:rPr>
          <w:rFonts w:hint="eastAsia" w:ascii="宋体" w:hAnsi="宋体" w:eastAsia="宋体" w:cs="宋体"/>
          <w:color w:val="000000" w:themeColor="text1"/>
          <w:sz w:val="22"/>
          <w:szCs w:val="22"/>
          <w:highlight w:val="none"/>
          <w:lang w:eastAsia="zh-CN"/>
          <w14:textFill>
            <w14:solidFill>
              <w14:schemeClr w14:val="tx1"/>
            </w14:solidFill>
          </w14:textFill>
        </w:rPr>
        <w:t>。</w:t>
      </w:r>
    </w:p>
    <w:p>
      <w:pPr>
        <w:spacing w:after="120" w:afterLines="50" w:line="440" w:lineRule="exact"/>
        <w:ind w:left="550" w:hanging="550" w:hangingChars="2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高低压配电房，每天至少巡查两次，每周清洁保养一次，每月维护保养一次。空调机房、水泵房、发电机房，每天至少巡查一次，每周清洁保养一次，每月维护保养一次。中控机房要随时保持清洁卫生，整洁有序，各种设备每周维护检查一次，每月维护保养一</w:t>
      </w:r>
      <w:r>
        <w:rPr>
          <w:rFonts w:hint="eastAsia" w:ascii="宋体" w:hAnsi="宋体" w:eastAsia="宋体" w:cs="宋体"/>
          <w:color w:val="000000" w:themeColor="text1"/>
          <w:sz w:val="22"/>
          <w:szCs w:val="22"/>
          <w:highlight w:val="none"/>
          <w:lang w:eastAsia="zh-CN"/>
          <w14:textFill>
            <w14:solidFill>
              <w14:schemeClr w14:val="tx1"/>
            </w14:solidFill>
          </w14:textFill>
        </w:rPr>
        <w:t>次</w:t>
      </w:r>
      <w:r>
        <w:rPr>
          <w:rFonts w:hint="eastAsia" w:ascii="宋体" w:hAnsi="宋体" w:eastAsia="宋体" w:cs="宋体"/>
          <w:color w:val="000000" w:themeColor="text1"/>
          <w:sz w:val="22"/>
          <w:szCs w:val="22"/>
          <w:highlight w:val="none"/>
          <w14:textFill>
            <w14:solidFill>
              <w14:schemeClr w14:val="tx1"/>
            </w14:solidFill>
          </w14:textFill>
        </w:rPr>
        <w:t>。</w:t>
      </w:r>
    </w:p>
    <w:p>
      <w:pPr>
        <w:spacing w:after="120" w:afterLines="50" w:line="440" w:lineRule="exact"/>
        <w:ind w:left="550" w:hanging="550" w:hangingChars="2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（5）根据科技馆开闭馆时间进行班次安排，对温州科技馆整个区域内提供全天候24小时的</w:t>
      </w:r>
      <w:r>
        <w:rPr>
          <w:rFonts w:hint="eastAsia" w:ascii="宋体" w:hAnsi="宋体" w:eastAsia="宋体" w:cs="宋体"/>
          <w:color w:val="000000" w:themeColor="text1"/>
          <w:sz w:val="22"/>
          <w:szCs w:val="22"/>
          <w:highlight w:val="none"/>
          <w:lang w:eastAsia="zh-CN"/>
          <w14:textFill>
            <w14:solidFill>
              <w14:schemeClr w14:val="tx1"/>
            </w14:solidFill>
          </w14:textFill>
        </w:rPr>
        <w:t>工程技术</w:t>
      </w:r>
      <w:r>
        <w:rPr>
          <w:rFonts w:hint="eastAsia" w:ascii="宋体" w:hAnsi="宋体" w:eastAsia="宋体" w:cs="宋体"/>
          <w:color w:val="000000" w:themeColor="text1"/>
          <w:sz w:val="22"/>
          <w:szCs w:val="22"/>
          <w:highlight w:val="none"/>
          <w14:textFill>
            <w14:solidFill>
              <w14:schemeClr w14:val="tx1"/>
            </w14:solidFill>
          </w14:textFill>
        </w:rPr>
        <w:t>服务。</w:t>
      </w:r>
    </w:p>
    <w:p>
      <w:pPr>
        <w:pStyle w:val="962"/>
        <w:adjustRightInd w:val="0"/>
        <w:snapToGrid w:val="0"/>
        <w:spacing w:line="460" w:lineRule="exact"/>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6）相关岗位要持有相关的上岗操作证书。</w:t>
      </w:r>
    </w:p>
    <w:p>
      <w:pPr>
        <w:pageBreakBefore w:val="0"/>
        <w:widowControl w:val="0"/>
        <w:numPr>
          <w:ilvl w:val="-1"/>
          <w:numId w:val="0"/>
        </w:numPr>
        <w:kinsoku/>
        <w:wordWrap/>
        <w:overflowPunct/>
        <w:topLinePunct w:val="0"/>
        <w:autoSpaceDE/>
        <w:autoSpaceDN/>
        <w:bidi w:val="0"/>
        <w:adjustRightInd w:val="0"/>
        <w:snapToGrid w:val="0"/>
        <w:spacing w:line="480" w:lineRule="exact"/>
        <w:ind w:left="438" w:leftChars="-20" w:hanging="480" w:hangingChars="20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7</w:t>
      </w:r>
      <w:r>
        <w:rPr>
          <w:rFonts w:hint="eastAsia" w:ascii="宋体" w:hAnsi="宋体" w:eastAsia="宋体" w:cs="宋体"/>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设备维保项目允许中标方分包，分包单位必须符合国家规定的资质要求，中标方选定第三方作为投标人设备维保单位的需事前通过投标人审核方可聘用。</w:t>
      </w:r>
    </w:p>
    <w:p>
      <w:pPr>
        <w:pageBreakBefore w:val="0"/>
        <w:widowControl w:val="0"/>
        <w:numPr>
          <w:ilvl w:val="-1"/>
          <w:numId w:val="0"/>
        </w:numPr>
        <w:kinsoku/>
        <w:wordWrap/>
        <w:overflowPunct/>
        <w:topLinePunct w:val="0"/>
        <w:autoSpaceDE/>
        <w:autoSpaceDN/>
        <w:bidi w:val="0"/>
        <w:adjustRightInd w:val="0"/>
        <w:snapToGrid w:val="0"/>
        <w:spacing w:line="480" w:lineRule="exact"/>
        <w:ind w:left="-525" w:leftChars="-250" w:firstLine="440" w:firstLineChars="200"/>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8</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中标方对甲方设备的维护需要按照国家及行业有关规定执行，创造一个节约型单位。</w:t>
      </w:r>
    </w:p>
    <w:p>
      <w:pPr>
        <w:adjustRightInd w:val="0"/>
        <w:snapToGrid w:val="0"/>
        <w:spacing w:line="440" w:lineRule="exact"/>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3.   保洁服务</w:t>
      </w:r>
    </w:p>
    <w:p>
      <w:pPr>
        <w:spacing w:after="120" w:afterLines="50" w:line="440" w:lineRule="exact"/>
        <w:ind w:left="550" w:hanging="550" w:hangingChars="2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3.1  主要内容：温州科技馆所属馆舍、场地、展品、</w:t>
      </w:r>
      <w:r>
        <w:rPr>
          <w:rFonts w:hint="eastAsia" w:ascii="宋体" w:hAnsi="宋体" w:eastAsia="宋体" w:cs="宋体"/>
          <w:color w:val="000000" w:themeColor="text1"/>
          <w:sz w:val="22"/>
          <w:szCs w:val="22"/>
          <w:highlight w:val="none"/>
          <w:lang w:eastAsia="zh-CN"/>
          <w14:textFill>
            <w14:solidFill>
              <w14:schemeClr w14:val="tx1"/>
            </w14:solidFill>
          </w14:textFill>
        </w:rPr>
        <w:t>影院、</w:t>
      </w:r>
      <w:r>
        <w:rPr>
          <w:rFonts w:hint="eastAsia" w:ascii="宋体" w:hAnsi="宋体" w:eastAsia="宋体" w:cs="宋体"/>
          <w:color w:val="000000" w:themeColor="text1"/>
          <w:sz w:val="22"/>
          <w:szCs w:val="22"/>
          <w:highlight w:val="none"/>
          <w14:textFill>
            <w14:solidFill>
              <w14:schemeClr w14:val="tx1"/>
            </w14:solidFill>
          </w14:textFill>
        </w:rPr>
        <w:t>设备设施的表面与立面及周边地面的清洁、保洁、垃圾的清运等（包含需要科技馆负责的自行举办或配合举办的公益性活动、自办临展等长期或临时性环境卫生保洁、清洁任务），疫情期间的防疫工作。</w:t>
      </w:r>
    </w:p>
    <w:p>
      <w:pPr>
        <w:spacing w:after="120" w:afterLines="50" w:line="440" w:lineRule="exact"/>
        <w:ind w:left="550" w:hanging="550" w:hangingChars="2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3.2  具体范围：中央大厅、展厅（含展品本体）、</w:t>
      </w:r>
      <w:r>
        <w:rPr>
          <w:rFonts w:hint="eastAsia" w:ascii="宋体" w:hAnsi="宋体" w:eastAsia="宋体" w:cs="宋体"/>
          <w:color w:val="000000" w:themeColor="text1"/>
          <w:sz w:val="22"/>
          <w:szCs w:val="22"/>
          <w:highlight w:val="none"/>
          <w:lang w:eastAsia="zh-CN"/>
          <w14:textFill>
            <w14:solidFill>
              <w14:schemeClr w14:val="tx1"/>
            </w14:solidFill>
          </w14:textFill>
        </w:rPr>
        <w:t>影院、</w:t>
      </w:r>
      <w:r>
        <w:rPr>
          <w:rFonts w:hint="eastAsia" w:ascii="宋体" w:hAnsi="宋体" w:eastAsia="宋体" w:cs="宋体"/>
          <w:color w:val="000000" w:themeColor="text1"/>
          <w:sz w:val="22"/>
          <w:szCs w:val="22"/>
          <w:highlight w:val="none"/>
          <w14:textFill>
            <w14:solidFill>
              <w14:schemeClr w14:val="tx1"/>
            </w14:solidFill>
          </w14:textFill>
        </w:rPr>
        <w:t>职工活动室、餐厅（包括职工餐厅外围）、会议室、影院、楼盖、屋顶、各卫生间、天花板、楼梯间、横梁、通道、电梯、仓库、设备间、各办公室、南门停车场及场内绿化带、地下车库、地下室、周边地面、公共设施及附属设备设施的表面与立面的保洁、消杀等。</w:t>
      </w:r>
    </w:p>
    <w:p>
      <w:pPr>
        <w:spacing w:after="120" w:afterLines="50" w:line="440" w:lineRule="exact"/>
        <w:ind w:left="550" w:hanging="550" w:hangingChars="25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3.3  服务要求：提供室内外清洁服务，并针对特殊情况，协助制定防止交叉感染、消毒隔离制度和工作标准、流程。将所有该过程形成文字性台账，并交科技馆备案。</w:t>
      </w:r>
      <w:r>
        <w:rPr>
          <w:rFonts w:hint="eastAsia" w:ascii="宋体" w:hAnsi="宋体" w:eastAsia="宋体" w:cs="宋体"/>
          <w:color w:val="000000" w:themeColor="text1"/>
          <w:sz w:val="22"/>
          <w:szCs w:val="22"/>
          <w:highlight w:val="none"/>
          <w:lang w:eastAsia="zh-CN"/>
          <w14:textFill>
            <w14:solidFill>
              <w14:schemeClr w14:val="tx1"/>
            </w14:solidFill>
          </w14:textFill>
        </w:rPr>
        <w:t>中标方需要提供</w:t>
      </w:r>
      <w:r>
        <w:rPr>
          <w:rFonts w:hint="eastAsia" w:ascii="宋体" w:hAnsi="宋体" w:eastAsia="宋体" w:cs="宋体"/>
          <w:color w:val="000000" w:themeColor="text1"/>
          <w:sz w:val="22"/>
          <w:szCs w:val="22"/>
          <w:highlight w:val="none"/>
          <w14:textFill>
            <w14:solidFill>
              <w14:schemeClr w14:val="tx1"/>
            </w14:solidFill>
          </w14:textFill>
        </w:rPr>
        <w:t>厕纸、卫生间洗手液、香薰、消毒液、</w:t>
      </w:r>
      <w:r>
        <w:rPr>
          <w:rFonts w:hint="eastAsia" w:ascii="宋体" w:hAnsi="宋体" w:eastAsia="宋体" w:cs="宋体"/>
          <w:color w:val="000000" w:themeColor="text1"/>
          <w:sz w:val="22"/>
          <w:szCs w:val="22"/>
          <w:highlight w:val="none"/>
          <w:lang w:eastAsia="zh-CN"/>
          <w14:textFill>
            <w14:solidFill>
              <w14:schemeClr w14:val="tx1"/>
            </w14:solidFill>
          </w14:textFill>
        </w:rPr>
        <w:t>拖</w:t>
      </w:r>
      <w:r>
        <w:rPr>
          <w:rFonts w:hint="eastAsia" w:ascii="宋体" w:hAnsi="宋体" w:eastAsia="宋体" w:cs="宋体"/>
          <w:color w:val="000000" w:themeColor="text1"/>
          <w:sz w:val="22"/>
          <w:szCs w:val="22"/>
          <w:highlight w:val="none"/>
          <w14:textFill>
            <w14:solidFill>
              <w14:schemeClr w14:val="tx1"/>
            </w14:solidFill>
          </w14:textFill>
        </w:rPr>
        <w:t>布、垃圾袋、工具等日用消耗品，</w:t>
      </w:r>
      <w:r>
        <w:rPr>
          <w:rFonts w:hint="eastAsia" w:ascii="宋体" w:hAnsi="宋体" w:eastAsia="宋体" w:cs="宋体"/>
          <w:color w:val="000000" w:themeColor="text1"/>
          <w:sz w:val="22"/>
          <w:szCs w:val="22"/>
          <w:highlight w:val="none"/>
          <w:lang w:eastAsia="zh-CN"/>
          <w14:textFill>
            <w14:solidFill>
              <w14:schemeClr w14:val="tx1"/>
            </w14:solidFill>
          </w14:textFill>
        </w:rPr>
        <w:t>及</w:t>
      </w:r>
      <w:r>
        <w:rPr>
          <w:rFonts w:hint="eastAsia" w:ascii="宋体" w:hAnsi="宋体" w:eastAsia="宋体" w:cs="宋体"/>
          <w:color w:val="000000" w:themeColor="text1"/>
          <w:sz w:val="22"/>
          <w:szCs w:val="22"/>
          <w:highlight w:val="none"/>
          <w14:textFill>
            <w14:solidFill>
              <w14:schemeClr w14:val="tx1"/>
            </w14:solidFill>
          </w14:textFill>
        </w:rPr>
        <w:t>保洁清洁剂、洗手液等消耗品</w:t>
      </w:r>
      <w:r>
        <w:rPr>
          <w:rFonts w:hint="eastAsia" w:ascii="宋体" w:hAnsi="宋体" w:eastAsia="宋体" w:cs="宋体"/>
          <w:color w:val="000000" w:themeColor="text1"/>
          <w:sz w:val="22"/>
          <w:szCs w:val="22"/>
          <w:highlight w:val="none"/>
          <w:lang w:eastAsia="zh-CN"/>
          <w14:textFill>
            <w14:solidFill>
              <w14:schemeClr w14:val="tx1"/>
            </w14:solidFill>
          </w14:textFill>
        </w:rPr>
        <w:t>。</w:t>
      </w:r>
    </w:p>
    <w:p>
      <w:pPr>
        <w:spacing w:after="120" w:afterLines="50" w:line="44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3.4  定期清洁要求：</w:t>
      </w:r>
    </w:p>
    <w:p>
      <w:pPr>
        <w:pStyle w:val="29"/>
        <w:ind w:left="1470" w:right="147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（1）范围及频率</w:t>
      </w:r>
    </w:p>
    <w:tbl>
      <w:tblPr>
        <w:tblStyle w:val="62"/>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384"/>
        <w:gridCol w:w="1255"/>
        <w:gridCol w:w="5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spacing w:line="440" w:lineRule="exact"/>
              <w:jc w:val="center"/>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序号</w:t>
            </w:r>
          </w:p>
        </w:tc>
        <w:tc>
          <w:tcPr>
            <w:tcW w:w="2384" w:type="dxa"/>
            <w:noWrap w:val="0"/>
            <w:vAlign w:val="center"/>
          </w:tcPr>
          <w:p>
            <w:pPr>
              <w:spacing w:line="440" w:lineRule="exact"/>
              <w:jc w:val="center"/>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项目名称</w:t>
            </w:r>
          </w:p>
        </w:tc>
        <w:tc>
          <w:tcPr>
            <w:tcW w:w="1255" w:type="dxa"/>
            <w:noWrap w:val="0"/>
            <w:vAlign w:val="center"/>
          </w:tcPr>
          <w:p>
            <w:pPr>
              <w:spacing w:line="440" w:lineRule="exact"/>
              <w:jc w:val="center"/>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频率</w:t>
            </w:r>
          </w:p>
        </w:tc>
        <w:tc>
          <w:tcPr>
            <w:tcW w:w="5433" w:type="dxa"/>
            <w:noWrap w:val="0"/>
            <w:vAlign w:val="center"/>
          </w:tcPr>
          <w:p>
            <w:pPr>
              <w:spacing w:line="440" w:lineRule="exact"/>
              <w:jc w:val="center"/>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spacing w:line="44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p>
        </w:tc>
        <w:tc>
          <w:tcPr>
            <w:tcW w:w="2384" w:type="dxa"/>
            <w:noWrap w:val="0"/>
            <w:vAlign w:val="center"/>
          </w:tcPr>
          <w:p>
            <w:pPr>
              <w:spacing w:line="44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会议室、影院除霉防潮清洁费</w:t>
            </w:r>
          </w:p>
        </w:tc>
        <w:tc>
          <w:tcPr>
            <w:tcW w:w="1255" w:type="dxa"/>
            <w:noWrap w:val="0"/>
            <w:vAlign w:val="center"/>
          </w:tcPr>
          <w:p>
            <w:pPr>
              <w:spacing w:line="44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每月一次</w:t>
            </w:r>
          </w:p>
        </w:tc>
        <w:tc>
          <w:tcPr>
            <w:tcW w:w="5433" w:type="dxa"/>
            <w:noWrap w:val="0"/>
            <w:vAlign w:val="center"/>
          </w:tcPr>
          <w:p>
            <w:pPr>
              <w:spacing w:line="440" w:lineRule="exact"/>
              <w:jc w:val="left"/>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国际交流厅、科普影视厅、学术报告厅、影院地面地毯</w:t>
            </w:r>
            <w:r>
              <w:rPr>
                <w:rFonts w:hint="eastAsia" w:ascii="宋体" w:hAnsi="宋体" w:eastAsia="宋体" w:cs="宋体"/>
                <w:color w:val="000000" w:themeColor="text1"/>
                <w:sz w:val="22"/>
                <w:szCs w:val="22"/>
                <w:highlight w:val="none"/>
                <w:lang w:eastAsia="zh-CN"/>
                <w14:textFill>
                  <w14:solidFill>
                    <w14:schemeClr w14:val="tx1"/>
                  </w14:solidFill>
                </w14:textFill>
              </w:rPr>
              <w:t>、座椅</w:t>
            </w:r>
            <w:r>
              <w:rPr>
                <w:rFonts w:hint="eastAsia" w:ascii="宋体" w:hAnsi="宋体" w:eastAsia="宋体" w:cs="宋体"/>
                <w:color w:val="000000" w:themeColor="text1"/>
                <w:sz w:val="22"/>
                <w:szCs w:val="22"/>
                <w:highlight w:val="none"/>
                <w14:textFill>
                  <w14:solidFill>
                    <w14:schemeClr w14:val="tx1"/>
                  </w14:solidFill>
                </w14:textFill>
              </w:rPr>
              <w:t>清洗</w:t>
            </w:r>
            <w:r>
              <w:rPr>
                <w:rFonts w:hint="eastAsia" w:ascii="宋体" w:hAnsi="宋体" w:eastAsia="宋体" w:cs="宋体"/>
                <w:color w:val="000000" w:themeColor="text1"/>
                <w:sz w:val="22"/>
                <w:szCs w:val="22"/>
                <w:highlight w:val="none"/>
                <w:lang w:eastAsia="zh-CN"/>
                <w14:textFill>
                  <w14:solidFill>
                    <w14:schemeClr w14:val="tx1"/>
                  </w14:solidFill>
                </w14:textFill>
              </w:rPr>
              <w:t>日常</w:t>
            </w:r>
            <w:r>
              <w:rPr>
                <w:rFonts w:hint="eastAsia" w:ascii="宋体" w:hAnsi="宋体" w:eastAsia="宋体" w:cs="宋体"/>
                <w:color w:val="000000" w:themeColor="text1"/>
                <w:sz w:val="22"/>
                <w:szCs w:val="22"/>
                <w:highlight w:val="none"/>
                <w14:textFill>
                  <w14:solidFill>
                    <w14:schemeClr w14:val="tx1"/>
                  </w14:solidFill>
                </w14:textFill>
              </w:rPr>
              <w:t>保养，除霉防潮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spacing w:line="44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w:t>
            </w:r>
          </w:p>
        </w:tc>
        <w:tc>
          <w:tcPr>
            <w:tcW w:w="2384" w:type="dxa"/>
            <w:noWrap w:val="0"/>
            <w:vAlign w:val="center"/>
          </w:tcPr>
          <w:p>
            <w:pPr>
              <w:spacing w:line="44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消杀费用（含灭蚊蝇、老鼠等费用）</w:t>
            </w:r>
          </w:p>
        </w:tc>
        <w:tc>
          <w:tcPr>
            <w:tcW w:w="1255" w:type="dxa"/>
            <w:noWrap w:val="0"/>
            <w:vAlign w:val="center"/>
          </w:tcPr>
          <w:p>
            <w:pPr>
              <w:spacing w:line="44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一</w:t>
            </w:r>
            <w:r>
              <w:rPr>
                <w:rFonts w:hint="eastAsia" w:ascii="宋体" w:hAnsi="宋体" w:eastAsia="宋体" w:cs="宋体"/>
                <w:color w:val="000000" w:themeColor="text1"/>
                <w:sz w:val="22"/>
                <w:szCs w:val="22"/>
                <w:highlight w:val="none"/>
                <w14:textFill>
                  <w14:solidFill>
                    <w14:schemeClr w14:val="tx1"/>
                  </w14:solidFill>
                </w14:textFill>
              </w:rPr>
              <w:t>次</w:t>
            </w:r>
          </w:p>
        </w:tc>
        <w:tc>
          <w:tcPr>
            <w:tcW w:w="5433" w:type="dxa"/>
            <w:noWrap w:val="0"/>
            <w:vAlign w:val="center"/>
          </w:tcPr>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全馆灭四害、跳蚤等消杀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spacing w:line="44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w:t>
            </w:r>
          </w:p>
        </w:tc>
        <w:tc>
          <w:tcPr>
            <w:tcW w:w="2384" w:type="dxa"/>
            <w:noWrap w:val="0"/>
            <w:vAlign w:val="center"/>
          </w:tcPr>
          <w:p>
            <w:pPr>
              <w:spacing w:line="44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正门、车库入口冲洗</w:t>
            </w:r>
          </w:p>
        </w:tc>
        <w:tc>
          <w:tcPr>
            <w:tcW w:w="1255" w:type="dxa"/>
            <w:noWrap w:val="0"/>
            <w:vAlign w:val="center"/>
          </w:tcPr>
          <w:p>
            <w:pPr>
              <w:spacing w:line="44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每月一次</w:t>
            </w:r>
          </w:p>
        </w:tc>
        <w:tc>
          <w:tcPr>
            <w:tcW w:w="5433" w:type="dxa"/>
            <w:noWrap w:val="0"/>
            <w:vAlign w:val="center"/>
          </w:tcPr>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科技馆正门玻璃顶棚及玻璃立面、地面，车库入口顶棚及路面、墙面的清洗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spacing w:line="44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w:t>
            </w:r>
          </w:p>
        </w:tc>
        <w:tc>
          <w:tcPr>
            <w:tcW w:w="2384" w:type="dxa"/>
            <w:noWrap w:val="0"/>
            <w:vAlign w:val="center"/>
          </w:tcPr>
          <w:p>
            <w:pPr>
              <w:spacing w:line="44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地面机械清洁</w:t>
            </w:r>
          </w:p>
        </w:tc>
        <w:tc>
          <w:tcPr>
            <w:tcW w:w="1255" w:type="dxa"/>
            <w:noWrap w:val="0"/>
            <w:vAlign w:val="center"/>
          </w:tcPr>
          <w:p>
            <w:pPr>
              <w:spacing w:line="44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每周一次</w:t>
            </w:r>
          </w:p>
        </w:tc>
        <w:tc>
          <w:tcPr>
            <w:tcW w:w="5433" w:type="dxa"/>
            <w:noWrap w:val="0"/>
            <w:vAlign w:val="center"/>
          </w:tcPr>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一楼大厅地面、二三楼回廊地面、科技服务厅地面、消防走廊地面、办公区地面机械清洁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spacing w:line="44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w:t>
            </w:r>
          </w:p>
        </w:tc>
        <w:tc>
          <w:tcPr>
            <w:tcW w:w="2384" w:type="dxa"/>
            <w:noWrap w:val="0"/>
            <w:vAlign w:val="center"/>
          </w:tcPr>
          <w:p>
            <w:pPr>
              <w:spacing w:line="44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消防楼梯清洁</w:t>
            </w:r>
          </w:p>
        </w:tc>
        <w:tc>
          <w:tcPr>
            <w:tcW w:w="1255" w:type="dxa"/>
            <w:noWrap w:val="0"/>
            <w:vAlign w:val="center"/>
          </w:tcPr>
          <w:p>
            <w:pPr>
              <w:spacing w:line="44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每周一次</w:t>
            </w:r>
          </w:p>
        </w:tc>
        <w:tc>
          <w:tcPr>
            <w:tcW w:w="5433" w:type="dxa"/>
            <w:noWrap w:val="0"/>
            <w:vAlign w:val="center"/>
          </w:tcPr>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消防楼梯内扶手、地面、墙面、天花板、消防设备的清洁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spacing w:line="44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w:t>
            </w:r>
          </w:p>
        </w:tc>
        <w:tc>
          <w:tcPr>
            <w:tcW w:w="2384" w:type="dxa"/>
            <w:noWrap w:val="0"/>
            <w:vAlign w:val="center"/>
          </w:tcPr>
          <w:p>
            <w:pPr>
              <w:spacing w:line="44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设备机房清洁</w:t>
            </w:r>
          </w:p>
        </w:tc>
        <w:tc>
          <w:tcPr>
            <w:tcW w:w="1255" w:type="dxa"/>
            <w:noWrap w:val="0"/>
            <w:vAlign w:val="center"/>
          </w:tcPr>
          <w:p>
            <w:pPr>
              <w:spacing w:line="44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每周一次</w:t>
            </w:r>
          </w:p>
        </w:tc>
        <w:tc>
          <w:tcPr>
            <w:tcW w:w="5433" w:type="dxa"/>
            <w:noWrap w:val="0"/>
            <w:vAlign w:val="center"/>
          </w:tcPr>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设备机房内地面、墙面、天花板、设备表面的清洁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spacing w:line="44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7</w:t>
            </w:r>
          </w:p>
        </w:tc>
        <w:tc>
          <w:tcPr>
            <w:tcW w:w="2384" w:type="dxa"/>
            <w:noWrap w:val="0"/>
            <w:vAlign w:val="center"/>
          </w:tcPr>
          <w:p>
            <w:pPr>
              <w:spacing w:line="44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展品清洁</w:t>
            </w:r>
          </w:p>
        </w:tc>
        <w:tc>
          <w:tcPr>
            <w:tcW w:w="1255" w:type="dxa"/>
            <w:noWrap w:val="0"/>
            <w:vAlign w:val="center"/>
          </w:tcPr>
          <w:p>
            <w:pPr>
              <w:spacing w:line="44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每月一次</w:t>
            </w:r>
          </w:p>
        </w:tc>
        <w:tc>
          <w:tcPr>
            <w:tcW w:w="5433" w:type="dxa"/>
            <w:noWrap w:val="0"/>
            <w:vAlign w:val="center"/>
          </w:tcPr>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展区内所有展品表立面的清洁（包括部分高处展品），展品内装饰墙面高处清洁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5" w:type="dxa"/>
            <w:noWrap w:val="0"/>
            <w:vAlign w:val="center"/>
          </w:tcPr>
          <w:p>
            <w:pPr>
              <w:spacing w:line="44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8</w:t>
            </w:r>
          </w:p>
        </w:tc>
        <w:tc>
          <w:tcPr>
            <w:tcW w:w="2384" w:type="dxa"/>
            <w:noWrap w:val="0"/>
            <w:vAlign w:val="center"/>
          </w:tcPr>
          <w:p>
            <w:pPr>
              <w:spacing w:line="440" w:lineRule="exact"/>
              <w:jc w:val="left"/>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球幕外立面及基座外立面清洁</w:t>
            </w:r>
          </w:p>
        </w:tc>
        <w:tc>
          <w:tcPr>
            <w:tcW w:w="1255" w:type="dxa"/>
            <w:noWrap w:val="0"/>
            <w:vAlign w:val="center"/>
          </w:tcPr>
          <w:p>
            <w:pPr>
              <w:spacing w:line="440" w:lineRule="exact"/>
              <w:jc w:val="left"/>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每年两次</w:t>
            </w:r>
          </w:p>
        </w:tc>
        <w:tc>
          <w:tcPr>
            <w:tcW w:w="5433" w:type="dxa"/>
            <w:noWrap w:val="0"/>
            <w:vAlign w:val="center"/>
          </w:tcPr>
          <w:p>
            <w:pPr>
              <w:spacing w:line="440" w:lineRule="exact"/>
              <w:jc w:val="left"/>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科技馆球幕影院外壳及基座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5" w:type="dxa"/>
            <w:noWrap w:val="0"/>
            <w:vAlign w:val="center"/>
          </w:tcPr>
          <w:p>
            <w:pPr>
              <w:spacing w:line="44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9</w:t>
            </w:r>
          </w:p>
        </w:tc>
        <w:tc>
          <w:tcPr>
            <w:tcW w:w="2384" w:type="dxa"/>
            <w:noWrap w:val="0"/>
            <w:vAlign w:val="center"/>
          </w:tcPr>
          <w:p>
            <w:pPr>
              <w:spacing w:line="440" w:lineRule="exact"/>
              <w:jc w:val="left"/>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办公区南外立面</w:t>
            </w:r>
          </w:p>
        </w:tc>
        <w:tc>
          <w:tcPr>
            <w:tcW w:w="1255" w:type="dxa"/>
            <w:noWrap w:val="0"/>
            <w:vAlign w:val="center"/>
          </w:tcPr>
          <w:p>
            <w:pPr>
              <w:spacing w:line="440" w:lineRule="exact"/>
              <w:jc w:val="left"/>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每年一次</w:t>
            </w:r>
          </w:p>
        </w:tc>
        <w:tc>
          <w:tcPr>
            <w:tcW w:w="5433" w:type="dxa"/>
            <w:noWrap w:val="0"/>
            <w:vAlign w:val="center"/>
          </w:tcPr>
          <w:p>
            <w:pPr>
              <w:spacing w:line="440" w:lineRule="exact"/>
              <w:jc w:val="left"/>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办公区南外立面墙体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5" w:type="dxa"/>
            <w:noWrap w:val="0"/>
            <w:vAlign w:val="center"/>
          </w:tcPr>
          <w:p>
            <w:pPr>
              <w:spacing w:line="44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10</w:t>
            </w:r>
          </w:p>
        </w:tc>
        <w:tc>
          <w:tcPr>
            <w:tcW w:w="2384" w:type="dxa"/>
            <w:noWrap w:val="0"/>
            <w:vAlign w:val="center"/>
          </w:tcPr>
          <w:p>
            <w:pPr>
              <w:spacing w:line="440" w:lineRule="exact"/>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柜机和挂机空调约</w:t>
            </w:r>
            <w:r>
              <w:rPr>
                <w:rFonts w:hint="eastAsia" w:ascii="宋体" w:hAnsi="宋体" w:eastAsia="宋体" w:cs="宋体"/>
                <w:color w:val="000000" w:themeColor="text1"/>
                <w:sz w:val="22"/>
                <w:szCs w:val="22"/>
                <w:highlight w:val="none"/>
                <w:lang w:val="en-US" w:eastAsia="zh-CN"/>
                <w14:textFill>
                  <w14:solidFill>
                    <w14:schemeClr w14:val="tx1"/>
                  </w14:solidFill>
                </w14:textFill>
              </w:rPr>
              <w:t>39台精洗</w:t>
            </w:r>
          </w:p>
        </w:tc>
        <w:tc>
          <w:tcPr>
            <w:tcW w:w="1255" w:type="dxa"/>
            <w:noWrap w:val="0"/>
            <w:vAlign w:val="center"/>
          </w:tcPr>
          <w:p>
            <w:pPr>
              <w:spacing w:line="440" w:lineRule="exact"/>
              <w:jc w:val="left"/>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每年一次</w:t>
            </w:r>
          </w:p>
        </w:tc>
        <w:tc>
          <w:tcPr>
            <w:tcW w:w="5433" w:type="dxa"/>
            <w:noWrap w:val="0"/>
            <w:vAlign w:val="center"/>
          </w:tcPr>
          <w:p>
            <w:pPr>
              <w:spacing w:line="440" w:lineRule="exact"/>
              <w:jc w:val="left"/>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科技馆各办公室</w:t>
            </w:r>
          </w:p>
        </w:tc>
      </w:tr>
    </w:tbl>
    <w:p>
      <w:pPr>
        <w:spacing w:line="44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（2）详细要求：清洗后无色差，保持物品原样及安全。</w:t>
      </w:r>
      <w:r>
        <w:rPr>
          <w:rFonts w:hint="eastAsia" w:ascii="宋体" w:hAnsi="宋体" w:eastAsia="宋体" w:cs="宋体"/>
          <w:color w:val="000000" w:themeColor="text1"/>
          <w:sz w:val="22"/>
          <w:szCs w:val="22"/>
          <w:highlight w:val="none"/>
          <w:lang w:eastAsia="zh-CN"/>
          <w14:textFill>
            <w14:solidFill>
              <w14:schemeClr w14:val="tx1"/>
            </w14:solidFill>
          </w14:textFill>
        </w:rPr>
        <w:t>合同规定范围内的</w:t>
      </w:r>
      <w:r>
        <w:rPr>
          <w:rFonts w:hint="eastAsia" w:ascii="宋体" w:hAnsi="宋体" w:eastAsia="宋体" w:cs="宋体"/>
          <w:color w:val="000000" w:themeColor="text1"/>
          <w:sz w:val="22"/>
          <w:szCs w:val="22"/>
          <w:highlight w:val="none"/>
          <w14:textFill>
            <w14:solidFill>
              <w14:schemeClr w14:val="tx1"/>
            </w14:solidFill>
          </w14:textFill>
        </w:rPr>
        <w:t>高空大型展品清洁，无积灰、鸟屎，无蜘蛛网。高空展品清洁前，必须通知展教工作人员，在展教工作人员的配合下进行清洁操作。配电房、空调机房、水泵房、发电机房等各机房，须在电工的配合下进行清洁操作。各影院、会议室需在影院当天的场次全部播放完毕后进行清洁打扫。计算机中心、消控中心机房要随时保持清洁卫生，整洁有序，在相关人员的配合下进行清洁操作。</w:t>
      </w:r>
    </w:p>
    <w:p>
      <w:pPr>
        <w:spacing w:after="120" w:afterLines="50" w:line="440" w:lineRule="exact"/>
        <w:ind w:left="550" w:hanging="550" w:hangingChars="2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3.5  其他要求：</w:t>
      </w:r>
    </w:p>
    <w:p>
      <w:pPr>
        <w:spacing w:after="120" w:afterLines="50" w:line="440" w:lineRule="exact"/>
        <w:ind w:left="550" w:hanging="550" w:hangingChars="2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（1）科技馆消杀</w:t>
      </w:r>
      <w:r>
        <w:rPr>
          <w:rFonts w:hint="eastAsia" w:ascii="宋体" w:hAnsi="宋体" w:eastAsia="宋体" w:cs="宋体"/>
          <w:color w:val="000000" w:themeColor="text1"/>
          <w:sz w:val="22"/>
          <w:szCs w:val="22"/>
          <w:highlight w:val="none"/>
          <w:lang w:eastAsia="zh-CN"/>
          <w14:textFill>
            <w14:solidFill>
              <w14:schemeClr w14:val="tx1"/>
            </w14:solidFill>
          </w14:textFill>
        </w:rPr>
        <w:t>、外立面</w:t>
      </w:r>
      <w:r>
        <w:rPr>
          <w:rFonts w:hint="eastAsia" w:ascii="宋体" w:hAnsi="宋体" w:eastAsia="宋体" w:cs="宋体"/>
          <w:color w:val="000000" w:themeColor="text1"/>
          <w:sz w:val="22"/>
          <w:szCs w:val="22"/>
          <w:highlight w:val="none"/>
          <w:lang w:val="en-US" w:eastAsia="zh-CN"/>
          <w14:textFill>
            <w14:solidFill>
              <w14:schemeClr w14:val="tx1"/>
            </w14:solidFill>
          </w14:textFill>
        </w:rPr>
        <w:t>幕墙</w:t>
      </w:r>
      <w:r>
        <w:rPr>
          <w:rFonts w:hint="eastAsia" w:ascii="宋体" w:hAnsi="宋体" w:eastAsia="宋体" w:cs="宋体"/>
          <w:color w:val="000000" w:themeColor="text1"/>
          <w:sz w:val="22"/>
          <w:szCs w:val="22"/>
          <w:highlight w:val="none"/>
          <w:lang w:eastAsia="zh-CN"/>
          <w14:textFill>
            <w14:solidFill>
              <w14:schemeClr w14:val="tx1"/>
            </w14:solidFill>
          </w14:textFill>
        </w:rPr>
        <w:t>清洁、</w:t>
      </w:r>
      <w:r>
        <w:rPr>
          <w:rFonts w:hint="eastAsia" w:ascii="宋体" w:hAnsi="宋体" w:eastAsia="宋体" w:cs="宋体"/>
          <w:color w:val="000000" w:themeColor="text1"/>
          <w:sz w:val="22"/>
          <w:szCs w:val="22"/>
          <w:highlight w:val="none"/>
          <w14:textFill>
            <w14:solidFill>
              <w14:schemeClr w14:val="tx1"/>
            </w14:solidFill>
          </w14:textFill>
        </w:rPr>
        <w:t>垃圾清运消纳</w:t>
      </w:r>
      <w:r>
        <w:rPr>
          <w:rFonts w:hint="eastAsia" w:ascii="宋体" w:hAnsi="宋体" w:eastAsia="宋体" w:cs="宋体"/>
          <w:color w:val="000000" w:themeColor="text1"/>
          <w:sz w:val="22"/>
          <w:szCs w:val="22"/>
          <w:highlight w:val="none"/>
          <w:lang w:val="en-US" w:eastAsia="zh-CN"/>
          <w14:textFill>
            <w14:solidFill>
              <w14:schemeClr w14:val="tx1"/>
            </w14:solidFill>
          </w14:textFill>
        </w:rPr>
        <w:t>允许分包给有资质的单位实施，</w:t>
      </w:r>
      <w:r>
        <w:rPr>
          <w:rFonts w:hint="eastAsia" w:ascii="宋体" w:hAnsi="宋体" w:eastAsia="宋体" w:cs="宋体"/>
          <w:color w:val="000000" w:themeColor="text1"/>
          <w:sz w:val="22"/>
          <w:szCs w:val="22"/>
          <w:highlight w:val="none"/>
          <w14:textFill>
            <w14:solidFill>
              <w14:schemeClr w14:val="tx1"/>
            </w14:solidFill>
          </w14:textFill>
        </w:rPr>
        <w:t>费用包含在投标总价内。</w:t>
      </w:r>
    </w:p>
    <w:p>
      <w:pPr>
        <w:spacing w:after="120" w:afterLines="50" w:line="440" w:lineRule="exact"/>
        <w:ind w:left="550" w:hanging="550" w:hangingChars="2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14:textFill>
            <w14:solidFill>
              <w14:schemeClr w14:val="tx1"/>
            </w14:solidFill>
          </w14:textFill>
        </w:rPr>
        <w:t>）配合采购人节假日及公益性活动、自办临展保洁清洁及垃圾清运。</w:t>
      </w:r>
    </w:p>
    <w:p>
      <w:pPr>
        <w:adjustRightInd w:val="0"/>
        <w:snapToGrid w:val="0"/>
        <w:spacing w:line="440" w:lineRule="exact"/>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4、绿化服务</w:t>
      </w:r>
      <w:r>
        <w:rPr>
          <w:rFonts w:hint="eastAsia" w:ascii="宋体" w:hAnsi="宋体" w:eastAsia="宋体" w:cs="宋体"/>
          <w:b/>
          <w:bCs/>
          <w:color w:val="000000" w:themeColor="text1"/>
          <w:sz w:val="22"/>
          <w:szCs w:val="22"/>
          <w:highlight w:val="none"/>
          <w14:textFill>
            <w14:solidFill>
              <w14:schemeClr w14:val="tx1"/>
            </w14:solidFill>
          </w14:textFill>
        </w:rPr>
        <w:t xml:space="preserve"> </w:t>
      </w:r>
    </w:p>
    <w:p>
      <w:pPr>
        <w:spacing w:line="440" w:lineRule="exact"/>
        <w:jc w:val="left"/>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4.1</w:t>
      </w:r>
      <w:r>
        <w:rPr>
          <w:rFonts w:hint="eastAsia" w:ascii="宋体" w:hAnsi="宋体" w:eastAsia="宋体" w:cs="宋体"/>
          <w:color w:val="000000" w:themeColor="text1"/>
          <w:sz w:val="22"/>
          <w:szCs w:val="22"/>
          <w:highlight w:val="none"/>
          <w14:textFill>
            <w14:solidFill>
              <w14:schemeClr w14:val="tx1"/>
            </w14:solidFill>
          </w14:textFill>
        </w:rPr>
        <w:t>主要内容：</w:t>
      </w:r>
      <w:r>
        <w:rPr>
          <w:rFonts w:hint="eastAsia" w:ascii="宋体" w:hAnsi="宋体" w:eastAsia="宋体" w:cs="宋体"/>
          <w:color w:val="000000" w:themeColor="text1"/>
          <w:sz w:val="22"/>
          <w:szCs w:val="22"/>
          <w:highlight w:val="none"/>
          <w:lang w:eastAsia="zh-CN"/>
          <w14:textFill>
            <w14:solidFill>
              <w14:schemeClr w14:val="tx1"/>
            </w14:solidFill>
          </w14:textFill>
        </w:rPr>
        <w:t>按照甲方要求</w:t>
      </w:r>
      <w:r>
        <w:rPr>
          <w:rFonts w:hint="eastAsia" w:ascii="宋体" w:hAnsi="宋体" w:eastAsia="宋体" w:cs="宋体"/>
          <w:color w:val="000000" w:themeColor="text1"/>
          <w:sz w:val="22"/>
          <w:szCs w:val="22"/>
          <w:highlight w:val="none"/>
          <w14:textFill>
            <w14:solidFill>
              <w14:schemeClr w14:val="tx1"/>
            </w14:solidFill>
          </w14:textFill>
        </w:rPr>
        <w:t>提供绿植花卉布置摆放方案，并负责绿植花卉的搬运、日常养护、</w:t>
      </w:r>
      <w:r>
        <w:rPr>
          <w:rFonts w:hint="eastAsia" w:ascii="宋体" w:hAnsi="宋体" w:eastAsia="宋体" w:cs="宋体"/>
          <w:color w:val="000000" w:themeColor="text1"/>
          <w:sz w:val="22"/>
          <w:szCs w:val="22"/>
          <w:highlight w:val="none"/>
          <w:lang w:eastAsia="zh-CN"/>
          <w14:textFill>
            <w14:solidFill>
              <w14:schemeClr w14:val="tx1"/>
            </w14:solidFill>
          </w14:textFill>
        </w:rPr>
        <w:t>定期</w:t>
      </w:r>
      <w:r>
        <w:rPr>
          <w:rFonts w:hint="eastAsia" w:ascii="宋体" w:hAnsi="宋体" w:eastAsia="宋体" w:cs="宋体"/>
          <w:color w:val="000000" w:themeColor="text1"/>
          <w:sz w:val="22"/>
          <w:szCs w:val="22"/>
          <w:highlight w:val="none"/>
          <w14:textFill>
            <w14:solidFill>
              <w14:schemeClr w14:val="tx1"/>
            </w14:solidFill>
          </w14:textFill>
        </w:rPr>
        <w:t>更换等</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花木租摆允许供应商分包，大致花木清单如下表:</w:t>
      </w:r>
    </w:p>
    <w:tbl>
      <w:tblPr>
        <w:tblStyle w:val="62"/>
        <w:tblpPr w:leftFromText="180" w:rightFromText="180" w:vertAnchor="text" w:horzAnchor="page" w:tblpX="2264" w:tblpY="302"/>
        <w:tblOverlap w:val="never"/>
        <w:tblW w:w="75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6"/>
        <w:gridCol w:w="3476"/>
        <w:gridCol w:w="28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7590" w:type="dxa"/>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40"/>
                <w:szCs w:val="40"/>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温州科技馆花木清单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序号</w:t>
            </w:r>
          </w:p>
        </w:tc>
        <w:tc>
          <w:tcPr>
            <w:tcW w:w="3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位置</w:t>
            </w:r>
          </w:p>
        </w:tc>
        <w:tc>
          <w:tcPr>
            <w:tcW w:w="2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数量及规格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3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科技馆展区</w:t>
            </w:r>
          </w:p>
        </w:tc>
        <w:tc>
          <w:tcPr>
            <w:tcW w:w="2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127株（0.5米以上87株，0.5米以下40株）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3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公共区域及走廊</w:t>
            </w:r>
          </w:p>
        </w:tc>
        <w:tc>
          <w:tcPr>
            <w:tcW w:w="2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24株（0.5米以上21株，0.5米以下3株）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3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科技馆办公区域</w:t>
            </w:r>
          </w:p>
        </w:tc>
        <w:tc>
          <w:tcPr>
            <w:tcW w:w="2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36株（0.5米以上14株，0.5米以下22株）</w:t>
            </w:r>
          </w:p>
        </w:tc>
      </w:tr>
    </w:tbl>
    <w:p>
      <w:pPr>
        <w:spacing w:line="440" w:lineRule="exact"/>
        <w:jc w:val="left"/>
        <w:rPr>
          <w:rFonts w:hint="eastAsia" w:ascii="宋体" w:hAnsi="宋体" w:eastAsia="宋体" w:cs="宋体"/>
          <w:color w:val="000000" w:themeColor="text1"/>
          <w:highlight w:val="none"/>
          <w:lang w:val="en-US" w:eastAsia="zh-CN"/>
          <w14:textFill>
            <w14:solidFill>
              <w14:schemeClr w14:val="tx1"/>
            </w14:solidFill>
          </w14:textFill>
        </w:rPr>
      </w:pPr>
    </w:p>
    <w:p>
      <w:pPr>
        <w:pStyle w:val="3"/>
        <w:spacing w:line="680" w:lineRule="exact"/>
        <w:ind w:firstLine="2530" w:firstLineChars="900"/>
        <w:jc w:val="both"/>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三、人员配备要求</w:t>
      </w:r>
    </w:p>
    <w:p>
      <w:pPr>
        <w:spacing w:after="120" w:afterLines="50" w:line="44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按照组织到位，结构合理，精简强干，执行有力的原则自行根据服务管理内容配置。人数配置数不低于3</w:t>
      </w:r>
      <w:r>
        <w:rPr>
          <w:rFonts w:hint="eastAsia" w:ascii="宋体" w:hAnsi="宋体" w:eastAsia="宋体" w:cs="宋体"/>
          <w:color w:val="000000" w:themeColor="text1"/>
          <w:sz w:val="22"/>
          <w:szCs w:val="22"/>
          <w:highlight w:val="none"/>
          <w:lang w:val="en-US" w:eastAsia="zh-CN"/>
          <w14:textFill>
            <w14:solidFill>
              <w14:schemeClr w14:val="tx1"/>
            </w14:solidFill>
          </w14:textFill>
        </w:rPr>
        <w:t>7人</w:t>
      </w:r>
      <w:r>
        <w:rPr>
          <w:rFonts w:hint="eastAsia" w:ascii="宋体" w:hAnsi="宋体" w:eastAsia="宋体" w:cs="宋体"/>
          <w:color w:val="000000" w:themeColor="text1"/>
          <w:sz w:val="22"/>
          <w:szCs w:val="22"/>
          <w:highlight w:val="none"/>
          <w14:textFill>
            <w14:solidFill>
              <w14:schemeClr w14:val="tx1"/>
            </w14:solidFill>
          </w14:textFill>
        </w:rPr>
        <w:t>，具体要求如下：</w:t>
      </w:r>
    </w:p>
    <w:p>
      <w:pPr>
        <w:spacing w:after="120" w:afterLines="50" w:line="440" w:lineRule="exact"/>
        <w:ind w:left="550" w:hanging="550" w:hangingChars="2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   项目负责人（项目经理）1人</w:t>
      </w:r>
    </w:p>
    <w:p>
      <w:pPr>
        <w:spacing w:after="120" w:afterLines="50" w:line="440" w:lineRule="exact"/>
        <w:ind w:firstLine="440" w:firstLineChars="20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本项目需配备项目经理1名，要求身体健康，具有丰富的同类物业服务管理经验，全面负责科技馆各项日常管理工作及事务，负责与采购人及外部的沟通与协调，确保物业服务到位。派</w:t>
      </w:r>
      <w:r>
        <w:rPr>
          <w:rFonts w:hint="eastAsia" w:ascii="宋体" w:hAnsi="宋体" w:eastAsia="宋体" w:cs="宋体"/>
          <w:color w:val="000000" w:themeColor="text1"/>
          <w:sz w:val="22"/>
          <w:szCs w:val="22"/>
          <w:highlight w:val="none"/>
          <w:lang w:eastAsia="zh-CN"/>
          <w14:textFill>
            <w14:solidFill>
              <w14:schemeClr w14:val="tx1"/>
            </w14:solidFill>
          </w14:textFill>
        </w:rPr>
        <w:t>驻的</w:t>
      </w:r>
      <w:r>
        <w:rPr>
          <w:rFonts w:hint="eastAsia" w:ascii="宋体" w:hAnsi="宋体" w:eastAsia="宋体" w:cs="宋体"/>
          <w:color w:val="000000" w:themeColor="text1"/>
          <w:sz w:val="22"/>
          <w:szCs w:val="22"/>
          <w:highlight w:val="none"/>
          <w14:textFill>
            <w14:solidFill>
              <w14:schemeClr w14:val="tx1"/>
            </w14:solidFill>
          </w14:textFill>
        </w:rPr>
        <w:t>项目负责人具有</w:t>
      </w:r>
      <w:r>
        <w:rPr>
          <w:rFonts w:hint="eastAsia" w:ascii="宋体" w:hAnsi="宋体" w:eastAsia="宋体" w:cs="宋体"/>
          <w:color w:val="000000" w:themeColor="text1"/>
          <w:sz w:val="22"/>
          <w:szCs w:val="22"/>
          <w:highlight w:val="none"/>
          <w:lang w:val="en-US" w:eastAsia="zh-CN"/>
          <w14:textFill>
            <w14:solidFill>
              <w14:schemeClr w14:val="tx1"/>
            </w14:solidFill>
          </w14:textFill>
        </w:rPr>
        <w:t>3</w:t>
      </w:r>
      <w:r>
        <w:rPr>
          <w:rFonts w:hint="eastAsia" w:ascii="宋体" w:hAnsi="宋体" w:eastAsia="宋体" w:cs="宋体"/>
          <w:color w:val="000000" w:themeColor="text1"/>
          <w:sz w:val="22"/>
          <w:szCs w:val="22"/>
          <w:highlight w:val="none"/>
          <w14:textFill>
            <w14:solidFill>
              <w14:schemeClr w14:val="tx1"/>
            </w14:solidFill>
          </w14:textFill>
        </w:rPr>
        <w:t>年及以上担任项目负责人物业服务的工作经验</w:t>
      </w:r>
      <w:r>
        <w:rPr>
          <w:rFonts w:hint="eastAsia" w:ascii="宋体" w:hAnsi="宋体" w:eastAsia="宋体" w:cs="宋体"/>
          <w:color w:val="000000" w:themeColor="text1"/>
          <w:sz w:val="22"/>
          <w:szCs w:val="22"/>
          <w:highlight w:val="none"/>
          <w:lang w:eastAsia="zh-CN"/>
          <w14:textFill>
            <w14:solidFill>
              <w14:schemeClr w14:val="tx1"/>
            </w14:solidFill>
          </w14:textFill>
        </w:rPr>
        <w:t>。每年需对本项目提出提升服务的合理化建议。</w:t>
      </w:r>
    </w:p>
    <w:p>
      <w:pPr>
        <w:spacing w:after="120" w:afterLines="50" w:line="440" w:lineRule="exact"/>
        <w:ind w:left="550" w:hanging="550" w:hangingChars="25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  安保（含消控）服务</w:t>
      </w:r>
      <w:r>
        <w:rPr>
          <w:rFonts w:hint="eastAsia" w:ascii="宋体" w:hAnsi="宋体" w:eastAsia="宋体" w:cs="宋体"/>
          <w:color w:val="000000" w:themeColor="text1"/>
          <w:sz w:val="22"/>
          <w:szCs w:val="22"/>
          <w:highlight w:val="none"/>
          <w:lang w:eastAsia="zh-CN"/>
          <w14:textFill>
            <w14:solidFill>
              <w14:schemeClr w14:val="tx1"/>
            </w14:solidFill>
          </w14:textFill>
        </w:rPr>
        <w:t>人员岗位分配</w:t>
      </w: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 </w:t>
      </w:r>
    </w:p>
    <w:p>
      <w:pPr>
        <w:spacing w:after="120" w:afterLines="50" w:line="440" w:lineRule="exact"/>
        <w:ind w:left="550" w:hanging="550" w:hangingChars="25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2.1</w:t>
      </w: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拟委派的人数不得少于</w:t>
      </w:r>
      <w:r>
        <w:rPr>
          <w:rFonts w:hint="eastAsia" w:ascii="宋体" w:hAnsi="宋体" w:eastAsia="宋体" w:cs="宋体"/>
          <w:color w:val="000000" w:themeColor="text1"/>
          <w:sz w:val="22"/>
          <w:szCs w:val="22"/>
          <w:highlight w:val="none"/>
          <w:lang w:val="en-US" w:eastAsia="zh-CN"/>
          <w14:textFill>
            <w14:solidFill>
              <w14:schemeClr w14:val="tx1"/>
            </w14:solidFill>
          </w14:textFill>
        </w:rPr>
        <w:t>17</w:t>
      </w:r>
      <w:r>
        <w:rPr>
          <w:rFonts w:hint="eastAsia" w:ascii="宋体" w:hAnsi="宋体" w:eastAsia="宋体" w:cs="宋体"/>
          <w:color w:val="000000" w:themeColor="text1"/>
          <w:sz w:val="22"/>
          <w:szCs w:val="22"/>
          <w:highlight w:val="none"/>
          <w14:textFill>
            <w14:solidFill>
              <w14:schemeClr w14:val="tx1"/>
            </w14:solidFill>
          </w14:textFill>
        </w:rPr>
        <w:t>人</w:t>
      </w:r>
      <w:r>
        <w:rPr>
          <w:rFonts w:hint="eastAsia" w:ascii="宋体" w:hAnsi="宋体" w:eastAsia="宋体" w:cs="宋体"/>
          <w:color w:val="000000" w:themeColor="text1"/>
          <w:sz w:val="22"/>
          <w:szCs w:val="22"/>
          <w:highlight w:val="none"/>
          <w:lang w:eastAsia="zh-CN"/>
          <w14:textFill>
            <w14:solidFill>
              <w14:schemeClr w14:val="tx1"/>
            </w14:solidFill>
          </w14:textFill>
        </w:rPr>
        <w:t>。</w:t>
      </w:r>
    </w:p>
    <w:p>
      <w:pPr>
        <w:spacing w:after="120" w:afterLines="50" w:line="440" w:lineRule="exact"/>
        <w:ind w:left="550" w:hanging="550" w:hangingChars="25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2.2</w:t>
      </w: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开馆日白班要求：要求人数不低于</w:t>
      </w:r>
      <w:r>
        <w:rPr>
          <w:rFonts w:hint="eastAsia" w:ascii="宋体" w:hAnsi="宋体" w:eastAsia="宋体" w:cs="宋体"/>
          <w:color w:val="000000" w:themeColor="text1"/>
          <w:sz w:val="22"/>
          <w:szCs w:val="22"/>
          <w:highlight w:val="none"/>
          <w:lang w:val="en-US" w:eastAsia="zh-CN"/>
          <w14:textFill>
            <w14:solidFill>
              <w14:schemeClr w14:val="tx1"/>
            </w14:solidFill>
          </w14:textFill>
        </w:rPr>
        <w:t>13</w:t>
      </w:r>
      <w:r>
        <w:rPr>
          <w:rFonts w:hint="eastAsia" w:ascii="宋体" w:hAnsi="宋体" w:eastAsia="宋体" w:cs="宋体"/>
          <w:color w:val="000000" w:themeColor="text1"/>
          <w:sz w:val="22"/>
          <w:szCs w:val="22"/>
          <w:highlight w:val="none"/>
          <w14:textFill>
            <w14:solidFill>
              <w14:schemeClr w14:val="tx1"/>
            </w14:solidFill>
          </w14:textFill>
        </w:rPr>
        <w:t>人</w:t>
      </w:r>
      <w:r>
        <w:rPr>
          <w:rFonts w:hint="eastAsia" w:ascii="宋体" w:hAnsi="宋体" w:eastAsia="宋体" w:cs="宋体"/>
          <w:color w:val="000000" w:themeColor="text1"/>
          <w:sz w:val="22"/>
          <w:szCs w:val="22"/>
          <w:highlight w:val="none"/>
          <w:lang w:eastAsia="zh-CN"/>
          <w14:textFill>
            <w14:solidFill>
              <w14:schemeClr w14:val="tx1"/>
            </w14:solidFill>
          </w14:textFill>
        </w:rPr>
        <w:t>。</w:t>
      </w:r>
    </w:p>
    <w:p>
      <w:pPr>
        <w:spacing w:after="120" w:afterLines="50" w:line="440" w:lineRule="exact"/>
        <w:ind w:left="550" w:hanging="550" w:hangingChars="2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2.3</w:t>
      </w: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馆休日白班要求：要求人数不低于</w:t>
      </w:r>
      <w:r>
        <w:rPr>
          <w:rFonts w:hint="eastAsia" w:ascii="宋体" w:hAnsi="宋体" w:eastAsia="宋体" w:cs="宋体"/>
          <w:color w:val="000000" w:themeColor="text1"/>
          <w:sz w:val="22"/>
          <w:szCs w:val="22"/>
          <w:highlight w:val="none"/>
          <w:lang w:val="en-US" w:eastAsia="zh-CN"/>
          <w14:textFill>
            <w14:solidFill>
              <w14:schemeClr w14:val="tx1"/>
            </w14:solidFill>
          </w14:textFill>
        </w:rPr>
        <w:t>7</w:t>
      </w:r>
      <w:r>
        <w:rPr>
          <w:rFonts w:hint="eastAsia" w:ascii="宋体" w:hAnsi="宋体" w:eastAsia="宋体" w:cs="宋体"/>
          <w:color w:val="000000" w:themeColor="text1"/>
          <w:sz w:val="22"/>
          <w:szCs w:val="22"/>
          <w:highlight w:val="none"/>
          <w14:textFill>
            <w14:solidFill>
              <w14:schemeClr w14:val="tx1"/>
            </w14:solidFill>
          </w14:textFill>
        </w:rPr>
        <w:t>人。</w:t>
      </w:r>
    </w:p>
    <w:p>
      <w:pPr>
        <w:spacing w:after="120" w:afterLines="50" w:line="440" w:lineRule="exact"/>
        <w:ind w:left="550" w:hanging="550" w:hangingChars="2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2.4</w:t>
      </w: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夜班要求：要求人数不低于</w:t>
      </w:r>
      <w:r>
        <w:rPr>
          <w:rFonts w:hint="eastAsia" w:ascii="宋体" w:hAnsi="宋体" w:eastAsia="宋体" w:cs="宋体"/>
          <w:color w:val="000000" w:themeColor="text1"/>
          <w:sz w:val="22"/>
          <w:szCs w:val="22"/>
          <w:highlight w:val="none"/>
          <w:lang w:val="en-US" w:eastAsia="zh-CN"/>
          <w14:textFill>
            <w14:solidFill>
              <w14:schemeClr w14:val="tx1"/>
            </w14:solidFill>
          </w14:textFill>
        </w:rPr>
        <w:t>4</w:t>
      </w:r>
      <w:r>
        <w:rPr>
          <w:rFonts w:hint="eastAsia" w:ascii="宋体" w:hAnsi="宋体" w:eastAsia="宋体" w:cs="宋体"/>
          <w:color w:val="000000" w:themeColor="text1"/>
          <w:sz w:val="22"/>
          <w:szCs w:val="22"/>
          <w:highlight w:val="none"/>
          <w14:textFill>
            <w14:solidFill>
              <w14:schemeClr w14:val="tx1"/>
            </w14:solidFill>
          </w14:textFill>
        </w:rPr>
        <w:t>人。</w:t>
      </w:r>
    </w:p>
    <w:p>
      <w:pPr>
        <w:spacing w:after="120" w:afterLines="50" w:line="440" w:lineRule="exact"/>
        <w:ind w:left="550" w:hanging="550" w:hangingChars="250"/>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2.5  安保（含消控）具体人员配置表</w:t>
      </w:r>
    </w:p>
    <w:tbl>
      <w:tblPr>
        <w:tblStyle w:val="62"/>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595"/>
        <w:gridCol w:w="1609"/>
        <w:gridCol w:w="1337"/>
        <w:gridCol w:w="1558"/>
        <w:gridCol w:w="2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noWrap w:val="0"/>
            <w:vAlign w:val="center"/>
          </w:tcPr>
          <w:p>
            <w:pPr>
              <w:spacing w:after="120" w:afterLines="50" w:line="440" w:lineRule="exact"/>
              <w:jc w:val="center"/>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人员分配</w:t>
            </w:r>
          </w:p>
        </w:tc>
        <w:tc>
          <w:tcPr>
            <w:tcW w:w="1595" w:type="dxa"/>
            <w:noWrap w:val="0"/>
            <w:vAlign w:val="center"/>
          </w:tcPr>
          <w:p>
            <w:pPr>
              <w:spacing w:after="120" w:afterLines="50" w:line="440" w:lineRule="exact"/>
              <w:jc w:val="center"/>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人数（</w:t>
            </w:r>
            <w:r>
              <w:rPr>
                <w:rFonts w:hint="eastAsia" w:ascii="宋体" w:hAnsi="宋体" w:eastAsia="宋体" w:cs="宋体"/>
                <w:b/>
                <w:bCs/>
                <w:color w:val="000000" w:themeColor="text1"/>
                <w:sz w:val="22"/>
                <w:szCs w:val="22"/>
                <w:highlight w:val="none"/>
                <w:lang w:eastAsia="zh-CN"/>
                <w14:textFill>
                  <w14:solidFill>
                    <w14:schemeClr w14:val="tx1"/>
                  </w14:solidFill>
                </w14:textFill>
              </w:rPr>
              <w:t>开馆日白班</w:t>
            </w:r>
            <w:r>
              <w:rPr>
                <w:rFonts w:hint="eastAsia" w:ascii="宋体" w:hAnsi="宋体" w:eastAsia="宋体" w:cs="宋体"/>
                <w:b/>
                <w:bCs/>
                <w:color w:val="000000" w:themeColor="text1"/>
                <w:sz w:val="22"/>
                <w:szCs w:val="22"/>
                <w:highlight w:val="none"/>
                <w14:textFill>
                  <w14:solidFill>
                    <w14:schemeClr w14:val="tx1"/>
                  </w14:solidFill>
                </w14:textFill>
              </w:rPr>
              <w:t>）</w:t>
            </w:r>
          </w:p>
        </w:tc>
        <w:tc>
          <w:tcPr>
            <w:tcW w:w="1609" w:type="dxa"/>
            <w:noWrap w:val="0"/>
            <w:vAlign w:val="center"/>
          </w:tcPr>
          <w:p>
            <w:pPr>
              <w:spacing w:after="120" w:afterLines="50" w:line="440" w:lineRule="exact"/>
              <w:jc w:val="center"/>
              <w:rPr>
                <w:rFonts w:hint="eastAsia" w:ascii="宋体" w:hAnsi="宋体" w:eastAsia="宋体" w:cs="宋体"/>
                <w:b/>
                <w:bCs/>
                <w:color w:val="000000" w:themeColor="text1"/>
                <w:sz w:val="22"/>
                <w:szCs w:val="22"/>
                <w:highlight w:val="none"/>
                <w:lang w:eastAsia="zh-CN"/>
                <w14:textFill>
                  <w14:solidFill>
                    <w14:schemeClr w14:val="tx1"/>
                  </w14:solidFill>
                </w14:textFill>
              </w:rPr>
            </w:pPr>
            <w:r>
              <w:rPr>
                <w:rFonts w:hint="eastAsia" w:ascii="宋体" w:hAnsi="宋体" w:eastAsia="宋体" w:cs="宋体"/>
                <w:b/>
                <w:bCs/>
                <w:color w:val="000000" w:themeColor="text1"/>
                <w:sz w:val="22"/>
                <w:szCs w:val="22"/>
                <w:highlight w:val="none"/>
                <w:lang w:eastAsia="zh-CN"/>
                <w14:textFill>
                  <w14:solidFill>
                    <w14:schemeClr w14:val="tx1"/>
                  </w14:solidFill>
                </w14:textFill>
              </w:rPr>
              <w:t>人数（馆休日白班）</w:t>
            </w:r>
          </w:p>
        </w:tc>
        <w:tc>
          <w:tcPr>
            <w:tcW w:w="1337" w:type="dxa"/>
            <w:noWrap w:val="0"/>
            <w:vAlign w:val="center"/>
          </w:tcPr>
          <w:p>
            <w:pPr>
              <w:spacing w:after="120" w:afterLines="50" w:line="440" w:lineRule="exact"/>
              <w:jc w:val="center"/>
              <w:rPr>
                <w:rFonts w:hint="eastAsia" w:ascii="宋体" w:hAnsi="宋体" w:eastAsia="宋体" w:cs="宋体"/>
                <w:b/>
                <w:bCs/>
                <w:color w:val="000000" w:themeColor="text1"/>
                <w:sz w:val="22"/>
                <w:szCs w:val="22"/>
                <w:highlight w:val="none"/>
                <w:lang w:eastAsia="zh-CN"/>
                <w14:textFill>
                  <w14:solidFill>
                    <w14:schemeClr w14:val="tx1"/>
                  </w14:solidFill>
                </w14:textFill>
              </w:rPr>
            </w:pPr>
            <w:r>
              <w:rPr>
                <w:rFonts w:hint="eastAsia" w:ascii="宋体" w:hAnsi="宋体" w:eastAsia="宋体" w:cs="宋体"/>
                <w:b/>
                <w:bCs/>
                <w:color w:val="000000" w:themeColor="text1"/>
                <w:sz w:val="22"/>
                <w:szCs w:val="22"/>
                <w:highlight w:val="none"/>
                <w:lang w:eastAsia="zh-CN"/>
                <w14:textFill>
                  <w14:solidFill>
                    <w14:schemeClr w14:val="tx1"/>
                  </w14:solidFill>
                </w14:textFill>
              </w:rPr>
              <w:t>人数（夜班）</w:t>
            </w:r>
          </w:p>
        </w:tc>
        <w:tc>
          <w:tcPr>
            <w:tcW w:w="1558" w:type="dxa"/>
            <w:noWrap w:val="0"/>
            <w:vAlign w:val="center"/>
          </w:tcPr>
          <w:p>
            <w:pPr>
              <w:spacing w:after="120" w:afterLines="50" w:line="440" w:lineRule="exact"/>
              <w:jc w:val="center"/>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职称或</w:t>
            </w:r>
          </w:p>
          <w:p>
            <w:pPr>
              <w:spacing w:after="120" w:afterLines="50" w:line="440" w:lineRule="exact"/>
              <w:jc w:val="center"/>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技术级别要求</w:t>
            </w:r>
          </w:p>
        </w:tc>
        <w:tc>
          <w:tcPr>
            <w:tcW w:w="2451" w:type="dxa"/>
            <w:noWrap w:val="0"/>
            <w:vAlign w:val="center"/>
          </w:tcPr>
          <w:p>
            <w:pPr>
              <w:spacing w:after="120" w:afterLines="50" w:line="440" w:lineRule="exact"/>
              <w:jc w:val="center"/>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304" w:type="dxa"/>
            <w:noWrap w:val="0"/>
            <w:vAlign w:val="center"/>
          </w:tcPr>
          <w:p>
            <w:pPr>
              <w:spacing w:after="120" w:afterLines="50" w:line="440" w:lineRule="exact"/>
              <w:jc w:val="center"/>
              <w:rPr>
                <w:rFonts w:hint="eastAsia" w:ascii="宋体" w:hAnsi="宋体" w:eastAsia="宋体" w:cs="宋体"/>
                <w:color w:val="000000" w:themeColor="text1"/>
                <w:sz w:val="22"/>
                <w:szCs w:val="22"/>
                <w:highlight w:val="none"/>
                <w:lang w:eastAsia="zh-CN"/>
                <w14:textFill>
                  <w14:solidFill>
                    <w14:schemeClr w14:val="tx1"/>
                  </w14:solidFill>
                </w14:textFill>
              </w:rPr>
            </w:pPr>
            <w:r>
              <w:rPr>
                <w:rFonts w:ascii="微软雅黑" w:hAnsi="微软雅黑" w:eastAsia="微软雅黑" w:cs="微软雅黑"/>
                <w:i w:val="0"/>
                <w:iCs w:val="0"/>
                <w:caps w:val="0"/>
                <w:color w:val="000000" w:themeColor="text1"/>
                <w:spacing w:val="0"/>
                <w:sz w:val="21"/>
                <w:szCs w:val="21"/>
                <w:highlight w:val="none"/>
                <w:shd w:val="clear" w:fill="FFFFFF"/>
                <w14:textFill>
                  <w14:solidFill>
                    <w14:schemeClr w14:val="tx1"/>
                  </w14:solidFill>
                </w14:textFill>
              </w:rPr>
              <w:t>安防主管</w:t>
            </w:r>
          </w:p>
        </w:tc>
        <w:tc>
          <w:tcPr>
            <w:tcW w:w="1595" w:type="dxa"/>
            <w:noWrap w:val="0"/>
            <w:vAlign w:val="center"/>
          </w:tcPr>
          <w:p>
            <w:pPr>
              <w:spacing w:after="120" w:afterLines="50" w:line="44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14:textFill>
                  <w14:solidFill>
                    <w14:schemeClr w14:val="tx1"/>
                  </w14:solidFill>
                </w14:textFill>
              </w:rPr>
              <w:t>人</w:t>
            </w:r>
          </w:p>
        </w:tc>
        <w:tc>
          <w:tcPr>
            <w:tcW w:w="1609" w:type="dxa"/>
            <w:noWrap w:val="0"/>
            <w:vAlign w:val="center"/>
          </w:tcPr>
          <w:p>
            <w:pPr>
              <w:spacing w:after="120" w:afterLines="50" w:line="44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1人</w:t>
            </w:r>
          </w:p>
        </w:tc>
        <w:tc>
          <w:tcPr>
            <w:tcW w:w="1337" w:type="dxa"/>
            <w:noWrap w:val="0"/>
            <w:vAlign w:val="center"/>
          </w:tcPr>
          <w:p>
            <w:pPr>
              <w:spacing w:after="120" w:afterLines="50" w:line="44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558" w:type="dxa"/>
            <w:noWrap w:val="0"/>
            <w:vAlign w:val="center"/>
          </w:tcPr>
          <w:p>
            <w:pPr>
              <w:spacing w:after="120" w:afterLines="50" w:line="440" w:lineRule="exact"/>
              <w:jc w:val="both"/>
              <w:rPr>
                <w:rFonts w:hint="eastAsia" w:ascii="宋体" w:hAnsi="宋体" w:eastAsia="宋体" w:cs="宋体"/>
                <w:color w:val="000000" w:themeColor="text1"/>
                <w:sz w:val="22"/>
                <w:szCs w:val="22"/>
                <w:highlight w:val="none"/>
                <w:lang w:eastAsia="zh-CN"/>
                <w14:textFill>
                  <w14:solidFill>
                    <w14:schemeClr w14:val="tx1"/>
                  </w14:solidFill>
                </w14:textFill>
              </w:rPr>
            </w:pPr>
            <w:r>
              <w:rPr>
                <w:rFonts w:ascii="微软雅黑" w:hAnsi="微软雅黑" w:eastAsia="微软雅黑" w:cs="微软雅黑"/>
                <w:i w:val="0"/>
                <w:iCs w:val="0"/>
                <w:caps w:val="0"/>
                <w:color w:val="000000" w:themeColor="text1"/>
                <w:spacing w:val="0"/>
                <w:sz w:val="21"/>
                <w:szCs w:val="21"/>
                <w:highlight w:val="none"/>
                <w:shd w:val="clear" w:fill="FFFFFF"/>
                <w14:textFill>
                  <w14:solidFill>
                    <w14:schemeClr w14:val="tx1"/>
                  </w14:solidFill>
                </w14:textFill>
              </w:rPr>
              <w:t>安防主管</w:t>
            </w:r>
            <w:r>
              <w:rPr>
                <w:rFonts w:hint="eastAsia" w:ascii="宋体" w:hAnsi="宋体" w:eastAsia="宋体" w:cs="宋体"/>
                <w:color w:val="000000" w:themeColor="text1"/>
                <w:sz w:val="22"/>
                <w:szCs w:val="22"/>
                <w:highlight w:val="none"/>
                <w14:textFill>
                  <w14:solidFill>
                    <w14:schemeClr w14:val="tx1"/>
                  </w14:solidFill>
                </w14:textFill>
              </w:rPr>
              <w:t>具有</w:t>
            </w:r>
            <w:r>
              <w:rPr>
                <w:rFonts w:hint="eastAsia" w:ascii="宋体" w:hAnsi="宋体" w:eastAsia="宋体" w:cs="宋体"/>
                <w:color w:val="000000" w:themeColor="text1"/>
                <w:sz w:val="22"/>
                <w:szCs w:val="22"/>
                <w:highlight w:val="none"/>
                <w:lang w:eastAsia="zh-CN"/>
                <w14:textFill>
                  <w14:solidFill>
                    <w14:schemeClr w14:val="tx1"/>
                  </w14:solidFill>
                </w14:textFill>
              </w:rPr>
              <w:t>三年以上</w:t>
            </w:r>
            <w:r>
              <w:rPr>
                <w:rFonts w:hint="eastAsia" w:ascii="宋体" w:hAnsi="宋体" w:eastAsia="宋体" w:cs="宋体"/>
                <w:color w:val="000000" w:themeColor="text1"/>
                <w:sz w:val="22"/>
                <w:szCs w:val="22"/>
                <w:highlight w:val="none"/>
                <w14:textFill>
                  <w14:solidFill>
                    <w14:schemeClr w14:val="tx1"/>
                  </w14:solidFill>
                </w14:textFill>
              </w:rPr>
              <w:t>安保工作从业经历，持有上岗证</w:t>
            </w:r>
            <w:r>
              <w:rPr>
                <w:rFonts w:hint="eastAsia" w:ascii="宋体" w:hAnsi="宋体" w:eastAsia="宋体" w:cs="宋体"/>
                <w:color w:val="000000" w:themeColor="text1"/>
                <w:sz w:val="22"/>
                <w:szCs w:val="22"/>
                <w:highlight w:val="none"/>
                <w:lang w:eastAsia="zh-CN"/>
                <w14:textFill>
                  <w14:solidFill>
                    <w14:schemeClr w14:val="tx1"/>
                  </w14:solidFill>
                </w14:textFill>
              </w:rPr>
              <w:t>。</w:t>
            </w:r>
          </w:p>
        </w:tc>
        <w:tc>
          <w:tcPr>
            <w:tcW w:w="2451" w:type="dxa"/>
            <w:vMerge w:val="restart"/>
            <w:noWrap w:val="0"/>
            <w:vAlign w:val="center"/>
          </w:tcPr>
          <w:p>
            <w:pPr>
              <w:numPr>
                <w:ilvl w:val="0"/>
                <w:numId w:val="4"/>
              </w:numPr>
              <w:spacing w:after="120" w:afterLines="50" w:line="440" w:lineRule="exact"/>
              <w:jc w:val="both"/>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其他要求：认真负责，警惕性高，应熟练掌握灭火常识，会使用消防器材，对初起火灾能及时扑灭。重要岗位人员必须由采购人考核、方可录用。保安服务人员需要更换，须及时上报经采购人认可后方可更换；</w:t>
            </w:r>
          </w:p>
          <w:p>
            <w:pPr>
              <w:numPr>
                <w:ilvl w:val="0"/>
                <w:numId w:val="4"/>
              </w:numPr>
              <w:spacing w:after="120" w:afterLines="50" w:line="440" w:lineRule="exact"/>
              <w:jc w:val="both"/>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车岗要求每日7:30-18:00轮值在岗；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304" w:type="dxa"/>
            <w:noWrap w:val="0"/>
            <w:vAlign w:val="center"/>
          </w:tcPr>
          <w:p>
            <w:pPr>
              <w:spacing w:after="120" w:afterLines="50" w:line="440" w:lineRule="exact"/>
              <w:jc w:val="center"/>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其他保安</w:t>
            </w:r>
          </w:p>
        </w:tc>
        <w:tc>
          <w:tcPr>
            <w:tcW w:w="1595" w:type="dxa"/>
            <w:noWrap w:val="0"/>
            <w:vAlign w:val="center"/>
          </w:tcPr>
          <w:p>
            <w:pPr>
              <w:spacing w:after="120" w:afterLines="50" w:line="44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10人</w:t>
            </w:r>
          </w:p>
        </w:tc>
        <w:tc>
          <w:tcPr>
            <w:tcW w:w="1609" w:type="dxa"/>
            <w:noWrap w:val="0"/>
            <w:vAlign w:val="center"/>
          </w:tcPr>
          <w:p>
            <w:pPr>
              <w:spacing w:after="120" w:afterLines="50" w:line="44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4人</w:t>
            </w:r>
          </w:p>
        </w:tc>
        <w:tc>
          <w:tcPr>
            <w:tcW w:w="1337" w:type="dxa"/>
            <w:noWrap w:val="0"/>
            <w:vAlign w:val="center"/>
          </w:tcPr>
          <w:p>
            <w:pPr>
              <w:spacing w:after="120" w:afterLines="50" w:line="44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2人</w:t>
            </w:r>
          </w:p>
        </w:tc>
        <w:tc>
          <w:tcPr>
            <w:tcW w:w="1558" w:type="dxa"/>
            <w:noWrap w:val="0"/>
            <w:vAlign w:val="center"/>
          </w:tcPr>
          <w:p>
            <w:pPr>
              <w:spacing w:after="120" w:afterLines="50" w:line="44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2451" w:type="dxa"/>
            <w:vMerge w:val="continue"/>
            <w:noWrap w:val="0"/>
            <w:vAlign w:val="center"/>
          </w:tcPr>
          <w:p>
            <w:pPr>
              <w:spacing w:after="120" w:afterLines="50" w:line="440" w:lineRule="exact"/>
              <w:jc w:val="center"/>
              <w:rPr>
                <w:rFonts w:hint="eastAsia" w:ascii="宋体" w:hAnsi="宋体" w:eastAsia="宋体" w:cs="宋体"/>
                <w:color w:val="000000" w:themeColor="text1"/>
                <w:sz w:val="22"/>
                <w:szCs w:val="22"/>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04" w:type="dxa"/>
            <w:shd w:val="clear" w:color="auto" w:fill="auto"/>
            <w:noWrap w:val="0"/>
            <w:vAlign w:val="center"/>
          </w:tcPr>
          <w:p>
            <w:pPr>
              <w:spacing w:after="120" w:afterLines="50" w:line="440" w:lineRule="exact"/>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消控室</w:t>
            </w:r>
          </w:p>
        </w:tc>
        <w:tc>
          <w:tcPr>
            <w:tcW w:w="1595" w:type="dxa"/>
            <w:shd w:val="clear" w:color="auto" w:fill="auto"/>
            <w:noWrap w:val="0"/>
            <w:vAlign w:val="center"/>
          </w:tcPr>
          <w:p>
            <w:pPr>
              <w:spacing w:after="120" w:afterLines="50" w:line="440" w:lineRule="exact"/>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2人</w:t>
            </w:r>
          </w:p>
        </w:tc>
        <w:tc>
          <w:tcPr>
            <w:tcW w:w="1609" w:type="dxa"/>
            <w:shd w:val="clear" w:color="auto" w:fill="auto"/>
            <w:noWrap w:val="0"/>
            <w:vAlign w:val="center"/>
          </w:tcPr>
          <w:p>
            <w:pPr>
              <w:spacing w:after="120" w:afterLines="50" w:line="440" w:lineRule="exact"/>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2人</w:t>
            </w:r>
          </w:p>
        </w:tc>
        <w:tc>
          <w:tcPr>
            <w:tcW w:w="1337" w:type="dxa"/>
            <w:shd w:val="clear" w:color="auto" w:fill="auto"/>
            <w:noWrap w:val="0"/>
            <w:vAlign w:val="center"/>
          </w:tcPr>
          <w:p>
            <w:pPr>
              <w:spacing w:after="120" w:afterLines="50" w:line="440" w:lineRule="exact"/>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2人</w:t>
            </w:r>
          </w:p>
        </w:tc>
        <w:tc>
          <w:tcPr>
            <w:tcW w:w="1558" w:type="dxa"/>
            <w:shd w:val="clear" w:color="auto" w:fill="auto"/>
            <w:noWrap w:val="0"/>
            <w:vAlign w:val="center"/>
          </w:tcPr>
          <w:p>
            <w:pPr>
              <w:spacing w:after="120" w:afterLines="50" w:line="440" w:lineRule="exact"/>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消控值班室值班人员必须取得</w:t>
            </w:r>
            <w:r>
              <w:rPr>
                <w:rFonts w:hint="eastAsia" w:ascii="宋体" w:hAnsi="宋体" w:eastAsia="宋体" w:cs="宋体"/>
                <w:color w:val="000000" w:themeColor="text1"/>
                <w:sz w:val="22"/>
                <w:szCs w:val="22"/>
                <w:highlight w:val="none"/>
                <w:lang w:val="en-US" w:eastAsia="zh-CN"/>
                <w14:textFill>
                  <w14:solidFill>
                    <w14:schemeClr w14:val="tx1"/>
                  </w14:solidFill>
                </w14:textFill>
              </w:rPr>
              <w:t>相关的</w:t>
            </w:r>
            <w:r>
              <w:rPr>
                <w:rFonts w:hint="eastAsia" w:ascii="宋体" w:hAnsi="宋体" w:eastAsia="宋体" w:cs="宋体"/>
                <w:color w:val="000000" w:themeColor="text1"/>
                <w:sz w:val="22"/>
                <w:szCs w:val="22"/>
                <w:highlight w:val="none"/>
                <w14:textFill>
                  <w14:solidFill>
                    <w14:schemeClr w14:val="tx1"/>
                  </w14:solidFill>
                </w14:textFill>
              </w:rPr>
              <w:t>职业资格证书</w:t>
            </w:r>
            <w:r>
              <w:rPr>
                <w:rFonts w:hint="eastAsia" w:ascii="宋体" w:hAnsi="宋体" w:eastAsia="宋体" w:cs="宋体"/>
                <w:color w:val="000000" w:themeColor="text1"/>
                <w:sz w:val="22"/>
                <w:szCs w:val="22"/>
                <w:highlight w:val="none"/>
                <w:lang w:eastAsia="zh-CN"/>
                <w14:textFill>
                  <w14:solidFill>
                    <w14:schemeClr w14:val="tx1"/>
                  </w14:solidFill>
                </w14:textFill>
              </w:rPr>
              <w:t>。</w:t>
            </w:r>
          </w:p>
        </w:tc>
        <w:tc>
          <w:tcPr>
            <w:tcW w:w="2451" w:type="dxa"/>
            <w:noWrap w:val="0"/>
            <w:vAlign w:val="center"/>
          </w:tcPr>
          <w:p>
            <w:pPr>
              <w:spacing w:after="120" w:afterLines="50" w:line="440" w:lineRule="exact"/>
              <w:jc w:val="center"/>
              <w:rPr>
                <w:rFonts w:hint="eastAsia" w:ascii="宋体" w:hAnsi="宋体" w:eastAsia="宋体" w:cs="宋体"/>
                <w:color w:val="000000" w:themeColor="text1"/>
                <w:sz w:val="22"/>
                <w:szCs w:val="22"/>
                <w:highlight w:val="none"/>
                <w:u w:val="singl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要求</w:t>
            </w:r>
            <w:r>
              <w:rPr>
                <w:rFonts w:hint="eastAsia" w:ascii="宋体" w:hAnsi="宋体" w:eastAsia="宋体" w:cs="宋体"/>
                <w:color w:val="000000" w:themeColor="text1"/>
                <w:sz w:val="22"/>
                <w:szCs w:val="22"/>
                <w:highlight w:val="none"/>
                <w:lang w:eastAsia="zh-CN"/>
                <w14:textFill>
                  <w14:solidFill>
                    <w14:schemeClr w14:val="tx1"/>
                  </w14:solidFill>
                </w14:textFill>
              </w:rPr>
              <w:t>每日</w:t>
            </w:r>
            <w:r>
              <w:rPr>
                <w:rFonts w:hint="eastAsia" w:ascii="宋体" w:hAnsi="宋体" w:eastAsia="宋体" w:cs="宋体"/>
                <w:color w:val="000000" w:themeColor="text1"/>
                <w:sz w:val="22"/>
                <w:szCs w:val="22"/>
                <w:highlight w:val="none"/>
                <w14:textFill>
                  <w14:solidFill>
                    <w14:schemeClr w14:val="tx1"/>
                  </w14:solidFill>
                </w14:textFill>
              </w:rPr>
              <w:t>24小时</w:t>
            </w:r>
            <w:r>
              <w:rPr>
                <w:rFonts w:hint="eastAsia" w:ascii="宋体" w:hAnsi="宋体" w:eastAsia="宋体" w:cs="宋体"/>
                <w:color w:val="000000" w:themeColor="text1"/>
                <w:sz w:val="22"/>
                <w:szCs w:val="22"/>
                <w:highlight w:val="none"/>
                <w:lang w:eastAsia="zh-CN"/>
                <w14:textFill>
                  <w14:solidFill>
                    <w14:schemeClr w14:val="tx1"/>
                  </w14:solidFill>
                </w14:textFill>
              </w:rPr>
              <w:t>有</w:t>
            </w:r>
            <w:r>
              <w:rPr>
                <w:rFonts w:hint="eastAsia" w:ascii="宋体" w:hAnsi="宋体" w:eastAsia="宋体" w:cs="宋体"/>
                <w:color w:val="000000" w:themeColor="text1"/>
                <w:sz w:val="22"/>
                <w:szCs w:val="22"/>
                <w:highlight w:val="none"/>
                <w14:textFill>
                  <w14:solidFill>
                    <w14:schemeClr w14:val="tx1"/>
                  </w14:solidFill>
                </w14:textFill>
              </w:rPr>
              <w:t>人员在岗，</w:t>
            </w:r>
            <w:r>
              <w:rPr>
                <w:rFonts w:hint="eastAsia" w:ascii="宋体" w:hAnsi="宋体" w:eastAsia="宋体" w:cs="宋体"/>
                <w:color w:val="000000" w:themeColor="text1"/>
                <w:sz w:val="22"/>
                <w:szCs w:val="22"/>
                <w:highlight w:val="none"/>
                <w:lang w:eastAsia="zh-CN"/>
                <w14:textFill>
                  <w14:solidFill>
                    <w14:schemeClr w14:val="tx1"/>
                  </w14:solidFill>
                </w14:textFill>
              </w:rPr>
              <w:t>每年对消控岗的培训次数不少于四次</w:t>
            </w:r>
            <w:r>
              <w:rPr>
                <w:rFonts w:hint="eastAsia" w:ascii="宋体" w:hAnsi="宋体" w:cs="宋体"/>
                <w:color w:val="000000" w:themeColor="text1"/>
                <w:sz w:val="22"/>
                <w:szCs w:val="22"/>
                <w:highlight w:val="none"/>
                <w:lang w:eastAsia="zh-CN"/>
                <w14:textFill>
                  <w14:solidFill>
                    <w14:schemeClr w14:val="tx1"/>
                  </w14:solidFill>
                </w14:textFill>
              </w:rPr>
              <w:t>。</w:t>
            </w:r>
          </w:p>
        </w:tc>
      </w:tr>
    </w:tbl>
    <w:p>
      <w:pPr>
        <w:spacing w:after="120" w:afterLines="50" w:line="440" w:lineRule="exact"/>
        <w:ind w:left="550" w:hanging="550" w:hangingChars="2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3.   </w:t>
      </w:r>
      <w:r>
        <w:rPr>
          <w:rFonts w:hint="eastAsia" w:ascii="宋体" w:hAnsi="宋体" w:eastAsia="宋体" w:cs="宋体"/>
          <w:color w:val="000000" w:themeColor="text1"/>
          <w:sz w:val="22"/>
          <w:szCs w:val="22"/>
          <w:highlight w:val="none"/>
          <w:lang w:eastAsia="zh-CN"/>
          <w14:textFill>
            <w14:solidFill>
              <w14:schemeClr w14:val="tx1"/>
            </w14:solidFill>
          </w14:textFill>
        </w:rPr>
        <w:t>设备运行维护</w:t>
      </w:r>
      <w:r>
        <w:rPr>
          <w:rFonts w:hint="eastAsia" w:ascii="宋体" w:hAnsi="宋体" w:eastAsia="宋体" w:cs="宋体"/>
          <w:color w:val="000000" w:themeColor="text1"/>
          <w:sz w:val="22"/>
          <w:szCs w:val="22"/>
          <w:highlight w:val="none"/>
          <w14:textFill>
            <w14:solidFill>
              <w14:schemeClr w14:val="tx1"/>
            </w14:solidFill>
          </w14:textFill>
        </w:rPr>
        <w:t>服务人员</w:t>
      </w:r>
    </w:p>
    <w:p>
      <w:pPr>
        <w:spacing w:after="120" w:afterLines="50" w:line="440" w:lineRule="exact"/>
        <w:ind w:left="550" w:hanging="550" w:hangingChars="2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3.1</w:t>
      </w:r>
      <w:r>
        <w:rPr>
          <w:rFonts w:hint="eastAsia" w:ascii="宋体" w:hAnsi="宋体" w:eastAsia="宋体" w:cs="宋体"/>
          <w:color w:val="000000" w:themeColor="text1"/>
          <w:sz w:val="22"/>
          <w:szCs w:val="22"/>
          <w:highlight w:val="none"/>
          <w14:textFill>
            <w14:solidFill>
              <w14:schemeClr w14:val="tx1"/>
            </w14:solidFill>
          </w14:textFill>
        </w:rPr>
        <w:t>人员配备：总人数不得少于</w:t>
      </w:r>
      <w:r>
        <w:rPr>
          <w:rFonts w:hint="eastAsia" w:ascii="宋体" w:hAnsi="宋体" w:eastAsia="宋体" w:cs="宋体"/>
          <w:color w:val="000000" w:themeColor="text1"/>
          <w:sz w:val="22"/>
          <w:szCs w:val="22"/>
          <w:highlight w:val="none"/>
          <w:lang w:val="en-US" w:eastAsia="zh-CN"/>
          <w14:textFill>
            <w14:solidFill>
              <w14:schemeClr w14:val="tx1"/>
            </w14:solidFill>
          </w14:textFill>
        </w:rPr>
        <w:t>5</w:t>
      </w:r>
      <w:r>
        <w:rPr>
          <w:rFonts w:hint="eastAsia" w:ascii="宋体" w:hAnsi="宋体" w:eastAsia="宋体" w:cs="宋体"/>
          <w:color w:val="000000" w:themeColor="text1"/>
          <w:sz w:val="22"/>
          <w:szCs w:val="22"/>
          <w:highlight w:val="none"/>
          <w14:textFill>
            <w14:solidFill>
              <w14:schemeClr w14:val="tx1"/>
            </w14:solidFill>
          </w14:textFill>
        </w:rPr>
        <w:t>人，具体岗位如下：</w:t>
      </w:r>
    </w:p>
    <w:tbl>
      <w:tblPr>
        <w:tblStyle w:val="62"/>
        <w:tblW w:w="8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1843"/>
        <w:gridCol w:w="2693"/>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noWrap w:val="0"/>
            <w:vAlign w:val="center"/>
          </w:tcPr>
          <w:p>
            <w:pPr>
              <w:spacing w:after="120" w:afterLines="50" w:line="440" w:lineRule="exact"/>
              <w:jc w:val="center"/>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人员分配</w:t>
            </w:r>
          </w:p>
        </w:tc>
        <w:tc>
          <w:tcPr>
            <w:tcW w:w="1843" w:type="dxa"/>
            <w:noWrap w:val="0"/>
            <w:vAlign w:val="center"/>
          </w:tcPr>
          <w:p>
            <w:pPr>
              <w:spacing w:after="120" w:afterLines="50" w:line="440" w:lineRule="exact"/>
              <w:jc w:val="center"/>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配置人数（最低）</w:t>
            </w:r>
          </w:p>
        </w:tc>
        <w:tc>
          <w:tcPr>
            <w:tcW w:w="2693" w:type="dxa"/>
            <w:noWrap w:val="0"/>
            <w:vAlign w:val="center"/>
          </w:tcPr>
          <w:p>
            <w:pPr>
              <w:spacing w:after="120" w:afterLines="50" w:line="440" w:lineRule="exact"/>
              <w:jc w:val="center"/>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职称或技术级别要求</w:t>
            </w:r>
          </w:p>
        </w:tc>
        <w:tc>
          <w:tcPr>
            <w:tcW w:w="2268" w:type="dxa"/>
            <w:noWrap w:val="0"/>
            <w:vAlign w:val="center"/>
          </w:tcPr>
          <w:p>
            <w:pPr>
              <w:spacing w:after="120" w:afterLines="50" w:line="440" w:lineRule="exact"/>
              <w:jc w:val="center"/>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984" w:type="dxa"/>
            <w:noWrap w:val="0"/>
            <w:vAlign w:val="center"/>
          </w:tcPr>
          <w:p>
            <w:pPr>
              <w:spacing w:after="120" w:afterLines="50" w:line="440" w:lineRule="exact"/>
              <w:jc w:val="center"/>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设备维护主管</w:t>
            </w:r>
          </w:p>
        </w:tc>
        <w:tc>
          <w:tcPr>
            <w:tcW w:w="1843" w:type="dxa"/>
            <w:noWrap w:val="0"/>
            <w:vAlign w:val="center"/>
          </w:tcPr>
          <w:p>
            <w:pPr>
              <w:spacing w:after="120" w:afterLines="50" w:line="44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14:textFill>
                  <w14:solidFill>
                    <w14:schemeClr w14:val="tx1"/>
                  </w14:solidFill>
                </w14:textFill>
              </w:rPr>
              <w:t>人</w:t>
            </w:r>
          </w:p>
        </w:tc>
        <w:tc>
          <w:tcPr>
            <w:tcW w:w="2693" w:type="dxa"/>
            <w:noWrap w:val="0"/>
            <w:vAlign w:val="center"/>
          </w:tcPr>
          <w:p>
            <w:pPr>
              <w:spacing w:after="120" w:afterLines="50" w:line="440" w:lineRule="exact"/>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须具有电工</w:t>
            </w:r>
            <w:r>
              <w:rPr>
                <w:rFonts w:hint="eastAsia" w:ascii="宋体" w:hAnsi="宋体" w:eastAsia="宋体" w:cs="宋体"/>
                <w:color w:val="000000" w:themeColor="text1"/>
                <w:sz w:val="22"/>
                <w:szCs w:val="22"/>
                <w:highlight w:val="none"/>
                <w:lang w:val="en-US" w:eastAsia="zh-CN"/>
                <w14:textFill>
                  <w14:solidFill>
                    <w14:schemeClr w14:val="tx1"/>
                  </w14:solidFill>
                </w14:textFill>
              </w:rPr>
              <w:t>相关</w:t>
            </w:r>
            <w:r>
              <w:rPr>
                <w:rFonts w:hint="eastAsia" w:ascii="宋体" w:hAnsi="宋体" w:eastAsia="宋体" w:cs="宋体"/>
                <w:color w:val="000000" w:themeColor="text1"/>
                <w:sz w:val="22"/>
                <w:szCs w:val="22"/>
                <w:highlight w:val="none"/>
                <w14:textFill>
                  <w14:solidFill>
                    <w14:schemeClr w14:val="tx1"/>
                  </w14:solidFill>
                </w14:textFill>
              </w:rPr>
              <w:t>操作证</w:t>
            </w:r>
          </w:p>
          <w:p>
            <w:pPr>
              <w:spacing w:after="120" w:afterLines="50" w:line="44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2268" w:type="dxa"/>
            <w:vMerge w:val="restart"/>
            <w:noWrap w:val="0"/>
            <w:vAlign w:val="center"/>
          </w:tcPr>
          <w:p>
            <w:pPr>
              <w:spacing w:after="120" w:afterLines="50" w:line="440" w:lineRule="exac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u w:val="none" w:color="auto"/>
                <w:shd w:val="clear" w:color="auto" w:fill="auto"/>
                <w:lang w:val="en-US" w:eastAsia="zh-CN"/>
                <w14:textFill>
                  <w14:solidFill>
                    <w14:schemeClr w14:val="tx1"/>
                  </w14:solidFill>
                </w14:textFill>
              </w:rPr>
              <w:t>男</w:t>
            </w:r>
            <w:r>
              <w:rPr>
                <w:rFonts w:hint="eastAsia" w:ascii="宋体" w:hAnsi="宋体" w:cs="宋体"/>
                <w:color w:val="000000" w:themeColor="text1"/>
                <w:sz w:val="22"/>
                <w:szCs w:val="22"/>
                <w:highlight w:val="none"/>
                <w:u w:val="none" w:color="auto"/>
                <w:shd w:val="clear" w:color="auto" w:fill="auto"/>
                <w:lang w:val="en-US" w:eastAsia="zh-CN"/>
                <w14:textFill>
                  <w14:solidFill>
                    <w14:schemeClr w14:val="tx1"/>
                  </w14:solidFill>
                </w14:textFill>
              </w:rPr>
              <w:t>，</w:t>
            </w:r>
            <w:r>
              <w:rPr>
                <w:rFonts w:hint="eastAsia" w:ascii="宋体" w:hAnsi="宋体" w:eastAsia="宋体" w:cs="宋体"/>
                <w:color w:val="000000" w:themeColor="text1"/>
                <w:sz w:val="22"/>
                <w:szCs w:val="22"/>
                <w:highlight w:val="none"/>
                <w:u w:val="none" w:color="auto"/>
                <w:shd w:val="clear" w:color="auto" w:fill="auto"/>
                <w:lang w:val="en-US" w:eastAsia="zh-CN"/>
                <w14:textFill>
                  <w14:solidFill>
                    <w14:schemeClr w14:val="tx1"/>
                  </w14:solidFill>
                </w14:textFill>
              </w:rPr>
              <w:t>开馆日</w:t>
            </w:r>
            <w:r>
              <w:rPr>
                <w:rFonts w:hint="eastAsia" w:ascii="宋体" w:hAnsi="宋体" w:eastAsia="宋体" w:cs="宋体"/>
                <w:color w:val="000000" w:themeColor="text1"/>
                <w:sz w:val="22"/>
                <w:szCs w:val="22"/>
                <w:highlight w:val="none"/>
                <w:lang w:eastAsia="zh-CN"/>
                <w14:textFill>
                  <w14:solidFill>
                    <w14:schemeClr w14:val="tx1"/>
                  </w14:solidFill>
                </w14:textFill>
              </w:rPr>
              <w:t>白班人数不少于</w:t>
            </w:r>
            <w:r>
              <w:rPr>
                <w:rFonts w:hint="eastAsia" w:ascii="宋体" w:hAnsi="宋体" w:eastAsia="宋体" w:cs="宋体"/>
                <w:color w:val="000000" w:themeColor="text1"/>
                <w:sz w:val="22"/>
                <w:szCs w:val="22"/>
                <w:highlight w:val="none"/>
                <w:lang w:val="en-US" w:eastAsia="zh-CN"/>
                <w14:textFill>
                  <w14:solidFill>
                    <w14:schemeClr w14:val="tx1"/>
                  </w14:solidFill>
                </w14:textFill>
              </w:rPr>
              <w:t>2人，电工岗要求24小时轮值。具体轮班时间由供应商后续配置。</w:t>
            </w:r>
          </w:p>
          <w:p>
            <w:pPr>
              <w:spacing w:after="120" w:afterLines="50" w:line="440" w:lineRule="exac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其中一人是设备管理员，大专及以上学历优先，有</w:t>
            </w:r>
            <w:r>
              <w:rPr>
                <w:rFonts w:hint="eastAsia" w:ascii="宋体" w:hAnsi="宋体" w:eastAsia="宋体" w:cs="宋体"/>
                <w:color w:val="000000" w:themeColor="text1"/>
                <w:sz w:val="22"/>
                <w:szCs w:val="22"/>
                <w:highlight w:val="none"/>
                <w:u w:val="none" w:color="auto"/>
                <w:shd w:val="clear" w:color="auto" w:fill="auto"/>
                <w:lang w:eastAsia="zh-CN"/>
                <w14:textFill>
                  <w14:solidFill>
                    <w14:schemeClr w14:val="tx1"/>
                  </w14:solidFill>
                </w14:textFill>
              </w:rPr>
              <w:t>特种设备安全管理员证优先，</w:t>
            </w:r>
            <w:r>
              <w:rPr>
                <w:rFonts w:hint="eastAsia" w:ascii="宋体" w:hAnsi="宋体" w:eastAsia="宋体" w:cs="宋体"/>
                <w:color w:val="000000" w:themeColor="text1"/>
                <w:sz w:val="22"/>
                <w:szCs w:val="22"/>
                <w:highlight w:val="none"/>
                <w:u w:val="none" w:color="auto"/>
                <w:shd w:val="clear" w:color="auto" w:fill="auto"/>
                <w14:textFill>
                  <w14:solidFill>
                    <w14:schemeClr w14:val="tx1"/>
                  </w14:solidFill>
                </w14:textFill>
              </w:rPr>
              <w:t>负责</w:t>
            </w:r>
            <w:r>
              <w:rPr>
                <w:rFonts w:hint="eastAsia" w:ascii="宋体" w:hAnsi="宋体" w:eastAsia="宋体" w:cs="宋体"/>
                <w:color w:val="000000" w:themeColor="text1"/>
                <w:sz w:val="22"/>
                <w:szCs w:val="22"/>
                <w:highlight w:val="none"/>
                <w:u w:val="none" w:color="auto"/>
                <w:shd w:val="clear" w:color="auto" w:fill="auto"/>
                <w:lang w:eastAsia="zh-CN"/>
                <w14:textFill>
                  <w14:solidFill>
                    <w14:schemeClr w14:val="tx1"/>
                  </w14:solidFill>
                </w14:textFill>
              </w:rPr>
              <w:t>工程类管理</w:t>
            </w:r>
            <w:r>
              <w:rPr>
                <w:rFonts w:hint="eastAsia" w:ascii="宋体" w:hAnsi="宋体" w:eastAsia="宋体" w:cs="宋体"/>
                <w:color w:val="000000" w:themeColor="text1"/>
                <w:sz w:val="22"/>
                <w:szCs w:val="22"/>
                <w:highlight w:val="none"/>
                <w:u w:val="none" w:color="auto"/>
                <w:shd w:val="clear" w:color="auto" w:fill="auto"/>
                <w14:textFill>
                  <w14:solidFill>
                    <w14:schemeClr w14:val="tx1"/>
                  </w14:solidFill>
                </w14:textFill>
              </w:rPr>
              <w:t>工作</w:t>
            </w:r>
            <w:r>
              <w:rPr>
                <w:rFonts w:hint="eastAsia" w:ascii="宋体" w:hAnsi="宋体" w:eastAsia="宋体" w:cs="宋体"/>
                <w:color w:val="000000" w:themeColor="text1"/>
                <w:sz w:val="22"/>
                <w:szCs w:val="22"/>
                <w:highlight w:val="none"/>
                <w:u w:val="none" w:color="auto"/>
                <w:shd w:val="clear" w:color="auto" w:fill="auto"/>
                <w:lang w:eastAsia="zh-CN"/>
                <w14:textFill>
                  <w14:solidFill>
                    <w14:schemeClr w14:val="tx1"/>
                  </w14:solidFill>
                </w14:textFill>
              </w:rPr>
              <w:t>，负责设备设施安全管理及运行，掌握设备设施基本情况</w:t>
            </w:r>
            <w:r>
              <w:rPr>
                <w:rFonts w:hint="eastAsia" w:ascii="宋体" w:hAnsi="宋体" w:eastAsia="宋体" w:cs="宋体"/>
                <w:color w:val="000000" w:themeColor="text1"/>
                <w:sz w:val="22"/>
                <w:szCs w:val="22"/>
                <w:highlight w:val="none"/>
                <w:u w:val="none" w:color="auto"/>
                <w:shd w:val="clear" w:color="auto" w:fill="auto"/>
                <w14:textFill>
                  <w14:solidFill>
                    <w14:schemeClr w14:val="tx1"/>
                  </w14:solidFill>
                </w14:textFill>
              </w:rPr>
              <w:t>，熟悉消防、水电、空调、电梯</w:t>
            </w:r>
            <w:r>
              <w:rPr>
                <w:rFonts w:hint="eastAsia" w:ascii="宋体" w:hAnsi="宋体" w:eastAsia="宋体" w:cs="宋体"/>
                <w:color w:val="000000" w:themeColor="text1"/>
                <w:sz w:val="22"/>
                <w:szCs w:val="22"/>
                <w:highlight w:val="none"/>
                <w:u w:val="none" w:color="auto"/>
                <w:shd w:val="clear" w:color="auto" w:fill="auto"/>
                <w:lang w:eastAsia="zh-CN"/>
                <w14:textFill>
                  <w14:solidFill>
                    <w14:schemeClr w14:val="tx1"/>
                  </w14:solidFill>
                </w14:textFill>
              </w:rPr>
              <w:t>、信息化</w:t>
            </w:r>
            <w:r>
              <w:rPr>
                <w:rFonts w:hint="eastAsia" w:ascii="宋体" w:hAnsi="宋体" w:eastAsia="宋体" w:cs="宋体"/>
                <w:color w:val="000000" w:themeColor="text1"/>
                <w:sz w:val="22"/>
                <w:szCs w:val="22"/>
                <w:highlight w:val="none"/>
                <w:u w:val="none" w:color="auto"/>
                <w:shd w:val="clear" w:color="auto" w:fill="auto"/>
                <w14:textFill>
                  <w14:solidFill>
                    <w14:schemeClr w14:val="tx1"/>
                  </w14:solidFill>
                </w14:textFill>
              </w:rPr>
              <w:t>等各类设备的维修保养工作</w:t>
            </w:r>
            <w:r>
              <w:rPr>
                <w:rFonts w:hint="eastAsia" w:ascii="宋体" w:hAnsi="宋体" w:eastAsia="宋体" w:cs="宋体"/>
                <w:color w:val="000000" w:themeColor="text1"/>
                <w:sz w:val="22"/>
                <w:szCs w:val="22"/>
                <w:highlight w:val="none"/>
                <w:u w:val="none" w:color="auto"/>
                <w:shd w:val="clear" w:color="auto" w:fill="auto"/>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984" w:type="dxa"/>
            <w:noWrap w:val="0"/>
            <w:vAlign w:val="center"/>
          </w:tcPr>
          <w:p>
            <w:pPr>
              <w:spacing w:after="120" w:afterLines="50" w:line="440" w:lineRule="exact"/>
              <w:jc w:val="center"/>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工程设备维修</w:t>
            </w:r>
            <w:r>
              <w:rPr>
                <w:rFonts w:hint="eastAsia" w:ascii="宋体" w:hAnsi="宋体" w:eastAsia="宋体" w:cs="宋体"/>
                <w:color w:val="000000" w:themeColor="text1"/>
                <w:sz w:val="22"/>
                <w:szCs w:val="22"/>
                <w:highlight w:val="none"/>
                <w:lang w:eastAsia="zh-CN"/>
                <w14:textFill>
                  <w14:solidFill>
                    <w14:schemeClr w14:val="tx1"/>
                  </w14:solidFill>
                </w14:textFill>
              </w:rPr>
              <w:t>（兼电工）</w:t>
            </w:r>
          </w:p>
        </w:tc>
        <w:tc>
          <w:tcPr>
            <w:tcW w:w="1843" w:type="dxa"/>
            <w:noWrap w:val="0"/>
            <w:vAlign w:val="center"/>
          </w:tcPr>
          <w:p>
            <w:pPr>
              <w:spacing w:after="120" w:afterLines="50" w:line="440" w:lineRule="exact"/>
              <w:jc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3+1</w:t>
            </w:r>
            <w:r>
              <w:rPr>
                <w:rFonts w:hint="eastAsia" w:ascii="宋体" w:hAnsi="宋体" w:eastAsia="宋体" w:cs="宋体"/>
                <w:color w:val="000000" w:themeColor="text1"/>
                <w:sz w:val="22"/>
                <w:szCs w:val="22"/>
                <w:highlight w:val="none"/>
                <w14:textFill>
                  <w14:solidFill>
                    <w14:schemeClr w14:val="tx1"/>
                  </w14:solidFill>
                </w14:textFill>
              </w:rPr>
              <w:t>人</w:t>
            </w:r>
            <w:r>
              <w:rPr>
                <w:rFonts w:hint="eastAsia" w:ascii="宋体" w:hAnsi="宋体" w:cs="宋体"/>
                <w:color w:val="000000" w:themeColor="text1"/>
                <w:sz w:val="22"/>
                <w:szCs w:val="22"/>
                <w:highlight w:val="none"/>
                <w:lang w:val="en-US"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设备管理员</w:t>
            </w:r>
            <w:r>
              <w:rPr>
                <w:rFonts w:hint="eastAsia" w:ascii="宋体" w:hAnsi="宋体" w:cs="宋体"/>
                <w:color w:val="000000" w:themeColor="text1"/>
                <w:sz w:val="22"/>
                <w:szCs w:val="22"/>
                <w:highlight w:val="none"/>
                <w:lang w:val="en-US" w:eastAsia="zh-CN"/>
                <w14:textFill>
                  <w14:solidFill>
                    <w14:schemeClr w14:val="tx1"/>
                  </w14:solidFill>
                </w14:textFill>
              </w:rPr>
              <w:t>)</w:t>
            </w:r>
          </w:p>
        </w:tc>
        <w:tc>
          <w:tcPr>
            <w:tcW w:w="2693" w:type="dxa"/>
            <w:noWrap w:val="0"/>
            <w:vAlign w:val="center"/>
          </w:tcPr>
          <w:p>
            <w:pPr>
              <w:spacing w:after="120" w:afterLines="50" w:line="44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须具有电工</w:t>
            </w:r>
            <w:r>
              <w:rPr>
                <w:rFonts w:hint="eastAsia" w:ascii="宋体" w:hAnsi="宋体" w:eastAsia="宋体" w:cs="宋体"/>
                <w:color w:val="000000" w:themeColor="text1"/>
                <w:sz w:val="22"/>
                <w:szCs w:val="22"/>
                <w:highlight w:val="none"/>
                <w:lang w:val="en-US" w:eastAsia="zh-CN"/>
                <w14:textFill>
                  <w14:solidFill>
                    <w14:schemeClr w14:val="tx1"/>
                  </w14:solidFill>
                </w14:textFill>
              </w:rPr>
              <w:t>相关</w:t>
            </w:r>
            <w:r>
              <w:rPr>
                <w:rFonts w:hint="eastAsia" w:ascii="宋体" w:hAnsi="宋体" w:eastAsia="宋体" w:cs="宋体"/>
                <w:color w:val="000000" w:themeColor="text1"/>
                <w:sz w:val="22"/>
                <w:szCs w:val="22"/>
                <w:highlight w:val="none"/>
                <w14:textFill>
                  <w14:solidFill>
                    <w14:schemeClr w14:val="tx1"/>
                  </w14:solidFill>
                </w14:textFill>
              </w:rPr>
              <w:t>操作证</w:t>
            </w:r>
          </w:p>
        </w:tc>
        <w:tc>
          <w:tcPr>
            <w:tcW w:w="2268" w:type="dxa"/>
            <w:vMerge w:val="continue"/>
            <w:noWrap w:val="0"/>
            <w:vAlign w:val="center"/>
          </w:tcPr>
          <w:p>
            <w:pPr>
              <w:spacing w:after="120" w:afterLines="50" w:line="440" w:lineRule="exact"/>
              <w:rPr>
                <w:rFonts w:hint="eastAsia" w:ascii="宋体" w:hAnsi="宋体" w:eastAsia="宋体" w:cs="宋体"/>
                <w:color w:val="000000" w:themeColor="text1"/>
                <w:sz w:val="22"/>
                <w:szCs w:val="22"/>
                <w:highlight w:val="none"/>
                <w:u w:val="single"/>
                <w14:textFill>
                  <w14:solidFill>
                    <w14:schemeClr w14:val="tx1"/>
                  </w14:solidFill>
                </w14:textFill>
              </w:rPr>
            </w:pPr>
          </w:p>
        </w:tc>
      </w:tr>
    </w:tbl>
    <w:p>
      <w:pPr>
        <w:pStyle w:val="2"/>
        <w:pageBreakBefore w:val="0"/>
        <w:widowControl w:val="0"/>
        <w:kinsoku/>
        <w:wordWrap/>
        <w:overflowPunct/>
        <w:topLinePunct w:val="0"/>
        <w:autoSpaceDE/>
        <w:autoSpaceDN/>
        <w:bidi w:val="0"/>
        <w:spacing w:before="0" w:beforeLines="0" w:after="0" w:afterLines="0" w:line="480" w:lineRule="exact"/>
        <w:ind w:left="0" w:leftChars="0" w:firstLine="0" w:firstLineChars="0"/>
        <w:textAlignment w:val="auto"/>
        <w:rPr>
          <w:rFonts w:hint="eastAsia" w:ascii="宋体" w:hAnsi="宋体" w:eastAsia="宋体" w:cs="宋体"/>
          <w:b w:val="0"/>
          <w:bCs w:val="0"/>
          <w:color w:val="000000" w:themeColor="text1"/>
          <w:kern w:val="2"/>
          <w:sz w:val="22"/>
          <w:szCs w:val="22"/>
          <w:highlight w:val="none"/>
          <w:lang w:val="en-US" w:eastAsia="zh-CN" w:bidi="ar-SA"/>
          <w14:textFill>
            <w14:solidFill>
              <w14:schemeClr w14:val="tx1"/>
            </w14:solidFill>
          </w14:textFill>
        </w:rPr>
      </w:pPr>
    </w:p>
    <w:p>
      <w:pPr>
        <w:pStyle w:val="2"/>
        <w:pageBreakBefore w:val="0"/>
        <w:widowControl w:val="0"/>
        <w:kinsoku/>
        <w:wordWrap/>
        <w:overflowPunct/>
        <w:topLinePunct w:val="0"/>
        <w:autoSpaceDE/>
        <w:autoSpaceDN/>
        <w:bidi w:val="0"/>
        <w:spacing w:before="0" w:beforeLines="0" w:after="0" w:afterLines="0" w:line="480" w:lineRule="exact"/>
        <w:ind w:left="0" w:leftChars="0" w:firstLine="0" w:firstLineChars="0"/>
        <w:textAlignment w:val="auto"/>
        <w:rPr>
          <w:rFonts w:hint="eastAsia" w:ascii="宋体" w:hAnsi="宋体" w:eastAsia="宋体" w:cs="宋体"/>
          <w:b w:val="0"/>
          <w:bCs w:val="0"/>
          <w:color w:val="000000" w:themeColor="text1"/>
          <w:kern w:val="2"/>
          <w:sz w:val="22"/>
          <w:szCs w:val="22"/>
          <w:highlight w:val="none"/>
          <w:lang w:val="en-US" w:eastAsia="zh-CN" w:bidi="ar-SA"/>
          <w14:textFill>
            <w14:solidFill>
              <w14:schemeClr w14:val="tx1"/>
            </w14:solidFill>
          </w14:textFill>
        </w:rPr>
      </w:pPr>
    </w:p>
    <w:p>
      <w:pPr>
        <w:pStyle w:val="2"/>
        <w:pageBreakBefore w:val="0"/>
        <w:widowControl w:val="0"/>
        <w:kinsoku/>
        <w:wordWrap/>
        <w:overflowPunct/>
        <w:topLinePunct w:val="0"/>
        <w:autoSpaceDE/>
        <w:autoSpaceDN/>
        <w:bidi w:val="0"/>
        <w:spacing w:before="0" w:beforeLines="0" w:after="0" w:afterLines="0" w:line="480" w:lineRule="exact"/>
        <w:ind w:left="0" w:leftChars="0" w:firstLine="0" w:firstLineChars="0"/>
        <w:textAlignment w:val="auto"/>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eastAsia="宋体" w:cs="宋体"/>
          <w:b w:val="0"/>
          <w:bCs w:val="0"/>
          <w:color w:val="000000" w:themeColor="text1"/>
          <w:kern w:val="2"/>
          <w:sz w:val="22"/>
          <w:szCs w:val="22"/>
          <w:highlight w:val="none"/>
          <w:lang w:val="en-US" w:eastAsia="zh-CN" w:bidi="ar-SA"/>
          <w14:textFill>
            <w14:solidFill>
              <w14:schemeClr w14:val="tx1"/>
            </w14:solidFill>
          </w14:textFill>
        </w:rPr>
        <w:t>3.2设备维保项目和内容如下：</w:t>
      </w:r>
      <w:r>
        <w:rPr>
          <w:rFonts w:hint="eastAsia" w:ascii="宋体" w:hAnsi="宋体" w:eastAsia="宋体" w:cs="宋体"/>
          <w:b/>
          <w:color w:val="000000" w:themeColor="text1"/>
          <w:sz w:val="24"/>
          <w:highlight w:val="none"/>
          <w:lang w:val="en-US" w:eastAsia="zh-CN"/>
          <w14:textFill>
            <w14:solidFill>
              <w14:schemeClr w14:val="tx1"/>
            </w14:solidFill>
          </w14:textFill>
        </w:rPr>
        <w:t xml:space="preserve"> </w:t>
      </w:r>
    </w:p>
    <w:tbl>
      <w:tblPr>
        <w:tblStyle w:val="62"/>
        <w:tblW w:w="864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9"/>
        <w:gridCol w:w="1993"/>
        <w:gridCol w:w="2745"/>
        <w:gridCol w:w="3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3" w:hRule="atLeast"/>
        </w:trPr>
        <w:tc>
          <w:tcPr>
            <w:tcW w:w="6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序号</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项目</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维保内容</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4" w:hRule="atLeast"/>
        </w:trPr>
        <w:tc>
          <w:tcPr>
            <w:tcW w:w="6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发电机组维保</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1套</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月度维保，运行时随叫随到并提供车载发电机应急。急服务。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8" w:hRule="atLeast"/>
        </w:trPr>
        <w:tc>
          <w:tcPr>
            <w:tcW w:w="6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空调机组</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5"/>
              </w:numPr>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空调末端、空调机房</w:t>
            </w:r>
          </w:p>
          <w:p>
            <w:pPr>
              <w:keepNext w:val="0"/>
              <w:keepLines w:val="0"/>
              <w:widowControl/>
              <w:numPr>
                <w:ilvl w:val="0"/>
                <w:numId w:val="5"/>
              </w:numPr>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热水机组4组</w:t>
            </w:r>
          </w:p>
          <w:p>
            <w:pPr>
              <w:keepNext w:val="0"/>
              <w:keepLines w:val="0"/>
              <w:widowControl/>
              <w:numPr>
                <w:ilvl w:val="0"/>
                <w:numId w:val="5"/>
              </w:numPr>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冷水机组4组</w:t>
            </w:r>
          </w:p>
          <w:p>
            <w:pPr>
              <w:keepNext w:val="0"/>
              <w:keepLines w:val="0"/>
              <w:widowControl/>
              <w:numPr>
                <w:ilvl w:val="-1"/>
                <w:numId w:val="0"/>
              </w:numPr>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4、冷却塔7台</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1"/>
                <w:numId w:val="0"/>
              </w:numPr>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一年二次清洗消毒，保养，运行时随叫随到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8" w:hRule="atLeast"/>
        </w:trPr>
        <w:tc>
          <w:tcPr>
            <w:tcW w:w="6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电梯日常维护保养</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1个机房、1台3吨货梯、2台观光梯、4台扶梯</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月度维保二次，40分钟内应急响应，协助年度检测及整改项目并取得合格证。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trPr>
        <w:tc>
          <w:tcPr>
            <w:tcW w:w="6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油烟管道清洗</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themeColor="text1"/>
                <w:sz w:val="22"/>
                <w:szCs w:val="22"/>
                <w:highlight w:val="none"/>
                <w:u w:val="none"/>
                <w:lang w:eastAsia="zh-CN"/>
                <w14:textFill>
                  <w14:solidFill>
                    <w14:schemeClr w14:val="tx1"/>
                  </w14:solidFill>
                </w14:textFill>
              </w:rPr>
            </w:pPr>
            <w:r>
              <w:rPr>
                <w:rFonts w:hint="eastAsia" w:ascii="宋体" w:hAnsi="宋体" w:eastAsia="宋体" w:cs="宋体"/>
                <w:i w:val="0"/>
                <w:iCs w:val="0"/>
                <w:color w:val="000000" w:themeColor="text1"/>
                <w:sz w:val="22"/>
                <w:szCs w:val="22"/>
                <w:highlight w:val="none"/>
                <w:u w:val="none"/>
                <w:lang w:eastAsia="zh-CN"/>
                <w14:textFill>
                  <w14:solidFill>
                    <w14:schemeClr w14:val="tx1"/>
                  </w14:solidFill>
                </w14:textFill>
              </w:rPr>
              <w:t>一年二次</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themeColor="text1"/>
                <w:sz w:val="22"/>
                <w:szCs w:val="22"/>
                <w:highlight w:val="none"/>
                <w:u w:val="none"/>
                <w:lang w:eastAsia="zh-CN"/>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一年二次风管，烟罩，净化器清洗。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6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访客登记信息系统运行维护和技术支持服务</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themeColor="text1"/>
                <w:sz w:val="22"/>
                <w:szCs w:val="22"/>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2"/>
                <w:szCs w:val="22"/>
                <w:highlight w:val="none"/>
                <w:u w:val="none"/>
                <w:lang w:val="en-US" w:eastAsia="zh-CN"/>
                <w14:textFill>
                  <w14:solidFill>
                    <w14:schemeClr w14:val="tx1"/>
                  </w14:solidFill>
                </w14:textFill>
              </w:rPr>
              <w:t>1套</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themeColor="text1"/>
                <w:sz w:val="22"/>
                <w:szCs w:val="22"/>
                <w:highlight w:val="none"/>
                <w:u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北</w:t>
            </w:r>
            <w:r>
              <w:rPr>
                <w:rFonts w:hint="eastAsia" w:ascii="宋体" w:hAnsi="宋体" w:eastAsia="宋体" w:cs="宋体"/>
                <w:color w:val="000000" w:themeColor="text1"/>
                <w:sz w:val="22"/>
                <w:szCs w:val="22"/>
                <w:highlight w:val="none"/>
                <w14:textFill>
                  <w14:solidFill>
                    <w14:schemeClr w14:val="tx1"/>
                  </w14:solidFill>
                </w14:textFill>
              </w:rPr>
              <w:t>大门口访客登记月度维保，维修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6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建筑消防设施年度检测</w:t>
            </w:r>
          </w:p>
        </w:tc>
        <w:tc>
          <w:tcPr>
            <w:tcW w:w="27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2.8万平方米场馆</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一年一次消防设施设备</w:t>
            </w:r>
            <w:r>
              <w:rPr>
                <w:rFonts w:hint="eastAsia" w:ascii="宋体" w:hAnsi="宋体" w:eastAsia="宋体" w:cs="宋体"/>
                <w:color w:val="000000" w:themeColor="text1"/>
                <w:kern w:val="0"/>
                <w:sz w:val="22"/>
                <w:szCs w:val="22"/>
                <w:highlight w:val="none"/>
                <w:lang w:eastAsia="zh-CN"/>
                <w14:textFill>
                  <w14:solidFill>
                    <w14:schemeClr w14:val="tx1"/>
                  </w14:solidFill>
                </w14:textFill>
              </w:rPr>
              <w:t>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消防电气检测委托</w:t>
            </w:r>
          </w:p>
        </w:tc>
        <w:tc>
          <w:tcPr>
            <w:tcW w:w="27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themeColor="text1"/>
                <w:sz w:val="22"/>
                <w:szCs w:val="22"/>
                <w:highlight w:val="none"/>
                <w:u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一年一次电</w:t>
            </w:r>
            <w:r>
              <w:rPr>
                <w:rFonts w:hint="eastAsia" w:ascii="宋体" w:hAnsi="宋体" w:eastAsia="宋体" w:cs="宋体"/>
                <w:color w:val="000000" w:themeColor="text1"/>
                <w:sz w:val="21"/>
                <w:szCs w:val="21"/>
                <w:highlight w:val="none"/>
                <w:lang w:eastAsia="zh-CN"/>
                <w14:textFill>
                  <w14:solidFill>
                    <w14:schemeClr w14:val="tx1"/>
                  </w14:solidFill>
                </w14:textFill>
              </w:rPr>
              <w:t>气</w:t>
            </w:r>
            <w:r>
              <w:rPr>
                <w:rFonts w:hint="eastAsia" w:ascii="宋体" w:hAnsi="宋体" w:eastAsia="宋体" w:cs="宋体"/>
                <w:color w:val="000000" w:themeColor="text1"/>
                <w:sz w:val="21"/>
                <w:szCs w:val="21"/>
                <w:highlight w:val="none"/>
                <w14:textFill>
                  <w14:solidFill>
                    <w14:schemeClr w14:val="tx1"/>
                  </w14:solidFill>
                </w14:textFill>
              </w:rPr>
              <w:t>设备绝缘耐压检测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6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温州科技馆监控设施设备维护保养</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监控中心、弱电控制室加展区微机房，全馆监控头</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监控中心主机，显示屏，弱电，门禁，末端监控头头，月度计划维保，检修。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温州科技馆消防设施设备维护保养</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包括监控中心、控制主机、自动灭火系统、消火栓、防排烟系统、应急疏散照明、消防广播）</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消控中心主机，报警系统，灭火系统，联动糸统，防排烟糸统，应急照明，消防广播，消防泵，消防栓等。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6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温州科技馆防雷装置检测</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约120个检测点位</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一年一次防雷接地装置检测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6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110联网报警服务</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1套</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110报警</w:t>
            </w:r>
            <w:r>
              <w:rPr>
                <w:rFonts w:hint="eastAsia" w:ascii="宋体" w:hAnsi="宋体" w:eastAsia="宋体" w:cs="宋体"/>
                <w:color w:val="000000" w:themeColor="text1"/>
                <w:sz w:val="22"/>
                <w:szCs w:val="22"/>
                <w:highlight w:val="none"/>
                <w:lang w:eastAsia="zh-CN"/>
                <w14:textFill>
                  <w14:solidFill>
                    <w14:schemeClr w14:val="tx1"/>
                  </w14:solidFill>
                </w14:textFill>
              </w:rPr>
              <w:t>设备维保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6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温州市城市消防报警监控中心用户服务</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1套</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119报警</w:t>
            </w:r>
            <w:r>
              <w:rPr>
                <w:rFonts w:hint="eastAsia" w:ascii="宋体" w:hAnsi="宋体" w:eastAsia="宋体" w:cs="宋体"/>
                <w:color w:val="000000" w:themeColor="text1"/>
                <w:sz w:val="22"/>
                <w:szCs w:val="22"/>
                <w:highlight w:val="none"/>
                <w:lang w:eastAsia="zh-CN"/>
                <w14:textFill>
                  <w14:solidFill>
                    <w14:schemeClr w14:val="tx1"/>
                  </w14:solidFill>
                </w14:textFill>
              </w:rPr>
              <w:t>设备维保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6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13</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高压配电房工具检测</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highlight w:val="none"/>
                <w:u w:val="none"/>
                <w:lang w:val="en-US" w:eastAsia="zh-CN" w:bidi="ar-SA"/>
                <w14:textFill>
                  <w14:solidFill>
                    <w14:schemeClr w14:val="tx1"/>
                  </w14:solidFill>
                </w14:textFill>
              </w:rPr>
            </w:pP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定时送检（含送检交通费）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6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7部电梯年检</w:t>
            </w:r>
          </w:p>
        </w:tc>
        <w:tc>
          <w:tcPr>
            <w:tcW w:w="2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7部电梯年检</w:t>
            </w:r>
          </w:p>
        </w:tc>
        <w:tc>
          <w:tcPr>
            <w:tcW w:w="32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电梯年检费根据《特种设备安全法》、《特种设备安全监察条例》和《特种设备安全监察规程》标准执行，历年约为4000元。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6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w:t>
            </w:r>
          </w:p>
        </w:tc>
        <w:tc>
          <w:tcPr>
            <w:tcW w:w="19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物联网技术费（2部观光梯）</w:t>
            </w:r>
          </w:p>
        </w:tc>
        <w:tc>
          <w:tcPr>
            <w:tcW w:w="2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2台观光梯</w:t>
            </w:r>
          </w:p>
        </w:tc>
        <w:tc>
          <w:tcPr>
            <w:tcW w:w="32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物联网技术服务费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6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w:t>
            </w:r>
          </w:p>
        </w:tc>
        <w:tc>
          <w:tcPr>
            <w:tcW w:w="19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温州科技馆职工食堂火灾自动报警及联动控制系统检测</w:t>
            </w:r>
          </w:p>
        </w:tc>
        <w:tc>
          <w:tcPr>
            <w:tcW w:w="2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按燃气公司要求</w:t>
            </w:r>
          </w:p>
        </w:tc>
        <w:tc>
          <w:tcPr>
            <w:tcW w:w="32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p>
        </w:tc>
      </w:tr>
    </w:tbl>
    <w:p>
      <w:pPr>
        <w:pStyle w:val="29"/>
        <w:ind w:left="0" w:leftChars="0" w:right="1470"/>
        <w:rPr>
          <w:rFonts w:hint="eastAsia" w:ascii="宋体" w:hAnsi="宋体" w:eastAsia="宋体" w:cs="宋体"/>
          <w:color w:val="000000" w:themeColor="text1"/>
          <w:sz w:val="22"/>
          <w:szCs w:val="22"/>
          <w:highlight w:val="none"/>
          <w:lang w:val="en-US" w:eastAsia="zh-CN"/>
          <w14:textFill>
            <w14:solidFill>
              <w14:schemeClr w14:val="tx1"/>
            </w14:solidFill>
          </w14:textFill>
        </w:rPr>
      </w:pPr>
    </w:p>
    <w:p>
      <w:pPr>
        <w:pStyle w:val="29"/>
        <w:ind w:left="0" w:leftChars="0" w:right="1470"/>
        <w:rPr>
          <w:rFonts w:hint="eastAsia" w:ascii="宋体" w:hAnsi="宋体" w:eastAsia="宋体" w:cs="宋体"/>
          <w:b/>
          <w:color w:val="000000" w:themeColor="text1"/>
          <w:sz w:val="22"/>
          <w:szCs w:val="22"/>
          <w:highlight w:val="none"/>
          <w:u w:val="singl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4.   </w:t>
      </w:r>
      <w:r>
        <w:rPr>
          <w:rFonts w:hint="eastAsia" w:ascii="宋体" w:hAnsi="宋体" w:eastAsia="宋体" w:cs="宋体"/>
          <w:b/>
          <w:color w:val="000000" w:themeColor="text1"/>
          <w:sz w:val="22"/>
          <w:szCs w:val="22"/>
          <w:highlight w:val="none"/>
          <w14:textFill>
            <w14:solidFill>
              <w14:schemeClr w14:val="tx1"/>
            </w14:solidFill>
          </w14:textFill>
        </w:rPr>
        <w:t>保洁服务</w:t>
      </w:r>
      <w:r>
        <w:rPr>
          <w:rFonts w:hint="eastAsia" w:ascii="宋体" w:hAnsi="宋体" w:eastAsia="宋体" w:cs="宋体"/>
          <w:b/>
          <w:color w:val="000000" w:themeColor="text1"/>
          <w:sz w:val="22"/>
          <w:szCs w:val="22"/>
          <w:highlight w:val="none"/>
          <w:lang w:val="en-US" w:eastAsia="zh-CN"/>
          <w14:textFill>
            <w14:solidFill>
              <w14:schemeClr w14:val="tx1"/>
            </w14:solidFill>
          </w14:textFill>
        </w:rPr>
        <w:t xml:space="preserve"> </w:t>
      </w:r>
    </w:p>
    <w:p>
      <w:pPr>
        <w:pStyle w:val="29"/>
        <w:ind w:left="0" w:leftChars="0" w:right="1470"/>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4.1</w:t>
      </w: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none"/>
          <w14:textFill>
            <w14:solidFill>
              <w14:schemeClr w14:val="tx1"/>
            </w14:solidFill>
          </w14:textFill>
        </w:rPr>
        <w:t>人员配置：总人数不得少于</w:t>
      </w: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14</w:t>
      </w:r>
      <w:r>
        <w:rPr>
          <w:rFonts w:hint="eastAsia" w:ascii="宋体" w:hAnsi="宋体" w:eastAsia="宋体" w:cs="宋体"/>
          <w:color w:val="000000" w:themeColor="text1"/>
          <w:sz w:val="22"/>
          <w:szCs w:val="22"/>
          <w:highlight w:val="none"/>
          <w:u w:val="none"/>
          <w14:textFill>
            <w14:solidFill>
              <w14:schemeClr w14:val="tx1"/>
            </w14:solidFill>
          </w14:textFill>
        </w:rPr>
        <w:t>人</w:t>
      </w:r>
      <w:r>
        <w:rPr>
          <w:rFonts w:hint="eastAsia" w:ascii="宋体" w:hAnsi="宋体" w:eastAsia="宋体" w:cs="宋体"/>
          <w:color w:val="000000" w:themeColor="text1"/>
          <w:sz w:val="22"/>
          <w:szCs w:val="22"/>
          <w:highlight w:val="none"/>
          <w:u w:val="none"/>
          <w:lang w:eastAsia="zh-CN"/>
          <w14:textFill>
            <w14:solidFill>
              <w14:schemeClr w14:val="tx1"/>
            </w14:solidFill>
          </w14:textFill>
        </w:rPr>
        <w:t>。</w:t>
      </w:r>
    </w:p>
    <w:p>
      <w:pPr>
        <w:pStyle w:val="29"/>
        <w:ind w:left="0" w:leftChars="0" w:right="147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4.2  岗位配置要求：具体如下：</w:t>
      </w:r>
    </w:p>
    <w:tbl>
      <w:tblPr>
        <w:tblStyle w:val="62"/>
        <w:tblW w:w="9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679"/>
        <w:gridCol w:w="5681"/>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403" w:type="dxa"/>
            <w:noWrap w:val="0"/>
            <w:vAlign w:val="center"/>
          </w:tcPr>
          <w:p>
            <w:pPr>
              <w:spacing w:after="120" w:afterLines="50" w:line="440" w:lineRule="exact"/>
              <w:jc w:val="center"/>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岗位</w:t>
            </w:r>
          </w:p>
        </w:tc>
        <w:tc>
          <w:tcPr>
            <w:tcW w:w="679" w:type="dxa"/>
            <w:noWrap w:val="0"/>
            <w:vAlign w:val="center"/>
          </w:tcPr>
          <w:p>
            <w:pPr>
              <w:spacing w:after="120" w:afterLines="50" w:line="440" w:lineRule="exact"/>
              <w:jc w:val="center"/>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人数</w:t>
            </w:r>
          </w:p>
        </w:tc>
        <w:tc>
          <w:tcPr>
            <w:tcW w:w="5681" w:type="dxa"/>
            <w:noWrap w:val="0"/>
            <w:vAlign w:val="center"/>
          </w:tcPr>
          <w:p>
            <w:pPr>
              <w:spacing w:after="120" w:afterLines="50" w:line="440" w:lineRule="exact"/>
              <w:jc w:val="center"/>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职责范围</w:t>
            </w:r>
          </w:p>
        </w:tc>
        <w:tc>
          <w:tcPr>
            <w:tcW w:w="2024" w:type="dxa"/>
            <w:noWrap w:val="0"/>
            <w:vAlign w:val="center"/>
          </w:tcPr>
          <w:p>
            <w:pPr>
              <w:spacing w:after="120" w:afterLines="50" w:line="440" w:lineRule="exact"/>
              <w:jc w:val="center"/>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noWrap w:val="0"/>
            <w:vAlign w:val="center"/>
          </w:tcPr>
          <w:p>
            <w:pPr>
              <w:spacing w:after="120" w:afterLines="50" w:line="440" w:lineRule="exact"/>
              <w:jc w:val="center"/>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保洁主管</w:t>
            </w:r>
          </w:p>
        </w:tc>
        <w:tc>
          <w:tcPr>
            <w:tcW w:w="679" w:type="dxa"/>
            <w:noWrap w:val="0"/>
            <w:vAlign w:val="center"/>
          </w:tcPr>
          <w:p>
            <w:pPr>
              <w:spacing w:after="120" w:afterLines="50" w:line="44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p>
        </w:tc>
        <w:tc>
          <w:tcPr>
            <w:tcW w:w="5681" w:type="dxa"/>
            <w:noWrap w:val="0"/>
            <w:vAlign w:val="center"/>
          </w:tcPr>
          <w:p>
            <w:pPr>
              <w:spacing w:after="120" w:afterLines="50" w:line="44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主要负责保洁业务现场管理、人员管理及培训、保洁台账建设等。配合科技馆做好临时保洁任务衔接、安排落实。</w:t>
            </w:r>
          </w:p>
        </w:tc>
        <w:tc>
          <w:tcPr>
            <w:tcW w:w="2024" w:type="dxa"/>
            <w:noWrap w:val="0"/>
            <w:vAlign w:val="center"/>
          </w:tcPr>
          <w:p>
            <w:pPr>
              <w:spacing w:after="120" w:afterLines="50" w:line="44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有</w:t>
            </w:r>
            <w:r>
              <w:rPr>
                <w:rFonts w:hint="eastAsia" w:ascii="宋体" w:hAnsi="宋体" w:eastAsia="宋体" w:cs="宋体"/>
                <w:color w:val="000000" w:themeColor="text1"/>
                <w:sz w:val="22"/>
                <w:szCs w:val="22"/>
                <w:highlight w:val="none"/>
                <w:lang w:val="en-US" w:eastAsia="zh-CN"/>
                <w14:textFill>
                  <w14:solidFill>
                    <w14:schemeClr w14:val="tx1"/>
                  </w14:solidFill>
                </w14:textFill>
              </w:rPr>
              <w:t>3</w:t>
            </w:r>
            <w:r>
              <w:rPr>
                <w:rFonts w:hint="eastAsia" w:ascii="宋体" w:hAnsi="宋体" w:eastAsia="宋体" w:cs="宋体"/>
                <w:color w:val="000000" w:themeColor="text1"/>
                <w:sz w:val="22"/>
                <w:szCs w:val="22"/>
                <w:highlight w:val="none"/>
                <w14:textFill>
                  <w14:solidFill>
                    <w14:schemeClr w14:val="tx1"/>
                  </w14:solidFill>
                </w14:textFill>
              </w:rPr>
              <w:t>年及以上类似保洁管理经验。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noWrap w:val="0"/>
            <w:vAlign w:val="center"/>
          </w:tcPr>
          <w:p>
            <w:pPr>
              <w:spacing w:after="120" w:afterLines="50" w:line="44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机械操作员</w:t>
            </w:r>
          </w:p>
        </w:tc>
        <w:tc>
          <w:tcPr>
            <w:tcW w:w="679" w:type="dxa"/>
            <w:noWrap w:val="0"/>
            <w:vAlign w:val="center"/>
          </w:tcPr>
          <w:p>
            <w:pPr>
              <w:spacing w:after="120" w:afterLines="50" w:line="44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w:t>
            </w:r>
          </w:p>
        </w:tc>
        <w:tc>
          <w:tcPr>
            <w:tcW w:w="5681" w:type="dxa"/>
            <w:noWrap w:val="0"/>
            <w:vAlign w:val="center"/>
          </w:tcPr>
          <w:p>
            <w:pPr>
              <w:spacing w:after="120" w:afterLines="50" w:line="44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主要负责保洁机械操作工作，配合保洁高空操作部分。协助</w:t>
            </w:r>
            <w:r>
              <w:rPr>
                <w:rFonts w:hint="eastAsia" w:ascii="宋体" w:hAnsi="宋体" w:cs="宋体"/>
                <w:color w:val="000000" w:themeColor="text1"/>
                <w:sz w:val="22"/>
                <w:szCs w:val="22"/>
                <w:highlight w:val="none"/>
                <w:lang w:eastAsia="zh-CN"/>
                <w14:textFill>
                  <w14:solidFill>
                    <w14:schemeClr w14:val="tx1"/>
                  </w14:solidFill>
                </w14:textFill>
              </w:rPr>
              <w:t>保洁主管</w:t>
            </w:r>
            <w:r>
              <w:rPr>
                <w:rFonts w:hint="eastAsia" w:ascii="宋体" w:hAnsi="宋体" w:eastAsia="宋体" w:cs="宋体"/>
                <w:color w:val="000000" w:themeColor="text1"/>
                <w:sz w:val="22"/>
                <w:szCs w:val="22"/>
                <w:highlight w:val="none"/>
                <w14:textFill>
                  <w14:solidFill>
                    <w14:schemeClr w14:val="tx1"/>
                  </w14:solidFill>
                </w14:textFill>
              </w:rPr>
              <w:t>完成保洁任务，做好保洁内部后勤事务及台账建设等，负责保洁应急事务处理。每周一、二对展区、公共区域及办公区地面进行机械清洗。</w:t>
            </w:r>
          </w:p>
        </w:tc>
        <w:tc>
          <w:tcPr>
            <w:tcW w:w="2024" w:type="dxa"/>
            <w:noWrap w:val="0"/>
            <w:vAlign w:val="center"/>
          </w:tcPr>
          <w:p>
            <w:pPr>
              <w:spacing w:after="120" w:afterLines="50" w:line="44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noWrap w:val="0"/>
            <w:vAlign w:val="center"/>
          </w:tcPr>
          <w:p>
            <w:pPr>
              <w:spacing w:after="120" w:afterLines="50" w:line="440" w:lineRule="exact"/>
              <w:jc w:val="center"/>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其他保洁</w:t>
            </w:r>
          </w:p>
        </w:tc>
        <w:tc>
          <w:tcPr>
            <w:tcW w:w="679" w:type="dxa"/>
            <w:noWrap w:val="0"/>
            <w:vAlign w:val="center"/>
          </w:tcPr>
          <w:p>
            <w:pPr>
              <w:spacing w:after="120" w:afterLines="50" w:line="44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12</w:t>
            </w:r>
          </w:p>
        </w:tc>
        <w:tc>
          <w:tcPr>
            <w:tcW w:w="5681" w:type="dxa"/>
            <w:noWrap w:val="0"/>
            <w:vAlign w:val="center"/>
          </w:tcPr>
          <w:p>
            <w:pPr>
              <w:spacing w:after="120" w:afterLines="50" w:line="440" w:lineRule="exact"/>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负责</w:t>
            </w:r>
            <w:r>
              <w:rPr>
                <w:rFonts w:hint="eastAsia" w:ascii="宋体" w:hAnsi="宋体" w:eastAsia="宋体" w:cs="宋体"/>
                <w:color w:val="000000" w:themeColor="text1"/>
                <w:sz w:val="22"/>
                <w:szCs w:val="22"/>
                <w:highlight w:val="none"/>
                <w14:textFill>
                  <w14:solidFill>
                    <w14:schemeClr w14:val="tx1"/>
                  </w14:solidFill>
                </w14:textFill>
              </w:rPr>
              <w:t>中央大厅、展厅（含展品本体）、</w:t>
            </w:r>
            <w:r>
              <w:rPr>
                <w:rFonts w:hint="eastAsia" w:ascii="宋体" w:hAnsi="宋体" w:eastAsia="宋体" w:cs="宋体"/>
                <w:color w:val="000000" w:themeColor="text1"/>
                <w:sz w:val="22"/>
                <w:szCs w:val="22"/>
                <w:highlight w:val="none"/>
                <w:lang w:eastAsia="zh-CN"/>
                <w14:textFill>
                  <w14:solidFill>
                    <w14:schemeClr w14:val="tx1"/>
                  </w14:solidFill>
                </w14:textFill>
              </w:rPr>
              <w:t>影院、</w:t>
            </w:r>
            <w:r>
              <w:rPr>
                <w:rFonts w:hint="eastAsia" w:ascii="宋体" w:hAnsi="宋体" w:eastAsia="宋体" w:cs="宋体"/>
                <w:color w:val="000000" w:themeColor="text1"/>
                <w:sz w:val="22"/>
                <w:szCs w:val="22"/>
                <w:highlight w:val="none"/>
                <w14:textFill>
                  <w14:solidFill>
                    <w14:schemeClr w14:val="tx1"/>
                  </w14:solidFill>
                </w14:textFill>
              </w:rPr>
              <w:t>职工活动室、餐厅（包括职工餐厅外围）、会议室、影院、楼盖、屋顶、各卫生间、天花板、楼梯间、横梁、通道、电梯、仓库、设备间、各办公室、南门停车场及场内绿化带、地下车库、地下室、周边地面、公共设施及附属设备设施的表面与立面的保洁、消杀等</w:t>
            </w:r>
            <w:r>
              <w:rPr>
                <w:rFonts w:hint="eastAsia" w:ascii="宋体" w:hAnsi="宋体" w:eastAsia="宋体" w:cs="宋体"/>
                <w:color w:val="000000" w:themeColor="text1"/>
                <w:sz w:val="22"/>
                <w:szCs w:val="22"/>
                <w:highlight w:val="none"/>
                <w:lang w:eastAsia="zh-CN"/>
                <w14:textFill>
                  <w14:solidFill>
                    <w14:schemeClr w14:val="tx1"/>
                  </w14:solidFill>
                </w14:textFill>
              </w:rPr>
              <w:t>。</w:t>
            </w:r>
          </w:p>
        </w:tc>
        <w:tc>
          <w:tcPr>
            <w:tcW w:w="2024" w:type="dxa"/>
            <w:noWrap w:val="0"/>
            <w:vAlign w:val="center"/>
          </w:tcPr>
          <w:p>
            <w:pPr>
              <w:spacing w:after="120" w:afterLines="50" w:line="440" w:lineRule="exact"/>
              <w:rPr>
                <w:rFonts w:hint="eastAsia" w:ascii="宋体" w:hAnsi="宋体" w:eastAsia="宋体" w:cs="宋体"/>
                <w:color w:val="000000" w:themeColor="text1"/>
                <w:sz w:val="22"/>
                <w:szCs w:val="22"/>
                <w:highlight w:val="none"/>
                <w14:textFill>
                  <w14:solidFill>
                    <w14:schemeClr w14:val="tx1"/>
                  </w14:solidFill>
                </w14:textFill>
              </w:rPr>
            </w:pPr>
          </w:p>
        </w:tc>
      </w:tr>
    </w:tbl>
    <w:p>
      <w:pPr>
        <w:numPr>
          <w:ilvl w:val="0"/>
          <w:numId w:val="0"/>
        </w:numPr>
        <w:adjustRightInd w:val="0"/>
        <w:snapToGrid w:val="0"/>
        <w:spacing w:line="440" w:lineRule="exac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5</w:t>
      </w: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▲为保证服务质量，投标文件中必须出具承诺函（格式见附件8），承诺本项目服务人员最低配置要求不少于37人</w:t>
      </w:r>
      <w:r>
        <w:rPr>
          <w:rFonts w:hint="eastAsia" w:ascii="宋体" w:hAnsi="宋体" w:eastAsia="宋体" w:cs="宋体"/>
          <w:b/>
          <w:bCs/>
          <w:color w:val="000000" w:themeColor="text1"/>
          <w:sz w:val="24"/>
          <w:highlight w:val="none"/>
          <w:u w:val="single"/>
          <w14:textFill>
            <w14:solidFill>
              <w14:schemeClr w14:val="tx1"/>
            </w14:solidFill>
          </w14:textFill>
        </w:rPr>
        <w:t>，且所有人员为专职人员（不得兼职）</w:t>
      </w: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2"/>
          <w:szCs w:val="22"/>
          <w:highlight w:val="none"/>
          <w:u w:val="none"/>
          <w14:textFill>
            <w14:solidFill>
              <w14:schemeClr w14:val="tx1"/>
            </w14:solidFill>
          </w14:textFill>
        </w:rPr>
        <w:t>如采购人认为具体岗位配置不合理需要变动，可要求中标人进行调整，承包方</w:t>
      </w: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应</w:t>
      </w:r>
      <w:r>
        <w:rPr>
          <w:rFonts w:hint="eastAsia" w:ascii="宋体" w:hAnsi="宋体" w:eastAsia="宋体" w:cs="宋体"/>
          <w:color w:val="000000" w:themeColor="text1"/>
          <w:sz w:val="22"/>
          <w:szCs w:val="22"/>
          <w:highlight w:val="none"/>
          <w:u w:val="none"/>
          <w14:textFill>
            <w14:solidFill>
              <w14:schemeClr w14:val="tx1"/>
            </w14:solidFill>
          </w14:textFill>
        </w:rPr>
        <w:t>积极配合</w:t>
      </w: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w:t>
      </w:r>
    </w:p>
    <w:p>
      <w:pPr>
        <w:adjustRightInd w:val="0"/>
        <w:snapToGrid w:val="0"/>
        <w:spacing w:line="440" w:lineRule="exact"/>
        <w:ind w:left="550" w:hanging="550" w:hangingChars="25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6.   </w:t>
      </w:r>
      <w:r>
        <w:rPr>
          <w:rFonts w:hint="eastAsia" w:ascii="宋体" w:hAnsi="宋体" w:eastAsia="宋体" w:cs="宋体"/>
          <w:b/>
          <w:color w:val="000000" w:themeColor="text1"/>
          <w:sz w:val="22"/>
          <w:szCs w:val="22"/>
          <w:highlight w:val="none"/>
          <w14:textFill>
            <w14:solidFill>
              <w14:schemeClr w14:val="tx1"/>
            </w14:solidFill>
          </w14:textFill>
        </w:rPr>
        <w:t>物业服务人员的要求（投标人中标后，应按照投标时所配备的人员进场，在运作期间如物业管理项目负责人或人员需变更应事先得到采购人同意）。</w:t>
      </w:r>
    </w:p>
    <w:p>
      <w:pPr>
        <w:adjustRightInd w:val="0"/>
        <w:snapToGrid w:val="0"/>
        <w:spacing w:line="440" w:lineRule="exact"/>
        <w:ind w:left="550" w:hanging="550" w:hangingChars="2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7.   所有相关人员的配备如需经相关主管部门认证发证才能上岗的，必须持证上岗。所有上岗人员要求政治上可靠、无不良行为记录，身体素质好，应每年一次体检，体检合格方可上岗。重要岗位人员配备必须采购人审核，政治审查通过方可录用。</w:t>
      </w:r>
    </w:p>
    <w:p>
      <w:pPr>
        <w:adjustRightInd w:val="0"/>
        <w:snapToGrid w:val="0"/>
        <w:spacing w:line="440" w:lineRule="exact"/>
        <w:ind w:left="550" w:hanging="550" w:hangingChars="2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8</w:t>
      </w:r>
      <w:r>
        <w:rPr>
          <w:rFonts w:hint="eastAsia" w:ascii="宋体" w:hAnsi="宋体" w:eastAsia="宋体" w:cs="宋体"/>
          <w:color w:val="000000" w:themeColor="text1"/>
          <w:sz w:val="22"/>
          <w:szCs w:val="22"/>
          <w:highlight w:val="none"/>
          <w14:textFill>
            <w14:solidFill>
              <w14:schemeClr w14:val="tx1"/>
            </w14:solidFill>
          </w14:textFill>
        </w:rPr>
        <w:t>.   中标人需对下属服务人员严格管理，如发现服务人员有赌博、滋事、扰乱治安、偷盗物资，拿一次性消耗品回家等情况，发现一次则扣发当月物业管理部分服务费10%。</w:t>
      </w:r>
    </w:p>
    <w:p>
      <w:pPr>
        <w:adjustRightInd w:val="0"/>
        <w:snapToGrid w:val="0"/>
        <w:spacing w:line="440" w:lineRule="exact"/>
        <w:ind w:left="550" w:hanging="550" w:hangingChars="2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9</w:t>
      </w:r>
      <w:r>
        <w:rPr>
          <w:rFonts w:hint="eastAsia" w:ascii="宋体" w:hAnsi="宋体" w:eastAsia="宋体" w:cs="宋体"/>
          <w:color w:val="000000" w:themeColor="text1"/>
          <w:sz w:val="22"/>
          <w:szCs w:val="22"/>
          <w:highlight w:val="none"/>
          <w14:textFill>
            <w14:solidFill>
              <w14:schemeClr w14:val="tx1"/>
            </w14:solidFill>
          </w14:textFill>
        </w:rPr>
        <w:t>.  中标人所有工总人员，服从采购人管理人员的调度、指挥，如发现不符合采购人管理要求的工作人员，采购人有权提出整改、更换，</w:t>
      </w:r>
      <w:r>
        <w:rPr>
          <w:rFonts w:hint="eastAsia" w:ascii="宋体" w:hAnsi="宋体" w:eastAsia="宋体" w:cs="宋体"/>
          <w:color w:val="000000" w:themeColor="text1"/>
          <w:sz w:val="22"/>
          <w:szCs w:val="22"/>
          <w:highlight w:val="none"/>
          <w:lang w:val="en-US" w:eastAsia="zh-CN"/>
          <w14:textFill>
            <w14:solidFill>
              <w14:schemeClr w14:val="tx1"/>
            </w14:solidFill>
          </w14:textFill>
        </w:rPr>
        <w:t>应及时</w:t>
      </w:r>
      <w:r>
        <w:rPr>
          <w:rFonts w:hint="eastAsia" w:ascii="宋体" w:hAnsi="宋体" w:eastAsia="宋体" w:cs="宋体"/>
          <w:color w:val="000000" w:themeColor="text1"/>
          <w:sz w:val="22"/>
          <w:szCs w:val="22"/>
          <w:highlight w:val="none"/>
          <w14:textFill>
            <w14:solidFill>
              <w14:schemeClr w14:val="tx1"/>
            </w14:solidFill>
          </w14:textFill>
        </w:rPr>
        <w:t>整改、更换。中标人更换或调整人员应提前征求采购人意见在征得采购人同意后方可更换、调整。</w:t>
      </w:r>
    </w:p>
    <w:p>
      <w:pPr>
        <w:adjustRightInd w:val="0"/>
        <w:snapToGrid w:val="0"/>
        <w:spacing w:line="440" w:lineRule="exact"/>
        <w:ind w:left="550" w:hanging="550" w:hangingChars="2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11.  在本合同期内，中标人未根据采购人配备人员，中标人自行负责由此造成的后果和全部责任，且采购人有权要求中标人按每人每月2000元—6000元支付违约金。</w:t>
      </w:r>
    </w:p>
    <w:p>
      <w:pPr>
        <w:adjustRightInd w:val="0"/>
        <w:snapToGrid w:val="0"/>
        <w:spacing w:line="440" w:lineRule="exact"/>
        <w:ind w:left="550" w:hanging="550" w:hangingChars="2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12.  如遇人员空缺，空缺岗位造成的各项资金结余，采购人有权不予支付使用，并有权将该部分资金进行重新分配，可根据工作需要，用于支付其他月份因人流量加大时增配人员的工资费用、培训费用等其它费用，采购人可以根据工作需要，在不增加资金总额的前提下，有权对人事工作、岗位及员工薪酬发放进行综合调配。</w:t>
      </w:r>
    </w:p>
    <w:p>
      <w:pPr>
        <w:pStyle w:val="2"/>
        <w:rPr>
          <w:rFonts w:hint="eastAsia" w:ascii="宋体" w:hAnsi="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13.合同签订及付款方式：合同签订后中标方7个工作日内缴纳合同总金额的1%做为履约保证金或者由银行或者保险公司出具的履约期内持续有效的保函。履约验收合格后7个工作日内无息退还履约保证金。按照先服务后支付原则，按月平均支付物业管理费。采购人在收到中标人出具的正式税务发票后7个工作日内支付上月的服务费，当月考核(详见附件：考核评分细则)不合格项在当月合同金额中扣除。</w:t>
      </w:r>
    </w:p>
    <w:p>
      <w:pPr>
        <w:pStyle w:val="2"/>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kern w:val="44"/>
          <w:sz w:val="22"/>
          <w:szCs w:val="22"/>
          <w:highlight w:val="none"/>
          <w:lang w:val="en-US" w:eastAsia="zh-CN" w:bidi="ar-SA"/>
          <w14:textFill>
            <w14:solidFill>
              <w14:schemeClr w14:val="tx1"/>
            </w14:solidFill>
          </w14:textFill>
        </w:rPr>
        <w:t>14.特别提示：采购人不提供住宿，中标人的员工中餐统一在科技馆餐厅就餐，每月按照20元/每人/每餐结算餐费。</w:t>
      </w:r>
    </w:p>
    <w:p>
      <w:pPr>
        <w:rPr>
          <w:rFonts w:hint="eastAsia" w:ascii="宋体" w:hAnsi="宋体" w:eastAsia="宋体" w:cs="宋体"/>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rPr>
          <w:rFonts w:ascii="宋体" w:hAnsi="宋体" w:cs="宋体"/>
          <w:color w:val="000000" w:themeColor="text1"/>
          <w:kern w:val="0"/>
          <w:sz w:val="24"/>
          <w:highlight w:val="none"/>
          <w14:textFill>
            <w14:solidFill>
              <w14:schemeClr w14:val="tx1"/>
            </w14:solidFill>
          </w14:textFill>
        </w:rPr>
      </w:pPr>
    </w:p>
    <w:p>
      <w:pPr>
        <w:pStyle w:val="2"/>
        <w:rPr>
          <w:rFonts w:ascii="宋体" w:hAnsi="宋体" w:cs="宋体"/>
          <w:color w:val="000000" w:themeColor="text1"/>
          <w:kern w:val="0"/>
          <w:sz w:val="24"/>
          <w:highlight w:val="none"/>
          <w14:textFill>
            <w14:solidFill>
              <w14:schemeClr w14:val="tx1"/>
            </w14:solidFill>
          </w14:textFill>
        </w:rPr>
      </w:pPr>
    </w:p>
    <w:p>
      <w:pPr>
        <w:rPr>
          <w:rFonts w:ascii="宋体" w:hAnsi="宋体" w:cs="宋体"/>
          <w:color w:val="000000" w:themeColor="text1"/>
          <w:kern w:val="0"/>
          <w:sz w:val="24"/>
          <w:highlight w:val="none"/>
          <w14:textFill>
            <w14:solidFill>
              <w14:schemeClr w14:val="tx1"/>
            </w14:solidFill>
          </w14:textFill>
        </w:rPr>
      </w:pPr>
    </w:p>
    <w:p>
      <w:pPr>
        <w:pStyle w:val="2"/>
        <w:rPr>
          <w:rFonts w:ascii="宋体" w:hAnsi="宋体" w:cs="宋体"/>
          <w:color w:val="000000" w:themeColor="text1"/>
          <w:kern w:val="0"/>
          <w:sz w:val="24"/>
          <w:highlight w:val="none"/>
          <w14:textFill>
            <w14:solidFill>
              <w14:schemeClr w14:val="tx1"/>
            </w14:solidFill>
          </w14:textFill>
        </w:rPr>
      </w:pPr>
    </w:p>
    <w:p>
      <w:pPr>
        <w:rPr>
          <w:rFonts w:ascii="宋体" w:hAnsi="宋体" w:cs="宋体"/>
          <w:color w:val="000000" w:themeColor="text1"/>
          <w:kern w:val="0"/>
          <w:sz w:val="24"/>
          <w:highlight w:val="none"/>
          <w14:textFill>
            <w14:solidFill>
              <w14:schemeClr w14:val="tx1"/>
            </w14:solidFill>
          </w14:textFill>
        </w:rPr>
      </w:pPr>
    </w:p>
    <w:p>
      <w:pPr>
        <w:rPr>
          <w:rFonts w:ascii="宋体" w:hAnsi="宋体" w:cs="宋体"/>
          <w:color w:val="000000" w:themeColor="text1"/>
          <w:kern w:val="0"/>
          <w:sz w:val="24"/>
          <w:highlight w:val="none"/>
          <w14:textFill>
            <w14:solidFill>
              <w14:schemeClr w14:val="tx1"/>
            </w14:solidFill>
          </w14:textFill>
        </w:rPr>
      </w:pPr>
    </w:p>
    <w:p>
      <w:pPr>
        <w:pStyle w:val="2"/>
        <w:rPr>
          <w:rFonts w:ascii="宋体" w:hAnsi="宋体" w:cs="宋体"/>
          <w:color w:val="000000" w:themeColor="text1"/>
          <w:kern w:val="0"/>
          <w:sz w:val="24"/>
          <w:highlight w:val="none"/>
          <w14:textFill>
            <w14:solidFill>
              <w14:schemeClr w14:val="tx1"/>
            </w14:solidFill>
          </w14:textFill>
        </w:rPr>
      </w:pPr>
    </w:p>
    <w:bookmarkEnd w:id="10"/>
    <w:bookmarkEnd w:id="11"/>
    <w:p>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bookmarkStart w:id="32" w:name="第四部分"/>
      <w:r>
        <w:rPr>
          <w:rFonts w:hint="eastAsia" w:ascii="宋体" w:hAnsi="宋体" w:cs="宋体"/>
          <w:b/>
          <w:color w:val="000000" w:themeColor="text1"/>
          <w:sz w:val="36"/>
          <w:szCs w:val="36"/>
          <w:highlight w:val="none"/>
          <w14:textFill>
            <w14:solidFill>
              <w14:schemeClr w14:val="tx1"/>
            </w14:solidFill>
          </w14:textFill>
        </w:rPr>
        <w:t xml:space="preserve">第四部分   </w:t>
      </w:r>
      <w:bookmarkStart w:id="33" w:name="_Toc184313271"/>
      <w:bookmarkEnd w:id="33"/>
      <w:bookmarkStart w:id="34" w:name="_Toc184310308"/>
      <w:bookmarkEnd w:id="34"/>
      <w:bookmarkStart w:id="35" w:name="_Toc184310295"/>
      <w:bookmarkEnd w:id="35"/>
      <w:bookmarkStart w:id="36" w:name="_Toc184313261"/>
      <w:bookmarkEnd w:id="36"/>
      <w:bookmarkStart w:id="37" w:name="_Toc184314457"/>
      <w:bookmarkEnd w:id="37"/>
      <w:bookmarkStart w:id="38" w:name="_Toc184314437"/>
      <w:bookmarkEnd w:id="38"/>
      <w:bookmarkStart w:id="39" w:name="_Toc184313243"/>
      <w:bookmarkEnd w:id="39"/>
      <w:bookmarkStart w:id="40" w:name="_Toc184310313"/>
      <w:bookmarkEnd w:id="40"/>
      <w:bookmarkStart w:id="41" w:name="_Toc184308054"/>
      <w:bookmarkEnd w:id="41"/>
      <w:bookmarkStart w:id="42" w:name="_Toc184312075"/>
      <w:bookmarkEnd w:id="42"/>
      <w:bookmarkStart w:id="43" w:name="_Toc184312090"/>
      <w:bookmarkEnd w:id="43"/>
      <w:bookmarkStart w:id="44" w:name="_Toc184308065"/>
      <w:bookmarkEnd w:id="44"/>
      <w:bookmarkStart w:id="45" w:name="_Toc184312076"/>
      <w:bookmarkEnd w:id="45"/>
      <w:bookmarkStart w:id="46" w:name="_Toc184312104"/>
      <w:bookmarkEnd w:id="46"/>
      <w:bookmarkStart w:id="47" w:name="_Toc184310277"/>
      <w:bookmarkEnd w:id="47"/>
      <w:bookmarkStart w:id="48" w:name="_Toc184313269"/>
      <w:bookmarkEnd w:id="48"/>
      <w:bookmarkStart w:id="49" w:name="_Toc184313258"/>
      <w:bookmarkEnd w:id="49"/>
      <w:bookmarkStart w:id="50" w:name="_Toc184308057"/>
      <w:bookmarkEnd w:id="50"/>
      <w:bookmarkStart w:id="51" w:name="_Toc184312099"/>
      <w:bookmarkEnd w:id="51"/>
      <w:bookmarkStart w:id="52" w:name="_Toc184308070"/>
      <w:bookmarkEnd w:id="52"/>
      <w:bookmarkStart w:id="53" w:name="_Toc184310342"/>
      <w:bookmarkEnd w:id="53"/>
      <w:bookmarkStart w:id="54" w:name="_Toc184308074"/>
      <w:bookmarkEnd w:id="54"/>
      <w:bookmarkStart w:id="55" w:name="_Toc184310332"/>
      <w:bookmarkEnd w:id="55"/>
      <w:bookmarkStart w:id="56" w:name="_Toc184308041"/>
      <w:bookmarkEnd w:id="56"/>
      <w:bookmarkStart w:id="57" w:name="_Toc184310273"/>
      <w:bookmarkEnd w:id="57"/>
      <w:bookmarkStart w:id="58" w:name="_Toc184310274"/>
      <w:bookmarkEnd w:id="58"/>
      <w:bookmarkStart w:id="59" w:name="_Toc184310339"/>
      <w:bookmarkEnd w:id="59"/>
      <w:bookmarkStart w:id="60" w:name="_Toc184312096"/>
      <w:bookmarkEnd w:id="60"/>
      <w:bookmarkStart w:id="61" w:name="_Toc184312102"/>
      <w:bookmarkEnd w:id="61"/>
      <w:bookmarkStart w:id="62" w:name="_Toc184312126"/>
      <w:bookmarkEnd w:id="62"/>
      <w:bookmarkStart w:id="63" w:name="_Toc184310288"/>
      <w:bookmarkEnd w:id="63"/>
      <w:bookmarkStart w:id="64" w:name="_Toc184310314"/>
      <w:bookmarkEnd w:id="64"/>
      <w:bookmarkStart w:id="65" w:name="_Toc184313241"/>
      <w:bookmarkEnd w:id="65"/>
      <w:bookmarkStart w:id="66" w:name="_Toc184314462"/>
      <w:bookmarkEnd w:id="66"/>
      <w:bookmarkStart w:id="67" w:name="_Toc184308088"/>
      <w:bookmarkEnd w:id="67"/>
      <w:bookmarkStart w:id="68" w:name="_Toc184310337"/>
      <w:bookmarkEnd w:id="68"/>
      <w:bookmarkStart w:id="69" w:name="_Toc184310335"/>
      <w:bookmarkEnd w:id="69"/>
      <w:bookmarkStart w:id="70" w:name="_Toc184308076"/>
      <w:bookmarkEnd w:id="70"/>
      <w:bookmarkStart w:id="71" w:name="_Toc184314471"/>
      <w:bookmarkEnd w:id="71"/>
      <w:bookmarkStart w:id="72" w:name="_Toc184310329"/>
      <w:bookmarkEnd w:id="72"/>
      <w:bookmarkStart w:id="73" w:name="_Toc184312117"/>
      <w:bookmarkEnd w:id="73"/>
      <w:bookmarkStart w:id="74" w:name="_Toc184314461"/>
      <w:bookmarkEnd w:id="74"/>
      <w:bookmarkStart w:id="75" w:name="_Toc184312078"/>
      <w:bookmarkEnd w:id="75"/>
      <w:bookmarkStart w:id="76" w:name="_Toc184308079"/>
      <w:bookmarkEnd w:id="76"/>
      <w:bookmarkStart w:id="77" w:name="_Toc184314456"/>
      <w:bookmarkEnd w:id="77"/>
      <w:bookmarkStart w:id="78" w:name="_Toc184313305"/>
      <w:bookmarkEnd w:id="78"/>
      <w:bookmarkStart w:id="79" w:name="_Toc184310309"/>
      <w:bookmarkEnd w:id="79"/>
      <w:bookmarkStart w:id="80" w:name="_Toc184312116"/>
      <w:bookmarkEnd w:id="80"/>
      <w:bookmarkStart w:id="81" w:name="_Toc184308059"/>
      <w:bookmarkEnd w:id="81"/>
      <w:bookmarkStart w:id="82" w:name="_Toc184314460"/>
      <w:bookmarkEnd w:id="82"/>
      <w:bookmarkStart w:id="83" w:name="_Toc184314417"/>
      <w:bookmarkEnd w:id="83"/>
      <w:bookmarkStart w:id="84" w:name="_Toc184312100"/>
      <w:bookmarkEnd w:id="84"/>
      <w:bookmarkStart w:id="85" w:name="_Toc184312113"/>
      <w:bookmarkEnd w:id="85"/>
      <w:bookmarkStart w:id="86" w:name="_Toc184312091"/>
      <w:bookmarkEnd w:id="86"/>
      <w:bookmarkStart w:id="87" w:name="_Toc184314426"/>
      <w:bookmarkEnd w:id="87"/>
      <w:bookmarkStart w:id="88" w:name="_Toc184313249"/>
      <w:bookmarkEnd w:id="88"/>
      <w:bookmarkStart w:id="89" w:name="_Toc184312125"/>
      <w:bookmarkEnd w:id="89"/>
      <w:bookmarkStart w:id="90" w:name="_Toc184308108"/>
      <w:bookmarkEnd w:id="90"/>
      <w:bookmarkStart w:id="91" w:name="_Toc184314453"/>
      <w:bookmarkEnd w:id="91"/>
      <w:bookmarkStart w:id="92" w:name="_Toc184314477"/>
      <w:bookmarkEnd w:id="92"/>
      <w:bookmarkStart w:id="93" w:name="_Toc184312085"/>
      <w:bookmarkEnd w:id="93"/>
      <w:bookmarkStart w:id="94" w:name="_Toc184314455"/>
      <w:bookmarkEnd w:id="94"/>
      <w:bookmarkStart w:id="95" w:name="_Toc184313287"/>
      <w:bookmarkEnd w:id="95"/>
      <w:bookmarkStart w:id="96" w:name="_Toc184313310"/>
      <w:bookmarkEnd w:id="96"/>
      <w:bookmarkStart w:id="97" w:name="_Toc184312103"/>
      <w:bookmarkEnd w:id="97"/>
      <w:bookmarkStart w:id="98" w:name="_Toc184312137"/>
      <w:bookmarkEnd w:id="98"/>
      <w:bookmarkStart w:id="99" w:name="_Toc184310290"/>
      <w:bookmarkEnd w:id="99"/>
      <w:bookmarkStart w:id="100" w:name="_Toc184312077"/>
      <w:bookmarkEnd w:id="100"/>
      <w:bookmarkStart w:id="101" w:name="_Toc184313250"/>
      <w:bookmarkEnd w:id="101"/>
      <w:bookmarkStart w:id="102" w:name="_Toc184314454"/>
      <w:bookmarkEnd w:id="102"/>
      <w:bookmarkStart w:id="103" w:name="_Toc184310302"/>
      <w:bookmarkEnd w:id="103"/>
      <w:bookmarkStart w:id="104" w:name="_Toc184314423"/>
      <w:bookmarkEnd w:id="104"/>
      <w:bookmarkStart w:id="105" w:name="_Toc184308039"/>
      <w:bookmarkEnd w:id="105"/>
      <w:bookmarkStart w:id="106" w:name="_Toc184310336"/>
      <w:bookmarkEnd w:id="106"/>
      <w:bookmarkStart w:id="107" w:name="_Toc184308080"/>
      <w:bookmarkEnd w:id="107"/>
      <w:bookmarkStart w:id="108" w:name="_Toc184313288"/>
      <w:bookmarkEnd w:id="108"/>
      <w:bookmarkStart w:id="109" w:name="_Toc184313298"/>
      <w:bookmarkEnd w:id="109"/>
      <w:bookmarkStart w:id="110" w:name="_Toc184313303"/>
      <w:bookmarkEnd w:id="110"/>
      <w:bookmarkStart w:id="111" w:name="_Toc184312118"/>
      <w:bookmarkEnd w:id="111"/>
      <w:bookmarkStart w:id="112" w:name="_Toc184312088"/>
      <w:bookmarkEnd w:id="112"/>
      <w:bookmarkStart w:id="113" w:name="_Toc184313296"/>
      <w:bookmarkEnd w:id="113"/>
      <w:bookmarkStart w:id="114" w:name="_Toc184310300"/>
      <w:bookmarkEnd w:id="114"/>
      <w:bookmarkStart w:id="115" w:name="_Toc184310287"/>
      <w:bookmarkEnd w:id="115"/>
      <w:bookmarkStart w:id="116" w:name="_Toc184308095"/>
      <w:bookmarkEnd w:id="116"/>
      <w:bookmarkStart w:id="117" w:name="_Toc184310344"/>
      <w:bookmarkEnd w:id="117"/>
      <w:bookmarkStart w:id="118" w:name="_Toc184308048"/>
      <w:bookmarkEnd w:id="118"/>
      <w:bookmarkStart w:id="119" w:name="_Toc184312089"/>
      <w:bookmarkEnd w:id="119"/>
      <w:bookmarkStart w:id="120" w:name="_Toc184314421"/>
      <w:bookmarkEnd w:id="120"/>
      <w:bookmarkStart w:id="121" w:name="_Toc184310294"/>
      <w:bookmarkEnd w:id="121"/>
      <w:bookmarkStart w:id="122" w:name="_Toc184308058"/>
      <w:bookmarkEnd w:id="122"/>
      <w:bookmarkStart w:id="123" w:name="_Toc184312098"/>
      <w:bookmarkEnd w:id="123"/>
      <w:bookmarkStart w:id="124" w:name="_Toc184313282"/>
      <w:bookmarkEnd w:id="124"/>
      <w:bookmarkStart w:id="125" w:name="_Toc184313275"/>
      <w:bookmarkEnd w:id="125"/>
      <w:bookmarkStart w:id="126" w:name="_Toc184310285"/>
      <w:bookmarkEnd w:id="126"/>
      <w:bookmarkStart w:id="127" w:name="_Toc184312133"/>
      <w:bookmarkEnd w:id="127"/>
      <w:bookmarkStart w:id="128" w:name="_Toc184313265"/>
      <w:bookmarkEnd w:id="128"/>
      <w:bookmarkStart w:id="129" w:name="_Toc184310282"/>
      <w:bookmarkEnd w:id="129"/>
      <w:bookmarkStart w:id="130" w:name="_Toc184308044"/>
      <w:bookmarkEnd w:id="130"/>
      <w:bookmarkStart w:id="131" w:name="_Toc184308094"/>
      <w:bookmarkEnd w:id="131"/>
      <w:bookmarkStart w:id="132" w:name="_Toc184314472"/>
      <w:bookmarkEnd w:id="132"/>
      <w:bookmarkStart w:id="133" w:name="_Toc184314440"/>
      <w:bookmarkEnd w:id="133"/>
      <w:bookmarkStart w:id="134" w:name="_Toc184313274"/>
      <w:bookmarkEnd w:id="134"/>
      <w:bookmarkStart w:id="135" w:name="_Toc184313295"/>
      <w:bookmarkEnd w:id="135"/>
      <w:bookmarkStart w:id="136" w:name="_Toc184313266"/>
      <w:bookmarkEnd w:id="136"/>
      <w:bookmarkStart w:id="137" w:name="_Toc184314467"/>
      <w:bookmarkEnd w:id="137"/>
      <w:bookmarkStart w:id="138" w:name="_Toc184308040"/>
      <w:bookmarkEnd w:id="138"/>
      <w:bookmarkStart w:id="139" w:name="_Toc184313286"/>
      <w:bookmarkEnd w:id="139"/>
      <w:bookmarkStart w:id="140" w:name="_Toc184314478"/>
      <w:bookmarkEnd w:id="140"/>
      <w:bookmarkStart w:id="141" w:name="_Toc184308060"/>
      <w:bookmarkEnd w:id="141"/>
      <w:bookmarkStart w:id="142" w:name="_Toc184308071"/>
      <w:bookmarkEnd w:id="142"/>
      <w:bookmarkStart w:id="143" w:name="_Toc184308073"/>
      <w:bookmarkEnd w:id="143"/>
      <w:bookmarkStart w:id="144" w:name="_Toc184313263"/>
      <w:bookmarkEnd w:id="144"/>
      <w:bookmarkStart w:id="145" w:name="_Toc184310303"/>
      <w:bookmarkEnd w:id="145"/>
      <w:bookmarkStart w:id="146" w:name="_Toc184313289"/>
      <w:bookmarkEnd w:id="146"/>
      <w:bookmarkStart w:id="147" w:name="_Toc184308037"/>
      <w:bookmarkEnd w:id="147"/>
      <w:bookmarkStart w:id="148" w:name="_Toc184310279"/>
      <w:bookmarkEnd w:id="148"/>
      <w:bookmarkStart w:id="149" w:name="_Toc184313238"/>
      <w:bookmarkEnd w:id="149"/>
      <w:bookmarkStart w:id="150" w:name="_Toc184313255"/>
      <w:bookmarkEnd w:id="150"/>
      <w:bookmarkStart w:id="151" w:name="_Toc184312074"/>
      <w:bookmarkEnd w:id="151"/>
      <w:bookmarkStart w:id="152" w:name="_Toc184308045"/>
      <w:bookmarkEnd w:id="152"/>
      <w:bookmarkStart w:id="153" w:name="_Toc184310325"/>
      <w:bookmarkEnd w:id="153"/>
      <w:bookmarkStart w:id="154" w:name="_Toc184312110"/>
      <w:bookmarkEnd w:id="154"/>
      <w:bookmarkStart w:id="155" w:name="_Toc184314481"/>
      <w:bookmarkEnd w:id="155"/>
      <w:bookmarkStart w:id="156" w:name="_Toc184310321"/>
      <w:bookmarkEnd w:id="156"/>
      <w:bookmarkStart w:id="157" w:name="_Toc184312073"/>
      <w:bookmarkEnd w:id="157"/>
      <w:bookmarkStart w:id="158" w:name="_Toc184310328"/>
      <w:bookmarkEnd w:id="158"/>
      <w:bookmarkStart w:id="159" w:name="_Toc184313257"/>
      <w:bookmarkEnd w:id="159"/>
      <w:bookmarkStart w:id="160" w:name="_Toc184312067"/>
      <w:bookmarkEnd w:id="160"/>
      <w:bookmarkStart w:id="161" w:name="_Toc184314410"/>
      <w:bookmarkEnd w:id="161"/>
      <w:bookmarkStart w:id="162" w:name="_Toc184313248"/>
      <w:bookmarkEnd w:id="162"/>
      <w:bookmarkStart w:id="163" w:name="_Toc184313301"/>
      <w:bookmarkEnd w:id="163"/>
      <w:bookmarkStart w:id="164" w:name="_Toc184312114"/>
      <w:bookmarkEnd w:id="164"/>
      <w:bookmarkStart w:id="165" w:name="_Toc184308107"/>
      <w:bookmarkEnd w:id="165"/>
      <w:bookmarkStart w:id="166" w:name="_Toc184308103"/>
      <w:bookmarkEnd w:id="166"/>
      <w:bookmarkStart w:id="167" w:name="_Toc184312070"/>
      <w:bookmarkEnd w:id="167"/>
      <w:bookmarkStart w:id="168" w:name="_Toc184312121"/>
      <w:bookmarkEnd w:id="168"/>
      <w:bookmarkStart w:id="169" w:name="_Toc184313253"/>
      <w:bookmarkEnd w:id="169"/>
      <w:bookmarkStart w:id="170" w:name="_Toc184308056"/>
      <w:bookmarkEnd w:id="170"/>
      <w:bookmarkStart w:id="171" w:name="_Toc184313273"/>
      <w:bookmarkEnd w:id="171"/>
      <w:bookmarkStart w:id="172" w:name="_Toc184308061"/>
      <w:bookmarkEnd w:id="172"/>
      <w:bookmarkStart w:id="173" w:name="_Toc184314474"/>
      <w:bookmarkEnd w:id="173"/>
      <w:bookmarkStart w:id="174" w:name="_Toc184310320"/>
      <w:bookmarkEnd w:id="174"/>
      <w:bookmarkStart w:id="175" w:name="_Toc184313276"/>
      <w:bookmarkEnd w:id="175"/>
      <w:bookmarkStart w:id="176" w:name="_Toc184308084"/>
      <w:bookmarkEnd w:id="176"/>
      <w:bookmarkStart w:id="177" w:name="_Toc184314434"/>
      <w:bookmarkEnd w:id="177"/>
      <w:bookmarkStart w:id="178" w:name="_Toc184313300"/>
      <w:bookmarkEnd w:id="178"/>
      <w:bookmarkStart w:id="179" w:name="_Toc184312072"/>
      <w:bookmarkEnd w:id="179"/>
      <w:bookmarkStart w:id="180" w:name="_Toc184312128"/>
      <w:bookmarkEnd w:id="180"/>
      <w:bookmarkStart w:id="181" w:name="_Toc184312115"/>
      <w:bookmarkEnd w:id="181"/>
      <w:bookmarkStart w:id="182" w:name="_Toc184314427"/>
      <w:bookmarkEnd w:id="182"/>
      <w:bookmarkStart w:id="183" w:name="_Toc184310340"/>
      <w:bookmarkEnd w:id="183"/>
      <w:bookmarkStart w:id="184" w:name="_Toc184310276"/>
      <w:bookmarkEnd w:id="184"/>
      <w:bookmarkStart w:id="185" w:name="_Toc184312122"/>
      <w:bookmarkEnd w:id="185"/>
      <w:bookmarkStart w:id="186" w:name="_Toc184314445"/>
      <w:bookmarkEnd w:id="186"/>
      <w:bookmarkStart w:id="187" w:name="_Toc184313299"/>
      <w:bookmarkEnd w:id="187"/>
      <w:bookmarkStart w:id="188" w:name="_Toc184312071"/>
      <w:bookmarkEnd w:id="188"/>
      <w:bookmarkStart w:id="189" w:name="_Toc184312134"/>
      <w:bookmarkEnd w:id="189"/>
      <w:bookmarkStart w:id="190" w:name="_Toc184310315"/>
      <w:bookmarkEnd w:id="190"/>
      <w:bookmarkStart w:id="191" w:name="_Toc184313302"/>
      <w:bookmarkEnd w:id="191"/>
      <w:bookmarkStart w:id="192" w:name="_Toc184314418"/>
      <w:bookmarkEnd w:id="192"/>
      <w:bookmarkStart w:id="193" w:name="_Toc184310343"/>
      <w:bookmarkEnd w:id="193"/>
      <w:bookmarkStart w:id="194" w:name="_Toc184314443"/>
      <w:bookmarkEnd w:id="194"/>
      <w:bookmarkStart w:id="195" w:name="_Toc184314470"/>
      <w:bookmarkEnd w:id="195"/>
      <w:bookmarkStart w:id="196" w:name="_Toc184310292"/>
      <w:bookmarkEnd w:id="196"/>
      <w:bookmarkStart w:id="197" w:name="_Toc184310306"/>
      <w:bookmarkEnd w:id="197"/>
      <w:bookmarkStart w:id="198" w:name="_Toc184313259"/>
      <w:bookmarkEnd w:id="198"/>
      <w:bookmarkStart w:id="199" w:name="_Toc184314448"/>
      <w:bookmarkEnd w:id="199"/>
      <w:bookmarkStart w:id="200" w:name="_Toc184310331"/>
      <w:bookmarkEnd w:id="200"/>
      <w:bookmarkStart w:id="201" w:name="_Toc184312092"/>
      <w:bookmarkEnd w:id="201"/>
      <w:bookmarkStart w:id="202" w:name="_Toc184313280"/>
      <w:bookmarkEnd w:id="202"/>
      <w:bookmarkStart w:id="203" w:name="_Toc184308090"/>
      <w:bookmarkEnd w:id="203"/>
      <w:bookmarkStart w:id="204" w:name="_Toc184314447"/>
      <w:bookmarkEnd w:id="204"/>
      <w:bookmarkStart w:id="205" w:name="_Toc184308082"/>
      <w:bookmarkEnd w:id="205"/>
      <w:bookmarkStart w:id="206" w:name="_Toc184312130"/>
      <w:bookmarkEnd w:id="206"/>
      <w:bookmarkStart w:id="207" w:name="_Toc184308102"/>
      <w:bookmarkEnd w:id="207"/>
      <w:bookmarkStart w:id="208" w:name="_Toc184308093"/>
      <w:bookmarkEnd w:id="208"/>
      <w:bookmarkStart w:id="209" w:name="_Toc184313283"/>
      <w:bookmarkEnd w:id="209"/>
      <w:bookmarkStart w:id="210" w:name="_Toc184308104"/>
      <w:bookmarkEnd w:id="210"/>
      <w:bookmarkStart w:id="211" w:name="_Toc184312105"/>
      <w:bookmarkEnd w:id="211"/>
      <w:bookmarkStart w:id="212" w:name="_Toc184314413"/>
      <w:bookmarkEnd w:id="212"/>
      <w:bookmarkStart w:id="213" w:name="_Toc184313244"/>
      <w:bookmarkEnd w:id="213"/>
      <w:bookmarkStart w:id="214" w:name="_Toc184308083"/>
      <w:bookmarkEnd w:id="214"/>
      <w:bookmarkStart w:id="215" w:name="_Toc184312124"/>
      <w:bookmarkEnd w:id="215"/>
      <w:bookmarkStart w:id="216" w:name="_Toc184314452"/>
      <w:bookmarkEnd w:id="216"/>
      <w:bookmarkStart w:id="217" w:name="_Toc184308077"/>
      <w:bookmarkEnd w:id="217"/>
      <w:bookmarkStart w:id="218" w:name="_Toc184308078"/>
      <w:bookmarkEnd w:id="218"/>
      <w:bookmarkStart w:id="219" w:name="_Toc184308096"/>
      <w:bookmarkEnd w:id="219"/>
      <w:bookmarkStart w:id="220" w:name="_Toc184308046"/>
      <w:bookmarkEnd w:id="220"/>
      <w:bookmarkStart w:id="221" w:name="_Toc184314466"/>
      <w:bookmarkEnd w:id="221"/>
      <w:bookmarkStart w:id="222" w:name="_Toc184314416"/>
      <w:bookmarkEnd w:id="222"/>
      <w:bookmarkStart w:id="223" w:name="_Toc184310272"/>
      <w:bookmarkEnd w:id="223"/>
      <w:bookmarkStart w:id="224" w:name="_Toc184308081"/>
      <w:bookmarkEnd w:id="224"/>
      <w:bookmarkStart w:id="225" w:name="_Toc184313309"/>
      <w:bookmarkEnd w:id="225"/>
      <w:bookmarkStart w:id="226" w:name="_Toc184310291"/>
      <w:bookmarkEnd w:id="226"/>
      <w:bookmarkStart w:id="227" w:name="_Toc184313285"/>
      <w:bookmarkEnd w:id="227"/>
      <w:bookmarkStart w:id="228" w:name="_Toc184313284"/>
      <w:bookmarkEnd w:id="228"/>
      <w:bookmarkStart w:id="229" w:name="_Toc184310283"/>
      <w:bookmarkEnd w:id="229"/>
      <w:bookmarkStart w:id="230" w:name="_Toc184314414"/>
      <w:bookmarkEnd w:id="230"/>
      <w:bookmarkStart w:id="231" w:name="_Toc184314475"/>
      <w:bookmarkEnd w:id="231"/>
      <w:bookmarkStart w:id="232" w:name="_Toc184308052"/>
      <w:bookmarkEnd w:id="232"/>
      <w:bookmarkStart w:id="233" w:name="_Toc184314442"/>
      <w:bookmarkEnd w:id="233"/>
      <w:bookmarkStart w:id="234" w:name="_Toc184313262"/>
      <w:bookmarkEnd w:id="234"/>
      <w:bookmarkStart w:id="235" w:name="_Toc184312123"/>
      <w:bookmarkEnd w:id="235"/>
      <w:bookmarkStart w:id="236" w:name="_Toc184314476"/>
      <w:bookmarkEnd w:id="236"/>
      <w:bookmarkStart w:id="237" w:name="_Toc184312082"/>
      <w:bookmarkEnd w:id="237"/>
      <w:bookmarkStart w:id="238" w:name="_Toc184314444"/>
      <w:bookmarkEnd w:id="238"/>
      <w:bookmarkStart w:id="239" w:name="_Toc184314431"/>
      <w:bookmarkEnd w:id="239"/>
      <w:bookmarkStart w:id="240" w:name="_Toc184308101"/>
      <w:bookmarkEnd w:id="240"/>
      <w:bookmarkStart w:id="241" w:name="_Toc184312112"/>
      <w:bookmarkEnd w:id="241"/>
      <w:bookmarkStart w:id="242" w:name="_Toc184310338"/>
      <w:bookmarkEnd w:id="242"/>
      <w:bookmarkStart w:id="243" w:name="_Toc184310299"/>
      <w:bookmarkEnd w:id="243"/>
      <w:bookmarkStart w:id="244" w:name="_Toc184312086"/>
      <w:bookmarkEnd w:id="244"/>
      <w:bookmarkStart w:id="245" w:name="_Toc184313281"/>
      <w:bookmarkEnd w:id="245"/>
      <w:bookmarkStart w:id="246" w:name="_Toc184314446"/>
      <w:bookmarkEnd w:id="246"/>
      <w:bookmarkStart w:id="247" w:name="_Toc184312094"/>
      <w:bookmarkEnd w:id="247"/>
      <w:bookmarkStart w:id="248" w:name="_Toc184313272"/>
      <w:bookmarkEnd w:id="248"/>
      <w:bookmarkStart w:id="249" w:name="_Toc184308085"/>
      <w:bookmarkEnd w:id="249"/>
      <w:bookmarkStart w:id="250" w:name="_Toc184314465"/>
      <w:bookmarkEnd w:id="250"/>
      <w:bookmarkStart w:id="251" w:name="_Toc184313308"/>
      <w:bookmarkEnd w:id="251"/>
      <w:bookmarkStart w:id="252" w:name="_Toc184313251"/>
      <w:bookmarkEnd w:id="252"/>
      <w:bookmarkStart w:id="253" w:name="_Toc184308055"/>
      <w:bookmarkEnd w:id="253"/>
      <w:bookmarkStart w:id="254" w:name="_Toc184312129"/>
      <w:bookmarkEnd w:id="254"/>
      <w:bookmarkStart w:id="255" w:name="_Toc184310334"/>
      <w:bookmarkEnd w:id="255"/>
      <w:bookmarkStart w:id="256" w:name="_Toc184310307"/>
      <w:bookmarkEnd w:id="256"/>
      <w:bookmarkStart w:id="257" w:name="_Toc184312101"/>
      <w:bookmarkEnd w:id="257"/>
      <w:bookmarkStart w:id="258" w:name="_Toc184312111"/>
      <w:bookmarkEnd w:id="258"/>
      <w:bookmarkStart w:id="259" w:name="_Toc184308051"/>
      <w:bookmarkEnd w:id="259"/>
      <w:bookmarkStart w:id="260" w:name="_Toc184314411"/>
      <w:bookmarkEnd w:id="260"/>
      <w:bookmarkStart w:id="261" w:name="_Toc184310327"/>
      <w:bookmarkEnd w:id="261"/>
      <w:bookmarkStart w:id="262" w:name="_Toc184313245"/>
      <w:bookmarkEnd w:id="262"/>
      <w:bookmarkStart w:id="263" w:name="_Toc184308049"/>
      <w:bookmarkEnd w:id="263"/>
      <w:bookmarkStart w:id="264" w:name="_Toc184308036"/>
      <w:bookmarkEnd w:id="264"/>
      <w:bookmarkStart w:id="265" w:name="_Toc184313292"/>
      <w:bookmarkEnd w:id="265"/>
      <w:bookmarkStart w:id="266" w:name="_Toc184313307"/>
      <w:bookmarkEnd w:id="266"/>
      <w:bookmarkStart w:id="267" w:name="_Toc184312068"/>
      <w:bookmarkEnd w:id="267"/>
      <w:bookmarkStart w:id="268" w:name="_Toc184310289"/>
      <w:bookmarkEnd w:id="268"/>
      <w:bookmarkStart w:id="269" w:name="_Toc184308069"/>
      <w:bookmarkEnd w:id="269"/>
      <w:bookmarkStart w:id="270" w:name="_Toc184313293"/>
      <w:bookmarkEnd w:id="270"/>
      <w:bookmarkStart w:id="271" w:name="_Toc184313279"/>
      <w:bookmarkEnd w:id="271"/>
      <w:bookmarkStart w:id="272" w:name="_Toc184313294"/>
      <w:bookmarkEnd w:id="272"/>
      <w:bookmarkStart w:id="273" w:name="_Toc184310322"/>
      <w:bookmarkEnd w:id="273"/>
      <w:bookmarkStart w:id="274" w:name="_Toc184312081"/>
      <w:bookmarkEnd w:id="274"/>
      <w:bookmarkStart w:id="275" w:name="_Toc184314425"/>
      <w:bookmarkEnd w:id="275"/>
      <w:bookmarkStart w:id="276" w:name="_Toc184313264"/>
      <w:bookmarkEnd w:id="276"/>
      <w:bookmarkStart w:id="277" w:name="_Toc184308106"/>
      <w:bookmarkEnd w:id="277"/>
      <w:bookmarkStart w:id="278" w:name="_Toc184308097"/>
      <w:bookmarkEnd w:id="278"/>
      <w:bookmarkStart w:id="279" w:name="_Toc184308086"/>
      <w:bookmarkEnd w:id="279"/>
      <w:bookmarkStart w:id="280" w:name="_Toc184312106"/>
      <w:bookmarkEnd w:id="280"/>
      <w:bookmarkStart w:id="281" w:name="_Toc184312119"/>
      <w:bookmarkEnd w:id="281"/>
      <w:bookmarkStart w:id="282" w:name="_Toc184312083"/>
      <w:bookmarkEnd w:id="282"/>
      <w:bookmarkStart w:id="283" w:name="_Toc184308042"/>
      <w:bookmarkEnd w:id="283"/>
      <w:bookmarkStart w:id="284" w:name="_Toc184312079"/>
      <w:bookmarkEnd w:id="284"/>
      <w:bookmarkStart w:id="285" w:name="_Toc184312069"/>
      <w:bookmarkEnd w:id="285"/>
      <w:bookmarkStart w:id="286" w:name="_Toc184314441"/>
      <w:bookmarkEnd w:id="286"/>
      <w:bookmarkStart w:id="287" w:name="_Toc184313256"/>
      <w:bookmarkEnd w:id="287"/>
      <w:bookmarkStart w:id="288" w:name="_Toc184310310"/>
      <w:bookmarkEnd w:id="288"/>
      <w:bookmarkStart w:id="289" w:name="_Toc184314436"/>
      <w:bookmarkEnd w:id="289"/>
      <w:bookmarkStart w:id="290" w:name="_Toc184314480"/>
      <w:bookmarkEnd w:id="290"/>
      <w:bookmarkStart w:id="291" w:name="_Toc184308043"/>
      <w:bookmarkEnd w:id="291"/>
      <w:bookmarkStart w:id="292" w:name="_Toc184310305"/>
      <w:bookmarkEnd w:id="292"/>
      <w:bookmarkStart w:id="293" w:name="_Toc184310275"/>
      <w:bookmarkEnd w:id="293"/>
      <w:bookmarkStart w:id="294" w:name="_Toc184314428"/>
      <w:bookmarkEnd w:id="294"/>
      <w:bookmarkStart w:id="295" w:name="_Toc184313254"/>
      <w:bookmarkEnd w:id="295"/>
      <w:bookmarkStart w:id="296" w:name="_Toc184313297"/>
      <w:bookmarkEnd w:id="296"/>
      <w:bookmarkStart w:id="297" w:name="_Toc184314468"/>
      <w:bookmarkEnd w:id="297"/>
      <w:bookmarkStart w:id="298" w:name="_Toc184313267"/>
      <w:bookmarkEnd w:id="298"/>
      <w:bookmarkStart w:id="299" w:name="_Toc184308067"/>
      <w:bookmarkEnd w:id="299"/>
      <w:bookmarkStart w:id="300" w:name="_Toc184314424"/>
      <w:bookmarkEnd w:id="300"/>
      <w:bookmarkStart w:id="301" w:name="_Toc184314482"/>
      <w:bookmarkEnd w:id="301"/>
      <w:bookmarkStart w:id="302" w:name="_Toc184314439"/>
      <w:bookmarkEnd w:id="302"/>
      <w:bookmarkStart w:id="303" w:name="_Toc184312132"/>
      <w:bookmarkEnd w:id="303"/>
      <w:bookmarkStart w:id="304" w:name="_Toc184313246"/>
      <w:bookmarkEnd w:id="304"/>
      <w:bookmarkStart w:id="305" w:name="_Toc184310304"/>
      <w:bookmarkEnd w:id="305"/>
      <w:bookmarkStart w:id="306" w:name="_Toc184314419"/>
      <w:bookmarkEnd w:id="306"/>
      <w:bookmarkStart w:id="307" w:name="_Toc184314449"/>
      <w:bookmarkEnd w:id="307"/>
      <w:bookmarkStart w:id="308" w:name="_Toc184310293"/>
      <w:bookmarkEnd w:id="308"/>
      <w:bookmarkStart w:id="309" w:name="_Toc184310318"/>
      <w:bookmarkEnd w:id="309"/>
      <w:bookmarkStart w:id="310" w:name="_Toc184314473"/>
      <w:bookmarkEnd w:id="310"/>
      <w:bookmarkStart w:id="311" w:name="_Toc184312138"/>
      <w:bookmarkEnd w:id="311"/>
      <w:bookmarkStart w:id="312" w:name="_Toc184312107"/>
      <w:bookmarkEnd w:id="312"/>
      <w:bookmarkStart w:id="313" w:name="_Toc184313278"/>
      <w:bookmarkEnd w:id="313"/>
      <w:bookmarkStart w:id="314" w:name="_Toc184312131"/>
      <w:bookmarkEnd w:id="314"/>
      <w:bookmarkStart w:id="315" w:name="_Toc184308066"/>
      <w:bookmarkEnd w:id="315"/>
      <w:bookmarkStart w:id="316" w:name="_Toc184310333"/>
      <w:bookmarkEnd w:id="316"/>
      <w:bookmarkStart w:id="317" w:name="_Toc184312135"/>
      <w:bookmarkEnd w:id="317"/>
      <w:bookmarkStart w:id="318" w:name="_Toc184314433"/>
      <w:bookmarkEnd w:id="318"/>
      <w:bookmarkStart w:id="319" w:name="_Toc184308091"/>
      <w:bookmarkEnd w:id="319"/>
      <w:bookmarkStart w:id="320" w:name="_Toc184314450"/>
      <w:bookmarkEnd w:id="320"/>
      <w:bookmarkStart w:id="321" w:name="_Toc184314458"/>
      <w:bookmarkEnd w:id="321"/>
      <w:bookmarkStart w:id="322" w:name="_Toc184308100"/>
      <w:bookmarkEnd w:id="322"/>
      <w:bookmarkStart w:id="323" w:name="_Toc184314479"/>
      <w:bookmarkEnd w:id="323"/>
      <w:bookmarkStart w:id="324" w:name="_Toc184314451"/>
      <w:bookmarkEnd w:id="324"/>
      <w:bookmarkStart w:id="325" w:name="_Toc184308062"/>
      <w:bookmarkEnd w:id="325"/>
      <w:bookmarkStart w:id="326" w:name="_Toc184314422"/>
      <w:bookmarkEnd w:id="326"/>
      <w:bookmarkStart w:id="327" w:name="_Toc184310311"/>
      <w:bookmarkEnd w:id="327"/>
      <w:bookmarkStart w:id="328" w:name="_Toc184310323"/>
      <w:bookmarkEnd w:id="328"/>
      <w:bookmarkStart w:id="329" w:name="_Toc184313268"/>
      <w:bookmarkEnd w:id="329"/>
      <w:bookmarkStart w:id="330" w:name="_Toc184313252"/>
      <w:bookmarkEnd w:id="330"/>
      <w:bookmarkStart w:id="331" w:name="_Toc184312120"/>
      <w:bookmarkEnd w:id="331"/>
      <w:bookmarkStart w:id="332" w:name="_Toc184310341"/>
      <w:bookmarkEnd w:id="332"/>
      <w:bookmarkStart w:id="333" w:name="_Toc184310297"/>
      <w:bookmarkEnd w:id="333"/>
      <w:bookmarkStart w:id="334" w:name="_Toc184313270"/>
      <w:bookmarkEnd w:id="334"/>
      <w:bookmarkStart w:id="335" w:name="_Toc184314415"/>
      <w:bookmarkEnd w:id="335"/>
      <w:bookmarkStart w:id="336" w:name="_Toc184310280"/>
      <w:bookmarkEnd w:id="336"/>
      <w:bookmarkStart w:id="337" w:name="_Toc184308072"/>
      <w:bookmarkEnd w:id="337"/>
      <w:bookmarkStart w:id="338" w:name="_Toc184312095"/>
      <w:bookmarkEnd w:id="338"/>
      <w:bookmarkStart w:id="339" w:name="_Toc184310281"/>
      <w:bookmarkEnd w:id="339"/>
      <w:bookmarkStart w:id="340" w:name="_Toc184310301"/>
      <w:bookmarkEnd w:id="340"/>
      <w:bookmarkStart w:id="341" w:name="_Toc184310317"/>
      <w:bookmarkEnd w:id="341"/>
      <w:bookmarkStart w:id="342" w:name="_Toc184313277"/>
      <w:bookmarkEnd w:id="342"/>
      <w:bookmarkStart w:id="343" w:name="_Toc184312139"/>
      <w:bookmarkEnd w:id="343"/>
      <w:bookmarkStart w:id="344" w:name="_Toc184314429"/>
      <w:bookmarkEnd w:id="344"/>
      <w:bookmarkStart w:id="345" w:name="_Toc184308075"/>
      <w:bookmarkEnd w:id="345"/>
      <w:bookmarkStart w:id="346" w:name="_Toc184312097"/>
      <w:bookmarkEnd w:id="346"/>
      <w:bookmarkStart w:id="347" w:name="_Toc184310278"/>
      <w:bookmarkEnd w:id="347"/>
      <w:bookmarkStart w:id="348" w:name="_Toc184313260"/>
      <w:bookmarkEnd w:id="348"/>
      <w:bookmarkStart w:id="349" w:name="_Toc184312080"/>
      <w:bookmarkEnd w:id="349"/>
      <w:bookmarkStart w:id="350" w:name="_Toc184308068"/>
      <w:bookmarkEnd w:id="350"/>
      <w:bookmarkStart w:id="351" w:name="_Toc184310324"/>
      <w:bookmarkEnd w:id="351"/>
      <w:bookmarkStart w:id="352" w:name="_Toc184313247"/>
      <w:bookmarkEnd w:id="352"/>
      <w:bookmarkStart w:id="353" w:name="_Toc184312109"/>
      <w:bookmarkEnd w:id="353"/>
      <w:bookmarkStart w:id="354" w:name="_Toc184308089"/>
      <w:bookmarkEnd w:id="354"/>
      <w:bookmarkStart w:id="355" w:name="_Toc184314430"/>
      <w:bookmarkEnd w:id="355"/>
      <w:bookmarkStart w:id="356" w:name="_Toc184312093"/>
      <w:bookmarkEnd w:id="356"/>
      <w:bookmarkStart w:id="357" w:name="_Toc184314420"/>
      <w:bookmarkEnd w:id="357"/>
      <w:bookmarkStart w:id="358" w:name="_Toc184314469"/>
      <w:bookmarkEnd w:id="358"/>
      <w:bookmarkStart w:id="359" w:name="_Toc184310298"/>
      <w:bookmarkEnd w:id="359"/>
      <w:bookmarkStart w:id="360" w:name="_Toc184308092"/>
      <w:bookmarkEnd w:id="360"/>
      <w:bookmarkStart w:id="361" w:name="_Toc184308064"/>
      <w:bookmarkEnd w:id="361"/>
      <w:bookmarkStart w:id="362" w:name="_Toc184310312"/>
      <w:bookmarkEnd w:id="362"/>
      <w:bookmarkStart w:id="363" w:name="_Toc184308050"/>
      <w:bookmarkEnd w:id="363"/>
      <w:bookmarkStart w:id="364" w:name="_Toc184314459"/>
      <w:bookmarkEnd w:id="364"/>
      <w:bookmarkStart w:id="365" w:name="_Toc184308053"/>
      <w:bookmarkEnd w:id="365"/>
      <w:bookmarkStart w:id="366" w:name="_Toc184314435"/>
      <w:bookmarkEnd w:id="366"/>
      <w:bookmarkStart w:id="367" w:name="_Toc184310326"/>
      <w:bookmarkEnd w:id="367"/>
      <w:bookmarkStart w:id="368" w:name="_Toc184313291"/>
      <w:bookmarkEnd w:id="368"/>
      <w:bookmarkStart w:id="369" w:name="_Toc184308047"/>
      <w:bookmarkEnd w:id="369"/>
      <w:bookmarkStart w:id="370" w:name="_Toc184314464"/>
      <w:bookmarkEnd w:id="370"/>
      <w:bookmarkStart w:id="371" w:name="_Toc184312136"/>
      <w:bookmarkEnd w:id="371"/>
      <w:bookmarkStart w:id="372" w:name="_Toc184313242"/>
      <w:bookmarkEnd w:id="372"/>
      <w:bookmarkStart w:id="373" w:name="_Toc184308099"/>
      <w:bookmarkEnd w:id="373"/>
      <w:bookmarkStart w:id="374" w:name="_Toc184313240"/>
      <w:bookmarkEnd w:id="374"/>
      <w:bookmarkStart w:id="375" w:name="_Toc184314463"/>
      <w:bookmarkEnd w:id="375"/>
      <w:bookmarkStart w:id="376" w:name="_Toc184310284"/>
      <w:bookmarkEnd w:id="376"/>
      <w:bookmarkStart w:id="377" w:name="_Toc184312108"/>
      <w:bookmarkEnd w:id="377"/>
      <w:bookmarkStart w:id="378" w:name="_Toc184310316"/>
      <w:bookmarkEnd w:id="378"/>
      <w:bookmarkStart w:id="379" w:name="_Toc184312087"/>
      <w:bookmarkEnd w:id="379"/>
      <w:bookmarkStart w:id="380" w:name="_Toc184308038"/>
      <w:bookmarkEnd w:id="380"/>
      <w:bookmarkStart w:id="381" w:name="_Toc184310319"/>
      <w:bookmarkEnd w:id="381"/>
      <w:bookmarkStart w:id="382" w:name="_Toc184314432"/>
      <w:bookmarkEnd w:id="382"/>
      <w:bookmarkStart w:id="383" w:name="_Toc184313304"/>
      <w:bookmarkEnd w:id="383"/>
      <w:bookmarkStart w:id="384" w:name="_Toc184314412"/>
      <w:bookmarkEnd w:id="384"/>
      <w:bookmarkStart w:id="385" w:name="_Toc184312084"/>
      <w:bookmarkEnd w:id="385"/>
      <w:bookmarkStart w:id="386" w:name="_Toc184312127"/>
      <w:bookmarkEnd w:id="386"/>
      <w:bookmarkStart w:id="387" w:name="_Toc184308105"/>
      <w:bookmarkEnd w:id="387"/>
      <w:bookmarkStart w:id="388" w:name="_Toc184308063"/>
      <w:bookmarkEnd w:id="388"/>
      <w:bookmarkStart w:id="389" w:name="_Toc184308087"/>
      <w:bookmarkEnd w:id="389"/>
      <w:bookmarkStart w:id="390" w:name="_Toc184313306"/>
      <w:bookmarkEnd w:id="390"/>
      <w:bookmarkStart w:id="391" w:name="_Toc184313290"/>
      <w:bookmarkEnd w:id="391"/>
      <w:bookmarkStart w:id="392" w:name="_Toc184310286"/>
      <w:bookmarkEnd w:id="392"/>
      <w:bookmarkStart w:id="393" w:name="_Toc184313239"/>
      <w:bookmarkEnd w:id="393"/>
      <w:bookmarkStart w:id="394" w:name="_Toc184310330"/>
      <w:bookmarkEnd w:id="394"/>
      <w:bookmarkStart w:id="395" w:name="_Toc184314438"/>
      <w:bookmarkEnd w:id="395"/>
      <w:bookmarkStart w:id="396" w:name="_Toc184308098"/>
      <w:bookmarkEnd w:id="396"/>
      <w:bookmarkStart w:id="397" w:name="_Toc184310296"/>
      <w:bookmarkEnd w:id="397"/>
      <w:r>
        <w:rPr>
          <w:rFonts w:hint="eastAsia" w:ascii="宋体" w:hAnsi="宋体" w:cs="宋体"/>
          <w:b/>
          <w:color w:val="000000" w:themeColor="text1"/>
          <w:sz w:val="36"/>
          <w:szCs w:val="36"/>
          <w:highlight w:val="none"/>
          <w14:textFill>
            <w14:solidFill>
              <w14:schemeClr w14:val="tx1"/>
            </w14:solidFill>
          </w14:textFill>
        </w:rPr>
        <w:t>评标办法</w:t>
      </w:r>
    </w:p>
    <w:p>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评标办法前附表</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5716"/>
        <w:gridCol w:w="531"/>
        <w:gridCol w:w="510"/>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vAlign w:val="center"/>
          </w:tcPr>
          <w:p>
            <w:pPr>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3070" w:type="pct"/>
            <w:vAlign w:val="center"/>
          </w:tcPr>
          <w:p>
            <w:pPr>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评标标准</w:t>
            </w:r>
          </w:p>
        </w:tc>
        <w:tc>
          <w:tcPr>
            <w:tcW w:w="357" w:type="pct"/>
            <w:vAlign w:val="center"/>
          </w:tcPr>
          <w:p>
            <w:pPr>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权重</w:t>
            </w:r>
          </w:p>
        </w:tc>
        <w:tc>
          <w:tcPr>
            <w:tcW w:w="424" w:type="pct"/>
            <w:vAlign w:val="center"/>
          </w:tcPr>
          <w:p>
            <w:pPr>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主观分/客观分属性</w:t>
            </w:r>
          </w:p>
        </w:tc>
        <w:tc>
          <w:tcPr>
            <w:tcW w:w="845" w:type="pct"/>
            <w:vAlign w:val="center"/>
          </w:tcPr>
          <w:p>
            <w:pPr>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3070" w:type="pct"/>
            <w:vAlign w:val="center"/>
          </w:tcPr>
          <w:p>
            <w:pPr>
              <w:numPr>
                <w:ilvl w:val="0"/>
                <w:numId w:val="6"/>
              </w:numPr>
              <w:ind w:left="425" w:hanging="425"/>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提供有效的质量管理体系认证证书得</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分；</w:t>
            </w:r>
          </w:p>
          <w:p>
            <w:pPr>
              <w:numPr>
                <w:ilvl w:val="0"/>
                <w:numId w:val="6"/>
              </w:numPr>
              <w:ind w:left="425" w:hanging="425"/>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提供有效的环境管理体系认证证书得</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分；</w:t>
            </w:r>
          </w:p>
          <w:p>
            <w:pPr>
              <w:numPr>
                <w:ilvl w:val="0"/>
                <w:numId w:val="6"/>
              </w:numPr>
              <w:ind w:left="425" w:hanging="425"/>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提供有效的职业健康安全体系认证证书得</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分；</w:t>
            </w:r>
          </w:p>
          <w:p>
            <w:pPr>
              <w:pStyle w:val="317"/>
              <w:snapToGrid w:val="0"/>
              <w:spacing w:line="360" w:lineRule="auto"/>
              <w:rPr>
                <w:rFonts w:hint="eastAsia" w:hAnsi="宋体" w:cs="宋体"/>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（提供证书原件扫描件，全国认证认可信息公共服务平台http://cx.cnca.cn/CertECloud/result/skipResultList可查)</w:t>
            </w:r>
          </w:p>
        </w:tc>
        <w:tc>
          <w:tcPr>
            <w:tcW w:w="357" w:type="pct"/>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3分</w:t>
            </w:r>
          </w:p>
        </w:tc>
        <w:tc>
          <w:tcPr>
            <w:tcW w:w="424" w:type="pct"/>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客观分</w:t>
            </w:r>
          </w:p>
        </w:tc>
        <w:tc>
          <w:tcPr>
            <w:tcW w:w="845" w:type="pct"/>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投标人资信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3070" w:type="pct"/>
            <w:vAlign w:val="center"/>
          </w:tcPr>
          <w:p>
            <w:pPr>
              <w:pStyle w:val="317"/>
              <w:snapToGrid w:val="0"/>
              <w:spacing w:line="360" w:lineRule="auto"/>
              <w:rPr>
                <w:rFonts w:hint="eastAsia"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根据投标人202</w:t>
            </w:r>
            <w:r>
              <w:rPr>
                <w:rFonts w:hint="eastAsia" w:hAnsi="宋体" w:cs="宋体"/>
                <w:color w:val="000000" w:themeColor="text1"/>
                <w:kern w:val="2"/>
                <w:sz w:val="21"/>
                <w:szCs w:val="21"/>
                <w:highlight w:val="none"/>
                <w:lang w:val="en-US" w:eastAsia="zh-CN"/>
                <w14:textFill>
                  <w14:solidFill>
                    <w14:schemeClr w14:val="tx1"/>
                  </w14:solidFill>
                </w14:textFill>
              </w:rPr>
              <w:t>2</w:t>
            </w:r>
            <w:r>
              <w:rPr>
                <w:rFonts w:hint="eastAsia" w:hAnsi="宋体" w:cs="宋体"/>
                <w:color w:val="000000" w:themeColor="text1"/>
                <w:kern w:val="2"/>
                <w:sz w:val="21"/>
                <w:szCs w:val="21"/>
                <w:highlight w:val="none"/>
                <w14:textFill>
                  <w14:solidFill>
                    <w14:schemeClr w14:val="tx1"/>
                  </w14:solidFill>
                </w14:textFill>
              </w:rPr>
              <w:t>年</w:t>
            </w:r>
            <w:r>
              <w:rPr>
                <w:rFonts w:hint="eastAsia" w:hAnsi="宋体" w:cs="宋体"/>
                <w:color w:val="000000" w:themeColor="text1"/>
                <w:kern w:val="2"/>
                <w:sz w:val="21"/>
                <w:szCs w:val="21"/>
                <w:highlight w:val="none"/>
                <w:lang w:val="en-US" w:eastAsia="zh-CN"/>
                <w14:textFill>
                  <w14:solidFill>
                    <w14:schemeClr w14:val="tx1"/>
                  </w14:solidFill>
                </w14:textFill>
              </w:rPr>
              <w:t>6</w:t>
            </w:r>
            <w:r>
              <w:rPr>
                <w:rFonts w:hint="eastAsia" w:hAnsi="宋体" w:cs="宋体"/>
                <w:color w:val="000000" w:themeColor="text1"/>
                <w:kern w:val="2"/>
                <w:sz w:val="21"/>
                <w:szCs w:val="21"/>
                <w:highlight w:val="none"/>
                <w14:textFill>
                  <w14:solidFill>
                    <w14:schemeClr w14:val="tx1"/>
                  </w14:solidFill>
                </w14:textFill>
              </w:rPr>
              <w:t>月1日至今（以合同</w:t>
            </w:r>
            <w:r>
              <w:rPr>
                <w:rFonts w:hint="eastAsia" w:hAnsi="宋体" w:cs="宋体"/>
                <w:color w:val="000000" w:themeColor="text1"/>
                <w:kern w:val="2"/>
                <w:sz w:val="21"/>
                <w:szCs w:val="21"/>
                <w:highlight w:val="none"/>
                <w:lang w:val="en-US" w:eastAsia="zh-CN"/>
                <w14:textFill>
                  <w14:solidFill>
                    <w14:schemeClr w14:val="tx1"/>
                  </w14:solidFill>
                </w14:textFill>
              </w:rPr>
              <w:t>截止</w:t>
            </w:r>
            <w:r>
              <w:rPr>
                <w:rFonts w:hint="eastAsia" w:hAnsi="宋体" w:cs="宋体"/>
                <w:color w:val="000000" w:themeColor="text1"/>
                <w:kern w:val="2"/>
                <w:sz w:val="21"/>
                <w:szCs w:val="21"/>
                <w:highlight w:val="none"/>
                <w14:textFill>
                  <w14:solidFill>
                    <w14:schemeClr w14:val="tx1"/>
                  </w14:solidFill>
                </w14:textFill>
              </w:rPr>
              <w:t>时间为准）</w:t>
            </w:r>
            <w:r>
              <w:rPr>
                <w:rFonts w:hint="eastAsia" w:hAnsi="宋体" w:cs="宋体"/>
                <w:color w:val="000000" w:themeColor="text1"/>
                <w:kern w:val="2"/>
                <w:sz w:val="21"/>
                <w:szCs w:val="21"/>
                <w:highlight w:val="none"/>
                <w:lang w:val="en-US" w:eastAsia="zh-CN"/>
                <w14:textFill>
                  <w14:solidFill>
                    <w14:schemeClr w14:val="tx1"/>
                  </w14:solidFill>
                </w14:textFill>
              </w:rPr>
              <w:t>完成</w:t>
            </w:r>
            <w:r>
              <w:rPr>
                <w:rFonts w:hint="eastAsia" w:hAnsi="宋体" w:cs="宋体"/>
                <w:color w:val="000000" w:themeColor="text1"/>
                <w:kern w:val="2"/>
                <w:sz w:val="21"/>
                <w:szCs w:val="21"/>
                <w:highlight w:val="none"/>
                <w14:textFill>
                  <w14:solidFill>
                    <w14:schemeClr w14:val="tx1"/>
                  </w14:solidFill>
                </w14:textFill>
              </w:rPr>
              <w:t>的,每具有一个综合物业管理项目业绩可得</w:t>
            </w:r>
            <w:r>
              <w:rPr>
                <w:rFonts w:hint="eastAsia" w:hAnsi="宋体" w:cs="宋体"/>
                <w:color w:val="000000" w:themeColor="text1"/>
                <w:kern w:val="2"/>
                <w:sz w:val="21"/>
                <w:szCs w:val="21"/>
                <w:highlight w:val="none"/>
                <w:lang w:val="en-US" w:eastAsia="zh-CN"/>
                <w14:textFill>
                  <w14:solidFill>
                    <w14:schemeClr w14:val="tx1"/>
                  </w14:solidFill>
                </w14:textFill>
              </w:rPr>
              <w:t>0.5</w:t>
            </w:r>
            <w:r>
              <w:rPr>
                <w:rFonts w:hint="eastAsia" w:hAnsi="宋体" w:cs="宋体"/>
                <w:color w:val="000000" w:themeColor="text1"/>
                <w:kern w:val="2"/>
                <w:sz w:val="21"/>
                <w:szCs w:val="21"/>
                <w:highlight w:val="none"/>
                <w14:textFill>
                  <w14:solidFill>
                    <w14:schemeClr w14:val="tx1"/>
                  </w14:solidFill>
                </w14:textFill>
              </w:rPr>
              <w:t>分，最多可得</w:t>
            </w:r>
            <w:r>
              <w:rPr>
                <w:rFonts w:hint="eastAsia" w:hAnsi="宋体" w:cs="宋体"/>
                <w:color w:val="000000" w:themeColor="text1"/>
                <w:kern w:val="2"/>
                <w:sz w:val="21"/>
                <w:szCs w:val="21"/>
                <w:highlight w:val="none"/>
                <w:lang w:val="en-US" w:eastAsia="zh-CN"/>
                <w14:textFill>
                  <w14:solidFill>
                    <w14:schemeClr w14:val="tx1"/>
                  </w14:solidFill>
                </w14:textFill>
              </w:rPr>
              <w:t>1</w:t>
            </w:r>
            <w:r>
              <w:rPr>
                <w:rFonts w:hint="eastAsia" w:hAnsi="宋体" w:cs="宋体"/>
                <w:color w:val="000000" w:themeColor="text1"/>
                <w:kern w:val="2"/>
                <w:sz w:val="21"/>
                <w:szCs w:val="21"/>
                <w:highlight w:val="none"/>
                <w14:textFill>
                  <w14:solidFill>
                    <w14:schemeClr w14:val="tx1"/>
                  </w14:solidFill>
                </w14:textFill>
              </w:rPr>
              <w:t>分。</w:t>
            </w:r>
          </w:p>
          <w:p>
            <w:pPr>
              <w:pStyle w:val="317"/>
              <w:snapToGrid w:val="0"/>
              <w:spacing w:line="360" w:lineRule="auto"/>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备注：</w:t>
            </w:r>
          </w:p>
          <w:p>
            <w:pPr>
              <w:pStyle w:val="317"/>
              <w:snapToGrid w:val="0"/>
              <w:spacing w:line="360" w:lineRule="auto"/>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①合同内容至少包含保洁、设备运维、安保、绿化四项基本服务内容中的至少</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三</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项</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内容</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，否则不得分；</w:t>
            </w:r>
          </w:p>
          <w:p>
            <w:pPr>
              <w:pStyle w:val="317"/>
              <w:snapToGrid w:val="0"/>
              <w:spacing w:line="360" w:lineRule="auto"/>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②续签的合同按一份合同认定。</w:t>
            </w:r>
          </w:p>
          <w:p>
            <w:pPr>
              <w:pStyle w:val="317"/>
              <w:snapToGrid w:val="0"/>
              <w:spacing w:line="360" w:lineRule="auto"/>
              <w:rPr>
                <w:rFonts w:hint="eastAsia" w:hAnsi="宋体" w:cs="宋体"/>
                <w:color w:val="000000" w:themeColor="text1"/>
                <w:kern w:val="2"/>
                <w:sz w:val="21"/>
                <w:szCs w:val="21"/>
                <w:highlight w:val="none"/>
                <w14:textFill>
                  <w14:solidFill>
                    <w14:schemeClr w14:val="tx1"/>
                  </w14:solidFill>
                </w14:textFill>
              </w:rPr>
            </w:pP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③提供合同及客户满意证明材料，缺一不可, 否则不得分。</w:t>
            </w:r>
          </w:p>
        </w:tc>
        <w:tc>
          <w:tcPr>
            <w:tcW w:w="357" w:type="pct"/>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分</w:t>
            </w:r>
          </w:p>
        </w:tc>
        <w:tc>
          <w:tcPr>
            <w:tcW w:w="424" w:type="pct"/>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客观分</w:t>
            </w:r>
          </w:p>
        </w:tc>
        <w:tc>
          <w:tcPr>
            <w:tcW w:w="845" w:type="pct"/>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投标人</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022</w:t>
            </w:r>
            <w:r>
              <w:rPr>
                <w:rFonts w:hint="eastAsia" w:ascii="宋体" w:hAnsi="宋体" w:eastAsia="宋体" w:cs="宋体"/>
                <w:b w:val="0"/>
                <w:bCs w:val="0"/>
                <w:color w:val="000000" w:themeColor="text1"/>
                <w:sz w:val="24"/>
                <w:szCs w:val="24"/>
                <w:highlight w:val="none"/>
                <w14:textFill>
                  <w14:solidFill>
                    <w14:schemeClr w14:val="tx1"/>
                  </w14:solidFill>
                </w14:textFill>
              </w:rPr>
              <w:t>年</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 w:val="0"/>
                <w:bCs w:val="0"/>
                <w:color w:val="000000" w:themeColor="text1"/>
                <w:sz w:val="24"/>
                <w:szCs w:val="24"/>
                <w:highlight w:val="none"/>
                <w14:textFill>
                  <w14:solidFill>
                    <w14:schemeClr w14:val="tx1"/>
                  </w14:solidFill>
                </w14:textFill>
              </w:rPr>
              <w:t>月1日至今同类项目业绩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3070" w:type="pct"/>
            <w:vAlign w:val="center"/>
          </w:tcPr>
          <w:p>
            <w:pPr>
              <w:pStyle w:val="317"/>
              <w:snapToGrid w:val="0"/>
              <w:spacing w:line="360" w:lineRule="auto"/>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pP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1</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拟派项目负责人具有专科学历的得1分，具有本科及以上学历的得2分，最多</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得</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2分；</w:t>
            </w:r>
          </w:p>
          <w:p>
            <w:pPr>
              <w:pStyle w:val="317"/>
              <w:snapToGrid w:val="0"/>
              <w:spacing w:line="360" w:lineRule="auto"/>
              <w:rPr>
                <w:rFonts w:hint="default"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pP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2</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拟派项目负责人具有大于等于3年小于5年担任综合物业服务的</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项目负责人</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工作经验，得</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2</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分；具有大于等于5年担任综合物业的</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项目负责人</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工作经验，得</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3</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分</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最多</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得3</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分；需提供业绩合同（如业绩合同不能体现人员信息还需同时提供业主证明）。</w:t>
            </w:r>
          </w:p>
          <w:p>
            <w:pPr>
              <w:pStyle w:val="317"/>
              <w:snapToGrid w:val="0"/>
              <w:spacing w:line="360" w:lineRule="auto"/>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备注：1、上述须提供相应证明材料。</w:t>
            </w:r>
          </w:p>
          <w:p>
            <w:pPr>
              <w:pStyle w:val="317"/>
              <w:snapToGrid w:val="0"/>
              <w:spacing w:line="360" w:lineRule="auto"/>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2、以上人员须提供在本单位202</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5</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年</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3</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月1日至投标截止时间为止任意一月</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社保</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缴费情况（个人参保证明以已到账为准、单位参保证明以养老保险参保为准）</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否则不得分。</w:t>
            </w:r>
          </w:p>
        </w:tc>
        <w:tc>
          <w:tcPr>
            <w:tcW w:w="357" w:type="pct"/>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分</w:t>
            </w:r>
          </w:p>
        </w:tc>
        <w:tc>
          <w:tcPr>
            <w:tcW w:w="424" w:type="pct"/>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客观分</w:t>
            </w:r>
          </w:p>
        </w:tc>
        <w:tc>
          <w:tcPr>
            <w:tcW w:w="845" w:type="pct"/>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拟派项目负责人（经理）相关情况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3070" w:type="pct"/>
            <w:vAlign w:val="center"/>
          </w:tcPr>
          <w:p>
            <w:pPr>
              <w:pStyle w:val="317"/>
              <w:snapToGrid w:val="0"/>
              <w:spacing w:line="360" w:lineRule="auto"/>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1.拟派保洁主管相关情况（</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4</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分）：</w:t>
            </w:r>
          </w:p>
          <w:p>
            <w:pPr>
              <w:pStyle w:val="317"/>
              <w:snapToGrid w:val="0"/>
              <w:spacing w:line="360" w:lineRule="auto"/>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(1)具有专科学历的得</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1</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分</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具有本科及以上学历的得</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2</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分。最多</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得2</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分；</w:t>
            </w:r>
          </w:p>
          <w:p>
            <w:pPr>
              <w:pStyle w:val="317"/>
              <w:snapToGrid w:val="0"/>
              <w:spacing w:line="360" w:lineRule="auto"/>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(2)具有大于等于3年小于5年担任保洁主管物业服务工作经验的得1分；具有大于等于5年担任保洁主管物业服务工作经验的得2分。最多</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得</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2分；</w:t>
            </w:r>
          </w:p>
          <w:p>
            <w:pPr>
              <w:pStyle w:val="317"/>
              <w:snapToGrid w:val="0"/>
              <w:spacing w:line="360" w:lineRule="auto"/>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pP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2.</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拟派设备维护主管相关情况（</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5</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分）：</w:t>
            </w:r>
          </w:p>
          <w:p>
            <w:pPr>
              <w:pStyle w:val="317"/>
              <w:snapToGrid w:val="0"/>
              <w:spacing w:line="360" w:lineRule="auto"/>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pP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（1）</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持有政府部门颁发的特种设备安全管理和作业人员证（特种设备安全管理或电梯</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作业</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相关证书的得1分，</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最多</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得1</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分；</w:t>
            </w:r>
          </w:p>
          <w:p>
            <w:pPr>
              <w:pStyle w:val="317"/>
              <w:snapToGrid w:val="0"/>
              <w:spacing w:line="360" w:lineRule="auto"/>
              <w:rPr>
                <w:rFonts w:hint="eastAsia" w:hAnsi="宋体" w:cs="宋体"/>
                <w:snapToGrid w:val="0"/>
                <w:color w:val="000000" w:themeColor="text1"/>
                <w:kern w:val="2"/>
                <w:sz w:val="22"/>
                <w:szCs w:val="22"/>
                <w:highlight w:val="none"/>
                <w:lang w:val="en-US" w:eastAsia="zh-CN" w:bidi="ar-SA"/>
                <w14:textFill>
                  <w14:solidFill>
                    <w14:schemeClr w14:val="tx1"/>
                  </w14:solidFill>
                </w14:textFill>
              </w:rPr>
            </w:pP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（2）</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具有</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大专及以上学历的得1分，具有本科及以上学历的得2分。最多得2分。</w:t>
            </w:r>
          </w:p>
          <w:p>
            <w:pPr>
              <w:pStyle w:val="317"/>
              <w:snapToGrid w:val="0"/>
              <w:spacing w:line="360" w:lineRule="auto"/>
              <w:rPr>
                <w:rFonts w:hint="default"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pP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(3)</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具有大于等于3年担任物业服务类似维修主管工作经验</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的</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得</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1</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分</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具有大于等于5年担任物业服务类似维修主管工作经验</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的</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得2分</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最多</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得</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2分</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w:t>
            </w:r>
          </w:p>
          <w:p>
            <w:pPr>
              <w:pStyle w:val="317"/>
              <w:snapToGrid w:val="0"/>
              <w:spacing w:line="360" w:lineRule="auto"/>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3、拟派安防主管相关情况（</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5</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 xml:space="preserve">分）   </w:t>
            </w:r>
          </w:p>
          <w:p>
            <w:pPr>
              <w:pStyle w:val="317"/>
              <w:snapToGrid w:val="0"/>
              <w:spacing w:line="360" w:lineRule="auto"/>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（1）具有专科学历的得</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1</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分</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具有本科及以上学历的得</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2</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分</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最多</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得2</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分；</w:t>
            </w:r>
          </w:p>
          <w:p>
            <w:pPr>
              <w:pStyle w:val="317"/>
              <w:snapToGrid w:val="0"/>
              <w:spacing w:line="360" w:lineRule="auto"/>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（2）拟派主管为退伍军人并持有退伍证的或退役军人优待证得1分。</w:t>
            </w:r>
          </w:p>
          <w:p>
            <w:pPr>
              <w:pStyle w:val="317"/>
              <w:snapToGrid w:val="0"/>
              <w:spacing w:line="360" w:lineRule="auto"/>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（3）具有大于等于3年小于5年担任安防主管工作经验的得</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1</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分；具有大于等于5年担任安防主管工作经验的得</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2</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分。最多</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得2</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分；</w:t>
            </w:r>
          </w:p>
          <w:p>
            <w:pPr>
              <w:pStyle w:val="317"/>
              <w:snapToGrid w:val="0"/>
              <w:spacing w:line="360" w:lineRule="auto"/>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pP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4</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、拟派消控人员持证情况（3分）</w:t>
            </w:r>
          </w:p>
          <w:p>
            <w:pPr>
              <w:pStyle w:val="317"/>
              <w:snapToGrid w:val="0"/>
              <w:spacing w:line="360" w:lineRule="auto"/>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pP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现</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具有消防设施操作员证或建（构）筑物消防证的，每1人得</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1</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分，最高得</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3</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分。</w:t>
            </w:r>
          </w:p>
          <w:p>
            <w:pPr>
              <w:pStyle w:val="317"/>
              <w:snapToGrid w:val="0"/>
              <w:spacing w:line="360" w:lineRule="auto"/>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备注：</w:t>
            </w:r>
          </w:p>
          <w:p>
            <w:pPr>
              <w:pStyle w:val="317"/>
              <w:snapToGrid w:val="0"/>
              <w:spacing w:line="360" w:lineRule="auto"/>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1、以上人员须提供在本单位202</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5</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年</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3</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月1日至投标截止时间为止任意一月</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社保</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缴费情况（个人参保证明以已到账为准、单位参保证明以养老保险参保为准），否则不得分。</w:t>
            </w:r>
          </w:p>
          <w:p>
            <w:pPr>
              <w:pStyle w:val="317"/>
              <w:snapToGrid w:val="0"/>
              <w:spacing w:line="360" w:lineRule="auto"/>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2、以上人员</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要求</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工作经验需提供业绩合同（如业绩合同不能体现人员信息还需同时提供业主证明，满足得分）。</w:t>
            </w:r>
          </w:p>
          <w:p>
            <w:pPr>
              <w:pStyle w:val="317"/>
              <w:snapToGrid w:val="0"/>
              <w:spacing w:line="360" w:lineRule="auto"/>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3、上述证书（有效期内）须提供相应证明材料，否则不得分。</w:t>
            </w:r>
          </w:p>
        </w:tc>
        <w:tc>
          <w:tcPr>
            <w:tcW w:w="357" w:type="pct"/>
            <w:vAlign w:val="center"/>
          </w:tcPr>
          <w:p>
            <w:pPr>
              <w:pStyle w:val="317"/>
              <w:snapToGrid w:val="0"/>
              <w:spacing w:line="360" w:lineRule="auto"/>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val="en-US" w:eastAsia="zh-CN"/>
                <w14:textFill>
                  <w14:solidFill>
                    <w14:schemeClr w14:val="tx1"/>
                  </w14:solidFill>
                </w14:textFill>
              </w:rPr>
              <w:t>17</w:t>
            </w:r>
            <w:r>
              <w:rPr>
                <w:rFonts w:hint="eastAsia" w:hAnsi="宋体" w:cs="宋体"/>
                <w:color w:val="000000" w:themeColor="text1"/>
                <w:sz w:val="21"/>
                <w:szCs w:val="21"/>
                <w:highlight w:val="none"/>
                <w14:textFill>
                  <w14:solidFill>
                    <w14:schemeClr w14:val="tx1"/>
                  </w14:solidFill>
                </w14:textFill>
              </w:rPr>
              <w:t>分</w:t>
            </w:r>
          </w:p>
        </w:tc>
        <w:tc>
          <w:tcPr>
            <w:tcW w:w="424" w:type="pct"/>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客观分</w:t>
            </w:r>
          </w:p>
        </w:tc>
        <w:tc>
          <w:tcPr>
            <w:tcW w:w="845" w:type="pct"/>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各工种人员配置情况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301" w:type="pct"/>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3070" w:type="pct"/>
            <w:vAlign w:val="center"/>
          </w:tcPr>
          <w:p>
            <w:pPr>
              <w:pStyle w:val="317"/>
              <w:snapToGrid w:val="0"/>
              <w:spacing w:line="360" w:lineRule="auto"/>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投标的服务方案与采购需求的吻合程度，应答是否详尽、明晰，是否满足招标文件要求；内容是否完整齐全、表述准确、条理清晰，内容无前后矛盾，符合招标文件要求；分析本项目的特点提出针对性方案。包括如下方面：</w:t>
            </w:r>
          </w:p>
          <w:p>
            <w:pPr>
              <w:pStyle w:val="317"/>
              <w:snapToGrid w:val="0"/>
              <w:spacing w:line="360" w:lineRule="auto"/>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pP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1.</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总体服务方案（</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5</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分）：</w:t>
            </w:r>
          </w:p>
          <w:p>
            <w:pPr>
              <w:pStyle w:val="317"/>
              <w:snapToGrid w:val="0"/>
              <w:spacing w:line="360" w:lineRule="auto"/>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（1）全面详细、科学完整，针对性强的，得</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5</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分；</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br w:type="textWrapping"/>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（2）基本完整、可行的，能较好完成服务的，得</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3</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分；</w:t>
            </w:r>
          </w:p>
          <w:p>
            <w:pPr>
              <w:pStyle w:val="317"/>
              <w:snapToGrid w:val="0"/>
              <w:spacing w:line="360" w:lineRule="auto"/>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（3）存在一定欠缺的，得</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1</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分；</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br w:type="textWrapping"/>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（4）内容完全不符合或未提供的，得0分。</w:t>
            </w:r>
          </w:p>
          <w:p>
            <w:pPr>
              <w:pStyle w:val="317"/>
              <w:snapToGrid w:val="0"/>
              <w:spacing w:line="360" w:lineRule="auto"/>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2.安防服务方案（</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5</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分）：</w:t>
            </w:r>
          </w:p>
          <w:p>
            <w:pPr>
              <w:pStyle w:val="317"/>
              <w:snapToGrid w:val="0"/>
              <w:spacing w:line="360" w:lineRule="auto"/>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（1）全面详细、科学完整，针对性强的，得</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5</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分；</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br w:type="textWrapping"/>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（2）基本完整、可行的，能较好完成服务的，得</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3</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分；</w:t>
            </w:r>
          </w:p>
          <w:p>
            <w:pPr>
              <w:pStyle w:val="317"/>
              <w:snapToGrid w:val="0"/>
              <w:spacing w:line="360" w:lineRule="auto"/>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（3）存在一定欠缺的，得</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1</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分；</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br w:type="textWrapping"/>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（4）内容完全不符合或未提供的，得0分。</w:t>
            </w:r>
          </w:p>
          <w:p>
            <w:pPr>
              <w:pStyle w:val="317"/>
              <w:snapToGrid w:val="0"/>
              <w:spacing w:line="360" w:lineRule="auto"/>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3.保洁服务方案（</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5</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 xml:space="preserve">分）： </w:t>
            </w:r>
          </w:p>
          <w:p>
            <w:pPr>
              <w:pStyle w:val="317"/>
              <w:snapToGrid w:val="0"/>
              <w:spacing w:line="360" w:lineRule="auto"/>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（1）全面详细、科学完整，针对性强的，得</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5</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分；</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br w:type="textWrapping"/>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（2）基本完整、可行的，能较好完成服务的，得</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3</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分；</w:t>
            </w:r>
          </w:p>
          <w:p>
            <w:pPr>
              <w:pStyle w:val="317"/>
              <w:snapToGrid w:val="0"/>
              <w:spacing w:line="360" w:lineRule="auto"/>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（3）存在一定欠缺的，得</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1</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分；</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br w:type="textWrapping"/>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（4）内容完全不符合或未提供的，得0分。</w:t>
            </w:r>
          </w:p>
          <w:p>
            <w:pPr>
              <w:pStyle w:val="317"/>
              <w:snapToGrid w:val="0"/>
              <w:spacing w:line="360" w:lineRule="auto"/>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4.设备设施维运、维保管理方案（</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5</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分）：</w:t>
            </w:r>
          </w:p>
          <w:p>
            <w:pPr>
              <w:pStyle w:val="317"/>
              <w:snapToGrid w:val="0"/>
              <w:spacing w:line="360" w:lineRule="auto"/>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（1）全面详细、科学完整，针对性强的，得</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5</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分；</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br w:type="textWrapping"/>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（2）基本完整、可行的，能较好完成服务的，得</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3</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分；</w:t>
            </w:r>
          </w:p>
          <w:p>
            <w:pPr>
              <w:pStyle w:val="317"/>
              <w:snapToGrid w:val="0"/>
              <w:spacing w:line="360" w:lineRule="auto"/>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（3）存在一定欠缺的，得</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1</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分；</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br w:type="textWrapping"/>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（4）内容完全不符合或未提供的，得0分。</w:t>
            </w:r>
          </w:p>
          <w:p>
            <w:pPr>
              <w:pStyle w:val="317"/>
              <w:snapToGrid w:val="0"/>
              <w:spacing w:line="360" w:lineRule="auto"/>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pP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5</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.提出有利于本项目的建议、措施</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和</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适用性、科学性</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方案</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4</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分）：</w:t>
            </w:r>
          </w:p>
          <w:p>
            <w:pPr>
              <w:pStyle w:val="317"/>
              <w:snapToGrid w:val="0"/>
              <w:spacing w:line="360" w:lineRule="auto"/>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（1）全面详细、科学完整，针对性强的，得</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4</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分；</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br w:type="textWrapping"/>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（2）基本完整、可行的，能较好完成服务的，得</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2</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分；</w:t>
            </w:r>
          </w:p>
          <w:p>
            <w:pPr>
              <w:pStyle w:val="317"/>
              <w:snapToGrid w:val="0"/>
              <w:spacing w:line="360" w:lineRule="auto"/>
              <w:rPr>
                <w:rFonts w:hint="default"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（3）存在一定欠缺的，得</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1</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分；</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br w:type="textWrapping"/>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（4）内容完全不符合或未提供的，得</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0</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分。</w:t>
            </w:r>
          </w:p>
        </w:tc>
        <w:tc>
          <w:tcPr>
            <w:tcW w:w="357" w:type="pct"/>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24</w:t>
            </w:r>
            <w:r>
              <w:rPr>
                <w:rFonts w:hint="eastAsia" w:ascii="宋体" w:hAnsi="宋体" w:cs="宋体"/>
                <w:color w:val="000000" w:themeColor="text1"/>
                <w:szCs w:val="21"/>
                <w:highlight w:val="none"/>
                <w14:textFill>
                  <w14:solidFill>
                    <w14:schemeClr w14:val="tx1"/>
                  </w14:solidFill>
                </w14:textFill>
              </w:rPr>
              <w:t>分</w:t>
            </w:r>
          </w:p>
        </w:tc>
        <w:tc>
          <w:tcPr>
            <w:tcW w:w="424" w:type="pct"/>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主观分</w:t>
            </w:r>
          </w:p>
        </w:tc>
        <w:tc>
          <w:tcPr>
            <w:tcW w:w="845" w:type="pct"/>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管理服务方案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3070" w:type="pct"/>
            <w:vAlign w:val="center"/>
          </w:tcPr>
          <w:p>
            <w:pPr>
              <w:pStyle w:val="317"/>
              <w:snapToGrid w:val="0"/>
              <w:spacing w:line="360" w:lineRule="auto"/>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根据管理服务组织机构设置（附组织机构图）、运作流程（附运作流程图）、激励机制、监督机制、自我约束机制和信息反馈渠道及处理机制、岗位职责等是否科学、合理、高效评分:</w:t>
            </w:r>
          </w:p>
          <w:p>
            <w:pPr>
              <w:pStyle w:val="317"/>
              <w:snapToGrid w:val="0"/>
              <w:spacing w:line="360" w:lineRule="auto"/>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（1）全面详细、科学完整，针对性强的，得5分；</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br w:type="textWrapping"/>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（2）基本完整、可行的，能较好完成服务的，得3分；</w:t>
            </w:r>
          </w:p>
          <w:p>
            <w:pPr>
              <w:pStyle w:val="317"/>
              <w:snapToGrid w:val="0"/>
              <w:spacing w:line="360" w:lineRule="auto"/>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（3）存在一定欠缺的，得1分；</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br w:type="textWrapping"/>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（4）内容完全不符合或未提供的，得0分。</w:t>
            </w:r>
          </w:p>
        </w:tc>
        <w:tc>
          <w:tcPr>
            <w:tcW w:w="357" w:type="pct"/>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5分</w:t>
            </w:r>
          </w:p>
        </w:tc>
        <w:tc>
          <w:tcPr>
            <w:tcW w:w="424" w:type="pct"/>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主观分</w:t>
            </w:r>
          </w:p>
        </w:tc>
        <w:tc>
          <w:tcPr>
            <w:tcW w:w="845" w:type="pct"/>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3070" w:type="pct"/>
            <w:vAlign w:val="center"/>
          </w:tcPr>
          <w:p>
            <w:pPr>
              <w:pStyle w:val="317"/>
              <w:snapToGrid w:val="0"/>
              <w:spacing w:line="360" w:lineRule="auto"/>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根据针对本项目日常物业服务管理特点和难点进行：</w:t>
            </w:r>
          </w:p>
          <w:p>
            <w:pPr>
              <w:pStyle w:val="317"/>
              <w:snapToGrid w:val="0"/>
              <w:spacing w:line="360" w:lineRule="auto"/>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（1）全面详细、科学完整，针对性强的，得5分；</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br w:type="textWrapping"/>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（2）基本完整、可行的，能较好完成服务的，得3分；</w:t>
            </w:r>
          </w:p>
          <w:p>
            <w:pPr>
              <w:pStyle w:val="317"/>
              <w:snapToGrid w:val="0"/>
              <w:spacing w:line="360" w:lineRule="auto"/>
              <w:rPr>
                <w:rFonts w:hint="default"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（3）存在一定欠缺的，得1分；</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br w:type="textWrapping"/>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 xml:space="preserve">（4）内容完全不符合或未提供的，得0分。    </w:t>
            </w:r>
          </w:p>
        </w:tc>
        <w:tc>
          <w:tcPr>
            <w:tcW w:w="357" w:type="pct"/>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5分</w:t>
            </w:r>
          </w:p>
        </w:tc>
        <w:tc>
          <w:tcPr>
            <w:tcW w:w="424" w:type="pct"/>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主观分</w:t>
            </w:r>
          </w:p>
        </w:tc>
        <w:tc>
          <w:tcPr>
            <w:tcW w:w="845" w:type="pct"/>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特点和难点分析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3070" w:type="pct"/>
            <w:vAlign w:val="center"/>
          </w:tcPr>
          <w:p>
            <w:pPr>
              <w:pStyle w:val="317"/>
              <w:snapToGrid w:val="0"/>
              <w:spacing w:line="360" w:lineRule="auto"/>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根据质量管理保证措施及承诺的合理性、有效性评分：</w:t>
            </w:r>
          </w:p>
          <w:p>
            <w:pPr>
              <w:pStyle w:val="317"/>
              <w:snapToGrid w:val="0"/>
              <w:spacing w:line="360" w:lineRule="auto"/>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（1）全面详细、科学完整，针对性强的，得5分；</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br w:type="textWrapping"/>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（2）基本完整、可行的，能较好完成服务的，得3分；</w:t>
            </w:r>
          </w:p>
          <w:p>
            <w:pPr>
              <w:pStyle w:val="317"/>
              <w:snapToGrid w:val="0"/>
              <w:spacing w:line="360" w:lineRule="auto"/>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（3）存在一定欠缺的，得1分；</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br w:type="textWrapping"/>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（4）内容完全不符合或未提供的，得0分。</w:t>
            </w:r>
          </w:p>
        </w:tc>
        <w:tc>
          <w:tcPr>
            <w:tcW w:w="357" w:type="pct"/>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5分</w:t>
            </w:r>
          </w:p>
        </w:tc>
        <w:tc>
          <w:tcPr>
            <w:tcW w:w="424" w:type="pct"/>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主观分</w:t>
            </w:r>
          </w:p>
        </w:tc>
        <w:tc>
          <w:tcPr>
            <w:tcW w:w="845" w:type="pct"/>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质量保证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w:t>
            </w:r>
          </w:p>
        </w:tc>
        <w:tc>
          <w:tcPr>
            <w:tcW w:w="3070" w:type="pct"/>
            <w:vAlign w:val="center"/>
          </w:tcPr>
          <w:p>
            <w:pPr>
              <w:pStyle w:val="317"/>
              <w:snapToGrid w:val="0"/>
              <w:spacing w:line="360" w:lineRule="auto"/>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根据各岗位培训计划的详细程度及培训方案的系统性、可操作评分：</w:t>
            </w:r>
          </w:p>
          <w:p>
            <w:pPr>
              <w:pStyle w:val="317"/>
              <w:snapToGrid w:val="0"/>
              <w:spacing w:line="360" w:lineRule="auto"/>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（1）全面详细、科学完整，针对性强的，得5分；</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br w:type="textWrapping"/>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（2）基本完整、可行的，能较好完成服务的，得3分；</w:t>
            </w:r>
          </w:p>
          <w:p>
            <w:pPr>
              <w:pStyle w:val="317"/>
              <w:snapToGrid w:val="0"/>
              <w:spacing w:line="360" w:lineRule="auto"/>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（3）存在一定欠缺的，得1分；</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br w:type="textWrapping"/>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（4）内容完全不符合或未提供的，得0分。</w:t>
            </w:r>
          </w:p>
        </w:tc>
        <w:tc>
          <w:tcPr>
            <w:tcW w:w="357" w:type="pct"/>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5分</w:t>
            </w:r>
          </w:p>
        </w:tc>
        <w:tc>
          <w:tcPr>
            <w:tcW w:w="424" w:type="pct"/>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主观分</w:t>
            </w:r>
          </w:p>
        </w:tc>
        <w:tc>
          <w:tcPr>
            <w:tcW w:w="845" w:type="pct"/>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培训计划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c>
          <w:tcPr>
            <w:tcW w:w="3070" w:type="pct"/>
            <w:vAlign w:val="center"/>
          </w:tcPr>
          <w:p>
            <w:pPr>
              <w:pStyle w:val="317"/>
              <w:snapToGrid w:val="0"/>
              <w:spacing w:line="360" w:lineRule="auto"/>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针对各类检查和突发性事件等任务的应急方案及措施的全面性、针对性评分：</w:t>
            </w:r>
          </w:p>
          <w:p>
            <w:pPr>
              <w:pStyle w:val="317"/>
              <w:snapToGrid w:val="0"/>
              <w:spacing w:line="360" w:lineRule="auto"/>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（1）全面详细、科学完整，针对性强的，得5分；</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br w:type="textWrapping"/>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（2）基本完整、可行的，能较好完成服务的，得3分；</w:t>
            </w:r>
          </w:p>
          <w:p>
            <w:pPr>
              <w:pStyle w:val="317"/>
              <w:snapToGrid w:val="0"/>
              <w:spacing w:line="360" w:lineRule="auto"/>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（3）存在一定欠缺的，得1分；</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br w:type="textWrapping"/>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（4）内容完全不符合或未提供的，得0分。</w:t>
            </w:r>
          </w:p>
        </w:tc>
        <w:tc>
          <w:tcPr>
            <w:tcW w:w="357" w:type="pct"/>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分</w:t>
            </w:r>
          </w:p>
        </w:tc>
        <w:tc>
          <w:tcPr>
            <w:tcW w:w="424" w:type="pct"/>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主观分</w:t>
            </w:r>
          </w:p>
        </w:tc>
        <w:tc>
          <w:tcPr>
            <w:tcW w:w="845" w:type="pct"/>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突发事件应急处理措施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w:t>
            </w:r>
          </w:p>
        </w:tc>
        <w:tc>
          <w:tcPr>
            <w:tcW w:w="3070" w:type="pct"/>
            <w:vAlign w:val="center"/>
          </w:tcPr>
          <w:p>
            <w:pPr>
              <w:pStyle w:val="317"/>
              <w:snapToGrid w:val="0"/>
              <w:spacing w:line="360" w:lineRule="auto"/>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根据投标人拟投入本项目小型工具和使用的公共卫生间洗手液、香薰、消毒液、拖布、垃圾袋、工具等日用消耗品，公共区域的保洁清洁剂、洗手液等消耗品的配置合理性、产品环保性能、品牌等进行打分。</w:t>
            </w:r>
          </w:p>
          <w:p>
            <w:pPr>
              <w:pStyle w:val="317"/>
              <w:snapToGrid w:val="0"/>
              <w:spacing w:line="360" w:lineRule="auto"/>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（1）投标人对本项目的拟投入消耗品得当、实施性高的得</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5</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分。</w:t>
            </w:r>
          </w:p>
          <w:p>
            <w:pPr>
              <w:pStyle w:val="317"/>
              <w:snapToGrid w:val="0"/>
              <w:spacing w:line="360" w:lineRule="auto"/>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2</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）投标人对本项目的拟投入消耗品得当、实施性较高的得3分。</w:t>
            </w:r>
          </w:p>
          <w:p>
            <w:pPr>
              <w:pStyle w:val="317"/>
              <w:snapToGrid w:val="0"/>
              <w:spacing w:line="360" w:lineRule="auto"/>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3</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）投标人对本项目的拟投入消耗品一般、实施性一般的得</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1</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分。</w:t>
            </w:r>
          </w:p>
          <w:p>
            <w:pPr>
              <w:pStyle w:val="317"/>
              <w:snapToGrid w:val="0"/>
              <w:spacing w:line="360" w:lineRule="auto"/>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4</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）投标人对本项目的拟投入消耗品粗略、实施性较差的得</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0</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分。</w:t>
            </w:r>
          </w:p>
        </w:tc>
        <w:tc>
          <w:tcPr>
            <w:tcW w:w="357" w:type="pct"/>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分</w:t>
            </w:r>
          </w:p>
        </w:tc>
        <w:tc>
          <w:tcPr>
            <w:tcW w:w="424" w:type="pct"/>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主观分</w:t>
            </w:r>
          </w:p>
        </w:tc>
        <w:tc>
          <w:tcPr>
            <w:tcW w:w="845" w:type="pct"/>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拟投入本项目小型工具和</w:t>
            </w:r>
            <w:r>
              <w:rPr>
                <w:rFonts w:hint="eastAsia" w:ascii="宋体" w:hAnsi="宋体" w:cs="宋体"/>
                <w:color w:val="000000" w:themeColor="text1"/>
                <w:szCs w:val="21"/>
                <w:highlight w:val="none"/>
                <w14:textFill>
                  <w14:solidFill>
                    <w14:schemeClr w14:val="tx1"/>
                  </w14:solidFill>
                </w14:textFill>
              </w:rPr>
              <w:t>投入消耗品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p>
        </w:tc>
        <w:tc>
          <w:tcPr>
            <w:tcW w:w="3070" w:type="pct"/>
            <w:vAlign w:val="center"/>
          </w:tcPr>
          <w:p>
            <w:pPr>
              <w:pStyle w:val="317"/>
              <w:snapToGrid w:val="0"/>
              <w:spacing w:line="360" w:lineRule="auto"/>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节能减排的方案及措施及文明建设的内容（文明建设：如物业的文明服务，节假日协助业主单位做好形象布置等）评分：</w:t>
            </w:r>
          </w:p>
          <w:p>
            <w:pPr>
              <w:pStyle w:val="317"/>
              <w:snapToGrid w:val="0"/>
              <w:spacing w:line="360" w:lineRule="auto"/>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（1）全面详细、科学完整，针对性强的，得</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5</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分；</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br w:type="textWrapping"/>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（2）基本完整、可行的，能较好完成服务的，得</w:t>
            </w: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3</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分；</w:t>
            </w:r>
          </w:p>
          <w:p>
            <w:pPr>
              <w:pStyle w:val="317"/>
              <w:snapToGrid w:val="0"/>
              <w:spacing w:line="360" w:lineRule="auto"/>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（3）存在一定欠缺的，得1分；</w:t>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br w:type="textWrapping"/>
            </w: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（4）内容完全不符合或未提供的，得0分。</w:t>
            </w:r>
          </w:p>
        </w:tc>
        <w:tc>
          <w:tcPr>
            <w:tcW w:w="357" w:type="pct"/>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分</w:t>
            </w:r>
          </w:p>
        </w:tc>
        <w:tc>
          <w:tcPr>
            <w:tcW w:w="424" w:type="pct"/>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主观分</w:t>
            </w:r>
          </w:p>
        </w:tc>
        <w:tc>
          <w:tcPr>
            <w:tcW w:w="845" w:type="pct"/>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节能减排及文明建设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w:t>
            </w:r>
          </w:p>
        </w:tc>
        <w:tc>
          <w:tcPr>
            <w:tcW w:w="3070" w:type="pct"/>
            <w:vAlign w:val="center"/>
          </w:tcPr>
          <w:p>
            <w:pPr>
              <w:numPr>
                <w:ilvl w:val="0"/>
                <w:numId w:val="0"/>
              </w:numPr>
              <w:adjustRightInd w:val="0"/>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按项目服务人员配置情况、年龄结构人员等方面进行打分：</w:t>
            </w:r>
          </w:p>
          <w:p>
            <w:pPr>
              <w:numPr>
                <w:ilvl w:val="0"/>
                <w:numId w:val="0"/>
              </w:numPr>
              <w:adjustRightInd w:val="0"/>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方案科学、人员配置非常合理得</w:t>
            </w: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分；</w:t>
            </w:r>
          </w:p>
          <w:p>
            <w:pPr>
              <w:numPr>
                <w:ilvl w:val="0"/>
                <w:numId w:val="0"/>
              </w:numPr>
              <w:adjustRightInd w:val="0"/>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方案较好基本可行的</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分；</w:t>
            </w:r>
          </w:p>
          <w:p>
            <w:pPr>
              <w:numPr>
                <w:ilvl w:val="0"/>
                <w:numId w:val="0"/>
              </w:numPr>
              <w:adjustRightInd w:val="0"/>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方案存在一定欠缺的</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w:t>
            </w:r>
          </w:p>
          <w:p>
            <w:pPr>
              <w:pStyle w:val="317"/>
              <w:snapToGrid w:val="0"/>
              <w:spacing w:line="360" w:lineRule="auto"/>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内容完全不符合</w:t>
            </w:r>
            <w:r>
              <w:rPr>
                <w:rFonts w:hint="eastAsia" w:ascii="宋体" w:hAnsi="宋体" w:eastAsia="宋体" w:cs="宋体"/>
                <w:color w:val="000000" w:themeColor="text1"/>
                <w:sz w:val="24"/>
                <w:highlight w:val="none"/>
                <w:lang w:val="en-US" w:eastAsia="zh-CN"/>
                <w14:textFill>
                  <w14:solidFill>
                    <w14:schemeClr w14:val="tx1"/>
                  </w14:solidFill>
                </w14:textFill>
              </w:rPr>
              <w:t>或</w:t>
            </w:r>
            <w:r>
              <w:rPr>
                <w:rFonts w:hint="eastAsia" w:ascii="宋体" w:hAnsi="宋体" w:eastAsia="宋体" w:cs="宋体"/>
                <w:color w:val="000000" w:themeColor="text1"/>
                <w:sz w:val="24"/>
                <w:szCs w:val="24"/>
                <w:highlight w:val="none"/>
                <w14:textFill>
                  <w14:solidFill>
                    <w14:schemeClr w14:val="tx1"/>
                  </w14:solidFill>
                </w14:textFill>
              </w:rPr>
              <w:t>未提供的</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highlight w:val="none"/>
                <w14:textFill>
                  <w14:solidFill>
                    <w14:schemeClr w14:val="tx1"/>
                  </w14:solidFill>
                </w14:textFill>
              </w:rPr>
              <w:t>。</w:t>
            </w:r>
          </w:p>
        </w:tc>
        <w:tc>
          <w:tcPr>
            <w:tcW w:w="357" w:type="pct"/>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default"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分</w:t>
            </w:r>
          </w:p>
        </w:tc>
        <w:tc>
          <w:tcPr>
            <w:tcW w:w="424" w:type="pct"/>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主观分</w:t>
            </w:r>
          </w:p>
        </w:tc>
        <w:tc>
          <w:tcPr>
            <w:tcW w:w="845" w:type="pct"/>
            <w:vAlign w:val="center"/>
          </w:tcPr>
          <w:p>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员工配置方案</w:t>
            </w:r>
          </w:p>
          <w:p>
            <w:pPr>
              <w:snapToGrid w:val="0"/>
              <w:spacing w:line="360" w:lineRule="auto"/>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301" w:type="pct"/>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w:t>
            </w:r>
          </w:p>
        </w:tc>
        <w:tc>
          <w:tcPr>
            <w:tcW w:w="3070" w:type="pct"/>
            <w:vAlign w:val="center"/>
          </w:tcPr>
          <w:p>
            <w:pPr>
              <w:pStyle w:val="317"/>
              <w:snapToGrid w:val="0"/>
              <w:spacing w:line="360" w:lineRule="auto"/>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有效投标报价的最低价作为评标基准价，其最低报价为满分；按［投标报价得分=（评标基准价/投标报价）*权重］的计算公式计算。</w:t>
            </w:r>
          </w:p>
          <w:p>
            <w:pPr>
              <w:pStyle w:val="317"/>
              <w:snapToGrid w:val="0"/>
              <w:spacing w:line="360" w:lineRule="auto"/>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评标过程中，不得去掉报价中的最高报价和最低报价。</w:t>
            </w:r>
          </w:p>
          <w:p>
            <w:pPr>
              <w:pStyle w:val="317"/>
              <w:snapToGrid w:val="0"/>
              <w:spacing w:line="360" w:lineRule="auto"/>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357" w:type="pct"/>
            <w:vAlign w:val="center"/>
          </w:tcPr>
          <w:p>
            <w:pPr>
              <w:spacing w:line="360" w:lineRule="auto"/>
              <w:outlineLvl w:val="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10分</w:t>
            </w:r>
          </w:p>
        </w:tc>
        <w:tc>
          <w:tcPr>
            <w:tcW w:w="424" w:type="pct"/>
            <w:vAlign w:val="center"/>
          </w:tcPr>
          <w:p>
            <w:pPr>
              <w:spacing w:line="360" w:lineRule="auto"/>
              <w:outlineLvl w:val="0"/>
              <w:rPr>
                <w:rFonts w:hint="eastAsia" w:ascii="宋体" w:hAnsi="宋体" w:cs="宋体"/>
                <w:color w:val="000000" w:themeColor="text1"/>
                <w:szCs w:val="21"/>
                <w:highlight w:val="none"/>
                <w14:textFill>
                  <w14:solidFill>
                    <w14:schemeClr w14:val="tx1"/>
                  </w14:solidFill>
                </w14:textFill>
              </w:rPr>
            </w:pPr>
          </w:p>
        </w:tc>
        <w:tc>
          <w:tcPr>
            <w:tcW w:w="845" w:type="pct"/>
            <w:vAlign w:val="center"/>
          </w:tcPr>
          <w:p>
            <w:pPr>
              <w:spacing w:line="360" w:lineRule="auto"/>
              <w:outlineLvl w:val="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vAlign w:val="center"/>
          </w:tcPr>
          <w:p>
            <w:pPr>
              <w:snapToGrid w:val="0"/>
              <w:spacing w:line="360" w:lineRule="auto"/>
              <w:rPr>
                <w:rFonts w:hint="eastAsia" w:ascii="宋体" w:hAnsi="宋体" w:cs="宋体"/>
                <w:color w:val="000000" w:themeColor="text1"/>
                <w:szCs w:val="21"/>
                <w:highlight w:val="none"/>
                <w14:textFill>
                  <w14:solidFill>
                    <w14:schemeClr w14:val="tx1"/>
                  </w14:solidFill>
                </w14:textFill>
              </w:rPr>
            </w:pPr>
          </w:p>
        </w:tc>
        <w:tc>
          <w:tcPr>
            <w:tcW w:w="3070" w:type="pct"/>
            <w:vAlign w:val="center"/>
          </w:tcPr>
          <w:p>
            <w:pPr>
              <w:pStyle w:val="317"/>
              <w:snapToGrid w:val="0"/>
              <w:spacing w:line="360" w:lineRule="auto"/>
              <w:rPr>
                <w:rFonts w:hint="default" w:ascii="宋体" w:hAnsi="宋体" w:eastAsia="宋体" w:cs="宋体"/>
                <w:snapToGrid w:val="0"/>
                <w:color w:val="000000" w:themeColor="text1"/>
                <w:kern w:val="2"/>
                <w:sz w:val="22"/>
                <w:szCs w:val="22"/>
                <w:highlight w:val="none"/>
                <w:lang w:val="en-US" w:eastAsia="zh-CN" w:bidi="ar-SA"/>
                <w14:textFill>
                  <w14:solidFill>
                    <w14:schemeClr w14:val="tx1"/>
                  </w14:solidFill>
                </w14:textFill>
              </w:rPr>
            </w:pPr>
            <w:r>
              <w:rPr>
                <w:rFonts w:hint="eastAsia" w:hAnsi="宋体" w:cs="宋体"/>
                <w:snapToGrid w:val="0"/>
                <w:color w:val="000000" w:themeColor="text1"/>
                <w:kern w:val="2"/>
                <w:sz w:val="22"/>
                <w:szCs w:val="22"/>
                <w:highlight w:val="none"/>
                <w:lang w:val="en-US" w:eastAsia="zh-CN" w:bidi="ar-SA"/>
                <w14:textFill>
                  <w14:solidFill>
                    <w14:schemeClr w14:val="tx1"/>
                  </w14:solidFill>
                </w14:textFill>
              </w:rPr>
              <w:t>总分为</w:t>
            </w:r>
          </w:p>
        </w:tc>
        <w:tc>
          <w:tcPr>
            <w:tcW w:w="357" w:type="pct"/>
            <w:vAlign w:val="center"/>
          </w:tcPr>
          <w:p>
            <w:pPr>
              <w:spacing w:line="360" w:lineRule="auto"/>
              <w:outlineLvl w:val="0"/>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100分</w:t>
            </w:r>
          </w:p>
        </w:tc>
        <w:tc>
          <w:tcPr>
            <w:tcW w:w="424" w:type="pct"/>
            <w:vAlign w:val="center"/>
          </w:tcPr>
          <w:p>
            <w:pPr>
              <w:spacing w:line="360" w:lineRule="auto"/>
              <w:outlineLvl w:val="0"/>
              <w:rPr>
                <w:rFonts w:hint="eastAsia" w:ascii="宋体" w:hAnsi="宋体" w:cs="宋体"/>
                <w:color w:val="000000" w:themeColor="text1"/>
                <w:szCs w:val="21"/>
                <w:highlight w:val="none"/>
                <w14:textFill>
                  <w14:solidFill>
                    <w14:schemeClr w14:val="tx1"/>
                  </w14:solidFill>
                </w14:textFill>
              </w:rPr>
            </w:pPr>
          </w:p>
        </w:tc>
        <w:tc>
          <w:tcPr>
            <w:tcW w:w="845" w:type="pct"/>
            <w:vAlign w:val="center"/>
          </w:tcPr>
          <w:p>
            <w:pPr>
              <w:spacing w:line="360" w:lineRule="auto"/>
              <w:outlineLvl w:val="0"/>
              <w:rPr>
                <w:rFonts w:hint="eastAsia" w:ascii="宋体" w:hAnsi="宋体" w:cs="宋体"/>
                <w:color w:val="000000" w:themeColor="text1"/>
                <w:szCs w:val="21"/>
                <w:highlight w:val="none"/>
                <w14:textFill>
                  <w14:solidFill>
                    <w14:schemeClr w14:val="tx1"/>
                  </w14:solidFill>
                </w14:textFill>
              </w:rPr>
            </w:pPr>
          </w:p>
        </w:tc>
      </w:tr>
    </w:tbl>
    <w:p>
      <w:pPr>
        <w:rPr>
          <w:color w:val="000000" w:themeColor="text1"/>
          <w:highlight w:val="none"/>
          <w14:textFill>
            <w14:solidFill>
              <w14:schemeClr w14:val="tx1"/>
            </w14:solidFill>
          </w14:textFill>
        </w:rPr>
      </w:pPr>
    </w:p>
    <w:p>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0"/>
          <w:szCs w:val="20"/>
          <w:highlight w:val="none"/>
          <w:shd w:val="clear" w:color="auto" w:fill="FFFFFF"/>
          <w14:textFill>
            <w14:solidFill>
              <w14:schemeClr w14:val="tx1"/>
            </w14:solidFill>
          </w14:textFill>
        </w:rPr>
        <w:t> *</w:t>
      </w:r>
      <w:r>
        <w:rPr>
          <w:rFonts w:hint="eastAsia" w:ascii="宋体" w:hAnsi="宋体" w:cs="宋体"/>
          <w:b/>
          <w:color w:val="000000" w:themeColor="text1"/>
          <w:sz w:val="24"/>
          <w:highlight w:val="none"/>
          <w14:textFill>
            <w14:solidFill>
              <w14:schemeClr w14:val="tx1"/>
            </w14:solidFill>
          </w14:textFill>
        </w:rPr>
        <w:t>备注：</w:t>
      </w:r>
      <w:r>
        <w:rPr>
          <w:rFonts w:hint="eastAsia" w:ascii="宋体" w:hAnsi="宋体" w:cs="宋体"/>
          <w:color w:val="000000" w:themeColor="text1"/>
          <w:sz w:val="24"/>
          <w:highlight w:val="none"/>
          <w14:textFill>
            <w14:solidFill>
              <w14:schemeClr w14:val="tx1"/>
            </w14:solidFill>
          </w14:textFill>
        </w:rPr>
        <w:t>投标人编制投标文件（商务技术文件部分）时，建议按此目录（序号和内容）提供评标标准相应的商务技术资料。 </w:t>
      </w:r>
    </w:p>
    <w:p>
      <w:pPr>
        <w:snapToGrid w:val="0"/>
        <w:spacing w:line="360" w:lineRule="auto"/>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一、评标方法</w:t>
      </w:r>
    </w:p>
    <w:p>
      <w:pPr>
        <w:adjustRightInd/>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1.本项目采用综合评分法。</w:t>
      </w:r>
      <w:r>
        <w:rPr>
          <w:rFonts w:hint="eastAsia" w:ascii="宋体" w:hAnsi="宋体"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二、评标标准</w:t>
      </w:r>
    </w:p>
    <w:p>
      <w:pPr>
        <w:spacing w:line="360" w:lineRule="auto"/>
        <w:ind w:firstLine="472"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评标标准：</w:t>
      </w:r>
      <w:r>
        <w:rPr>
          <w:rFonts w:hint="eastAsia" w:ascii="宋体" w:hAnsi="宋体" w:cs="宋体"/>
          <w:color w:val="000000" w:themeColor="text1"/>
          <w:kern w:val="0"/>
          <w:sz w:val="24"/>
          <w:highlight w:val="none"/>
          <w14:textFill>
            <w14:solidFill>
              <w14:schemeClr w14:val="tx1"/>
            </w14:solidFill>
          </w14:textFill>
        </w:rPr>
        <w:t>见评标办法前附表。</w:t>
      </w:r>
    </w:p>
    <w:p>
      <w:pPr>
        <w:spacing w:line="360" w:lineRule="auto"/>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三、评标程序</w:t>
      </w:r>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3.1符合性审查。</w:t>
      </w:r>
      <w:r>
        <w:rPr>
          <w:rFonts w:hint="eastAsia" w:ascii="宋体" w:hAnsi="宋体" w:cs="宋体"/>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3.2 比较与评价。</w:t>
      </w:r>
      <w:r>
        <w:rPr>
          <w:rFonts w:hint="eastAsia" w:ascii="宋体" w:hAnsi="宋体"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3.3汇总商务技术得分。</w:t>
      </w:r>
      <w:r>
        <w:rPr>
          <w:rFonts w:hint="eastAsia" w:ascii="宋体" w:hAnsi="宋体" w:cs="宋体"/>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3.4报价评审。</w:t>
      </w:r>
    </w:p>
    <w:p>
      <w:pPr>
        <w:pStyle w:val="128"/>
        <w:spacing w:before="0"/>
        <w:ind w:firstLine="508" w:firstLineChars="212"/>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3.4.1投标文件报价出现前后不一致的，按照下列规定修正：</w:t>
      </w:r>
    </w:p>
    <w:p>
      <w:pPr>
        <w:pStyle w:val="128"/>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pPr>
        <w:pStyle w:val="128"/>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3.4.1.2大写金额和小写金额不一致的，以大写金额为准;</w:t>
      </w:r>
    </w:p>
    <w:p>
      <w:pPr>
        <w:pStyle w:val="128"/>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pPr>
        <w:pStyle w:val="128"/>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3.4.1.4总价金额与按单价汇总金额不一致的，以单价金额计算结果为准。</w:t>
      </w:r>
    </w:p>
    <w:p>
      <w:pPr>
        <w:pStyle w:val="128"/>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3.4.2投标文件出现不是唯一的、有选择性投标报价的，投标无效。</w:t>
      </w:r>
    </w:p>
    <w:p>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3.4.3投标报价超过招标文件中规定的预算金额或者最高限价的，投标无效。</w:t>
      </w:r>
    </w:p>
    <w:p>
      <w:pPr>
        <w:pStyle w:val="128"/>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3.4.5对于未预留份额专门面向中小企业的政府采购服务项目，以及预留份额政府采购服务项目中的非预留部分标项，对小型和微型企业的投标报价给予10%的扣除，用扣除后的价格参与评审。</w:t>
      </w:r>
    </w:p>
    <w:p>
      <w:pPr>
        <w:spacing w:line="360"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3.5排序与推荐。</w:t>
      </w:r>
      <w:r>
        <w:rPr>
          <w:rFonts w:hint="eastAsia" w:ascii="宋体" w:hAnsi="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3.6编写评标报告。</w:t>
      </w:r>
      <w:r>
        <w:rPr>
          <w:rFonts w:hint="eastAsia" w:ascii="宋体" w:hAnsi="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四、评标中的其他事项</w:t>
      </w:r>
    </w:p>
    <w:p>
      <w:pPr>
        <w:pStyle w:val="128"/>
        <w:spacing w:before="0"/>
        <w:ind w:firstLine="472" w:firstLineChars="196"/>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b/>
          <w:color w:val="000000" w:themeColor="text1"/>
          <w:kern w:val="0"/>
          <w:szCs w:val="24"/>
          <w:highlight w:val="none"/>
          <w14:textFill>
            <w14:solidFill>
              <w14:schemeClr w14:val="tx1"/>
            </w14:solidFill>
          </w14:textFill>
        </w:rPr>
        <w:t>4.1投标人澄清、说明或者补正。</w:t>
      </w:r>
      <w:r>
        <w:rPr>
          <w:rFonts w:hint="eastAsia" w:ascii="宋体" w:hAnsi="宋体"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宋体"/>
          <w:color w:val="000000" w:themeColor="text1"/>
          <w:szCs w:val="2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4.2投标无效。</w:t>
      </w:r>
      <w:r>
        <w:rPr>
          <w:rFonts w:hint="eastAsia" w:cs="宋体"/>
          <w:color w:val="000000" w:themeColor="text1"/>
          <w:szCs w:val="21"/>
          <w:highlight w:val="none"/>
          <w14:textFill>
            <w14:solidFill>
              <w14:schemeClr w14:val="tx1"/>
            </w14:solidFill>
          </w14:textFill>
        </w:rPr>
        <w:t>有下列情形之一的，投标无效：</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4.2.2投标文件未按照招标文件要求签署、盖章的；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4.2.4投标文件含有采购人不能接受的附加条件的；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4.2.5投标文件中承诺的投标有效期少于招标文件中载明的投标有效期的；</w:t>
      </w:r>
    </w:p>
    <w:p>
      <w:pPr>
        <w:snapToGrid w:val="0"/>
        <w:spacing w:line="360" w:lineRule="auto"/>
        <w:ind w:firstLine="120" w:firstLineChars="5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4.2.6投标文件出现不是唯一的、有选择性投标报价的;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4.2.7投标报价超过招标文件中规定的预算金额或者最高限价的;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4.2.9投标人对根据修正原则修正后的报价不确认的；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4.2.10投标人提供虚假材料投标的；</w:t>
      </w:r>
    </w:p>
    <w:p>
      <w:pPr>
        <w:spacing w:line="360" w:lineRule="auto"/>
        <w:ind w:firstLine="240" w:firstLineChars="1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4.2.12投标人仅提交备份投标文件，未在电子交易平台传输递交投标文件的，投标无效；</w:t>
      </w:r>
    </w:p>
    <w:p>
      <w:pPr>
        <w:pStyle w:val="3"/>
        <w:ind w:left="862" w:leftChars="205"/>
        <w:rPr>
          <w:rFonts w:ascii="宋体" w:hAnsi="宋体" w:eastAsia="宋体" w:cs="宋体"/>
          <w:b w:val="0"/>
          <w:bCs w:val="0"/>
          <w:color w:val="000000" w:themeColor="text1"/>
          <w:kern w:val="0"/>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4.2.13 投标文件不满足招标文件的其它实质性要求的；</w:t>
      </w:r>
    </w:p>
    <w:p>
      <w:pPr>
        <w:spacing w:line="360" w:lineRule="auto"/>
        <w:ind w:firstLine="480" w:firstLineChars="200"/>
        <w:rPr>
          <w:rFonts w:hint="eastAsia" w:ascii="宋体" w:hAnsi="宋体" w:cs="宋体"/>
          <w:color w:val="000000" w:themeColor="text1"/>
          <w:kern w:val="0"/>
          <w:sz w:val="24"/>
          <w:highlight w:val="none"/>
          <w:lang w:val="en-US"/>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4.2.14 参与同一个采购包（标段）的供应商存在下列情形之一且无法合理解释的，其投标（响应）文件无效：（1）不同供应商的电子投标（响应）文件上传计算机的网卡MAC地址、CPU序列号和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的；（4）不同供应商联系人为同一人或不同联系人的联系电话一致的。</w:t>
      </w:r>
    </w:p>
    <w:p>
      <w:pPr>
        <w:pStyle w:val="25"/>
        <w:snapToGrid w:val="0"/>
        <w:spacing w:line="360" w:lineRule="auto"/>
        <w:ind w:firstLine="470"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w:t>
      </w:r>
      <w:r>
        <w:rPr>
          <w:rFonts w:ascii="宋体" w:hAnsi="宋体" w:cs="宋体"/>
          <w:color w:val="000000" w:themeColor="text1"/>
          <w:kern w:val="0"/>
          <w:sz w:val="24"/>
          <w:highlight w:val="none"/>
          <w14:textFill>
            <w14:solidFill>
              <w14:schemeClr w14:val="tx1"/>
            </w14:solidFill>
          </w14:textFill>
        </w:rPr>
        <w:t>5</w:t>
      </w:r>
      <w:r>
        <w:rPr>
          <w:rFonts w:hint="eastAsia" w:ascii="宋体" w:hAnsi="宋体" w:cs="宋体"/>
          <w:color w:val="000000" w:themeColor="text1"/>
          <w:kern w:val="0"/>
          <w:sz w:val="24"/>
          <w:highlight w:val="none"/>
          <w14:textFill>
            <w14:solidFill>
              <w14:schemeClr w14:val="tx1"/>
            </w14:solidFill>
          </w14:textFill>
        </w:rPr>
        <w:t>法律、法规、规章（适用本市的）及省级以上规范性文件（适用本市的）规定的其他无效情形。</w:t>
      </w:r>
    </w:p>
    <w:p>
      <w:pPr>
        <w:pStyle w:val="25"/>
        <w:snapToGrid w:val="0"/>
        <w:spacing w:line="360" w:lineRule="auto"/>
        <w:ind w:firstLine="472" w:firstLineChars="196"/>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5.废标。</w:t>
      </w:r>
      <w:r>
        <w:rPr>
          <w:rFonts w:hint="eastAsia" w:cs="宋体"/>
          <w:color w:val="000000" w:themeColor="text1"/>
          <w:highlight w:val="none"/>
          <w14:textFill>
            <w14:solidFill>
              <w14:schemeClr w14:val="tx1"/>
            </w14:solidFill>
          </w14:textFill>
        </w:rPr>
        <w:t>根据《中华人民共和国政府采购法》第三十六条之规定，在采购中，出现下列情形之一的，应予废标：</w:t>
      </w:r>
    </w:p>
    <w:p>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5.1符合专业条件的供应商或者对招标文件作实质响应的供应商不足3家的；</w:t>
      </w:r>
    </w:p>
    <w:p>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5.2出现影响采购公正的违法、违规行为的；</w:t>
      </w:r>
    </w:p>
    <w:p>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5.3投标人的报价均超过了采购预算，采购人不能支付的；</w:t>
      </w:r>
    </w:p>
    <w:p>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5.4因重大变故，采购任务取消的。</w:t>
      </w:r>
    </w:p>
    <w:p>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废标后，</w:t>
      </w:r>
      <w:r>
        <w:rPr>
          <w:rFonts w:hint="eastAsia" w:cs="宋体"/>
          <w:color w:val="000000" w:themeColor="text1"/>
          <w:highlight w:val="none"/>
          <w:lang w:eastAsia="zh-CN"/>
          <w14:textFill>
            <w14:solidFill>
              <w14:schemeClr w14:val="tx1"/>
            </w14:solidFill>
          </w14:textFill>
        </w:rPr>
        <w:t>采购代理机构</w:t>
      </w:r>
      <w:r>
        <w:rPr>
          <w:rFonts w:hint="eastAsia" w:cs="宋体"/>
          <w:color w:val="000000" w:themeColor="text1"/>
          <w:highlight w:val="none"/>
          <w14:textFill>
            <w14:solidFill>
              <w14:schemeClr w14:val="tx1"/>
            </w14:solidFill>
          </w14:textFill>
        </w:rPr>
        <w:t>应当将废标理由通知所有投标人。</w:t>
      </w:r>
    </w:p>
    <w:p>
      <w:pPr>
        <w:pStyle w:val="25"/>
        <w:snapToGrid w:val="0"/>
        <w:spacing w:line="360" w:lineRule="auto"/>
        <w:ind w:firstLine="590" w:firstLineChars="245"/>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6.修改招标文件，重新组织采购活动。</w:t>
      </w:r>
      <w:r>
        <w:rPr>
          <w:rFonts w:hint="eastAsia"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w:t>
      </w:r>
      <w:r>
        <w:rPr>
          <w:rFonts w:hint="eastAsia" w:cs="宋体"/>
          <w:color w:val="000000" w:themeColor="text1"/>
          <w:highlight w:val="none"/>
          <w:lang w:eastAsia="zh-CN"/>
          <w14:textFill>
            <w14:solidFill>
              <w14:schemeClr w14:val="tx1"/>
            </w14:solidFill>
          </w14:textFill>
        </w:rPr>
        <w:t>采购代理机构</w:t>
      </w:r>
      <w:r>
        <w:rPr>
          <w:rFonts w:hint="eastAsia" w:cs="宋体"/>
          <w:color w:val="000000" w:themeColor="text1"/>
          <w:highlight w:val="none"/>
          <w14:textFill>
            <w14:solidFill>
              <w14:schemeClr w14:val="tx1"/>
            </w14:solidFill>
          </w14:textFill>
        </w:rPr>
        <w:t>沟通并作书面记录。采购人、</w:t>
      </w:r>
      <w:r>
        <w:rPr>
          <w:rFonts w:hint="eastAsia" w:cs="宋体"/>
          <w:color w:val="000000" w:themeColor="text1"/>
          <w:highlight w:val="none"/>
          <w:lang w:eastAsia="zh-CN"/>
          <w14:textFill>
            <w14:solidFill>
              <w14:schemeClr w14:val="tx1"/>
            </w14:solidFill>
          </w14:textFill>
        </w:rPr>
        <w:t>采购代理机构</w:t>
      </w:r>
      <w:r>
        <w:rPr>
          <w:rFonts w:hint="eastAsia" w:cs="宋体"/>
          <w:color w:val="000000" w:themeColor="text1"/>
          <w:highlight w:val="none"/>
          <w14:textFill>
            <w14:solidFill>
              <w14:schemeClr w14:val="tx1"/>
            </w14:solidFill>
          </w14:textFill>
        </w:rPr>
        <w:t>确认后，将修改招标文件，重新组织采购活动。</w:t>
      </w:r>
    </w:p>
    <w:p>
      <w:pPr>
        <w:pStyle w:val="25"/>
        <w:snapToGrid w:val="0"/>
        <w:spacing w:line="360" w:lineRule="auto"/>
        <w:ind w:firstLine="482"/>
        <w:rPr>
          <w:rFonts w:cs="宋体"/>
          <w:color w:val="000000" w:themeColor="text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7.重新开展采购。</w:t>
      </w:r>
      <w:r>
        <w:rPr>
          <w:rFonts w:hint="eastAsia"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7.1未确定中标供应商的，终止本次政府采购活动，重新开展政府采购活动。</w:t>
      </w:r>
    </w:p>
    <w:p>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7.4政府采购合同已经履行，给采购人、供应商造成损失的，由责任人承担赔偿责任。</w:t>
      </w:r>
    </w:p>
    <w:p>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pPr>
        <w:pStyle w:val="25"/>
        <w:snapToGrid w:val="0"/>
        <w:spacing w:line="360" w:lineRule="auto"/>
        <w:ind w:firstLine="0" w:firstLineChars="0"/>
        <w:rPr>
          <w:rFonts w:cs="宋体"/>
          <w:color w:val="000000" w:themeColor="text1"/>
          <w:highlight w:val="none"/>
          <w14:textFill>
            <w14:solidFill>
              <w14:schemeClr w14:val="tx1"/>
            </w14:solidFill>
          </w14:textFill>
        </w:rPr>
      </w:pPr>
    </w:p>
    <w:bookmarkEnd w:id="32"/>
    <w:p>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bookmarkStart w:id="398" w:name="第五部分"/>
      <w:bookmarkStart w:id="399" w:name="_Toc86217003"/>
    </w:p>
    <w:p>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    </w:t>
      </w:r>
    </w:p>
    <w:p>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p>
    <w:p>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p>
    <w:p>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第五部分 拟签订的合同文本</w:t>
      </w:r>
    </w:p>
    <w:p>
      <w:pPr>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合同编号：</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480" w:lineRule="auto"/>
        <w:jc w:val="center"/>
        <w:rPr>
          <w:rFonts w:ascii="宋体" w:hAnsi="宋体" w:cs="宋体"/>
          <w:b/>
          <w:color w:val="000000" w:themeColor="text1"/>
          <w:sz w:val="28"/>
          <w:szCs w:val="28"/>
          <w:highlight w:val="none"/>
          <w14:textFill>
            <w14:solidFill>
              <w14:schemeClr w14:val="tx1"/>
            </w14:solidFill>
          </w14:textFill>
        </w:rPr>
      </w:pPr>
    </w:p>
    <w:p>
      <w:pPr>
        <w:spacing w:line="480" w:lineRule="auto"/>
        <w:jc w:val="center"/>
        <w:rPr>
          <w:rFonts w:ascii="宋体" w:hAnsi="宋体" w:cs="宋体"/>
          <w:b/>
          <w:color w:val="000000" w:themeColor="text1"/>
          <w:sz w:val="24"/>
          <w:highlight w:val="none"/>
          <w14:textFill>
            <w14:solidFill>
              <w14:schemeClr w14:val="tx1"/>
            </w14:solidFill>
          </w14:textFill>
        </w:rPr>
      </w:pPr>
    </w:p>
    <w:p>
      <w:pPr>
        <w:spacing w:line="480" w:lineRule="auto"/>
        <w:jc w:val="center"/>
        <w:rPr>
          <w:rFonts w:ascii="宋体" w:hAnsi="宋体" w:cs="宋体"/>
          <w:b/>
          <w:color w:val="000000" w:themeColor="text1"/>
          <w:sz w:val="24"/>
          <w:highlight w:val="none"/>
          <w14:textFill>
            <w14:solidFill>
              <w14:schemeClr w14:val="tx1"/>
            </w14:solidFill>
          </w14:textFill>
        </w:rPr>
      </w:pPr>
    </w:p>
    <w:p>
      <w:pP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政府采购合同参考范本</w:t>
      </w:r>
    </w:p>
    <w:p>
      <w:pP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（服务类）</w:t>
      </w:r>
    </w:p>
    <w:p>
      <w:pPr>
        <w:pStyle w:val="699"/>
        <w:ind w:firstLine="2843" w:firstLineChars="118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第一部分 合同书</w:t>
      </w:r>
    </w:p>
    <w:p>
      <w:pPr>
        <w:spacing w:before="120" w:line="22" w:lineRule="atLeast"/>
        <w:rPr>
          <w:rFonts w:ascii="宋体" w:hAnsi="宋体" w:cs="宋体"/>
          <w:color w:val="000000" w:themeColor="text1"/>
          <w:sz w:val="24"/>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spacing w:before="120" w:line="22" w:lineRule="atLeast"/>
        <w:ind w:left="96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u w:val="single"/>
          <w14:textFill>
            <w14:solidFill>
              <w14:schemeClr w14:val="tx1"/>
            </w14:solidFill>
          </w14:textFill>
        </w:rPr>
        <w:t xml:space="preserve">                                   </w:t>
      </w:r>
    </w:p>
    <w:p>
      <w:pPr>
        <w:pStyle w:val="596"/>
        <w:spacing w:before="120" w:line="22" w:lineRule="atLeast"/>
        <w:rPr>
          <w:rFonts w:ascii="宋体" w:hAnsi="宋体" w:eastAsia="宋体" w:cs="宋体"/>
          <w:color w:val="000000" w:themeColor="text1"/>
          <w:szCs w:val="24"/>
          <w:highlight w:val="none"/>
          <w14:textFill>
            <w14:solidFill>
              <w14:schemeClr w14:val="tx1"/>
            </w14:solidFill>
          </w14:textFill>
        </w:rPr>
      </w:pPr>
    </w:p>
    <w:p>
      <w:pPr>
        <w:pStyle w:val="596"/>
        <w:spacing w:before="120" w:line="22" w:lineRule="atLeast"/>
        <w:rPr>
          <w:rFonts w:ascii="宋体" w:hAnsi="宋体" w:eastAsia="宋体" w:cs="宋体"/>
          <w:color w:val="000000" w:themeColor="text1"/>
          <w:szCs w:val="24"/>
          <w:highlight w:val="none"/>
          <w14:textFill>
            <w14:solidFill>
              <w14:schemeClr w14:val="tx1"/>
            </w14:solidFill>
          </w14:textFill>
        </w:rPr>
      </w:pPr>
    </w:p>
    <w:p>
      <w:pPr>
        <w:rPr>
          <w:rFonts w:ascii="宋体" w:hAnsi="宋体" w:cs="宋体"/>
          <w:color w:val="000000" w:themeColor="text1"/>
          <w:sz w:val="24"/>
          <w:highlight w:val="none"/>
          <w14:textFill>
            <w14:solidFill>
              <w14:schemeClr w14:val="tx1"/>
            </w14:solidFill>
          </w14:textFill>
        </w:rPr>
      </w:pPr>
    </w:p>
    <w:p>
      <w:pPr>
        <w:spacing w:before="120" w:line="22" w:lineRule="atLeast"/>
        <w:ind w:left="96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w:t>
      </w:r>
      <w:r>
        <w:rPr>
          <w:rFonts w:hint="eastAsia" w:ascii="宋体" w:hAnsi="宋体" w:cs="宋体"/>
          <w:color w:val="000000" w:themeColor="text1"/>
          <w:sz w:val="24"/>
          <w:highlight w:val="none"/>
          <w:u w:val="single"/>
          <w14:textFill>
            <w14:solidFill>
              <w14:schemeClr w14:val="tx1"/>
            </w14:solidFill>
          </w14:textFill>
        </w:rPr>
        <w:t xml:space="preserve">                                       </w:t>
      </w:r>
    </w:p>
    <w:p>
      <w:pPr>
        <w:spacing w:before="120" w:line="22" w:lineRule="atLeast"/>
        <w:rPr>
          <w:rFonts w:ascii="宋体" w:hAnsi="宋体" w:cs="宋体"/>
          <w:color w:val="000000" w:themeColor="text1"/>
          <w:sz w:val="24"/>
          <w:highlight w:val="none"/>
          <w14:textFill>
            <w14:solidFill>
              <w14:schemeClr w14:val="tx1"/>
            </w14:solidFill>
          </w14:textFill>
        </w:rPr>
      </w:pPr>
    </w:p>
    <w:p>
      <w:pPr>
        <w:spacing w:before="120" w:line="22" w:lineRule="atLeast"/>
        <w:ind w:left="96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w:t>
      </w:r>
      <w:r>
        <w:rPr>
          <w:rFonts w:hint="eastAsia" w:ascii="宋体" w:hAnsi="宋体" w:cs="宋体"/>
          <w:color w:val="000000" w:themeColor="text1"/>
          <w:sz w:val="24"/>
          <w:highlight w:val="none"/>
          <w:u w:val="single"/>
          <w14:textFill>
            <w14:solidFill>
              <w14:schemeClr w14:val="tx1"/>
            </w14:solidFill>
          </w14:textFill>
        </w:rPr>
        <w:t xml:space="preserve">                                       </w:t>
      </w:r>
    </w:p>
    <w:p>
      <w:pPr>
        <w:spacing w:before="120" w:line="22" w:lineRule="atLeast"/>
        <w:rPr>
          <w:rFonts w:ascii="宋体" w:hAnsi="宋体" w:cs="宋体"/>
          <w:color w:val="000000" w:themeColor="text1"/>
          <w:sz w:val="24"/>
          <w:highlight w:val="none"/>
          <w14:textFill>
            <w14:solidFill>
              <w14:schemeClr w14:val="tx1"/>
            </w14:solidFill>
          </w14:textFill>
        </w:rPr>
      </w:pPr>
    </w:p>
    <w:p>
      <w:pPr>
        <w:spacing w:before="120" w:line="22" w:lineRule="atLeast"/>
        <w:ind w:firstLine="960" w:firstLineChars="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签订地：</w:t>
      </w:r>
      <w:r>
        <w:rPr>
          <w:rFonts w:hint="eastAsia" w:ascii="宋体" w:hAnsi="宋体" w:cs="宋体"/>
          <w:color w:val="000000" w:themeColor="text1"/>
          <w:sz w:val="24"/>
          <w:highlight w:val="none"/>
          <w:u w:val="single"/>
          <w14:textFill>
            <w14:solidFill>
              <w14:schemeClr w14:val="tx1"/>
            </w14:solidFill>
          </w14:textFill>
        </w:rPr>
        <w:t xml:space="preserve">                                     </w:t>
      </w:r>
    </w:p>
    <w:p>
      <w:pPr>
        <w:spacing w:before="120" w:line="22" w:lineRule="atLeast"/>
        <w:rPr>
          <w:rFonts w:ascii="宋体" w:hAnsi="宋体" w:cs="宋体"/>
          <w:color w:val="000000" w:themeColor="text1"/>
          <w:sz w:val="24"/>
          <w:highlight w:val="none"/>
          <w14:textFill>
            <w14:solidFill>
              <w14:schemeClr w14:val="tx1"/>
            </w14:solidFill>
          </w14:textFill>
        </w:rPr>
      </w:pPr>
    </w:p>
    <w:p>
      <w:pPr>
        <w:spacing w:before="120" w:line="22" w:lineRule="atLeast"/>
        <w:ind w:firstLine="960" w:firstLineChars="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pPr>
        <w:widowControl/>
        <w:jc w:val="left"/>
        <w:rPr>
          <w:rFonts w:ascii="宋体" w:hAnsi="宋体" w:cs="宋体"/>
          <w:color w:val="000000" w:themeColor="text1"/>
          <w:kern w:val="0"/>
          <w:sz w:val="24"/>
          <w:highlight w:val="none"/>
          <w14:textFill>
            <w14:solidFill>
              <w14:schemeClr w14:val="tx1"/>
            </w14:solidFill>
          </w14:textFill>
        </w:rPr>
        <w:sectPr>
          <w:headerReference r:id="rId3" w:type="default"/>
          <w:footerReference r:id="rId4" w:type="default"/>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rPr>
          <w:rFonts w:ascii="宋体" w:hAnsi="宋体" w:cs="宋体"/>
          <w:b/>
          <w:color w:val="000000" w:themeColor="text1"/>
          <w:sz w:val="24"/>
          <w:highlight w:val="none"/>
          <w14:textFill>
            <w14:solidFill>
              <w14:schemeClr w14:val="tx1"/>
            </w14:solidFill>
          </w14:textFill>
        </w:rPr>
      </w:pP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年</w:t>
      </w: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月</w:t>
      </w: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日</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 xml:space="preserve">温州科技馆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以</w:t>
      </w:r>
      <w:r>
        <w:rPr>
          <w:rFonts w:ascii="宋体" w:hAnsi="宋体"/>
          <w:color w:val="000000" w:themeColor="text1"/>
          <w:sz w:val="24"/>
          <w:highlight w:val="none"/>
          <w:u w:val="single"/>
          <w14:textFill>
            <w14:solidFill>
              <w14:schemeClr w14:val="tx1"/>
            </w14:solidFill>
          </w14:textFill>
        </w:rPr>
        <w:t xml:space="preserve">   （政府采购方式）  </w:t>
      </w:r>
      <w:r>
        <w:rPr>
          <w:rFonts w:hint="eastAsia" w:ascii="宋体" w:hAnsi="宋体"/>
          <w:color w:val="000000" w:themeColor="text1"/>
          <w:sz w:val="24"/>
          <w:highlight w:val="none"/>
          <w14:textFill>
            <w14:solidFill>
              <w14:schemeClr w14:val="tx1"/>
            </w14:solidFill>
          </w14:textFill>
        </w:rPr>
        <w:t>对</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温州科技馆物业管理服务及设备维保和其他服务项目（重）</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项目进行了采购。经</w:t>
      </w:r>
      <w:r>
        <w:rPr>
          <w:rFonts w:ascii="宋体" w:hAnsi="宋体"/>
          <w:color w:val="000000" w:themeColor="text1"/>
          <w:sz w:val="24"/>
          <w:highlight w:val="none"/>
          <w:u w:val="single"/>
          <w14:textFill>
            <w14:solidFill>
              <w14:schemeClr w14:val="tx1"/>
            </w14:solidFill>
          </w14:textFill>
        </w:rPr>
        <w:t xml:space="preserve">   （相关评定主体名称）   </w:t>
      </w:r>
      <w:r>
        <w:rPr>
          <w:rFonts w:hint="eastAsia" w:ascii="宋体" w:hAnsi="宋体"/>
          <w:color w:val="000000" w:themeColor="text1"/>
          <w:sz w:val="24"/>
          <w:highlight w:val="none"/>
          <w14:textFill>
            <w14:solidFill>
              <w14:schemeClr w14:val="tx1"/>
            </w14:solidFill>
          </w14:textFill>
        </w:rPr>
        <w:t>评定，</w:t>
      </w:r>
      <w:r>
        <w:rPr>
          <w:rFonts w:ascii="宋体" w:hAnsi="宋体"/>
          <w:color w:val="000000" w:themeColor="text1"/>
          <w:sz w:val="24"/>
          <w:highlight w:val="none"/>
          <w:u w:val="single"/>
          <w14:textFill>
            <w14:solidFill>
              <w14:schemeClr w14:val="tx1"/>
            </w14:solidFill>
          </w14:textFill>
        </w:rPr>
        <w:t xml:space="preserve">   （中标</w:t>
      </w:r>
      <w:r>
        <w:rPr>
          <w:rFonts w:hint="eastAsia" w:ascii="宋体" w:hAnsi="宋体"/>
          <w:color w:val="000000" w:themeColor="text1"/>
          <w:sz w:val="24"/>
          <w:highlight w:val="none"/>
          <w:u w:val="single"/>
          <w14:textFill>
            <w14:solidFill>
              <w14:schemeClr w14:val="tx1"/>
            </w14:solidFill>
          </w14:textFill>
        </w:rPr>
        <w:t>或者成交</w:t>
      </w:r>
      <w:r>
        <w:rPr>
          <w:rFonts w:ascii="宋体" w:hAnsi="宋体"/>
          <w:color w:val="000000" w:themeColor="text1"/>
          <w:sz w:val="24"/>
          <w:highlight w:val="none"/>
          <w:u w:val="single"/>
          <w14:textFill>
            <w14:solidFill>
              <w14:schemeClr w14:val="tx1"/>
            </w14:solidFill>
          </w14:textFill>
        </w:rPr>
        <w:t xml:space="preserve">供应商名称） </w:t>
      </w:r>
      <w:r>
        <w:rPr>
          <w:rFonts w:hint="eastAsia" w:ascii="宋体" w:hAnsi="宋体"/>
          <w:color w:val="000000" w:themeColor="text1"/>
          <w:sz w:val="24"/>
          <w:highlight w:val="none"/>
          <w14:textFill>
            <w14:solidFill>
              <w14:schemeClr w14:val="tx1"/>
            </w14:solidFill>
          </w14:textFill>
        </w:rPr>
        <w:t>为该项目</w:t>
      </w:r>
      <w:r>
        <w:rPr>
          <w:rFonts w:hint="eastAsia" w:ascii="宋体" w:hAnsi="宋体" w:cs="宋体"/>
          <w:color w:val="000000" w:themeColor="text1"/>
          <w:sz w:val="24"/>
          <w:highlight w:val="none"/>
          <w14:textFill>
            <w14:solidFill>
              <w14:schemeClr w14:val="tx1"/>
            </w14:solidFill>
          </w14:textFill>
        </w:rPr>
        <w:t>中标或者成交供应商</w:t>
      </w:r>
      <w:r>
        <w:rPr>
          <w:rFonts w:hint="eastAsia" w:ascii="宋体" w:hAnsi="宋体"/>
          <w:color w:val="000000" w:themeColor="text1"/>
          <w:sz w:val="24"/>
          <w:highlight w:val="none"/>
          <w14:textFill>
            <w14:solidFill>
              <w14:schemeClr w14:val="tx1"/>
            </w14:solidFill>
          </w14:textFill>
        </w:rPr>
        <w:t>。现于</w:t>
      </w:r>
      <w:r>
        <w:rPr>
          <w:rFonts w:hint="eastAsia" w:ascii="宋体" w:hAnsi="宋体" w:cs="宋体"/>
          <w:color w:val="000000" w:themeColor="text1"/>
          <w:sz w:val="24"/>
          <w:highlight w:val="none"/>
          <w14:textFill>
            <w14:solidFill>
              <w14:schemeClr w14:val="tx1"/>
            </w14:solidFill>
          </w14:textFill>
        </w:rPr>
        <w:t>中标或者成交通知书</w:t>
      </w:r>
      <w:r>
        <w:rPr>
          <w:rFonts w:hint="eastAsia" w:ascii="宋体" w:hAnsi="宋体"/>
          <w:color w:val="000000" w:themeColor="text1"/>
          <w:sz w:val="24"/>
          <w:highlight w:val="none"/>
          <w14:textFill>
            <w14:solidFill>
              <w14:schemeClr w14:val="tx1"/>
            </w14:solidFill>
          </w14:textFill>
        </w:rPr>
        <w:t>发出之日起</w:t>
      </w:r>
      <w:r>
        <w:rPr>
          <w:rFonts w:hint="eastAsia" w:ascii="宋体" w:hAnsi="宋体"/>
          <w:color w:val="000000" w:themeColor="text1"/>
          <w:sz w:val="24"/>
          <w:highlight w:val="none"/>
          <w:lang w:val="en-US" w:eastAsia="zh-CN"/>
          <w14:textFill>
            <w14:solidFill>
              <w14:schemeClr w14:val="tx1"/>
            </w14:solidFill>
          </w14:textFill>
        </w:rPr>
        <w:t>30</w:t>
      </w:r>
      <w:r>
        <w:rPr>
          <w:rFonts w:hint="eastAsia" w:ascii="宋体" w:hAnsi="宋体"/>
          <w:color w:val="000000" w:themeColor="text1"/>
          <w:sz w:val="24"/>
          <w:highlight w:val="none"/>
          <w14:textFill>
            <w14:solidFill>
              <w14:schemeClr w14:val="tx1"/>
            </w14:solidFill>
          </w14:textFill>
        </w:rPr>
        <w:t>日内，按照采购文件确定的事项签订本合同。</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根据《中华人民共和国民法典》《中华人民共和国政府采购法》等相关法律法规之规定，按照平等、自愿、公平和诚实信用的原则，经</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eastAsia="zh-CN"/>
          <w14:textFill>
            <w14:solidFill>
              <w14:schemeClr w14:val="tx1"/>
            </w14:solidFill>
          </w14:textFill>
        </w:rPr>
        <w:t xml:space="preserve">温州科技馆 </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lang w:val="zh-CN"/>
          <w14:textFill>
            <w14:solidFill>
              <w14:schemeClr w14:val="tx1"/>
            </w14:solidFill>
          </w14:textFill>
        </w:rPr>
        <w:t>(以下简称：甲方)和</w:t>
      </w:r>
      <w:r>
        <w:rPr>
          <w:rFonts w:ascii="宋体" w:hAnsi="宋体"/>
          <w:color w:val="000000" w:themeColor="text1"/>
          <w:sz w:val="24"/>
          <w:highlight w:val="none"/>
          <w:u w:val="single"/>
          <w14:textFill>
            <w14:solidFill>
              <w14:schemeClr w14:val="tx1"/>
            </w14:solidFill>
          </w14:textFill>
        </w:rPr>
        <w:t xml:space="preserve">   （中</w:t>
      </w:r>
      <w:r>
        <w:rPr>
          <w:rFonts w:hint="eastAsia" w:ascii="宋体" w:hAnsi="宋体"/>
          <w:color w:val="000000" w:themeColor="text1"/>
          <w:sz w:val="24"/>
          <w:highlight w:val="none"/>
          <w:u w:val="single"/>
          <w14:textFill>
            <w14:solidFill>
              <w14:schemeClr w14:val="tx1"/>
            </w14:solidFill>
          </w14:textFill>
        </w:rPr>
        <w:t>或者成交</w:t>
      </w:r>
      <w:r>
        <w:rPr>
          <w:rFonts w:ascii="宋体" w:hAnsi="宋体"/>
          <w:color w:val="000000" w:themeColor="text1"/>
          <w:sz w:val="24"/>
          <w:highlight w:val="none"/>
          <w:u w:val="single"/>
          <w14:textFill>
            <w14:solidFill>
              <w14:schemeClr w14:val="tx1"/>
            </w14:solidFill>
          </w14:textFill>
        </w:rPr>
        <w:t xml:space="preserve">标供应商名称）   </w:t>
      </w:r>
      <w:r>
        <w:rPr>
          <w:rFonts w:ascii="宋体" w:hAnsi="宋体"/>
          <w:color w:val="000000" w:themeColor="text1"/>
          <w:sz w:val="24"/>
          <w:highlight w:val="none"/>
          <w:lang w:val="zh-CN"/>
          <w14:textFill>
            <w14:solidFill>
              <w14:schemeClr w14:val="tx1"/>
            </w14:solidFill>
          </w14:textFill>
        </w:rPr>
        <w:t>(以下简称：乙方)协商一致，约定以下合同</w:t>
      </w:r>
      <w:r>
        <w:rPr>
          <w:rFonts w:hint="eastAsia" w:ascii="宋体" w:hAnsi="宋体"/>
          <w:color w:val="000000" w:themeColor="text1"/>
          <w:sz w:val="24"/>
          <w:highlight w:val="none"/>
          <w14:textFill>
            <w14:solidFill>
              <w14:schemeClr w14:val="tx1"/>
            </w14:solidFill>
          </w14:textFill>
        </w:rPr>
        <w:t>条款，以兹共同遵守、全面履行。</w:t>
      </w:r>
    </w:p>
    <w:p>
      <w:pPr>
        <w:spacing w:line="560" w:lineRule="exact"/>
        <w:ind w:firstLine="482" w:firstLineChars="200"/>
        <w:outlineLvl w:val="0"/>
        <w:rPr>
          <w:rFonts w:ascii="宋体" w:hAnsi="宋体"/>
          <w:color w:val="000000" w:themeColor="text1"/>
          <w:sz w:val="24"/>
          <w:highlight w:val="none"/>
          <w14:textFill>
            <w14:solidFill>
              <w14:schemeClr w14:val="tx1"/>
            </w14:solidFill>
          </w14:textFill>
        </w:rPr>
      </w:pPr>
      <w:bookmarkStart w:id="400" w:name="_Toc28855"/>
      <w:bookmarkStart w:id="401" w:name="_Toc19273"/>
      <w:bookmarkStart w:id="402" w:name="_Toc20421"/>
      <w:bookmarkStart w:id="403" w:name="_Toc15367"/>
      <w:bookmarkStart w:id="404" w:name="_Toc22967"/>
      <w:r>
        <w:rPr>
          <w:rFonts w:ascii="宋体" w:hAnsi="宋体"/>
          <w:b/>
          <w:color w:val="000000" w:themeColor="text1"/>
          <w:sz w:val="24"/>
          <w:highlight w:val="none"/>
          <w14:textFill>
            <w14:solidFill>
              <w14:schemeClr w14:val="tx1"/>
            </w14:solidFill>
          </w14:textFill>
        </w:rPr>
        <w:t xml:space="preserve">1.1 </w:t>
      </w:r>
      <w:r>
        <w:rPr>
          <w:rFonts w:hint="eastAsia" w:ascii="宋体" w:hAnsi="宋体"/>
          <w:b/>
          <w:color w:val="000000" w:themeColor="text1"/>
          <w:sz w:val="24"/>
          <w:highlight w:val="none"/>
          <w14:textFill>
            <w14:solidFill>
              <w14:schemeClr w14:val="tx1"/>
            </w14:solidFill>
          </w14:textFill>
        </w:rPr>
        <w:t>合同组成部分</w:t>
      </w:r>
      <w:bookmarkEnd w:id="400"/>
      <w:bookmarkEnd w:id="401"/>
      <w:bookmarkEnd w:id="402"/>
      <w:bookmarkEnd w:id="403"/>
      <w:bookmarkEnd w:id="404"/>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1.1.1 </w:t>
      </w:r>
      <w:r>
        <w:rPr>
          <w:rFonts w:hint="eastAsia" w:ascii="宋体" w:hAnsi="宋体"/>
          <w:color w:val="000000" w:themeColor="text1"/>
          <w:sz w:val="24"/>
          <w:highlight w:val="none"/>
          <w14:textFill>
            <w14:solidFill>
              <w14:schemeClr w14:val="tx1"/>
            </w14:solidFill>
          </w14:textFill>
        </w:rPr>
        <w:t>本合同及其补充合同、变更协议；</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1.1.2 </w:t>
      </w:r>
      <w:r>
        <w:rPr>
          <w:rFonts w:hint="eastAsia" w:ascii="宋体" w:hAnsi="宋体"/>
          <w:color w:val="000000" w:themeColor="text1"/>
          <w:sz w:val="24"/>
          <w:highlight w:val="none"/>
          <w14:textFill>
            <w14:solidFill>
              <w14:schemeClr w14:val="tx1"/>
            </w14:solidFill>
          </w14:textFill>
        </w:rPr>
        <w:t>中标或者成交通知书；</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1.1.3 </w:t>
      </w:r>
      <w:r>
        <w:rPr>
          <w:rFonts w:hint="eastAsia" w:ascii="宋体" w:hAnsi="宋体"/>
          <w:color w:val="000000" w:themeColor="text1"/>
          <w:sz w:val="24"/>
          <w:highlight w:val="none"/>
          <w14:textFill>
            <w14:solidFill>
              <w14:schemeClr w14:val="tx1"/>
            </w14:solidFill>
          </w14:textFill>
        </w:rPr>
        <w:t>投标或者响应文件（含澄清或者说明文件）；</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1.1.4 </w:t>
      </w:r>
      <w:r>
        <w:rPr>
          <w:rFonts w:hint="eastAsia" w:ascii="宋体" w:hAnsi="宋体"/>
          <w:color w:val="000000" w:themeColor="text1"/>
          <w:sz w:val="24"/>
          <w:highlight w:val="none"/>
          <w14:textFill>
            <w14:solidFill>
              <w14:schemeClr w14:val="tx1"/>
            </w14:solidFill>
          </w14:textFill>
        </w:rPr>
        <w:t>采购文件（含澄清或者修改文件）；</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1.1.5 </w:t>
      </w:r>
      <w:r>
        <w:rPr>
          <w:rFonts w:hint="eastAsia" w:ascii="宋体" w:hAnsi="宋体"/>
          <w:color w:val="000000" w:themeColor="text1"/>
          <w:sz w:val="24"/>
          <w:highlight w:val="none"/>
          <w14:textFill>
            <w14:solidFill>
              <w14:schemeClr w14:val="tx1"/>
            </w14:solidFill>
          </w14:textFill>
        </w:rPr>
        <w:t>其他相关采购文件。</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05" w:name="_Toc6773"/>
      <w:bookmarkStart w:id="406" w:name="_Toc18585"/>
      <w:bookmarkStart w:id="407" w:name="_Toc2918"/>
      <w:bookmarkStart w:id="408" w:name="_Toc22185"/>
      <w:bookmarkStart w:id="409" w:name="_Toc6311"/>
      <w:r>
        <w:rPr>
          <w:rFonts w:ascii="宋体" w:hAnsi="宋体"/>
          <w:b/>
          <w:color w:val="000000" w:themeColor="text1"/>
          <w:sz w:val="24"/>
          <w:highlight w:val="none"/>
          <w14:textFill>
            <w14:solidFill>
              <w14:schemeClr w14:val="tx1"/>
            </w14:solidFill>
          </w14:textFill>
        </w:rPr>
        <w:t xml:space="preserve">1.2 </w:t>
      </w:r>
      <w:r>
        <w:rPr>
          <w:rFonts w:hint="eastAsia" w:ascii="宋体" w:hAnsi="宋体"/>
          <w:b/>
          <w:color w:val="000000" w:themeColor="text1"/>
          <w:sz w:val="24"/>
          <w:highlight w:val="none"/>
          <w14:textFill>
            <w14:solidFill>
              <w14:schemeClr w14:val="tx1"/>
            </w14:solidFill>
          </w14:textFill>
        </w:rPr>
        <w:t>标的</w:t>
      </w:r>
      <w:bookmarkEnd w:id="405"/>
      <w:bookmarkEnd w:id="406"/>
      <w:bookmarkEnd w:id="407"/>
      <w:bookmarkEnd w:id="408"/>
      <w:bookmarkEnd w:id="409"/>
    </w:p>
    <w:p>
      <w:pPr>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1.2.1 </w:t>
      </w:r>
      <w:r>
        <w:rPr>
          <w:rFonts w:hint="eastAsia" w:ascii="宋体" w:hAnsi="宋体"/>
          <w:color w:val="000000" w:themeColor="text1"/>
          <w:sz w:val="24"/>
          <w:highlight w:val="none"/>
          <w14:textFill>
            <w14:solidFill>
              <w14:schemeClr w14:val="tx1"/>
            </w14:solidFill>
          </w14:textFill>
        </w:rPr>
        <w:t>服务内容</w:t>
      </w:r>
      <w:r>
        <w:rPr>
          <w:rFonts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1.2.2 </w:t>
      </w:r>
      <w:r>
        <w:rPr>
          <w:rFonts w:hint="eastAsia" w:ascii="宋体" w:hAnsi="宋体"/>
          <w:color w:val="000000" w:themeColor="text1"/>
          <w:sz w:val="24"/>
          <w:highlight w:val="none"/>
          <w14:textFill>
            <w14:solidFill>
              <w14:schemeClr w14:val="tx1"/>
            </w14:solidFill>
          </w14:textFill>
        </w:rPr>
        <w:t>服务标准</w:t>
      </w:r>
      <w:r>
        <w:rPr>
          <w:rFonts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1.2.3 </w:t>
      </w:r>
      <w:r>
        <w:rPr>
          <w:rFonts w:hint="eastAsia" w:ascii="宋体" w:hAnsi="宋体"/>
          <w:color w:val="000000" w:themeColor="text1"/>
          <w:sz w:val="24"/>
          <w:highlight w:val="none"/>
          <w14:textFill>
            <w14:solidFill>
              <w14:schemeClr w14:val="tx1"/>
            </w14:solidFill>
          </w14:textFill>
        </w:rPr>
        <w:t>技术保障：</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w:t>
      </w:r>
    </w:p>
    <w:p>
      <w:pPr>
        <w:spacing w:line="56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1.2.4 服务人员组成：</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pPr>
        <w:pStyle w:val="957"/>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1.2.5合同</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否）涉及货物。若涉及货物的的，则：</w:t>
      </w:r>
    </w:p>
    <w:p>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bookmarkStart w:id="410" w:name="_Toc21124"/>
      <w:bookmarkStart w:id="411" w:name="_Toc5635"/>
      <w:bookmarkStart w:id="412" w:name="_Toc1386"/>
      <w:bookmarkStart w:id="413" w:name="_Toc13918"/>
      <w:bookmarkStart w:id="414" w:name="_Toc4929"/>
      <w:r>
        <w:rPr>
          <w:rFonts w:hint="eastAsia" w:ascii="宋体" w:hAnsi="宋体" w:cs="宋体"/>
          <w:color w:val="000000" w:themeColor="text1"/>
          <w:sz w:val="24"/>
          <w:highlight w:val="none"/>
          <w14:textFill>
            <w14:solidFill>
              <w14:schemeClr w14:val="tx1"/>
            </w14:solidFill>
          </w14:textFill>
        </w:rPr>
        <w:t>1.2.5.1 货物名称、品牌、规格型号、花色：</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1.2.5.2 货物数量：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1.2.5.3 货物质量：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1.3 价款</w:t>
      </w:r>
      <w:bookmarkEnd w:id="410"/>
      <w:bookmarkEnd w:id="411"/>
      <w:bookmarkEnd w:id="412"/>
      <w:bookmarkEnd w:id="413"/>
      <w:bookmarkEnd w:id="414"/>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本项目采用以下第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条款规定的计价方式计价。</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1.3.1总价合同，</w:t>
      </w:r>
      <w:r>
        <w:rPr>
          <w:rFonts w:ascii="宋体" w:hAnsi="宋体"/>
          <w:color w:val="000000" w:themeColor="text1"/>
          <w:sz w:val="24"/>
          <w:highlight w:val="none"/>
          <w14:textFill>
            <w14:solidFill>
              <w14:schemeClr w14:val="tx1"/>
            </w14:solidFill>
          </w14:textFill>
        </w:rPr>
        <w:t>本合同总价</w:t>
      </w:r>
      <w:r>
        <w:rPr>
          <w:rFonts w:hint="eastAsia" w:ascii="宋体" w:hAnsi="宋体"/>
          <w:color w:val="000000" w:themeColor="text1"/>
          <w:sz w:val="24"/>
          <w:highlight w:val="none"/>
          <w14:textFill>
            <w14:solidFill>
              <w14:schemeClr w14:val="tx1"/>
            </w14:solidFill>
          </w14:textFill>
        </w:rPr>
        <w:t>（含税）</w:t>
      </w:r>
      <w:r>
        <w:rPr>
          <w:rFonts w:ascii="宋体" w:hAnsi="宋体"/>
          <w:color w:val="000000" w:themeColor="text1"/>
          <w:sz w:val="24"/>
          <w:highlight w:val="none"/>
          <w14:textFill>
            <w14:solidFill>
              <w14:schemeClr w14:val="tx1"/>
            </w14:solidFill>
          </w14:textFill>
        </w:rPr>
        <w:t>为</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元</w:t>
      </w:r>
      <w:r>
        <w:rPr>
          <w:rFonts w:hint="eastAsia" w:ascii="宋体" w:hAnsi="宋体"/>
          <w:color w:val="000000" w:themeColor="text1"/>
          <w:sz w:val="24"/>
          <w:highlight w:val="none"/>
          <w14:textFill>
            <w14:solidFill>
              <w14:schemeClr w14:val="tx1"/>
            </w14:solidFill>
          </w14:textFill>
        </w:rPr>
        <w:t>（大写：</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元人民币）</w:t>
      </w:r>
      <w:r>
        <w:rPr>
          <w:rFonts w:ascii="宋体" w:hAnsi="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jc w:val="center"/>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序号</w:t>
            </w:r>
          </w:p>
        </w:tc>
        <w:tc>
          <w:tcPr>
            <w:tcW w:w="3402" w:type="dxa"/>
            <w:vAlign w:val="center"/>
          </w:tcPr>
          <w:p>
            <w:pPr>
              <w:pStyle w:val="317"/>
              <w:spacing w:line="560" w:lineRule="exact"/>
              <w:ind w:firstLine="200"/>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分项名称</w:t>
            </w:r>
          </w:p>
        </w:tc>
        <w:tc>
          <w:tcPr>
            <w:tcW w:w="2552" w:type="dxa"/>
            <w:vAlign w:val="center"/>
          </w:tcPr>
          <w:p>
            <w:pPr>
              <w:pStyle w:val="317"/>
              <w:spacing w:line="560" w:lineRule="exact"/>
              <w:jc w:val="center"/>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3402" w:type="dxa"/>
            <w:vAlign w:val="center"/>
          </w:tcPr>
          <w:p>
            <w:pPr>
              <w:pStyle w:val="317"/>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2552" w:type="dxa"/>
            <w:vAlign w:val="center"/>
          </w:tcPr>
          <w:p>
            <w:pPr>
              <w:pStyle w:val="317"/>
              <w:spacing w:line="560" w:lineRule="exact"/>
              <w:ind w:firstLine="200"/>
              <w:jc w:val="center"/>
              <w:rPr>
                <w:rFonts w:hAns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3402" w:type="dxa"/>
            <w:vAlign w:val="center"/>
          </w:tcPr>
          <w:p>
            <w:pPr>
              <w:pStyle w:val="317"/>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2552" w:type="dxa"/>
            <w:vAlign w:val="center"/>
          </w:tcPr>
          <w:p>
            <w:pPr>
              <w:pStyle w:val="317"/>
              <w:spacing w:line="560" w:lineRule="exact"/>
              <w:ind w:firstLine="200"/>
              <w:jc w:val="center"/>
              <w:rPr>
                <w:rFonts w:hAns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vAlign w:val="center"/>
          </w:tcPr>
          <w:p>
            <w:pPr>
              <w:pStyle w:val="317"/>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3402" w:type="dxa"/>
            <w:vAlign w:val="center"/>
          </w:tcPr>
          <w:p>
            <w:pPr>
              <w:pStyle w:val="317"/>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2552" w:type="dxa"/>
            <w:vAlign w:val="center"/>
          </w:tcPr>
          <w:p>
            <w:pPr>
              <w:pStyle w:val="317"/>
              <w:spacing w:line="560" w:lineRule="exact"/>
              <w:ind w:firstLine="200"/>
              <w:jc w:val="center"/>
              <w:rPr>
                <w:rFonts w:hAns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3402" w:type="dxa"/>
            <w:vAlign w:val="center"/>
          </w:tcPr>
          <w:p>
            <w:pPr>
              <w:pStyle w:val="317"/>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2552" w:type="dxa"/>
            <w:vAlign w:val="center"/>
          </w:tcPr>
          <w:p>
            <w:pPr>
              <w:pStyle w:val="317"/>
              <w:spacing w:line="560" w:lineRule="exact"/>
              <w:ind w:firstLine="200"/>
              <w:jc w:val="center"/>
              <w:rPr>
                <w:rFonts w:hAns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7"/>
              <w:spacing w:line="560" w:lineRule="exact"/>
              <w:ind w:firstLine="200"/>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总价</w:t>
            </w:r>
          </w:p>
        </w:tc>
        <w:tc>
          <w:tcPr>
            <w:tcW w:w="2552" w:type="dxa"/>
            <w:vAlign w:val="center"/>
          </w:tcPr>
          <w:p>
            <w:pPr>
              <w:pStyle w:val="317"/>
              <w:spacing w:line="560" w:lineRule="exact"/>
              <w:ind w:firstLine="200"/>
              <w:jc w:val="center"/>
              <w:rPr>
                <w:rFonts w:hAnsi="宋体"/>
                <w:color w:val="000000" w:themeColor="text1"/>
                <w:sz w:val="24"/>
                <w:szCs w:val="24"/>
                <w:highlight w:val="none"/>
                <w14:textFill>
                  <w14:solidFill>
                    <w14:schemeClr w14:val="tx1"/>
                  </w14:solidFill>
                </w14:textFill>
              </w:rPr>
            </w:pPr>
          </w:p>
        </w:tc>
      </w:tr>
    </w:tbl>
    <w:p>
      <w:pPr>
        <w:spacing w:line="560" w:lineRule="exact"/>
        <w:ind w:firstLine="480" w:firstLineChars="200"/>
        <w:rPr>
          <w:rFonts w:ascii="宋体" w:hAnsi="宋体"/>
          <w:color w:val="000000" w:themeColor="text1"/>
          <w:sz w:val="24"/>
          <w:highlight w:val="none"/>
          <w14:textFill>
            <w14:solidFill>
              <w14:schemeClr w14:val="tx1"/>
            </w14:solidFill>
          </w14:textFill>
        </w:rPr>
      </w:pPr>
      <w:bookmarkStart w:id="415" w:name="_Toc30158"/>
      <w:bookmarkStart w:id="416" w:name="_Toc30506"/>
      <w:bookmarkStart w:id="417" w:name="_Toc3654"/>
      <w:bookmarkStart w:id="418" w:name="_Toc14993"/>
      <w:bookmarkStart w:id="419" w:name="_Toc26916"/>
      <w:r>
        <w:rPr>
          <w:rFonts w:hint="eastAsia" w:ascii="宋体" w:hAnsi="宋体"/>
          <w:bCs/>
          <w:color w:val="000000" w:themeColor="text1"/>
          <w:sz w:val="24"/>
          <w:highlight w:val="none"/>
          <w14:textFill>
            <w14:solidFill>
              <w14:schemeClr w14:val="tx1"/>
            </w14:solidFill>
          </w14:textFill>
        </w:rPr>
        <w:t>1.3.2单价合同，本合同单价（含税）标准为：</w:t>
      </w:r>
      <w:r>
        <w:rPr>
          <w:rFonts w:hint="eastAsia" w:ascii="宋体" w:hAnsi="宋体"/>
          <w:bCs/>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服务工作量的计量方式为：</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bCs/>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单价合同，在合同履行期间内，根据实际完成的工作量据实结算，但结算总价上限不得超过预算金额或者双方确定的金额￥</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元</w:t>
      </w:r>
      <w:r>
        <w:rPr>
          <w:rFonts w:hint="eastAsia" w:ascii="宋体" w:hAnsi="宋体"/>
          <w:color w:val="000000" w:themeColor="text1"/>
          <w:sz w:val="24"/>
          <w:highlight w:val="none"/>
          <w14:textFill>
            <w14:solidFill>
              <w14:schemeClr w14:val="tx1"/>
            </w14:solidFill>
          </w14:textFill>
        </w:rPr>
        <w:t>（大写：</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元人民币）。</w:t>
      </w:r>
    </w:p>
    <w:p>
      <w:pPr>
        <w:pStyle w:val="3"/>
        <w:rPr>
          <w:color w:val="000000" w:themeColor="text1"/>
          <w:highlight w:val="none"/>
          <w:lang w:val="en-US"/>
          <w14:textFill>
            <w14:solidFill>
              <w14:schemeClr w14:val="tx1"/>
            </w14:solidFill>
          </w14:textFill>
        </w:rPr>
      </w:pPr>
      <w:r>
        <w:rPr>
          <w:rFonts w:hint="eastAsia" w:ascii="宋体" w:hAnsi="宋体"/>
          <w:color w:val="000000" w:themeColor="text1"/>
          <w:sz w:val="24"/>
          <w:highlight w:val="none"/>
          <w:lang w:val="en-US"/>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14:textFill>
            <w14:solidFill>
              <w14:schemeClr w14:val="tx1"/>
            </w14:solidFill>
          </w14:textFill>
        </w:rPr>
        <w:t>1.3.3其他计价方式：</w:t>
      </w:r>
      <w:r>
        <w:rPr>
          <w:rFonts w:hint="eastAsia" w:ascii="宋体" w:hAnsi="宋体" w:eastAsia="宋体" w:cs="宋体"/>
          <w:b w:val="0"/>
          <w:bCs w:val="0"/>
          <w:color w:val="000000" w:themeColor="text1"/>
          <w:sz w:val="24"/>
          <w:highlight w:val="none"/>
          <w:u w:val="single"/>
          <w:lang w:val="en-US"/>
          <w14:textFill>
            <w14:solidFill>
              <w14:schemeClr w14:val="tx1"/>
            </w14:solidFill>
          </w14:textFill>
        </w:rPr>
        <w:t xml:space="preserve">                   </w:t>
      </w:r>
      <w:r>
        <w:rPr>
          <w:rFonts w:hint="eastAsia" w:ascii="宋体" w:hAnsi="宋体" w:eastAsia="宋体" w:cs="宋体"/>
          <w:b w:val="0"/>
          <w:bCs w:val="0"/>
          <w:color w:val="000000" w:themeColor="text1"/>
          <w:sz w:val="24"/>
          <w:highlight w:val="none"/>
          <w14:textFill>
            <w14:solidFill>
              <w14:schemeClr w14:val="tx1"/>
            </w14:solidFill>
          </w14:textFill>
        </w:rPr>
        <w:t>。</w:t>
      </w:r>
    </w:p>
    <w:bookmarkEnd w:id="415"/>
    <w:bookmarkEnd w:id="416"/>
    <w:bookmarkEnd w:id="417"/>
    <w:bookmarkEnd w:id="418"/>
    <w:bookmarkEnd w:id="419"/>
    <w:p>
      <w:pPr>
        <w:pStyle w:val="957"/>
        <w:spacing w:before="0" w:beforeAutospacing="0" w:after="0" w:afterAutospacing="0" w:line="360" w:lineRule="auto"/>
        <w:ind w:firstLine="480"/>
        <w:rPr>
          <w:b/>
          <w:color w:val="000000" w:themeColor="text1"/>
          <w:highlight w:val="none"/>
          <w14:textFill>
            <w14:solidFill>
              <w14:schemeClr w14:val="tx1"/>
            </w14:solidFill>
          </w14:textFill>
        </w:rPr>
      </w:pPr>
      <w:bookmarkStart w:id="420" w:name="_Toc1814"/>
      <w:bookmarkStart w:id="421" w:name="_Toc10340"/>
      <w:bookmarkStart w:id="422" w:name="_Toc22618"/>
      <w:bookmarkStart w:id="423" w:name="_Toc31421"/>
      <w:bookmarkStart w:id="424" w:name="_Toc4760"/>
      <w:bookmarkStart w:id="425" w:name="_Toc8772"/>
      <w:bookmarkStart w:id="426" w:name="_Toc3625"/>
      <w:bookmarkStart w:id="427" w:name="_Toc11108"/>
      <w:r>
        <w:rPr>
          <w:rFonts w:hint="eastAsia"/>
          <w:b/>
          <w:color w:val="000000" w:themeColor="text1"/>
          <w:highlight w:val="none"/>
          <w14:textFill>
            <w14:solidFill>
              <w14:schemeClr w14:val="tx1"/>
            </w14:solidFill>
          </w14:textFill>
        </w:rPr>
        <w:t>1.4履约保证金</w:t>
      </w:r>
    </w:p>
    <w:p>
      <w:pPr>
        <w:pStyle w:val="957"/>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否）需要支付履约保证金。若需要支付履约保证金的，则：</w:t>
      </w:r>
    </w:p>
    <w:p>
      <w:pP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1.4.1履约保证金的比例为合同金额的</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pP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1.4.2履约保证金支付方式详见</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pPr>
        <w:pStyle w:val="3"/>
        <w:tabs>
          <w:tab w:val="left" w:pos="0"/>
        </w:tabs>
        <w:spacing w:line="560" w:lineRule="exact"/>
        <w:ind w:left="0" w:firstLine="480" w:firstLineChars="200"/>
        <w:rPr>
          <w:color w:val="000000" w:themeColor="text1"/>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1.4.4甲方在项目验收结束后及时退还履约保证金。甲方在项目通过验收之日起</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宋体" w:hAnsi="宋体" w:cs="宋体"/>
          <w:color w:val="000000" w:themeColor="text1"/>
          <w:kern w:val="0"/>
          <w:sz w:val="24"/>
          <w:highlight w:val="none"/>
          <w:u w:val="single"/>
          <w14:textFill>
            <w14:solidFill>
              <w14:schemeClr w14:val="tx1"/>
            </w14:solidFill>
          </w14:textFill>
        </w:rPr>
        <w:t xml:space="preserve">  0.05（可根据情况修改）  </w:t>
      </w:r>
      <w:r>
        <w:rPr>
          <w:rFonts w:hint="eastAsia" w:ascii="宋体" w:hAnsi="宋体" w:cs="宋体"/>
          <w:color w:val="000000" w:themeColor="text1"/>
          <w:kern w:val="0"/>
          <w:sz w:val="24"/>
          <w:highlight w:val="none"/>
          <w14:textFill>
            <w14:solidFill>
              <w14:schemeClr w14:val="tx1"/>
            </w14:solidFill>
          </w14:textFill>
        </w:rPr>
        <w:t>%计算，最高限额为本合同履约保证金的</w:t>
      </w:r>
      <w:r>
        <w:rPr>
          <w:rFonts w:hint="eastAsia" w:ascii="宋体" w:hAnsi="宋体" w:cs="宋体"/>
          <w:color w:val="000000" w:themeColor="text1"/>
          <w:kern w:val="0"/>
          <w:sz w:val="24"/>
          <w:highlight w:val="none"/>
          <w:u w:val="single"/>
          <w14:textFill>
            <w14:solidFill>
              <w14:schemeClr w14:val="tx1"/>
            </w14:solidFill>
          </w14:textFill>
        </w:rPr>
        <w:t xml:space="preserve">  20  </w:t>
      </w:r>
      <w:r>
        <w:rPr>
          <w:rFonts w:hint="eastAsia" w:ascii="宋体" w:hAnsi="宋体" w:cs="宋体"/>
          <w:color w:val="000000" w:themeColor="text1"/>
          <w:kern w:val="0"/>
          <w:sz w:val="24"/>
          <w:highlight w:val="none"/>
          <w14:textFill>
            <w14:solidFill>
              <w14:schemeClr w14:val="tx1"/>
            </w14:solidFill>
          </w14:textFill>
        </w:rPr>
        <w:t xml:space="preserve"> %。</w:t>
      </w:r>
    </w:p>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1.5</w:t>
      </w:r>
      <w:bookmarkEnd w:id="420"/>
      <w:bookmarkEnd w:id="421"/>
      <w:bookmarkEnd w:id="422"/>
      <w:r>
        <w:rPr>
          <w:rFonts w:hint="eastAsia" w:ascii="宋体" w:hAnsi="宋体" w:cs="宋体"/>
          <w:b/>
          <w:color w:val="000000" w:themeColor="text1"/>
          <w:sz w:val="24"/>
          <w:highlight w:val="none"/>
          <w14:textFill>
            <w14:solidFill>
              <w14:schemeClr w14:val="tx1"/>
            </w14:solidFill>
          </w14:textFill>
        </w:rPr>
        <w:t>预付款</w:t>
      </w:r>
    </w:p>
    <w:p>
      <w:pPr>
        <w:pStyle w:val="957"/>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甲方</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否）需要支付预付款。若需要支付预付款的，则：</w:t>
      </w:r>
    </w:p>
    <w:p>
      <w:pPr>
        <w:spacing w:line="56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1.5.1预付款比例、支付方式、时间详见</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pPr>
        <w:pStyle w:val="957"/>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1.5.2预付款的扣回方式详见</w:t>
      </w:r>
      <w:r>
        <w:rPr>
          <w:rFonts w:hint="eastAsia"/>
          <w:color w:val="000000" w:themeColor="text1"/>
          <w:highlight w:val="none"/>
          <w:u w:val="single"/>
          <w14:textFill>
            <w14:solidFill>
              <w14:schemeClr w14:val="tx1"/>
            </w14:solidFill>
          </w14:textFill>
        </w:rPr>
        <w:t xml:space="preserve">    </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pPr>
        <w:pStyle w:val="957"/>
        <w:spacing w:before="0" w:beforeAutospacing="0" w:after="0" w:afterAutospacing="0" w:line="360" w:lineRule="auto"/>
        <w:ind w:firstLine="48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1.5.3预付款的担保措施详见</w:t>
      </w:r>
      <w:r>
        <w:rPr>
          <w:rFonts w:hint="eastAsia"/>
          <w:color w:val="000000" w:themeColor="text1"/>
          <w:highlight w:val="none"/>
          <w:u w:val="single"/>
          <w14:textFill>
            <w14:solidFill>
              <w14:schemeClr w14:val="tx1"/>
            </w14:solidFill>
          </w14:textFill>
        </w:rPr>
        <w:t xml:space="preserve">    </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pPr>
        <w:pStyle w:val="957"/>
        <w:spacing w:before="0" w:beforeAutospacing="0" w:after="0" w:afterAutospacing="0" w:line="360" w:lineRule="auto"/>
        <w:ind w:firstLine="480"/>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1.6资金支付</w:t>
      </w:r>
    </w:p>
    <w:p>
      <w:pPr>
        <w:pStyle w:val="957"/>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1.6.1甲方应严格履行合同，及时组织验收，验收合格后及时将合同款支付完毕。对于满足合同约定支付条件的，甲方自收到发票后</w:t>
      </w:r>
      <w:r>
        <w:rPr>
          <w:rFonts w:hint="eastAsia"/>
          <w:color w:val="000000" w:themeColor="text1"/>
          <w:highlight w:val="none"/>
          <w:lang w:val="en-US" w:eastAsia="zh-CN"/>
          <w14:textFill>
            <w14:solidFill>
              <w14:schemeClr w14:val="tx1"/>
            </w14:solidFill>
          </w14:textFill>
        </w:rPr>
        <w:t>7</w:t>
      </w:r>
      <w:r>
        <w:rPr>
          <w:rFonts w:hint="eastAsia"/>
          <w:color w:val="000000" w:themeColor="text1"/>
          <w:highlight w:val="none"/>
          <w14:textFill>
            <w14:solidFill>
              <w14:schemeClr w14:val="tx1"/>
            </w14:solidFill>
          </w14:textFill>
        </w:rPr>
        <w:t>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1.6.2资金支付的方式、时间和条件详见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1.</w:t>
      </w:r>
      <w:r>
        <w:rPr>
          <w:rFonts w:hint="eastAsia" w:ascii="宋体" w:hAnsi="宋体"/>
          <w:b/>
          <w:color w:val="000000" w:themeColor="text1"/>
          <w:sz w:val="24"/>
          <w:highlight w:val="none"/>
          <w14:textFill>
            <w14:solidFill>
              <w14:schemeClr w14:val="tx1"/>
            </w14:solidFill>
          </w14:textFill>
        </w:rPr>
        <w:t>7</w:t>
      </w:r>
      <w:r>
        <w:rPr>
          <w:rFonts w:ascii="宋体" w:hAnsi="宋体"/>
          <w:b/>
          <w:color w:val="000000" w:themeColor="text1"/>
          <w:sz w:val="24"/>
          <w:highlight w:val="none"/>
          <w14:textFill>
            <w14:solidFill>
              <w14:schemeClr w14:val="tx1"/>
            </w14:solidFill>
          </w14:textFill>
        </w:rPr>
        <w:t xml:space="preserve"> 履行期限</w:t>
      </w:r>
      <w:r>
        <w:rPr>
          <w:rFonts w:hint="eastAsia" w:ascii="宋体" w:hAnsi="宋体"/>
          <w:b/>
          <w:color w:val="000000" w:themeColor="text1"/>
          <w:sz w:val="24"/>
          <w:highlight w:val="none"/>
          <w14:textFill>
            <w14:solidFill>
              <w14:schemeClr w14:val="tx1"/>
            </w14:solidFill>
          </w14:textFill>
        </w:rPr>
        <w:t>、地点和方式</w:t>
      </w:r>
      <w:bookmarkEnd w:id="423"/>
      <w:bookmarkEnd w:id="424"/>
      <w:bookmarkEnd w:id="425"/>
      <w:bookmarkEnd w:id="426"/>
      <w:bookmarkEnd w:id="427"/>
    </w:p>
    <w:p>
      <w:pPr>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.1 </w:t>
      </w:r>
      <w:r>
        <w:rPr>
          <w:rFonts w:hint="eastAsia" w:ascii="宋体" w:hAnsi="宋体"/>
          <w:color w:val="000000" w:themeColor="text1"/>
          <w:sz w:val="24"/>
          <w:highlight w:val="none"/>
          <w14:textFill>
            <w14:solidFill>
              <w14:schemeClr w14:val="tx1"/>
            </w14:solidFill>
          </w14:textFill>
        </w:rPr>
        <w:t>服务交付（实施）的时间（期限）</w:t>
      </w:r>
      <w:r>
        <w:rPr>
          <w:rFonts w:ascii="宋体" w:hAnsi="宋体"/>
          <w:color w:val="000000" w:themeColor="text1"/>
          <w:sz w:val="24"/>
          <w:highlight w:val="none"/>
          <w14:textFill>
            <w14:solidFill>
              <w14:schemeClr w14:val="tx1"/>
            </w14:solidFill>
          </w14:textFill>
        </w:rPr>
        <w:t>：</w:t>
      </w:r>
      <w:r>
        <w:rPr>
          <w:rFonts w:hint="eastAsia" w:ascii="宋体" w:hAnsi="宋体"/>
          <w:b/>
          <w:i/>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.2 </w:t>
      </w:r>
      <w:r>
        <w:rPr>
          <w:rFonts w:hint="eastAsia" w:ascii="宋体" w:hAnsi="宋体"/>
          <w:color w:val="000000" w:themeColor="text1"/>
          <w:sz w:val="24"/>
          <w:highlight w:val="none"/>
          <w14:textFill>
            <w14:solidFill>
              <w14:schemeClr w14:val="tx1"/>
            </w14:solidFill>
          </w14:textFill>
        </w:rPr>
        <w:t>服</w:t>
      </w:r>
      <w:r>
        <w:rPr>
          <w:rFonts w:hint="eastAsia" w:ascii="宋体" w:hAnsi="宋体" w:cs="宋体"/>
          <w:color w:val="000000" w:themeColor="text1"/>
          <w:sz w:val="24"/>
          <w:highlight w:val="none"/>
          <w14:textFill>
            <w14:solidFill>
              <w14:schemeClr w14:val="tx1"/>
            </w14:solidFill>
          </w14:textFill>
        </w:rPr>
        <w:t>务交付（实施）的地点（地域范围）：</w:t>
      </w:r>
      <w:r>
        <w:rPr>
          <w:rFonts w:hint="eastAsia" w:ascii="宋体" w:hAnsi="宋体"/>
          <w:b/>
          <w:i/>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.3 </w:t>
      </w:r>
      <w:r>
        <w:rPr>
          <w:rFonts w:hint="eastAsia" w:ascii="宋体" w:hAnsi="宋体"/>
          <w:color w:val="000000" w:themeColor="text1"/>
          <w:sz w:val="24"/>
          <w:highlight w:val="none"/>
          <w14:textFill>
            <w14:solidFill>
              <w14:schemeClr w14:val="tx1"/>
            </w14:solidFill>
          </w14:textFill>
        </w:rPr>
        <w:t>服务交付（实施）的方式：</w:t>
      </w:r>
      <w:r>
        <w:rPr>
          <w:rFonts w:hint="eastAsia" w:ascii="宋体" w:hAnsi="宋体"/>
          <w:b/>
          <w:i/>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pPr>
        <w:spacing w:line="560" w:lineRule="exact"/>
        <w:ind w:firstLine="480" w:firstLineChars="200"/>
        <w:outlineLvl w:val="0"/>
        <w:rPr>
          <w:rFonts w:ascii="宋体" w:hAnsi="宋体"/>
          <w:bCs/>
          <w:color w:val="000000" w:themeColor="text1"/>
          <w:sz w:val="24"/>
          <w:highlight w:val="none"/>
          <w14:textFill>
            <w14:solidFill>
              <w14:schemeClr w14:val="tx1"/>
            </w14:solidFill>
          </w14:textFill>
        </w:rPr>
      </w:pPr>
      <w:bookmarkStart w:id="428" w:name="_Toc24662"/>
      <w:bookmarkStart w:id="429" w:name="_Toc3079"/>
      <w:bookmarkStart w:id="430" w:name="_Toc8586"/>
      <w:bookmarkStart w:id="431" w:name="_Toc2375"/>
      <w:bookmarkStart w:id="432" w:name="_Toc5698"/>
      <w:r>
        <w:rPr>
          <w:rFonts w:hint="eastAsia" w:ascii="宋体" w:hAnsi="宋体"/>
          <w:bCs/>
          <w:color w:val="000000" w:themeColor="text1"/>
          <w:sz w:val="24"/>
          <w:highlight w:val="none"/>
          <w14:textFill>
            <w14:solidFill>
              <w14:schemeClr w14:val="tx1"/>
            </w14:solidFill>
          </w14:textFill>
        </w:rPr>
        <w:t>1.7.4若服务</w:t>
      </w:r>
      <w:r>
        <w:rPr>
          <w:rFonts w:hint="eastAsia"/>
          <w:bCs/>
          <w:color w:val="000000" w:themeColor="text1"/>
          <w:sz w:val="24"/>
          <w:highlight w:val="none"/>
          <w14:textFill>
            <w14:solidFill>
              <w14:schemeClr w14:val="tx1"/>
            </w14:solidFill>
          </w14:textFill>
        </w:rPr>
        <w:t>涉及货物的，则货物的：</w:t>
      </w:r>
    </w:p>
    <w:p>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1.7.4.1 交付期限：详见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1.7.4.2 交付地点：</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1.7.4.3 交付方式：</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pPr>
        <w:spacing w:line="560" w:lineRule="exact"/>
        <w:ind w:firstLine="482" w:firstLineChars="200"/>
        <w:outlineLvl w:val="0"/>
        <w:rPr>
          <w:rFonts w:ascii="宋体" w:hAnsi="宋体"/>
          <w:color w:val="000000" w:themeColor="text1"/>
          <w:sz w:val="24"/>
          <w:highlight w:val="none"/>
          <w:u w:val="single"/>
          <w14:textFill>
            <w14:solidFill>
              <w14:schemeClr w14:val="tx1"/>
            </w14:solidFill>
          </w14:textFill>
        </w:rPr>
      </w:pPr>
      <w:r>
        <w:rPr>
          <w:rFonts w:ascii="宋体" w:hAnsi="宋体"/>
          <w:b/>
          <w:color w:val="000000" w:themeColor="text1"/>
          <w:sz w:val="24"/>
          <w:highlight w:val="none"/>
          <w14:textFill>
            <w14:solidFill>
              <w14:schemeClr w14:val="tx1"/>
            </w14:solidFill>
          </w14:textFill>
        </w:rPr>
        <w:t>1.</w:t>
      </w:r>
      <w:r>
        <w:rPr>
          <w:rFonts w:hint="eastAsia" w:ascii="宋体" w:hAnsi="宋体"/>
          <w:b/>
          <w:color w:val="000000" w:themeColor="text1"/>
          <w:sz w:val="24"/>
          <w:highlight w:val="none"/>
          <w14:textFill>
            <w14:solidFill>
              <w14:schemeClr w14:val="tx1"/>
            </w14:solidFill>
          </w14:textFill>
        </w:rPr>
        <w:t>8违约责任</w:t>
      </w:r>
      <w:bookmarkEnd w:id="428"/>
      <w:bookmarkEnd w:id="429"/>
      <w:bookmarkEnd w:id="430"/>
      <w:bookmarkEnd w:id="431"/>
      <w:bookmarkEnd w:id="432"/>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8</w:t>
      </w:r>
      <w:r>
        <w:rPr>
          <w:rFonts w:ascii="宋体" w:hAnsi="宋体"/>
          <w:color w:val="000000" w:themeColor="text1"/>
          <w:sz w:val="24"/>
          <w:highlight w:val="none"/>
          <w14:textFill>
            <w14:solidFill>
              <w14:schemeClr w14:val="tx1"/>
            </w14:solidFill>
          </w14:textFill>
        </w:rPr>
        <w:t>.1 除不可抗力外，如果乙方没有按照本合同约定的期限</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地点和方式</w:t>
      </w:r>
      <w:r>
        <w:rPr>
          <w:rFonts w:hint="eastAsia" w:ascii="宋体" w:hAnsi="宋体"/>
          <w:color w:val="000000" w:themeColor="text1"/>
          <w:sz w:val="24"/>
          <w:highlight w:val="none"/>
          <w14:textFill>
            <w14:solidFill>
              <w14:schemeClr w14:val="tx1"/>
            </w14:solidFill>
          </w14:textFill>
        </w:rPr>
        <w:t>交付服务成果或者实施服务</w:t>
      </w:r>
      <w:r>
        <w:rPr>
          <w:rFonts w:ascii="宋体" w:hAnsi="宋体"/>
          <w:color w:val="000000" w:themeColor="text1"/>
          <w:sz w:val="24"/>
          <w:highlight w:val="none"/>
          <w14:textFill>
            <w14:solidFill>
              <w14:schemeClr w14:val="tx1"/>
            </w14:solidFill>
          </w14:textFill>
        </w:rPr>
        <w:t>，那么甲方可要求乙方支付违约金</w:t>
      </w:r>
      <w:r>
        <w:rPr>
          <w:rFonts w:hint="eastAsia" w:ascii="宋体" w:hAnsi="宋体"/>
          <w:color w:val="000000" w:themeColor="text1"/>
          <w:sz w:val="24"/>
          <w:highlight w:val="none"/>
          <w14:textFill>
            <w14:solidFill>
              <w14:schemeClr w14:val="tx1"/>
            </w14:solidFill>
          </w14:textFill>
        </w:rPr>
        <w:t>，迟延履行</w:t>
      </w:r>
      <w:r>
        <w:rPr>
          <w:rFonts w:ascii="宋体" w:hAnsi="宋体"/>
          <w:color w:val="000000" w:themeColor="text1"/>
          <w:sz w:val="24"/>
          <w:highlight w:val="none"/>
          <w14:textFill>
            <w14:solidFill>
              <w14:schemeClr w14:val="tx1"/>
            </w14:solidFill>
          </w14:textFill>
        </w:rPr>
        <w:t>违约金按每迟延</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一日的应提供而未</w:t>
      </w:r>
      <w:r>
        <w:rPr>
          <w:rFonts w:hint="eastAsia" w:ascii="宋体" w:hAnsi="宋体"/>
          <w:color w:val="000000" w:themeColor="text1"/>
          <w:sz w:val="24"/>
          <w:highlight w:val="none"/>
          <w14:textFill>
            <w14:solidFill>
              <w14:schemeClr w14:val="tx1"/>
            </w14:solidFill>
          </w14:textFill>
        </w:rPr>
        <w:t>提供</w:t>
      </w:r>
      <w:r>
        <w:rPr>
          <w:rFonts w:ascii="宋体" w:hAnsi="宋体"/>
          <w:color w:val="000000" w:themeColor="text1"/>
          <w:sz w:val="24"/>
          <w:highlight w:val="none"/>
          <w14:textFill>
            <w14:solidFill>
              <w14:schemeClr w14:val="tx1"/>
            </w14:solidFill>
          </w14:textFill>
        </w:rPr>
        <w:t>服务价格的</w:t>
      </w:r>
      <w:r>
        <w:rPr>
          <w:rFonts w:hint="eastAsia" w:ascii="宋体" w:hAnsi="宋体"/>
          <w:color w:val="000000" w:themeColor="text1"/>
          <w:sz w:val="24"/>
          <w:highlight w:val="none"/>
          <w:u w:val="single"/>
          <w14:textFill>
            <w14:solidFill>
              <w14:schemeClr w14:val="tx1"/>
            </w14:solidFill>
          </w14:textFill>
        </w:rPr>
        <w:t>0.05</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%计算</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最高限额为</w:t>
      </w:r>
      <w:r>
        <w:rPr>
          <w:rFonts w:hint="eastAsia" w:ascii="宋体" w:hAnsi="宋体"/>
          <w:color w:val="000000" w:themeColor="text1"/>
          <w:sz w:val="24"/>
          <w:highlight w:val="none"/>
          <w14:textFill>
            <w14:solidFill>
              <w14:schemeClr w14:val="tx1"/>
            </w14:solidFill>
          </w14:textFill>
        </w:rPr>
        <w:t>本</w:t>
      </w:r>
      <w:r>
        <w:rPr>
          <w:rFonts w:ascii="宋体" w:hAnsi="宋体"/>
          <w:color w:val="000000" w:themeColor="text1"/>
          <w:sz w:val="24"/>
          <w:highlight w:val="none"/>
          <w14:textFill>
            <w14:solidFill>
              <w14:schemeClr w14:val="tx1"/>
            </w14:solidFill>
          </w14:textFill>
        </w:rPr>
        <w:t>合同总价的</w:t>
      </w:r>
      <w:r>
        <w:rPr>
          <w:rFonts w:ascii="宋体" w:hAnsi="宋体"/>
          <w:color w:val="000000" w:themeColor="text1"/>
          <w:sz w:val="24"/>
          <w:highlight w:val="none"/>
          <w:u w:val="single"/>
          <w14:textFill>
            <w14:solidFill>
              <w14:schemeClr w14:val="tx1"/>
            </w14:solidFill>
          </w14:textFill>
        </w:rPr>
        <w:t xml:space="preserve">  20   </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迟延</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的违约金计算数额达到前述最高限额之日起</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甲方有权在要求乙方支付违约金的同时</w:t>
      </w:r>
      <w:r>
        <w:rPr>
          <w:rFonts w:hint="eastAsia" w:ascii="宋体" w:hAnsi="宋体"/>
          <w:color w:val="000000" w:themeColor="text1"/>
          <w:sz w:val="24"/>
          <w:highlight w:val="none"/>
          <w14:textFill>
            <w14:solidFill>
              <w14:schemeClr w14:val="tx1"/>
            </w14:solidFill>
          </w14:textFill>
        </w:rPr>
        <w:t>，书面通知乙方</w:t>
      </w:r>
      <w:r>
        <w:rPr>
          <w:rFonts w:ascii="宋体" w:hAnsi="宋体"/>
          <w:color w:val="000000" w:themeColor="text1"/>
          <w:sz w:val="24"/>
          <w:highlight w:val="none"/>
          <w14:textFill>
            <w14:solidFill>
              <w14:schemeClr w14:val="tx1"/>
            </w14:solidFill>
          </w14:textFill>
        </w:rPr>
        <w:t>解除本合同</w:t>
      </w:r>
      <w:r>
        <w:rPr>
          <w:rFonts w:hint="eastAsia" w:ascii="宋体" w:hAnsi="宋体"/>
          <w:color w:val="000000" w:themeColor="text1"/>
          <w:sz w:val="24"/>
          <w:highlight w:val="none"/>
          <w14:textFill>
            <w14:solidFill>
              <w14:schemeClr w14:val="tx1"/>
            </w14:solidFill>
          </w14:textFill>
        </w:rPr>
        <w:t>；</w:t>
      </w:r>
    </w:p>
    <w:p>
      <w:pPr>
        <w:pStyle w:val="3"/>
        <w:ind w:left="0" w:firstLine="480" w:firstLineChars="200"/>
        <w:rPr>
          <w:rFonts w:ascii="宋体" w:hAnsi="宋体" w:eastAsia="宋体" w:cs="宋体"/>
          <w:b w:val="0"/>
          <w:bCs w:val="0"/>
          <w:color w:val="000000" w:themeColor="text1"/>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0.0</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 xml:space="preserve">5（可根据情况修改） </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%计算，最高限额为本合同总价的</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20  </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8</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除不可抗力外，如果甲方没有按照本合同约定的付款方式付款，那么乙方可要求甲方支付违约金，违约金按每迟延付款一日的应付而未付款的</w:t>
      </w:r>
      <w:r>
        <w:rPr>
          <w:rFonts w:hint="eastAsia" w:ascii="宋体" w:hAnsi="宋体" w:cs="宋体"/>
          <w:color w:val="000000" w:themeColor="text1"/>
          <w:sz w:val="24"/>
          <w:highlight w:val="none"/>
          <w:u w:val="single"/>
          <w14:textFill>
            <w14:solidFill>
              <w14:schemeClr w14:val="tx1"/>
            </w14:solidFill>
          </w14:textFill>
        </w:rPr>
        <w:t xml:space="preserve">   0.05   </w:t>
      </w:r>
      <w:r>
        <w:rPr>
          <w:rFonts w:hint="eastAsia" w:ascii="宋体" w:hAnsi="宋体" w:cs="宋体"/>
          <w:color w:val="000000" w:themeColor="text1"/>
          <w:sz w:val="24"/>
          <w:highlight w:val="none"/>
          <w14:textFill>
            <w14:solidFill>
              <w14:schemeClr w14:val="tx1"/>
            </w14:solidFill>
          </w14:textFill>
        </w:rPr>
        <w:t>%计算，最高限额为本合同总价的</w:t>
      </w:r>
      <w:r>
        <w:rPr>
          <w:rFonts w:hint="eastAsia" w:ascii="宋体" w:hAnsi="宋体" w:cs="宋体"/>
          <w:color w:val="000000" w:themeColor="text1"/>
          <w:sz w:val="24"/>
          <w:highlight w:val="none"/>
          <w:u w:val="single"/>
          <w14:textFill>
            <w14:solidFill>
              <w14:schemeClr w14:val="tx1"/>
            </w14:solidFill>
          </w14:textFill>
        </w:rPr>
        <w:t xml:space="preserve">   20</w:t>
      </w:r>
      <w:r>
        <w:rPr>
          <w:rFonts w:hint="eastAsia" w:ascii="宋体" w:hAnsi="宋体" w:cs="宋体"/>
          <w:color w:val="000000" w:themeColor="text1"/>
          <w:kern w:val="0"/>
          <w:sz w:val="24"/>
          <w:highlight w:val="none"/>
          <w:u w:val="single"/>
          <w14:textFill>
            <w14:solidFill>
              <w14:schemeClr w14:val="tx1"/>
            </w14:solidFill>
          </w14:textFill>
        </w:rPr>
        <w:t>（可根据情况修改）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r>
        <w:rPr>
          <w:rFonts w:hint="eastAsia" w:ascii="宋体" w:hAnsi="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433" w:name="_Toc26807"/>
      <w:bookmarkStart w:id="434" w:name="_Toc9497"/>
      <w:bookmarkStart w:id="435" w:name="_Toc30329"/>
      <w:bookmarkStart w:id="436" w:name="_Toc32454"/>
      <w:bookmarkStart w:id="437" w:name="_Toc18683"/>
      <w:r>
        <w:rPr>
          <w:rFonts w:hint="eastAsia" w:ascii="宋体" w:hAnsi="宋体" w:cs="宋体"/>
          <w:color w:val="000000" w:themeColor="text1"/>
          <w:sz w:val="24"/>
          <w:highlight w:val="none"/>
          <w14:textFill>
            <w14:solidFill>
              <w14:schemeClr w14:val="tx1"/>
            </w14:solidFill>
          </w14:textFill>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1.8.7违约责任</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另有约定的，从其约定。</w:t>
      </w:r>
    </w:p>
    <w:bookmarkEnd w:id="433"/>
    <w:bookmarkEnd w:id="434"/>
    <w:bookmarkEnd w:id="435"/>
    <w:bookmarkEnd w:id="436"/>
    <w:bookmarkEnd w:id="437"/>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38" w:name="_Toc16021"/>
      <w:bookmarkStart w:id="439" w:name="_Toc28375"/>
      <w:bookmarkStart w:id="440" w:name="_Toc15583"/>
      <w:r>
        <w:rPr>
          <w:rFonts w:hint="eastAsia" w:ascii="宋体" w:hAnsi="宋体" w:cs="宋体"/>
          <w:b/>
          <w:color w:val="000000" w:themeColor="text1"/>
          <w:sz w:val="24"/>
          <w:highlight w:val="none"/>
          <w14:textFill>
            <w14:solidFill>
              <w14:schemeClr w14:val="tx1"/>
            </w14:solidFill>
          </w14:textFill>
        </w:rPr>
        <w:t>1.9合同争议的解决</w:t>
      </w:r>
      <w:bookmarkEnd w:id="438"/>
      <w:bookmarkEnd w:id="439"/>
      <w:bookmarkEnd w:id="440"/>
    </w:p>
    <w:p>
      <w:pPr>
        <w:spacing w:line="560" w:lineRule="exact"/>
        <w:ind w:left="-61" w:leftChars="-29" w:right="-420" w:rightChars="-200"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cs="宋体"/>
          <w:b/>
          <w:i/>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条款规定的方式解决：</w:t>
      </w:r>
    </w:p>
    <w:p>
      <w:pPr>
        <w:spacing w:line="560" w:lineRule="exact"/>
        <w:ind w:left="-420" w:leftChars="-200" w:right="-420" w:rightChars="-200" w:firstLine="600" w:firstLineChars="2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 将争议提交</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仲裁委员会依申请仲裁时其现行有效的仲裁规则裁决；</w:t>
      </w:r>
    </w:p>
    <w:p>
      <w:pPr>
        <w:spacing w:line="560" w:lineRule="exact"/>
        <w:ind w:left="-420" w:leftChars="-200" w:right="-420" w:rightChars="-200" w:firstLine="600" w:firstLineChars="2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 向</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人民法院起诉。</w:t>
      </w:r>
    </w:p>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41" w:name="_Toc11173"/>
      <w:bookmarkStart w:id="442" w:name="_Toc15322"/>
      <w:bookmarkStart w:id="443" w:name="_Toc7245"/>
      <w:r>
        <w:rPr>
          <w:rFonts w:hint="eastAsia" w:ascii="宋体" w:hAnsi="宋体" w:cs="宋体"/>
          <w:b/>
          <w:color w:val="000000" w:themeColor="text1"/>
          <w:sz w:val="24"/>
          <w:highlight w:val="none"/>
          <w14:textFill>
            <w14:solidFill>
              <w14:schemeClr w14:val="tx1"/>
            </w14:solidFill>
          </w14:textFill>
        </w:rPr>
        <w:t>2.0 合同生效</w:t>
      </w:r>
      <w:bookmarkEnd w:id="441"/>
      <w:bookmarkEnd w:id="442"/>
      <w:bookmarkEnd w:id="443"/>
    </w:p>
    <w:p>
      <w:pPr>
        <w:spacing w:line="560" w:lineRule="exact"/>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本合同自双方当事人盖章签字时生效。</w:t>
      </w: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b/>
          <w:color w:val="000000" w:themeColor="text1"/>
          <w:sz w:val="24"/>
          <w:highlight w:val="none"/>
          <w:lang w:val="zh-CN"/>
          <w14:textFill>
            <w14:solidFill>
              <w14:schemeClr w14:val="tx1"/>
            </w14:solidFill>
          </w14:textFill>
        </w:rPr>
        <w:t>甲方</w:t>
      </w:r>
      <w:r>
        <w:rPr>
          <w:rFonts w:hint="eastAsia" w:ascii="宋体" w:hAnsi="宋体"/>
          <w:color w:val="000000" w:themeColor="text1"/>
          <w:sz w:val="24"/>
          <w:highlight w:val="none"/>
          <w:lang w:val="zh-CN"/>
          <w14:textFill>
            <w14:solidFill>
              <w14:schemeClr w14:val="tx1"/>
            </w14:solidFill>
          </w14:textFill>
        </w:rPr>
        <w:t>：</w:t>
      </w:r>
      <w:r>
        <w:rPr>
          <w:rFonts w:ascii="宋体" w:hAnsi="宋体"/>
          <w:color w:val="000000" w:themeColor="text1"/>
          <w:sz w:val="24"/>
          <w:highlight w:val="none"/>
          <w:lang w:val="zh-CN"/>
          <w14:textFill>
            <w14:solidFill>
              <w14:schemeClr w14:val="tx1"/>
            </w14:solidFill>
          </w14:textFill>
        </w:rPr>
        <w:t xml:space="preserve">                             </w:t>
      </w:r>
      <w:r>
        <w:rPr>
          <w:rFonts w:ascii="宋体" w:hAnsi="宋体"/>
          <w:b/>
          <w:color w:val="000000" w:themeColor="text1"/>
          <w:sz w:val="24"/>
          <w:highlight w:val="none"/>
          <w:lang w:val="zh-CN"/>
          <w14:textFill>
            <w14:solidFill>
              <w14:schemeClr w14:val="tx1"/>
            </w14:solidFill>
          </w14:textFill>
        </w:rPr>
        <w:t xml:space="preserve">      乙方</w:t>
      </w:r>
      <w:r>
        <w:rPr>
          <w:rFonts w:hint="eastAsia" w:ascii="宋体" w:hAnsi="宋体"/>
          <w:color w:val="000000" w:themeColor="text1"/>
          <w:sz w:val="24"/>
          <w:highlight w:val="none"/>
          <w:lang w:val="zh-CN"/>
          <w14:textFill>
            <w14:solidFill>
              <w14:schemeClr w14:val="tx1"/>
            </w14:solidFill>
          </w14:textFill>
        </w:rPr>
        <w:t>：</w:t>
      </w: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统一社会信用代码：</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统一社会信用代码或身份证号码：</w:t>
      </w: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住所：</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住所：</w:t>
      </w: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法定代表人或</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法定代表人或</w:t>
      </w: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授权代表（签字）：</w:t>
      </w:r>
      <w:r>
        <w:rPr>
          <w:rFonts w:ascii="宋体" w:hAnsi="宋体"/>
          <w:color w:val="000000" w:themeColor="text1"/>
          <w:sz w:val="24"/>
          <w:highlight w:val="none"/>
          <w:lang w:val="zh-CN"/>
          <w14:textFill>
            <w14:solidFill>
              <w14:schemeClr w14:val="tx1"/>
            </w14:solidFill>
          </w14:textFill>
        </w:rPr>
        <w:t xml:space="preserve">                       授权代表（签字）: </w:t>
      </w: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联系人：</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联系人：</w:t>
      </w: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约定送达地址：</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约定送达地址：</w:t>
      </w: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邮政编码：</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邮政编码：</w:t>
      </w: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电话</w:t>
      </w:r>
      <w:r>
        <w:rPr>
          <w:rFonts w:ascii="宋体" w:hAnsi="宋体"/>
          <w:color w:val="000000" w:themeColor="text1"/>
          <w:sz w:val="24"/>
          <w:highlight w:val="none"/>
          <w:lang w:val="zh-CN"/>
          <w14:textFill>
            <w14:solidFill>
              <w14:schemeClr w14:val="tx1"/>
            </w14:solidFill>
          </w14:textFill>
        </w:rPr>
        <w:t xml:space="preserve">:                                    电话: </w:t>
      </w: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传真</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传真</w:t>
      </w:r>
      <w:r>
        <w:rPr>
          <w:rFonts w:ascii="宋体" w:hAnsi="宋体"/>
          <w:color w:val="000000" w:themeColor="text1"/>
          <w:sz w:val="24"/>
          <w:highlight w:val="none"/>
          <w:lang w:val="zh-CN"/>
          <w14:textFill>
            <w14:solidFill>
              <w14:schemeClr w14:val="tx1"/>
            </w14:solidFill>
          </w14:textFill>
        </w:rPr>
        <w:t>:</w:t>
      </w:r>
    </w:p>
    <w:p>
      <w:pPr>
        <w:autoSpaceDE w:val="0"/>
        <w:autoSpaceDN w:val="0"/>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电子邮箱：</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电子邮箱：</w:t>
      </w:r>
    </w:p>
    <w:p>
      <w:pPr>
        <w:autoSpaceDE w:val="0"/>
        <w:autoSpaceDN w:val="0"/>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开户银行：</w:t>
      </w:r>
      <w:r>
        <w:rPr>
          <w:rFonts w:ascii="宋体" w:hAnsi="宋体"/>
          <w:color w:val="000000" w:themeColor="text1"/>
          <w:sz w:val="24"/>
          <w:highlight w:val="none"/>
          <w14:textFill>
            <w14:solidFill>
              <w14:schemeClr w14:val="tx1"/>
            </w14:solidFill>
          </w14:textFill>
        </w:rPr>
        <w:t xml:space="preserve">                               开户银行： </w:t>
      </w:r>
    </w:p>
    <w:p>
      <w:pPr>
        <w:autoSpaceDE w:val="0"/>
        <w:autoSpaceDN w:val="0"/>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开户名称：</w:t>
      </w:r>
      <w:r>
        <w:rPr>
          <w:rFonts w:ascii="宋体" w:hAnsi="宋体"/>
          <w:color w:val="000000" w:themeColor="text1"/>
          <w:sz w:val="24"/>
          <w:highlight w:val="none"/>
          <w14:textFill>
            <w14:solidFill>
              <w14:schemeClr w14:val="tx1"/>
            </w14:solidFill>
          </w14:textFill>
        </w:rPr>
        <w:t xml:space="preserve">                               开户名称： </w:t>
      </w:r>
    </w:p>
    <w:p>
      <w:pPr>
        <w:autoSpaceDE w:val="0"/>
        <w:autoSpaceDN w:val="0"/>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开户账号：</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开户账号：</w:t>
      </w:r>
    </w:p>
    <w:p>
      <w:pPr>
        <w:widowControl/>
        <w:spacing w:line="560" w:lineRule="exact"/>
        <w:jc w:val="left"/>
        <w:rPr>
          <w:rFonts w:ascii="宋体" w:hAnsi="宋体"/>
          <w:b/>
          <w:color w:val="000000" w:themeColor="text1"/>
          <w:sz w:val="24"/>
          <w:highlight w:val="none"/>
          <w14:textFill>
            <w14:solidFill>
              <w14:schemeClr w14:val="tx1"/>
            </w14:solidFill>
          </w14:textFill>
        </w:rPr>
      </w:pPr>
    </w:p>
    <w:p>
      <w:pPr>
        <w:widowControl/>
        <w:adjustRightInd/>
        <w:jc w:val="left"/>
        <w:rPr>
          <w:rFonts w:ascii="宋体" w:hAnsi="宋体"/>
          <w:b/>
          <w:color w:val="000000" w:themeColor="text1"/>
          <w:sz w:val="24"/>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br w:type="page"/>
      </w:r>
    </w:p>
    <w:p>
      <w:pPr>
        <w:pStyle w:val="699"/>
        <w:spacing w:line="560" w:lineRule="exact"/>
        <w:ind w:firstLine="482"/>
        <w:jc w:val="center"/>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第二部分</w:t>
      </w:r>
      <w:r>
        <w:rPr>
          <w:rFonts w:ascii="宋体" w:hAnsi="宋体"/>
          <w:b/>
          <w:color w:val="000000" w:themeColor="text1"/>
          <w:szCs w:val="24"/>
          <w:highlight w:val="none"/>
          <w14:textFill>
            <w14:solidFill>
              <w14:schemeClr w14:val="tx1"/>
            </w14:solidFill>
          </w14:textFill>
        </w:rPr>
        <w:t xml:space="preserve"> </w:t>
      </w:r>
      <w:r>
        <w:rPr>
          <w:rFonts w:hint="eastAsia" w:ascii="宋体" w:hAnsi="宋体"/>
          <w:b/>
          <w:color w:val="000000" w:themeColor="text1"/>
          <w:szCs w:val="24"/>
          <w:highlight w:val="none"/>
          <w14:textFill>
            <w14:solidFill>
              <w14:schemeClr w14:val="tx1"/>
            </w14:solidFill>
          </w14:textFill>
        </w:rPr>
        <w:t>合同一般条款</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44" w:name="_Toc19680"/>
      <w:bookmarkStart w:id="445" w:name="_Toc25079"/>
      <w:bookmarkStart w:id="446" w:name="_Toc14021"/>
      <w:bookmarkStart w:id="447" w:name="_Toc31297"/>
      <w:bookmarkStart w:id="448" w:name="_Toc5228"/>
      <w:r>
        <w:rPr>
          <w:rFonts w:ascii="宋体" w:hAnsi="宋体"/>
          <w:b/>
          <w:color w:val="000000" w:themeColor="text1"/>
          <w:sz w:val="24"/>
          <w:highlight w:val="none"/>
          <w14:textFill>
            <w14:solidFill>
              <w14:schemeClr w14:val="tx1"/>
            </w14:solidFill>
          </w14:textFill>
        </w:rPr>
        <w:t>2.1 定义</w:t>
      </w:r>
      <w:bookmarkEnd w:id="444"/>
      <w:bookmarkEnd w:id="445"/>
      <w:bookmarkEnd w:id="446"/>
      <w:bookmarkEnd w:id="447"/>
      <w:bookmarkEnd w:id="448"/>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本合同中的下列</w:t>
      </w:r>
      <w:r>
        <w:rPr>
          <w:rFonts w:hint="eastAsia" w:ascii="宋体" w:hAnsi="宋体"/>
          <w:color w:val="000000" w:themeColor="text1"/>
          <w:sz w:val="24"/>
          <w:highlight w:val="none"/>
          <w14:textFill>
            <w14:solidFill>
              <w14:schemeClr w14:val="tx1"/>
            </w14:solidFill>
          </w14:textFill>
        </w:rPr>
        <w:t>词</w:t>
      </w:r>
      <w:r>
        <w:rPr>
          <w:rFonts w:ascii="宋体" w:hAnsi="宋体"/>
          <w:color w:val="000000" w:themeColor="text1"/>
          <w:sz w:val="24"/>
          <w:highlight w:val="none"/>
          <w14:textFill>
            <w14:solidFill>
              <w14:schemeClr w14:val="tx1"/>
            </w14:solidFill>
          </w14:textFill>
        </w:rPr>
        <w:t>语应</w:t>
      </w:r>
      <w:r>
        <w:rPr>
          <w:rFonts w:hint="eastAsia" w:ascii="宋体" w:hAnsi="宋体"/>
          <w:color w:val="000000" w:themeColor="text1"/>
          <w:sz w:val="24"/>
          <w:highlight w:val="none"/>
          <w14:textFill>
            <w14:solidFill>
              <w14:schemeClr w14:val="tx1"/>
            </w14:solidFill>
          </w14:textFill>
        </w:rPr>
        <w:t>按以下内容进行</w:t>
      </w:r>
      <w:r>
        <w:rPr>
          <w:rFonts w:ascii="宋体" w:hAnsi="宋体"/>
          <w:color w:val="000000" w:themeColor="text1"/>
          <w:sz w:val="24"/>
          <w:highlight w:val="none"/>
          <w14:textFill>
            <w14:solidFill>
              <w14:schemeClr w14:val="tx1"/>
            </w14:solidFill>
          </w14:textFill>
        </w:rPr>
        <w:t>解释：</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 “合同”系指采购人和</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供应商签订的载明双方当事人所达成的协议，并包括所有的附件、附录和构成合同的其他文件。</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2.1.2 “合同价”系指根据合同约定，</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供应商在完全履行合同义务后</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采购人应支付给</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供应商的价格。</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2.1.3 “</w:t>
      </w:r>
      <w:r>
        <w:rPr>
          <w:rFonts w:hint="eastAsia" w:ascii="宋体" w:hAnsi="宋体"/>
          <w:color w:val="000000" w:themeColor="text1"/>
          <w:sz w:val="24"/>
          <w:highlight w:val="none"/>
          <w14:textFill>
            <w14:solidFill>
              <w14:schemeClr w14:val="tx1"/>
            </w14:solidFill>
          </w14:textFill>
        </w:rPr>
        <w:t>服务</w:t>
      </w:r>
      <w:r>
        <w:rPr>
          <w:rFonts w:ascii="宋体" w:hAnsi="宋体"/>
          <w:color w:val="000000" w:themeColor="text1"/>
          <w:sz w:val="24"/>
          <w:highlight w:val="none"/>
          <w14:textFill>
            <w14:solidFill>
              <w14:schemeClr w14:val="tx1"/>
            </w14:solidFill>
          </w14:textFill>
        </w:rPr>
        <w:t>”系指</w:t>
      </w:r>
      <w:r>
        <w:rPr>
          <w:rFonts w:hint="eastAsia" w:ascii="宋体" w:hAnsi="宋体" w:cs="宋体"/>
          <w:color w:val="000000" w:themeColor="text1"/>
          <w:sz w:val="24"/>
          <w:highlight w:val="none"/>
          <w14:textFill>
            <w14:solidFill>
              <w14:schemeClr w14:val="tx1"/>
            </w14:solidFill>
          </w14:textFill>
        </w:rPr>
        <w:t>中标或成交</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根据合同约定应向采购人</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的</w:t>
      </w:r>
      <w:r>
        <w:rPr>
          <w:rFonts w:hint="eastAsia" w:ascii="宋体" w:hAnsi="宋体"/>
          <w:color w:val="000000" w:themeColor="text1"/>
          <w:sz w:val="24"/>
          <w:highlight w:val="none"/>
          <w14:textFill>
            <w14:solidFill>
              <w14:schemeClr w14:val="tx1"/>
            </w14:solidFill>
          </w14:textFill>
        </w:rPr>
        <w:t>除货物和工程以外的其他政府采购对象，包括采购人自身需要的服务和向社会公众提供的公共服务。</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2.1.4 “</w:t>
      </w:r>
      <w:r>
        <w:rPr>
          <w:rFonts w:hint="eastAsia" w:ascii="宋体" w:hAnsi="宋体"/>
          <w:color w:val="000000" w:themeColor="text1"/>
          <w:sz w:val="24"/>
          <w:highlight w:val="none"/>
          <w14:textFill>
            <w14:solidFill>
              <w14:schemeClr w14:val="tx1"/>
            </w14:solidFill>
          </w14:textFill>
        </w:rPr>
        <w:t>甲方</w:t>
      </w:r>
      <w:r>
        <w:rPr>
          <w:rFonts w:ascii="宋体" w:hAnsi="宋体"/>
          <w:color w:val="000000" w:themeColor="text1"/>
          <w:sz w:val="24"/>
          <w:highlight w:val="none"/>
          <w14:textFill>
            <w14:solidFill>
              <w14:schemeClr w14:val="tx1"/>
            </w14:solidFill>
          </w14:textFill>
        </w:rPr>
        <w:t>”系指与</w:t>
      </w:r>
      <w:r>
        <w:rPr>
          <w:rFonts w:hint="eastAsia" w:ascii="宋体" w:hAnsi="宋体" w:cs="宋体"/>
          <w:color w:val="000000" w:themeColor="text1"/>
          <w:sz w:val="24"/>
          <w:highlight w:val="none"/>
          <w14:textFill>
            <w14:solidFill>
              <w14:schemeClr w14:val="tx1"/>
            </w14:solidFill>
          </w14:textFill>
        </w:rPr>
        <w:t>中标或成交</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签署合同的采购人</w:t>
      </w:r>
      <w:r>
        <w:rPr>
          <w:rFonts w:hint="eastAsia" w:ascii="宋体" w:hAnsi="宋体"/>
          <w:color w:val="000000" w:themeColor="text1"/>
          <w:sz w:val="24"/>
          <w:highlight w:val="none"/>
          <w14:textFill>
            <w14:solidFill>
              <w14:schemeClr w14:val="tx1"/>
            </w14:solidFill>
          </w14:textFill>
        </w:rPr>
        <w:t>；采购人委托采购代理机构代表其与乙方签订合同的，采购人的授权委托书作为合同附件。</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2.1.5 “乙方”系指根据合同约定提供服务的</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2.1.6 “现场”系指合同约定提供服务的地点。</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49" w:name="_Toc31402"/>
      <w:bookmarkStart w:id="450" w:name="_Toc16752"/>
      <w:bookmarkStart w:id="451" w:name="_Toc19539"/>
      <w:bookmarkStart w:id="452" w:name="_Toc23289"/>
      <w:bookmarkStart w:id="453" w:name="_Toc3769"/>
      <w:r>
        <w:rPr>
          <w:rFonts w:ascii="宋体" w:hAnsi="宋体"/>
          <w:b/>
          <w:color w:val="000000" w:themeColor="text1"/>
          <w:sz w:val="24"/>
          <w:highlight w:val="none"/>
          <w14:textFill>
            <w14:solidFill>
              <w14:schemeClr w14:val="tx1"/>
            </w14:solidFill>
          </w14:textFill>
        </w:rPr>
        <w:t>2.2 技术规范</w:t>
      </w:r>
      <w:bookmarkEnd w:id="449"/>
      <w:bookmarkEnd w:id="450"/>
      <w:bookmarkEnd w:id="451"/>
      <w:bookmarkEnd w:id="452"/>
      <w:bookmarkEnd w:id="453"/>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服务</w:t>
      </w:r>
      <w:r>
        <w:rPr>
          <w:rFonts w:ascii="宋体" w:hAnsi="宋体"/>
          <w:color w:val="000000" w:themeColor="text1"/>
          <w:sz w:val="24"/>
          <w:highlight w:val="none"/>
          <w14:textFill>
            <w14:solidFill>
              <w14:schemeClr w14:val="tx1"/>
            </w14:solidFill>
          </w14:textFill>
        </w:rPr>
        <w:t>所应遵守的技术规范应与采购文件规定的技术规范和技术规范附件(如果有的话)及其技术规范偏差表(如果被甲方接受的话)相一致</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如果采购文件中没有技术规范的相应说明，那么应以国家有关部门最新颁布的相应标准</w:t>
      </w:r>
      <w:r>
        <w:rPr>
          <w:rFonts w:hint="eastAsia" w:ascii="宋体" w:hAnsi="宋体"/>
          <w:color w:val="000000" w:themeColor="text1"/>
          <w:sz w:val="24"/>
          <w:highlight w:val="none"/>
          <w14:textFill>
            <w14:solidFill>
              <w14:schemeClr w14:val="tx1"/>
            </w14:solidFill>
          </w14:textFill>
        </w:rPr>
        <w:t>和</w:t>
      </w:r>
      <w:r>
        <w:rPr>
          <w:rFonts w:ascii="宋体" w:hAnsi="宋体"/>
          <w:color w:val="000000" w:themeColor="text1"/>
          <w:sz w:val="24"/>
          <w:highlight w:val="none"/>
          <w14:textFill>
            <w14:solidFill>
              <w14:schemeClr w14:val="tx1"/>
            </w14:solidFill>
          </w14:textFill>
        </w:rPr>
        <w:t>规范为准。</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54" w:name="_Toc12412"/>
      <w:bookmarkStart w:id="455" w:name="_Toc4133"/>
      <w:bookmarkStart w:id="456" w:name="_Toc9161"/>
      <w:bookmarkStart w:id="457" w:name="_Toc13673"/>
      <w:bookmarkStart w:id="458" w:name="_Toc27945"/>
      <w:r>
        <w:rPr>
          <w:rFonts w:ascii="宋体" w:hAnsi="宋体"/>
          <w:b/>
          <w:color w:val="000000" w:themeColor="text1"/>
          <w:sz w:val="24"/>
          <w:highlight w:val="none"/>
          <w14:textFill>
            <w14:solidFill>
              <w14:schemeClr w14:val="tx1"/>
            </w14:solidFill>
          </w14:textFill>
        </w:rPr>
        <w:t>2.3 知识产权</w:t>
      </w:r>
      <w:bookmarkEnd w:id="454"/>
      <w:bookmarkEnd w:id="455"/>
      <w:bookmarkEnd w:id="456"/>
      <w:bookmarkEnd w:id="457"/>
      <w:bookmarkEnd w:id="458"/>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2.3.1 </w:t>
      </w:r>
      <w:r>
        <w:rPr>
          <w:rFonts w:hint="eastAsia" w:ascii="宋体" w:hAnsi="宋体"/>
          <w:color w:val="000000" w:themeColor="text1"/>
          <w:sz w:val="24"/>
          <w:highlight w:val="none"/>
          <w14:textFill>
            <w14:solidFill>
              <w14:schemeClr w14:val="tx1"/>
            </w14:solidFill>
          </w14:textFill>
        </w:rPr>
        <w:t>乙</w:t>
      </w:r>
      <w:r>
        <w:rPr>
          <w:rFonts w:ascii="宋体" w:hAnsi="宋体"/>
          <w:color w:val="000000" w:themeColor="text1"/>
          <w:sz w:val="24"/>
          <w:highlight w:val="none"/>
          <w14:textFill>
            <w14:solidFill>
              <w14:schemeClr w14:val="tx1"/>
            </w14:solidFill>
          </w14:textFill>
        </w:rPr>
        <w:t>方应保证</w:t>
      </w:r>
      <w:r>
        <w:rPr>
          <w:rFonts w:hint="eastAsia" w:ascii="宋体" w:hAnsi="宋体"/>
          <w:color w:val="000000" w:themeColor="text1"/>
          <w:sz w:val="24"/>
          <w:highlight w:val="none"/>
          <w14:textFill>
            <w14:solidFill>
              <w14:schemeClr w14:val="tx1"/>
            </w14:solidFill>
          </w14:textFill>
        </w:rPr>
        <w:t>其提供的服务</w:t>
      </w:r>
      <w:r>
        <w:rPr>
          <w:rFonts w:ascii="宋体" w:hAnsi="宋体"/>
          <w:color w:val="000000" w:themeColor="text1"/>
          <w:sz w:val="24"/>
          <w:highlight w:val="none"/>
          <w14:textFill>
            <w14:solidFill>
              <w14:schemeClr w14:val="tx1"/>
            </w14:solidFill>
          </w14:textFill>
        </w:rPr>
        <w:t>不受任何第三方提出的侵犯其著作权、商标权、专利权等知识产权方面的起诉</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如果任何第三方提出侵权</w:t>
      </w:r>
      <w:r>
        <w:rPr>
          <w:rFonts w:hint="eastAsia" w:ascii="宋体" w:hAnsi="宋体"/>
          <w:color w:val="000000" w:themeColor="text1"/>
          <w:sz w:val="24"/>
          <w:highlight w:val="none"/>
          <w14:textFill>
            <w14:solidFill>
              <w14:schemeClr w14:val="tx1"/>
            </w14:solidFill>
          </w14:textFill>
        </w:rPr>
        <w:t>指控</w:t>
      </w:r>
      <w:r>
        <w:rPr>
          <w:rFonts w:ascii="宋体" w:hAnsi="宋体"/>
          <w:color w:val="000000" w:themeColor="text1"/>
          <w:sz w:val="24"/>
          <w:highlight w:val="none"/>
          <w14:textFill>
            <w14:solidFill>
              <w14:schemeClr w14:val="tx1"/>
            </w14:solidFill>
          </w14:textFill>
        </w:rPr>
        <w:t>，那么乙方须与该第三方交涉并承担由此发生的一切责任、费用和赔偿</w:t>
      </w:r>
      <w:r>
        <w:rPr>
          <w:rFonts w:hint="eastAsia" w:ascii="宋体" w:hAnsi="宋体"/>
          <w:color w:val="000000" w:themeColor="text1"/>
          <w:sz w:val="24"/>
          <w:highlight w:val="none"/>
          <w14:textFill>
            <w14:solidFill>
              <w14:schemeClr w14:val="tx1"/>
            </w14:solidFill>
          </w14:textFill>
        </w:rPr>
        <w:t>，乙方还应及时澄清相关信息，使甲方声誉免受损害，甲方保留追责的权利。</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2.3.2 </w:t>
      </w:r>
      <w:r>
        <w:rPr>
          <w:rFonts w:hint="eastAsia" w:ascii="宋体" w:hAnsi="宋体"/>
          <w:color w:val="000000" w:themeColor="text1"/>
          <w:sz w:val="24"/>
          <w:highlight w:val="none"/>
          <w14:textFill>
            <w14:solidFill>
              <w14:schemeClr w14:val="tx1"/>
            </w14:solidFill>
          </w14:textFill>
        </w:rPr>
        <w:t>合同涉及技术成果的归属和收益的分成办法的，</w:t>
      </w:r>
      <w:r>
        <w:rPr>
          <w:rFonts w:ascii="宋体" w:hAnsi="宋体"/>
          <w:color w:val="000000" w:themeColor="text1"/>
          <w:sz w:val="24"/>
          <w:highlight w:val="none"/>
          <w14:textFill>
            <w14:solidFill>
              <w14:schemeClr w14:val="tx1"/>
            </w14:solidFill>
          </w14:textFill>
        </w:rPr>
        <w:t>详见</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w:t>
      </w:r>
    </w:p>
    <w:p>
      <w:pPr>
        <w:spacing w:line="560" w:lineRule="exact"/>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 xml:space="preserve">2.4 </w:t>
      </w:r>
      <w:r>
        <w:rPr>
          <w:rFonts w:hint="eastAsia" w:ascii="宋体" w:hAnsi="宋体"/>
          <w:b/>
          <w:color w:val="000000" w:themeColor="text1"/>
          <w:sz w:val="24"/>
          <w:highlight w:val="none"/>
          <w14:textFill>
            <w14:solidFill>
              <w14:schemeClr w14:val="tx1"/>
            </w14:solidFill>
          </w14:textFill>
        </w:rPr>
        <w:t>履约检查和问题反馈</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2.4.1甲方</w:t>
      </w:r>
      <w:r>
        <w:rPr>
          <w:rFonts w:hint="eastAsia" w:ascii="宋体" w:hAnsi="宋体"/>
          <w:color w:val="000000" w:themeColor="text1"/>
          <w:sz w:val="24"/>
          <w:highlight w:val="none"/>
          <w14:textFill>
            <w14:solidFill>
              <w14:schemeClr w14:val="tx1"/>
            </w14:solidFill>
          </w14:textFill>
        </w:rPr>
        <w:t>有权</w:t>
      </w:r>
      <w:r>
        <w:rPr>
          <w:rFonts w:ascii="宋体" w:hAnsi="宋体"/>
          <w:color w:val="000000" w:themeColor="text1"/>
          <w:sz w:val="24"/>
          <w:highlight w:val="none"/>
          <w14:textFill>
            <w14:solidFill>
              <w14:schemeClr w14:val="tx1"/>
            </w14:solidFill>
          </w14:textFill>
        </w:rPr>
        <w:t>在其认为必要时</w:t>
      </w:r>
      <w:r>
        <w:rPr>
          <w:rFonts w:hint="eastAsia" w:ascii="宋体" w:hAnsi="宋体"/>
          <w:color w:val="000000" w:themeColor="text1"/>
          <w:sz w:val="24"/>
          <w:highlight w:val="none"/>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2.4.2 </w:t>
      </w:r>
      <w:r>
        <w:rPr>
          <w:rFonts w:hint="eastAsia" w:ascii="宋体" w:hAnsi="宋体"/>
          <w:color w:val="000000" w:themeColor="text1"/>
          <w:sz w:val="24"/>
          <w:highlight w:val="none"/>
          <w14:textFill>
            <w14:solidFill>
              <w14:schemeClr w14:val="tx1"/>
            </w14:solidFill>
          </w14:textFill>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59" w:name="_Toc15447"/>
      <w:bookmarkStart w:id="460" w:name="_Toc32670"/>
      <w:bookmarkStart w:id="461" w:name="_Toc26555"/>
      <w:bookmarkStart w:id="462" w:name="_Toc22011"/>
      <w:bookmarkStart w:id="463" w:name="_Toc31233"/>
      <w:r>
        <w:rPr>
          <w:rFonts w:ascii="宋体" w:hAnsi="宋体"/>
          <w:b/>
          <w:color w:val="000000" w:themeColor="text1"/>
          <w:sz w:val="24"/>
          <w:highlight w:val="none"/>
          <w14:textFill>
            <w14:solidFill>
              <w14:schemeClr w14:val="tx1"/>
            </w14:solidFill>
          </w14:textFill>
        </w:rPr>
        <w:t>2.5 结算方式和付款条件</w:t>
      </w:r>
      <w:bookmarkEnd w:id="459"/>
      <w:bookmarkEnd w:id="460"/>
      <w:bookmarkEnd w:id="461"/>
      <w:bookmarkEnd w:id="462"/>
      <w:bookmarkEnd w:id="463"/>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详见</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64" w:name="_Toc18990"/>
      <w:bookmarkStart w:id="465" w:name="_Toc13467"/>
      <w:bookmarkStart w:id="466" w:name="_Toc30507"/>
      <w:bookmarkStart w:id="467" w:name="_Toc16163"/>
      <w:bookmarkStart w:id="468" w:name="_Toc13154"/>
      <w:r>
        <w:rPr>
          <w:rFonts w:ascii="宋体" w:hAnsi="宋体"/>
          <w:b/>
          <w:color w:val="000000" w:themeColor="text1"/>
          <w:sz w:val="24"/>
          <w:highlight w:val="none"/>
          <w14:textFill>
            <w14:solidFill>
              <w14:schemeClr w14:val="tx1"/>
            </w14:solidFill>
          </w14:textFill>
        </w:rPr>
        <w:t>2.6 技术资料和保密义务</w:t>
      </w:r>
      <w:bookmarkEnd w:id="464"/>
      <w:bookmarkEnd w:id="465"/>
      <w:bookmarkEnd w:id="466"/>
      <w:bookmarkEnd w:id="467"/>
      <w:bookmarkEnd w:id="468"/>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2.6.2 </w:t>
      </w:r>
      <w:r>
        <w:rPr>
          <w:rFonts w:hint="eastAsia" w:ascii="宋体" w:hAnsi="宋体"/>
          <w:color w:val="000000" w:themeColor="text1"/>
          <w:sz w:val="24"/>
          <w:highlight w:val="none"/>
          <w14:textFill>
            <w14:solidFill>
              <w14:schemeClr w14:val="tx1"/>
            </w14:solidFill>
          </w14:textFill>
        </w:rPr>
        <w:t>乙方有义务妥善保管和保护由甲方提供的前款信息和资料等；</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2.6.3 </w:t>
      </w:r>
      <w:r>
        <w:rPr>
          <w:rFonts w:hint="eastAsia" w:ascii="宋体" w:hAnsi="宋体"/>
          <w:color w:val="000000" w:themeColor="text1"/>
          <w:sz w:val="24"/>
          <w:highlight w:val="none"/>
          <w14:textFill>
            <w14:solidFill>
              <w14:schemeClr w14:val="tx1"/>
            </w14:solidFill>
          </w14:textFill>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000000" w:themeColor="text1"/>
          <w:sz w:val="24"/>
          <w:highlight w:val="none"/>
          <w14:textFill>
            <w14:solidFill>
              <w14:schemeClr w14:val="tx1"/>
            </w14:solidFill>
          </w14:textFill>
        </w:rPr>
        <w:t>技术情报</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技术资料</w:t>
      </w:r>
      <w:r>
        <w:rPr>
          <w:rFonts w:hint="eastAsia" w:ascii="宋体" w:hAnsi="宋体"/>
          <w:color w:val="000000" w:themeColor="text1"/>
          <w:sz w:val="24"/>
          <w:highlight w:val="none"/>
          <w14:textFill>
            <w14:solidFill>
              <w14:schemeClr w14:val="tx1"/>
            </w14:solidFill>
          </w14:textFill>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69" w:name="_Toc19069"/>
      <w:r>
        <w:rPr>
          <w:rFonts w:ascii="宋体" w:hAnsi="宋体"/>
          <w:b/>
          <w:color w:val="000000" w:themeColor="text1"/>
          <w:sz w:val="24"/>
          <w:highlight w:val="none"/>
          <w14:textFill>
            <w14:solidFill>
              <w14:schemeClr w14:val="tx1"/>
            </w14:solidFill>
          </w14:textFill>
        </w:rPr>
        <w:t xml:space="preserve">2.7 </w:t>
      </w:r>
      <w:r>
        <w:rPr>
          <w:rFonts w:hint="eastAsia" w:ascii="宋体" w:hAnsi="宋体"/>
          <w:b/>
          <w:color w:val="000000" w:themeColor="text1"/>
          <w:sz w:val="24"/>
          <w:highlight w:val="none"/>
          <w14:textFill>
            <w14:solidFill>
              <w14:schemeClr w14:val="tx1"/>
            </w14:solidFill>
          </w14:textFill>
        </w:rPr>
        <w:t>质量保证</w:t>
      </w:r>
      <w:bookmarkEnd w:id="469"/>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2.7.1 </w:t>
      </w:r>
      <w:r>
        <w:rPr>
          <w:rFonts w:hint="eastAsia" w:ascii="宋体" w:hAnsi="宋体"/>
          <w:color w:val="000000" w:themeColor="text1"/>
          <w:sz w:val="24"/>
          <w:highlight w:val="none"/>
          <w14:textFill>
            <w14:solidFill>
              <w14:schemeClr w14:val="tx1"/>
            </w14:solidFill>
          </w14:textFill>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2.7.2 </w:t>
      </w:r>
      <w:r>
        <w:rPr>
          <w:rFonts w:hint="eastAsia" w:ascii="宋体" w:hAnsi="宋体"/>
          <w:color w:val="000000" w:themeColor="text1"/>
          <w:sz w:val="24"/>
          <w:highlight w:val="none"/>
          <w14:textFill>
            <w14:solidFill>
              <w14:schemeClr w14:val="tx1"/>
            </w14:solidFill>
          </w14:textFill>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70" w:name="_Toc22267"/>
      <w:r>
        <w:rPr>
          <w:rFonts w:ascii="宋体" w:hAnsi="宋体"/>
          <w:b/>
          <w:color w:val="000000" w:themeColor="text1"/>
          <w:sz w:val="24"/>
          <w:highlight w:val="none"/>
          <w14:textFill>
            <w14:solidFill>
              <w14:schemeClr w14:val="tx1"/>
            </w14:solidFill>
          </w14:textFill>
        </w:rPr>
        <w:t xml:space="preserve">2.8 </w:t>
      </w:r>
      <w:r>
        <w:rPr>
          <w:rFonts w:hint="eastAsia" w:ascii="宋体" w:hAnsi="宋体"/>
          <w:b/>
          <w:color w:val="000000" w:themeColor="text1"/>
          <w:sz w:val="24"/>
          <w:highlight w:val="none"/>
          <w14:textFill>
            <w14:solidFill>
              <w14:schemeClr w14:val="tx1"/>
            </w14:solidFill>
          </w14:textFill>
        </w:rPr>
        <w:t>延迟履行</w:t>
      </w:r>
      <w:bookmarkEnd w:id="470"/>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甲乙双方签订合同后，乙方应按照合同约定履行合同义务，除不可抗力外，乙方不得延迟履行。</w:t>
      </w:r>
      <w:r>
        <w:rPr>
          <w:rFonts w:ascii="宋体" w:hAnsi="宋体"/>
          <w:color w:val="000000" w:themeColor="text1"/>
          <w:sz w:val="24"/>
          <w:highlight w:val="none"/>
          <w14:textFill>
            <w14:solidFill>
              <w14:schemeClr w14:val="tx1"/>
            </w14:solidFill>
          </w14:textFill>
        </w:rPr>
        <w:t>在合同履行过程中，如果</w:t>
      </w:r>
      <w:r>
        <w:rPr>
          <w:rFonts w:hint="eastAsia" w:ascii="宋体" w:hAnsi="宋体"/>
          <w:color w:val="000000" w:themeColor="text1"/>
          <w:sz w:val="24"/>
          <w:highlight w:val="none"/>
          <w14:textFill>
            <w14:solidFill>
              <w14:schemeClr w14:val="tx1"/>
            </w14:solidFill>
          </w14:textFill>
        </w:rPr>
        <w:t>因不可抗力，</w:t>
      </w:r>
      <w:r>
        <w:rPr>
          <w:rFonts w:ascii="宋体" w:hAnsi="宋体"/>
          <w:color w:val="000000" w:themeColor="text1"/>
          <w:sz w:val="24"/>
          <w:highlight w:val="none"/>
          <w14:textFill>
            <w14:solidFill>
              <w14:schemeClr w14:val="tx1"/>
            </w14:solidFill>
          </w14:textFill>
        </w:rPr>
        <w:t>乙方遇到不能按时</w:t>
      </w:r>
      <w:r>
        <w:rPr>
          <w:rFonts w:hint="eastAsia" w:ascii="宋体" w:hAnsi="宋体"/>
          <w:color w:val="000000" w:themeColor="text1"/>
          <w:sz w:val="24"/>
          <w:highlight w:val="none"/>
          <w14:textFill>
            <w14:solidFill>
              <w14:schemeClr w14:val="tx1"/>
            </w14:solidFill>
          </w14:textFill>
        </w:rPr>
        <w:t>提供服务</w:t>
      </w:r>
      <w:r>
        <w:rPr>
          <w:rFonts w:ascii="宋体" w:hAnsi="宋体"/>
          <w:color w:val="000000" w:themeColor="text1"/>
          <w:sz w:val="24"/>
          <w:highlight w:val="none"/>
          <w14:textFill>
            <w14:solidFill>
              <w14:schemeClr w14:val="tx1"/>
            </w14:solidFill>
          </w14:textFill>
        </w:rPr>
        <w:t>的情况，应及时以书面形式将不能按时</w:t>
      </w:r>
      <w:r>
        <w:rPr>
          <w:rFonts w:hint="eastAsia" w:ascii="宋体" w:hAnsi="宋体"/>
          <w:color w:val="000000" w:themeColor="text1"/>
          <w:sz w:val="24"/>
          <w:highlight w:val="none"/>
          <w14:textFill>
            <w14:solidFill>
              <w14:schemeClr w14:val="tx1"/>
            </w14:solidFill>
          </w14:textFill>
        </w:rPr>
        <w:t>提供服务</w:t>
      </w:r>
      <w:r>
        <w:rPr>
          <w:rFonts w:ascii="宋体" w:hAnsi="宋体"/>
          <w:color w:val="000000" w:themeColor="text1"/>
          <w:sz w:val="24"/>
          <w:highlight w:val="none"/>
          <w14:textFill>
            <w14:solidFill>
              <w14:schemeClr w14:val="tx1"/>
            </w14:solidFill>
          </w14:textFill>
        </w:rPr>
        <w:t>的理由、预期延误时间通知甲方</w:t>
      </w:r>
      <w:r>
        <w:rPr>
          <w:rFonts w:hint="eastAsia" w:ascii="宋体" w:hAnsi="宋体"/>
          <w:color w:val="000000" w:themeColor="text1"/>
          <w:sz w:val="24"/>
          <w:highlight w:val="none"/>
          <w14:textFill>
            <w14:solidFill>
              <w14:schemeClr w14:val="tx1"/>
            </w14:solidFill>
          </w14:textFill>
        </w:rPr>
        <w:t>；甲</w:t>
      </w:r>
      <w:r>
        <w:rPr>
          <w:rFonts w:ascii="宋体" w:hAnsi="宋体"/>
          <w:color w:val="000000" w:themeColor="text1"/>
          <w:sz w:val="24"/>
          <w:highlight w:val="none"/>
          <w14:textFill>
            <w14:solidFill>
              <w14:schemeClr w14:val="tx1"/>
            </w14:solidFill>
          </w14:textFill>
        </w:rPr>
        <w:t>方收到乙方通知后，认为其理由正当的，可以书面形式酌情同意乙方可以延长</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的具体时间。</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71" w:name="_Toc10611"/>
      <w:r>
        <w:rPr>
          <w:rFonts w:ascii="宋体" w:hAnsi="宋体"/>
          <w:b/>
          <w:color w:val="000000" w:themeColor="text1"/>
          <w:sz w:val="24"/>
          <w:highlight w:val="none"/>
          <w14:textFill>
            <w14:solidFill>
              <w14:schemeClr w14:val="tx1"/>
            </w14:solidFill>
          </w14:textFill>
        </w:rPr>
        <w:t xml:space="preserve">2.9 </w:t>
      </w:r>
      <w:r>
        <w:rPr>
          <w:rFonts w:hint="eastAsia" w:ascii="宋体" w:hAnsi="宋体"/>
          <w:b/>
          <w:color w:val="000000" w:themeColor="text1"/>
          <w:sz w:val="24"/>
          <w:highlight w:val="none"/>
          <w14:textFill>
            <w14:solidFill>
              <w14:schemeClr w14:val="tx1"/>
            </w14:solidFill>
          </w14:textFill>
        </w:rPr>
        <w:t>合同变更</w:t>
      </w:r>
      <w:bookmarkEnd w:id="471"/>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72" w:name="_Toc21830"/>
      <w:bookmarkStart w:id="473" w:name="_Toc42"/>
      <w:bookmarkStart w:id="474" w:name="_Toc23368"/>
      <w:bookmarkStart w:id="475" w:name="_Toc26689"/>
      <w:bookmarkStart w:id="476" w:name="_Toc10663"/>
      <w:r>
        <w:rPr>
          <w:rFonts w:ascii="宋体" w:hAnsi="宋体"/>
          <w:b/>
          <w:color w:val="000000" w:themeColor="text1"/>
          <w:sz w:val="24"/>
          <w:highlight w:val="none"/>
          <w14:textFill>
            <w14:solidFill>
              <w14:schemeClr w14:val="tx1"/>
            </w14:solidFill>
          </w14:textFill>
        </w:rPr>
        <w:t>2.10 合同转让和分包</w:t>
      </w:r>
      <w:bookmarkEnd w:id="472"/>
      <w:bookmarkEnd w:id="473"/>
      <w:bookmarkEnd w:id="474"/>
      <w:bookmarkEnd w:id="475"/>
      <w:bookmarkEnd w:id="476"/>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合同的权利义务依法不</w:t>
      </w:r>
      <w:r>
        <w:rPr>
          <w:rFonts w:hint="eastAsia" w:ascii="宋体" w:hAnsi="宋体"/>
          <w:color w:val="000000" w:themeColor="text1"/>
          <w:sz w:val="24"/>
          <w:highlight w:val="none"/>
          <w14:textFill>
            <w14:solidFill>
              <w14:schemeClr w14:val="tx1"/>
            </w14:solidFill>
          </w14:textFill>
        </w:rPr>
        <w:t>得</w:t>
      </w:r>
      <w:r>
        <w:rPr>
          <w:rFonts w:ascii="宋体" w:hAnsi="宋体"/>
          <w:color w:val="000000" w:themeColor="text1"/>
          <w:sz w:val="24"/>
          <w:highlight w:val="none"/>
          <w14:textFill>
            <w14:solidFill>
              <w14:schemeClr w14:val="tx1"/>
            </w14:solidFill>
          </w14:textFill>
        </w:rPr>
        <w:t>转让</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但经甲方</w:t>
      </w:r>
      <w:r>
        <w:rPr>
          <w:rFonts w:hint="eastAsia" w:ascii="宋体" w:hAnsi="宋体"/>
          <w:color w:val="000000" w:themeColor="text1"/>
          <w:sz w:val="24"/>
          <w:highlight w:val="none"/>
          <w14:textFill>
            <w14:solidFill>
              <w14:schemeClr w14:val="tx1"/>
            </w14:solidFill>
          </w14:textFill>
        </w:rPr>
        <w:t>同意，乙方可以依法采取分包方式履行合同，即：依法可以</w:t>
      </w:r>
      <w:r>
        <w:rPr>
          <w:rFonts w:ascii="宋体" w:hAnsi="宋体"/>
          <w:color w:val="000000" w:themeColor="text1"/>
          <w:sz w:val="24"/>
          <w:highlight w:val="none"/>
          <w14:textFill>
            <w14:solidFill>
              <w14:schemeClr w14:val="tx1"/>
            </w14:solidFill>
          </w14:textFill>
        </w:rPr>
        <w:t>将合同项下的部分非主体、非关键性工作分包给他人完成</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接受分包的人应当具备相应的资格条件，并不得再次分包</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且乙方应就分包项目向甲方负责</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并</w:t>
      </w:r>
      <w:r>
        <w:rPr>
          <w:rFonts w:hint="eastAsia" w:ascii="宋体" w:hAnsi="宋体"/>
          <w:color w:val="000000" w:themeColor="text1"/>
          <w:sz w:val="24"/>
          <w:highlight w:val="none"/>
          <w14:textFill>
            <w14:solidFill>
              <w14:schemeClr w14:val="tx1"/>
            </w14:solidFill>
          </w14:textFill>
        </w:rPr>
        <w:t>与分包供应商就分包项目向甲方承担连带责任。</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77" w:name="_Toc26633"/>
      <w:bookmarkStart w:id="478" w:name="_Toc32494"/>
      <w:bookmarkStart w:id="479" w:name="_Toc25571"/>
      <w:bookmarkStart w:id="480" w:name="_Toc14371"/>
      <w:bookmarkStart w:id="481" w:name="_Toc4720"/>
      <w:r>
        <w:rPr>
          <w:rFonts w:ascii="宋体" w:hAnsi="宋体"/>
          <w:b/>
          <w:color w:val="000000" w:themeColor="text1"/>
          <w:sz w:val="24"/>
          <w:highlight w:val="none"/>
          <w14:textFill>
            <w14:solidFill>
              <w14:schemeClr w14:val="tx1"/>
            </w14:solidFill>
          </w14:textFill>
        </w:rPr>
        <w:t>2.11 不可抗力</w:t>
      </w:r>
      <w:bookmarkEnd w:id="477"/>
      <w:bookmarkEnd w:id="478"/>
      <w:bookmarkEnd w:id="479"/>
      <w:bookmarkEnd w:id="480"/>
      <w:bookmarkEnd w:id="481"/>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2.11.1如果任何一方遭遇法律规定的不可抗力，致使合同履行受阻时，履行合同的期限应予延长，延长的期限应相当于不可抗力所影响的时间</w:t>
      </w:r>
      <w:r>
        <w:rPr>
          <w:rFonts w:hint="eastAsia" w:ascii="宋体" w:hAnsi="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2.11.2 </w:t>
      </w:r>
      <w:r>
        <w:rPr>
          <w:rFonts w:hint="eastAsia" w:ascii="宋体" w:hAnsi="宋体"/>
          <w:color w:val="000000" w:themeColor="text1"/>
          <w:sz w:val="24"/>
          <w:highlight w:val="none"/>
          <w14:textFill>
            <w14:solidFill>
              <w14:schemeClr w14:val="tx1"/>
            </w14:solidFill>
          </w14:textFill>
        </w:rPr>
        <w:t>因不可抗力致使不能实现合同目的的，当事人可以解除合同；</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2.11.3 </w:t>
      </w:r>
      <w:r>
        <w:rPr>
          <w:rFonts w:hint="eastAsia" w:ascii="宋体" w:hAnsi="宋体"/>
          <w:color w:val="000000" w:themeColor="text1"/>
          <w:sz w:val="24"/>
          <w:highlight w:val="none"/>
          <w14:textFill>
            <w14:solidFill>
              <w14:schemeClr w14:val="tx1"/>
            </w14:solidFill>
          </w14:textFill>
        </w:rPr>
        <w:t>因</w:t>
      </w:r>
      <w:r>
        <w:rPr>
          <w:rFonts w:ascii="宋体" w:hAnsi="宋体"/>
          <w:color w:val="000000" w:themeColor="text1"/>
          <w:sz w:val="24"/>
          <w:highlight w:val="none"/>
          <w14:textFill>
            <w14:solidFill>
              <w14:schemeClr w14:val="tx1"/>
            </w14:solidFill>
          </w14:textFill>
        </w:rPr>
        <w:t>不可抗力致使合同有变更必要的，双方当事人应在</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约定时间内以书面形式变更合同</w:t>
      </w:r>
      <w:r>
        <w:rPr>
          <w:rFonts w:hint="eastAsia" w:ascii="宋体" w:hAnsi="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2.11.4受</w:t>
      </w:r>
      <w:r>
        <w:rPr>
          <w:rFonts w:hint="eastAsia" w:ascii="宋体" w:hAnsi="宋体"/>
          <w:color w:val="000000" w:themeColor="text1"/>
          <w:sz w:val="24"/>
          <w:highlight w:val="none"/>
          <w14:textFill>
            <w14:solidFill>
              <w14:schemeClr w14:val="tx1"/>
            </w14:solidFill>
          </w14:textFill>
        </w:rPr>
        <w:t>不可抗力</w:t>
      </w:r>
      <w:r>
        <w:rPr>
          <w:rFonts w:ascii="宋体" w:hAnsi="宋体"/>
          <w:color w:val="000000" w:themeColor="text1"/>
          <w:sz w:val="24"/>
          <w:highlight w:val="none"/>
          <w14:textFill>
            <w14:solidFill>
              <w14:schemeClr w14:val="tx1"/>
            </w14:solidFill>
          </w14:textFill>
        </w:rPr>
        <w:t>影响的一方在不可抗力发生后</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应在</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约定时间内以书面形式通知</w:t>
      </w:r>
      <w:r>
        <w:rPr>
          <w:rFonts w:hint="eastAsia" w:ascii="宋体" w:hAnsi="宋体"/>
          <w:color w:val="000000" w:themeColor="text1"/>
          <w:sz w:val="24"/>
          <w:highlight w:val="none"/>
          <w14:textFill>
            <w14:solidFill>
              <w14:schemeClr w14:val="tx1"/>
            </w14:solidFill>
          </w14:textFill>
        </w:rPr>
        <w:t>对</w:t>
      </w:r>
      <w:r>
        <w:rPr>
          <w:rFonts w:ascii="宋体" w:hAnsi="宋体"/>
          <w:color w:val="000000" w:themeColor="text1"/>
          <w:sz w:val="24"/>
          <w:highlight w:val="none"/>
          <w14:textFill>
            <w14:solidFill>
              <w14:schemeClr w14:val="tx1"/>
            </w14:solidFill>
          </w14:textFill>
        </w:rPr>
        <w:t>方当事人，并在</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约定时间内，将有关部门出具的证明文件送达</w:t>
      </w:r>
      <w:r>
        <w:rPr>
          <w:rFonts w:hint="eastAsia" w:ascii="宋体" w:hAnsi="宋体"/>
          <w:color w:val="000000" w:themeColor="text1"/>
          <w:sz w:val="24"/>
          <w:highlight w:val="none"/>
          <w14:textFill>
            <w14:solidFill>
              <w14:schemeClr w14:val="tx1"/>
            </w14:solidFill>
          </w14:textFill>
        </w:rPr>
        <w:t>对方当事人</w:t>
      </w:r>
      <w:r>
        <w:rPr>
          <w:rFonts w:ascii="宋体" w:hAnsi="宋体"/>
          <w:color w:val="000000" w:themeColor="text1"/>
          <w:sz w:val="24"/>
          <w:highlight w:val="none"/>
          <w14:textFill>
            <w14:solidFill>
              <w14:schemeClr w14:val="tx1"/>
            </w14:solidFill>
          </w14:textFill>
        </w:rPr>
        <w:t>。</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82" w:name="_Toc24465"/>
      <w:bookmarkStart w:id="483" w:name="_Toc14115"/>
      <w:bookmarkStart w:id="484" w:name="_Toc3638"/>
      <w:bookmarkStart w:id="485" w:name="_Toc23854"/>
      <w:bookmarkStart w:id="486" w:name="_Toc25783"/>
      <w:r>
        <w:rPr>
          <w:rFonts w:ascii="宋体" w:hAnsi="宋体"/>
          <w:b/>
          <w:color w:val="000000" w:themeColor="text1"/>
          <w:sz w:val="24"/>
          <w:highlight w:val="none"/>
          <w14:textFill>
            <w14:solidFill>
              <w14:schemeClr w14:val="tx1"/>
            </w14:solidFill>
          </w14:textFill>
        </w:rPr>
        <w:t>2.12 税费</w:t>
      </w:r>
      <w:bookmarkEnd w:id="482"/>
      <w:bookmarkEnd w:id="483"/>
      <w:bookmarkEnd w:id="484"/>
      <w:bookmarkEnd w:id="485"/>
      <w:bookmarkEnd w:id="486"/>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与合同有关的一切税费</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均按照中华人民共和国法律的相关规定缴纳。</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87" w:name="_Toc30105"/>
      <w:bookmarkStart w:id="488" w:name="_Toc14814"/>
      <w:bookmarkStart w:id="489" w:name="_Toc7315"/>
      <w:bookmarkStart w:id="490" w:name="_Toc25525"/>
      <w:bookmarkStart w:id="491" w:name="_Toc26883"/>
      <w:r>
        <w:rPr>
          <w:rFonts w:ascii="宋体" w:hAnsi="宋体"/>
          <w:b/>
          <w:color w:val="000000" w:themeColor="text1"/>
          <w:sz w:val="24"/>
          <w:highlight w:val="none"/>
          <w14:textFill>
            <w14:solidFill>
              <w14:schemeClr w14:val="tx1"/>
            </w14:solidFill>
          </w14:textFill>
        </w:rPr>
        <w:t>2.13 乙方破产</w:t>
      </w:r>
      <w:bookmarkEnd w:id="487"/>
      <w:bookmarkEnd w:id="488"/>
      <w:bookmarkEnd w:id="489"/>
      <w:bookmarkEnd w:id="490"/>
      <w:bookmarkEnd w:id="491"/>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如果乙方破产导致合同无法履行时，甲方可以书面形式通知乙方终止合同且不给予乙方任何补偿和赔偿</w:t>
      </w:r>
      <w:r>
        <w:rPr>
          <w:rFonts w:hint="eastAsia" w:ascii="宋体" w:hAnsi="宋体"/>
          <w:color w:val="000000" w:themeColor="text1"/>
          <w:sz w:val="24"/>
          <w:highlight w:val="none"/>
          <w14:textFill>
            <w14:solidFill>
              <w14:schemeClr w14:val="tx1"/>
            </w14:solidFill>
          </w14:textFill>
        </w:rPr>
        <w:t>，但合同的</w:t>
      </w:r>
      <w:r>
        <w:rPr>
          <w:rFonts w:ascii="宋体" w:hAnsi="宋体"/>
          <w:color w:val="000000" w:themeColor="text1"/>
          <w:sz w:val="24"/>
          <w:highlight w:val="none"/>
          <w14:textFill>
            <w14:solidFill>
              <w14:schemeClr w14:val="tx1"/>
            </w14:solidFill>
          </w14:textFill>
        </w:rPr>
        <w:t>终止不损害或不影响甲方已经采取或将要采取的任何要求乙方支付违约金</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赔偿损失等的行动或补救措施的权利</w:t>
      </w:r>
      <w:r>
        <w:rPr>
          <w:rFonts w:hint="eastAsia" w:ascii="宋体" w:hAnsi="宋体"/>
          <w:color w:val="000000" w:themeColor="text1"/>
          <w:sz w:val="24"/>
          <w:highlight w:val="none"/>
          <w14:textFill>
            <w14:solidFill>
              <w14:schemeClr w14:val="tx1"/>
            </w14:solidFill>
          </w14:textFill>
        </w:rPr>
        <w:t>。</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92" w:name="_Toc2016"/>
      <w:bookmarkStart w:id="493" w:name="_Toc1123"/>
      <w:bookmarkStart w:id="494" w:name="_Toc23323"/>
      <w:r>
        <w:rPr>
          <w:rFonts w:ascii="宋体" w:hAnsi="宋体"/>
          <w:b/>
          <w:color w:val="000000" w:themeColor="text1"/>
          <w:sz w:val="24"/>
          <w:highlight w:val="none"/>
          <w14:textFill>
            <w14:solidFill>
              <w14:schemeClr w14:val="tx1"/>
            </w14:solidFill>
          </w14:textFill>
        </w:rPr>
        <w:t>2.14 合同中止、终止</w:t>
      </w:r>
      <w:bookmarkEnd w:id="492"/>
      <w:bookmarkEnd w:id="493"/>
      <w:bookmarkEnd w:id="494"/>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2.14.1 </w:t>
      </w:r>
      <w:r>
        <w:rPr>
          <w:rFonts w:hint="eastAsia" w:ascii="宋体" w:hAnsi="宋体"/>
          <w:color w:val="000000" w:themeColor="text1"/>
          <w:sz w:val="24"/>
          <w:highlight w:val="none"/>
          <w14:textFill>
            <w14:solidFill>
              <w14:schemeClr w14:val="tx1"/>
            </w14:solidFill>
          </w14:textFill>
        </w:rPr>
        <w:t>双方当事人不得擅自中止或者终止合同；</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95" w:name="_Toc17363"/>
      <w:bookmarkStart w:id="496" w:name="_Toc14525"/>
      <w:bookmarkStart w:id="497" w:name="_Toc1969"/>
      <w:r>
        <w:rPr>
          <w:rFonts w:ascii="宋体" w:hAnsi="宋体"/>
          <w:b/>
          <w:color w:val="000000" w:themeColor="text1"/>
          <w:sz w:val="24"/>
          <w:highlight w:val="none"/>
          <w14:textFill>
            <w14:solidFill>
              <w14:schemeClr w14:val="tx1"/>
            </w14:solidFill>
          </w14:textFill>
        </w:rPr>
        <w:t>2.15 检验和验收</w:t>
      </w:r>
      <w:bookmarkEnd w:id="495"/>
      <w:bookmarkEnd w:id="496"/>
      <w:bookmarkEnd w:id="497"/>
    </w:p>
    <w:p>
      <w:pPr>
        <w:tabs>
          <w:tab w:val="left" w:pos="360"/>
          <w:tab w:val="left" w:pos="540"/>
          <w:tab w:val="left" w:pos="1080"/>
        </w:tabs>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2.15.1 </w:t>
      </w:r>
      <w:r>
        <w:rPr>
          <w:rFonts w:hint="eastAsia" w:ascii="宋体" w:hAnsi="宋体"/>
          <w:color w:val="000000" w:themeColor="text1"/>
          <w:sz w:val="24"/>
          <w:highlight w:val="none"/>
          <w14:textFill>
            <w14:solidFill>
              <w14:schemeClr w14:val="tx1"/>
            </w14:solidFill>
          </w14:textFill>
        </w:rPr>
        <w:t>乙方按照</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的约定</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定期提交服务报告</w:t>
      </w:r>
      <w:r>
        <w:rPr>
          <w:rFonts w:hint="eastAsia" w:ascii="宋体" w:hAnsi="宋体"/>
          <w:color w:val="000000" w:themeColor="text1"/>
          <w:sz w:val="24"/>
          <w:highlight w:val="none"/>
          <w14:textFill>
            <w14:solidFill>
              <w14:schemeClr w14:val="tx1"/>
            </w14:solidFill>
          </w14:textFill>
        </w:rPr>
        <w:t>，甲方按照</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的约定进行定期验收</w:t>
      </w:r>
      <w:r>
        <w:rPr>
          <w:rFonts w:hint="eastAsia" w:ascii="宋体" w:hAnsi="宋体"/>
          <w:color w:val="000000" w:themeColor="text1"/>
          <w:sz w:val="24"/>
          <w:highlight w:val="none"/>
          <w14:textFill>
            <w14:solidFill>
              <w14:schemeClr w14:val="tx1"/>
            </w14:solidFill>
          </w14:textFill>
        </w:rPr>
        <w:t>；</w:t>
      </w:r>
    </w:p>
    <w:p>
      <w:pPr>
        <w:tabs>
          <w:tab w:val="left" w:pos="360"/>
          <w:tab w:val="left" w:pos="540"/>
          <w:tab w:val="left" w:pos="1080"/>
        </w:tabs>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2.15.2 </w:t>
      </w:r>
      <w:r>
        <w:rPr>
          <w:rFonts w:hint="eastAsia" w:ascii="宋体" w:hAnsi="宋体"/>
          <w:color w:val="000000" w:themeColor="text1"/>
          <w:sz w:val="24"/>
          <w:highlight w:val="none"/>
          <w14:textFill>
            <w14:solidFill>
              <w14:schemeClr w14:val="tx1"/>
            </w14:solidFill>
          </w14:textFill>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2.15.3 </w:t>
      </w:r>
      <w:r>
        <w:rPr>
          <w:rFonts w:hint="eastAsia" w:ascii="宋体" w:hAnsi="宋体"/>
          <w:color w:val="000000" w:themeColor="text1"/>
          <w:sz w:val="24"/>
          <w:highlight w:val="none"/>
          <w14:textFill>
            <w14:solidFill>
              <w14:schemeClr w14:val="tx1"/>
            </w14:solidFill>
          </w14:textFill>
        </w:rPr>
        <w:t>检验和验收标准、程序等具体内容以及前述验收书的效力详见</w:t>
      </w:r>
      <w:r>
        <w:rPr>
          <w:rFonts w:ascii="宋体" w:hAnsi="宋体"/>
          <w:b/>
          <w:i/>
          <w:color w:val="000000" w:themeColor="text1"/>
          <w:sz w:val="24"/>
          <w:highlight w:val="none"/>
          <w:u w:val="single"/>
          <w14:textFill>
            <w14:solidFill>
              <w14:schemeClr w14:val="tx1"/>
            </w14:solidFill>
          </w14:textFill>
        </w:rPr>
        <w:t>合同专用条款</w:t>
      </w:r>
      <w:r>
        <w:rPr>
          <w:rFonts w:hint="eastAsia" w:ascii="宋体" w:hAnsi="宋体"/>
          <w:i/>
          <w:color w:val="000000" w:themeColor="text1"/>
          <w:sz w:val="24"/>
          <w:highlight w:val="none"/>
          <w14:textFill>
            <w14:solidFill>
              <w14:schemeClr w14:val="tx1"/>
            </w14:solidFill>
          </w14:textFill>
        </w:rPr>
        <w:t>。</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98" w:name="_Toc12666"/>
      <w:bookmarkStart w:id="499" w:name="_Toc31892"/>
      <w:bookmarkStart w:id="500" w:name="_Toc2308"/>
      <w:bookmarkStart w:id="501" w:name="_Toc25198"/>
      <w:bookmarkStart w:id="502" w:name="_Toc9808"/>
      <w:r>
        <w:rPr>
          <w:rFonts w:ascii="宋体" w:hAnsi="宋体"/>
          <w:b/>
          <w:color w:val="000000" w:themeColor="text1"/>
          <w:sz w:val="24"/>
          <w:highlight w:val="none"/>
          <w14:textFill>
            <w14:solidFill>
              <w14:schemeClr w14:val="tx1"/>
            </w14:solidFill>
          </w14:textFill>
        </w:rPr>
        <w:t>2.16 通知和送达</w:t>
      </w:r>
      <w:bookmarkEnd w:id="498"/>
      <w:bookmarkEnd w:id="499"/>
      <w:bookmarkEnd w:id="500"/>
      <w:bookmarkEnd w:id="501"/>
      <w:bookmarkEnd w:id="502"/>
    </w:p>
    <w:p>
      <w:pPr>
        <w:spacing w:line="560" w:lineRule="exact"/>
        <w:ind w:firstLine="480" w:firstLineChars="200"/>
        <w:rPr>
          <w:rFonts w:ascii="宋体" w:hAnsi="宋体"/>
          <w:color w:val="000000" w:themeColor="text1"/>
          <w:sz w:val="24"/>
          <w:highlight w:val="none"/>
          <w14:textFill>
            <w14:solidFill>
              <w14:schemeClr w14:val="tx1"/>
            </w14:solidFill>
          </w14:textFill>
        </w:rPr>
      </w:pPr>
      <w:bookmarkStart w:id="503" w:name="_Toc27674"/>
      <w:bookmarkStart w:id="504" w:name="_Toc18401"/>
      <w:r>
        <w:rPr>
          <w:rFonts w:ascii="宋体" w:hAnsi="宋体"/>
          <w:color w:val="000000" w:themeColor="text1"/>
          <w:sz w:val="24"/>
          <w:highlight w:val="none"/>
          <w14:textFill>
            <w14:solidFill>
              <w14:schemeClr w14:val="tx1"/>
            </w14:solidFill>
          </w14:textFill>
        </w:rPr>
        <w:t>2.17.1</w:t>
      </w:r>
      <w:r>
        <w:rPr>
          <w:rFonts w:hint="eastAsia" w:ascii="宋体" w:hAnsi="宋体"/>
          <w:color w:val="000000" w:themeColor="text1"/>
          <w:sz w:val="24"/>
          <w:highlight w:val="none"/>
          <w14:textFill>
            <w14:solidFill>
              <w14:schemeClr w14:val="tx1"/>
            </w14:solidFill>
          </w14:textFill>
        </w:rPr>
        <w:t>任何一方因履行合同而以合同第一部分尾部所列明的传真或电子邮件</w:t>
      </w:r>
      <w:r>
        <w:rPr>
          <w:rFonts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ascii="宋体" w:hAnsi="宋体"/>
          <w:color w:val="000000" w:themeColor="text1"/>
          <w:sz w:val="24"/>
          <w:highlight w:val="none"/>
          <w:u w:val="singl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000000" w:themeColor="text1"/>
          <w:sz w:val="24"/>
          <w:highlight w:val="none"/>
          <w14:textFill>
            <w14:solidFill>
              <w14:schemeClr w14:val="tx1"/>
            </w14:solidFill>
          </w14:textFill>
        </w:rPr>
        <w:t>的，邮件挂号寄出或者交邮之日之次日视为送达。</w:t>
      </w:r>
      <w:bookmarkEnd w:id="503"/>
      <w:bookmarkEnd w:id="504"/>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505" w:name="_Toc12254"/>
      <w:bookmarkStart w:id="506" w:name="_Toc5063"/>
      <w:bookmarkStart w:id="507" w:name="_Toc27644"/>
      <w:bookmarkStart w:id="508" w:name="_Toc20808"/>
      <w:bookmarkStart w:id="509" w:name="_Toc28906"/>
      <w:r>
        <w:rPr>
          <w:rFonts w:ascii="宋体" w:hAnsi="宋体"/>
          <w:b/>
          <w:color w:val="000000" w:themeColor="text1"/>
          <w:sz w:val="24"/>
          <w:highlight w:val="none"/>
          <w14:textFill>
            <w14:solidFill>
              <w14:schemeClr w14:val="tx1"/>
            </w14:solidFill>
          </w14:textFill>
        </w:rPr>
        <w:t xml:space="preserve">2.17 </w:t>
      </w:r>
      <w:r>
        <w:rPr>
          <w:rFonts w:hint="eastAsia" w:ascii="宋体" w:hAnsi="宋体"/>
          <w:b/>
          <w:color w:val="000000" w:themeColor="text1"/>
          <w:sz w:val="24"/>
          <w:highlight w:val="none"/>
          <w14:textFill>
            <w14:solidFill>
              <w14:schemeClr w14:val="tx1"/>
            </w14:solidFill>
          </w14:textFill>
        </w:rPr>
        <w:t>合同使用的文字和</w:t>
      </w:r>
      <w:r>
        <w:rPr>
          <w:rFonts w:ascii="宋体" w:hAnsi="宋体"/>
          <w:b/>
          <w:color w:val="000000" w:themeColor="text1"/>
          <w:sz w:val="24"/>
          <w:highlight w:val="none"/>
          <w14:textFill>
            <w14:solidFill>
              <w14:schemeClr w14:val="tx1"/>
            </w14:solidFill>
          </w14:textFill>
        </w:rPr>
        <w:t>适用的法律</w:t>
      </w:r>
      <w:bookmarkEnd w:id="505"/>
      <w:bookmarkEnd w:id="506"/>
      <w:bookmarkEnd w:id="507"/>
      <w:bookmarkEnd w:id="508"/>
      <w:bookmarkEnd w:id="509"/>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2.17.1 合同使用汉语书就</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变更和解释</w:t>
      </w:r>
      <w:r>
        <w:rPr>
          <w:rFonts w:hint="eastAsia" w:ascii="宋体" w:hAnsi="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2.17.2 </w:t>
      </w:r>
      <w:r>
        <w:rPr>
          <w:rFonts w:hint="eastAsia" w:ascii="宋体" w:hAnsi="宋体"/>
          <w:color w:val="000000" w:themeColor="text1"/>
          <w:sz w:val="24"/>
          <w:highlight w:val="none"/>
          <w14:textFill>
            <w14:solidFill>
              <w14:schemeClr w14:val="tx1"/>
            </w14:solidFill>
          </w14:textFill>
        </w:rPr>
        <w:t>合同适用</w:t>
      </w:r>
      <w:r>
        <w:rPr>
          <w:rFonts w:ascii="宋体" w:hAnsi="宋体"/>
          <w:color w:val="000000" w:themeColor="text1"/>
          <w:sz w:val="24"/>
          <w:highlight w:val="none"/>
          <w14:textFill>
            <w14:solidFill>
              <w14:schemeClr w14:val="tx1"/>
            </w14:solidFill>
          </w14:textFill>
        </w:rPr>
        <w:t>中华人民共和国法律。</w:t>
      </w:r>
    </w:p>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10" w:name="_Toc18540"/>
      <w:bookmarkStart w:id="511" w:name="_Toc4355"/>
      <w:bookmarkStart w:id="512" w:name="_Toc30599"/>
      <w:r>
        <w:rPr>
          <w:rFonts w:hint="eastAsia" w:ascii="宋体" w:hAnsi="宋体" w:cs="宋体"/>
          <w:b/>
          <w:color w:val="000000" w:themeColor="text1"/>
          <w:sz w:val="24"/>
          <w:highlight w:val="none"/>
          <w14:textFill>
            <w14:solidFill>
              <w14:schemeClr w14:val="tx1"/>
            </w14:solidFill>
          </w14:textFill>
        </w:rPr>
        <w:t>2.18 计量单位</w:t>
      </w:r>
      <w:bookmarkEnd w:id="510"/>
      <w:bookmarkEnd w:id="511"/>
      <w:bookmarkEnd w:id="512"/>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除技术规范中另有规定外,合同的计量单位均使用国家法定计量单位。</w:t>
      </w:r>
    </w:p>
    <w:p>
      <w:pPr>
        <w:spacing w:line="560" w:lineRule="exact"/>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2.</w:t>
      </w:r>
      <w:r>
        <w:rPr>
          <w:rFonts w:hint="eastAsia" w:ascii="宋体" w:hAnsi="宋体"/>
          <w:b/>
          <w:color w:val="000000" w:themeColor="text1"/>
          <w:sz w:val="24"/>
          <w:highlight w:val="none"/>
          <w14:textFill>
            <w14:solidFill>
              <w14:schemeClr w14:val="tx1"/>
            </w14:solidFill>
          </w14:textFill>
        </w:rPr>
        <w:t>19</w:t>
      </w:r>
      <w:r>
        <w:rPr>
          <w:rFonts w:ascii="宋体" w:hAnsi="宋体"/>
          <w:b/>
          <w:color w:val="000000" w:themeColor="text1"/>
          <w:sz w:val="24"/>
          <w:highlight w:val="none"/>
          <w14:textFill>
            <w14:solidFill>
              <w14:schemeClr w14:val="tx1"/>
            </w14:solidFill>
          </w14:textFill>
        </w:rPr>
        <w:t>合同份数</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合同份数按</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规定</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每份均具有同等法律效力</w:t>
      </w:r>
      <w:r>
        <w:rPr>
          <w:rFonts w:hint="eastAsia" w:ascii="宋体" w:hAnsi="宋体"/>
          <w:color w:val="000000" w:themeColor="text1"/>
          <w:sz w:val="24"/>
          <w:highlight w:val="none"/>
          <w14:textFill>
            <w14:solidFill>
              <w14:schemeClr w14:val="tx1"/>
            </w14:solidFill>
          </w14:textFill>
        </w:rPr>
        <w:t>。</w:t>
      </w:r>
    </w:p>
    <w:p>
      <w:pPr>
        <w:spacing w:line="360" w:lineRule="auto"/>
        <w:jc w:val="center"/>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br w:type="page"/>
      </w:r>
      <w:bookmarkStart w:id="513" w:name="_Toc331685784"/>
      <w:r>
        <w:rPr>
          <w:rFonts w:hint="eastAsia" w:ascii="宋体" w:hAnsi="宋体" w:cs="宋体"/>
          <w:b/>
          <w:color w:val="000000" w:themeColor="text1"/>
          <w:sz w:val="24"/>
          <w:highlight w:val="none"/>
          <w14:textFill>
            <w14:solidFill>
              <w14:schemeClr w14:val="tx1"/>
            </w14:solidFill>
          </w14:textFill>
        </w:rPr>
        <w:t xml:space="preserve"> </w:t>
      </w:r>
      <w:bookmarkEnd w:id="513"/>
      <w:r>
        <w:rPr>
          <w:rFonts w:hint="eastAsia" w:ascii="宋体" w:hAnsi="宋体" w:cs="宋体"/>
          <w:b/>
          <w:color w:val="000000" w:themeColor="text1"/>
          <w:sz w:val="24"/>
          <w:highlight w:val="none"/>
          <w14:textFill>
            <w14:solidFill>
              <w14:schemeClr w14:val="tx1"/>
            </w14:solidFill>
          </w14:textFill>
        </w:rPr>
        <w:t>第三部分  合同专用条款</w:t>
      </w:r>
    </w:p>
    <w:p>
      <w:pPr>
        <w:spacing w:line="560" w:lineRule="exact"/>
        <w:ind w:left="-420" w:leftChars="-200" w:right="-420" w:rightChars="-200"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379" w:type="pct"/>
        <w:tblInd w:w="-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68"/>
        <w:gridCol w:w="88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93" w:type="pct"/>
            <w:tcBorders>
              <w:lef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条款号</w:t>
            </w:r>
          </w:p>
        </w:tc>
        <w:tc>
          <w:tcPr>
            <w:tcW w:w="4506" w:type="pct"/>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w:t>
            </w:r>
          </w:p>
        </w:tc>
        <w:tc>
          <w:tcPr>
            <w:tcW w:w="4506" w:type="pct"/>
            <w:vAlign w:val="center"/>
          </w:tcPr>
          <w:p>
            <w:pPr>
              <w:spacing w:line="560" w:lineRule="exact"/>
              <w:jc w:val="both"/>
              <w:rPr>
                <w:rFonts w:ascii="宋体" w:hAnsi="宋体" w:cs="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服务工作量的计量方式为</w:t>
            </w:r>
            <w:r>
              <w:rPr>
                <w:rFonts w:hint="eastAsia" w:ascii="宋体" w:hAnsi="宋体"/>
                <w:color w:val="000000" w:themeColor="text1"/>
                <w:sz w:val="24"/>
                <w:highlight w:val="none"/>
                <w:lang w:val="en-US" w:eastAsia="zh-CN"/>
                <w14:textFill>
                  <w14:solidFill>
                    <w14:schemeClr w14:val="tx1"/>
                  </w14:solidFill>
                </w14:textFill>
              </w:rPr>
              <w:t>12个月</w:t>
            </w:r>
            <w:r>
              <w:rPr>
                <w:rFonts w:ascii="宋体" w:hAnsi="宋体"/>
                <w:color w:val="000000" w:themeColor="text1"/>
                <w:sz w:val="24"/>
                <w:highlight w:val="none"/>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pPr>
              <w:spacing w:line="560" w:lineRule="exact"/>
              <w:jc w:val="both"/>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1.4.2</w:t>
            </w:r>
          </w:p>
        </w:tc>
        <w:tc>
          <w:tcPr>
            <w:tcW w:w="4506" w:type="pct"/>
            <w:vAlign w:val="center"/>
          </w:tcPr>
          <w:p>
            <w:pPr>
              <w:spacing w:line="560" w:lineRule="exact"/>
              <w:jc w:val="both"/>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合同总金额的1%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pPr>
              <w:spacing w:line="560" w:lineRule="exact"/>
              <w:jc w:val="both"/>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1.5.1 </w:t>
            </w:r>
          </w:p>
        </w:tc>
        <w:tc>
          <w:tcPr>
            <w:tcW w:w="4506" w:type="pct"/>
            <w:vAlign w:val="center"/>
          </w:tcPr>
          <w:p>
            <w:pPr>
              <w:spacing w:line="560" w:lineRule="exact"/>
              <w:jc w:val="both"/>
              <w:rPr>
                <w:rFonts w:hint="default"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此项目无预付款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pPr>
              <w:spacing w:line="560" w:lineRule="exact"/>
              <w:jc w:val="both"/>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1.5.2</w:t>
            </w:r>
          </w:p>
        </w:tc>
        <w:tc>
          <w:tcPr>
            <w:tcW w:w="4506" w:type="pct"/>
            <w:vAlign w:val="center"/>
          </w:tcPr>
          <w:p>
            <w:pPr>
              <w:spacing w:line="560" w:lineRule="exact"/>
              <w:jc w:val="both"/>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此项目无预付款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pPr>
              <w:spacing w:line="560" w:lineRule="exact"/>
              <w:jc w:val="both"/>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1.5.3 </w:t>
            </w:r>
          </w:p>
        </w:tc>
        <w:tc>
          <w:tcPr>
            <w:tcW w:w="4506" w:type="pct"/>
            <w:vAlign w:val="center"/>
          </w:tcPr>
          <w:p>
            <w:pPr>
              <w:spacing w:line="560" w:lineRule="exact"/>
              <w:jc w:val="both"/>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此项目无预付款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48" w:hRule="atLeast"/>
        </w:trPr>
        <w:tc>
          <w:tcPr>
            <w:tcW w:w="493" w:type="pct"/>
            <w:tcBorders>
              <w:left w:val="single" w:color="auto" w:sz="4" w:space="0"/>
            </w:tcBorders>
            <w:vAlign w:val="center"/>
          </w:tcPr>
          <w:p>
            <w:pPr>
              <w:spacing w:line="560" w:lineRule="exact"/>
              <w:jc w:val="both"/>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1.6.2</w:t>
            </w:r>
          </w:p>
        </w:tc>
        <w:tc>
          <w:tcPr>
            <w:tcW w:w="4506" w:type="pct"/>
            <w:vAlign w:val="center"/>
          </w:tcPr>
          <w:p>
            <w:pPr>
              <w:spacing w:line="560" w:lineRule="exact"/>
              <w:jc w:val="both"/>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合同签订方式，一年一签，</w:t>
            </w:r>
            <w:r>
              <w:rPr>
                <w:rFonts w:hint="eastAsia" w:ascii="宋体" w:hAnsi="宋体"/>
                <w:color w:val="000000" w:themeColor="text1"/>
                <w:sz w:val="24"/>
                <w:highlight w:val="none"/>
                <w14:textFill>
                  <w14:solidFill>
                    <w14:schemeClr w14:val="tx1"/>
                  </w14:solidFill>
                </w14:textFill>
              </w:rPr>
              <w:t>服务管理费用先服务后支付，按月支付</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支付时间为每月15日之前。每月支付金额为：合同总金额</w:t>
            </w:r>
            <w:r>
              <w:rPr>
                <w:rFonts w:hint="eastAsia" w:ascii="宋体" w:hAnsi="宋体"/>
                <w:color w:val="000000" w:themeColor="text1"/>
                <w:sz w:val="24"/>
                <w:highlight w:val="none"/>
                <w:lang w:eastAsia="zh-CN"/>
                <w14:textFill>
                  <w14:solidFill>
                    <w14:schemeClr w14:val="tx1"/>
                  </w14:solidFill>
                </w14:textFill>
              </w:rPr>
              <w:t>除以</w:t>
            </w:r>
            <w:r>
              <w:rPr>
                <w:rFonts w:hint="eastAsia" w:ascii="宋体" w:hAnsi="宋体"/>
                <w:color w:val="000000" w:themeColor="text1"/>
                <w:sz w:val="24"/>
                <w:highlight w:val="none"/>
                <w:lang w:val="en-US" w:eastAsia="zh-CN"/>
                <w14:textFill>
                  <w14:solidFill>
                    <w14:schemeClr w14:val="tx1"/>
                  </w14:solidFill>
                </w14:textFill>
              </w:rPr>
              <w:t>12</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lang w:eastAsia="zh-CN"/>
                <w14:textFill>
                  <w14:solidFill>
                    <w14:schemeClr w14:val="tx1"/>
                  </w14:solidFill>
                </w14:textFill>
              </w:rPr>
              <w:t>，当月考核不合格项在当月合同金额中扣除</w:t>
            </w:r>
            <w:r>
              <w:rPr>
                <w:rFonts w:hint="eastAsia" w:ascii="宋体" w:hAnsi="宋体"/>
                <w:color w:val="000000" w:themeColor="text1"/>
                <w:sz w:val="24"/>
                <w:highlight w:val="none"/>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w:t>
            </w:r>
          </w:p>
        </w:tc>
        <w:tc>
          <w:tcPr>
            <w:tcW w:w="4506" w:type="pct"/>
            <w:vAlign w:val="center"/>
          </w:tcPr>
          <w:p>
            <w:pPr>
              <w:spacing w:line="360" w:lineRule="auto"/>
              <w:jc w:val="both"/>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2025年8月27日至2026年8月26日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w:t>
            </w:r>
          </w:p>
        </w:tc>
        <w:tc>
          <w:tcPr>
            <w:tcW w:w="4506" w:type="pct"/>
            <w:vAlign w:val="center"/>
          </w:tcPr>
          <w:p>
            <w:pPr>
              <w:spacing w:line="360" w:lineRule="auto"/>
              <w:jc w:val="both"/>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温州市市府路481号温州科技馆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w:t>
            </w:r>
          </w:p>
        </w:tc>
        <w:tc>
          <w:tcPr>
            <w:tcW w:w="4506" w:type="pct"/>
            <w:vAlign w:val="center"/>
          </w:tcPr>
          <w:p>
            <w:pPr>
              <w:spacing w:line="360" w:lineRule="auto"/>
              <w:jc w:val="both"/>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物业入驻服务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1.7.4.1</w:t>
            </w:r>
          </w:p>
        </w:tc>
        <w:tc>
          <w:tcPr>
            <w:tcW w:w="4506" w:type="pct"/>
            <w:vAlign w:val="center"/>
          </w:tcPr>
          <w:p>
            <w:pPr>
              <w:spacing w:line="360"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2025年8月27日至2026年8月26日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1.7.4.2</w:t>
            </w:r>
          </w:p>
        </w:tc>
        <w:tc>
          <w:tcPr>
            <w:tcW w:w="4506" w:type="pct"/>
            <w:vAlign w:val="center"/>
          </w:tcPr>
          <w:p>
            <w:pPr>
              <w:spacing w:line="360"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温州市市府路481号温州科技馆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1.7.4.3</w:t>
            </w:r>
          </w:p>
        </w:tc>
        <w:tc>
          <w:tcPr>
            <w:tcW w:w="4506" w:type="pct"/>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物业入驻服务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8" w:hRule="atLeast"/>
        </w:trPr>
        <w:tc>
          <w:tcPr>
            <w:tcW w:w="493"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1.8.7</w:t>
            </w:r>
          </w:p>
        </w:tc>
        <w:tc>
          <w:tcPr>
            <w:tcW w:w="4506" w:type="pct"/>
            <w:vAlign w:val="center"/>
          </w:tcPr>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default" w:ascii="Calibri" w:hAnsi="Calibri" w:cs="Calibri"/>
                <w:color w:val="000000" w:themeColor="text1"/>
                <w:sz w:val="24"/>
                <w:highlight w:val="none"/>
                <w14:textFill>
                  <w14:solidFill>
                    <w14:schemeClr w14:val="tx1"/>
                  </w14:solidFill>
                </w14:textFill>
              </w:rPr>
              <w:t>①</w:t>
            </w:r>
            <w:r>
              <w:rPr>
                <w:rFonts w:ascii="宋体" w:hAnsi="宋体"/>
                <w:color w:val="000000" w:themeColor="text1"/>
                <w:sz w:val="24"/>
                <w:highlight w:val="none"/>
                <w14:textFill>
                  <w14:solidFill>
                    <w14:schemeClr w14:val="tx1"/>
                  </w14:solidFill>
                </w14:textFill>
              </w:rPr>
              <w:t>除不可抗力外，如果乙方没有按照本合同约定的期限</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地点和方式</w:t>
            </w:r>
            <w:r>
              <w:rPr>
                <w:rFonts w:hint="eastAsia" w:ascii="宋体" w:hAnsi="宋体"/>
                <w:color w:val="000000" w:themeColor="text1"/>
                <w:sz w:val="24"/>
                <w:highlight w:val="none"/>
                <w14:textFill>
                  <w14:solidFill>
                    <w14:schemeClr w14:val="tx1"/>
                  </w14:solidFill>
                </w14:textFill>
              </w:rPr>
              <w:t>交付服务成果或者实施服务</w:t>
            </w:r>
            <w:r>
              <w:rPr>
                <w:rFonts w:ascii="宋体" w:hAnsi="宋体"/>
                <w:color w:val="000000" w:themeColor="text1"/>
                <w:sz w:val="24"/>
                <w:highlight w:val="none"/>
                <w14:textFill>
                  <w14:solidFill>
                    <w14:schemeClr w14:val="tx1"/>
                  </w14:solidFill>
                </w14:textFill>
              </w:rPr>
              <w:t>，那么甲方可要求乙方支付违约金</w:t>
            </w:r>
            <w:r>
              <w:rPr>
                <w:rFonts w:hint="eastAsia" w:ascii="宋体" w:hAnsi="宋体"/>
                <w:color w:val="000000" w:themeColor="text1"/>
                <w:sz w:val="24"/>
                <w:highlight w:val="none"/>
                <w14:textFill>
                  <w14:solidFill>
                    <w14:schemeClr w14:val="tx1"/>
                  </w14:solidFill>
                </w14:textFill>
              </w:rPr>
              <w:t>，迟延履行</w:t>
            </w:r>
            <w:r>
              <w:rPr>
                <w:rFonts w:ascii="宋体" w:hAnsi="宋体"/>
                <w:color w:val="000000" w:themeColor="text1"/>
                <w:sz w:val="24"/>
                <w:highlight w:val="none"/>
                <w14:textFill>
                  <w14:solidFill>
                    <w14:schemeClr w14:val="tx1"/>
                  </w14:solidFill>
                </w14:textFill>
              </w:rPr>
              <w:t>违约金按每迟延</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一日的应提供而未</w:t>
            </w:r>
            <w:r>
              <w:rPr>
                <w:rFonts w:hint="eastAsia" w:ascii="宋体" w:hAnsi="宋体"/>
                <w:color w:val="000000" w:themeColor="text1"/>
                <w:sz w:val="24"/>
                <w:highlight w:val="none"/>
                <w14:textFill>
                  <w14:solidFill>
                    <w14:schemeClr w14:val="tx1"/>
                  </w14:solidFill>
                </w14:textFill>
              </w:rPr>
              <w:t>提供</w:t>
            </w:r>
            <w:r>
              <w:rPr>
                <w:rFonts w:ascii="宋体" w:hAnsi="宋体"/>
                <w:color w:val="000000" w:themeColor="text1"/>
                <w:sz w:val="24"/>
                <w:highlight w:val="none"/>
                <w14:textFill>
                  <w14:solidFill>
                    <w14:schemeClr w14:val="tx1"/>
                  </w14:solidFill>
                </w14:textFill>
              </w:rPr>
              <w:t>服务价格的</w:t>
            </w:r>
            <w:r>
              <w:rPr>
                <w:rFonts w:hint="eastAsia" w:ascii="宋体" w:hAnsi="宋体"/>
                <w:color w:val="000000" w:themeColor="text1"/>
                <w:sz w:val="24"/>
                <w:highlight w:val="none"/>
                <w:u w:val="single"/>
                <w14:textFill>
                  <w14:solidFill>
                    <w14:schemeClr w14:val="tx1"/>
                  </w14:solidFill>
                </w14:textFill>
              </w:rPr>
              <w:t>0.05</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%计算</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最高限额为</w:t>
            </w:r>
            <w:r>
              <w:rPr>
                <w:rFonts w:hint="eastAsia" w:ascii="宋体" w:hAnsi="宋体"/>
                <w:color w:val="000000" w:themeColor="text1"/>
                <w:sz w:val="24"/>
                <w:highlight w:val="none"/>
                <w14:textFill>
                  <w14:solidFill>
                    <w14:schemeClr w14:val="tx1"/>
                  </w14:solidFill>
                </w14:textFill>
              </w:rPr>
              <w:t>本</w:t>
            </w:r>
            <w:r>
              <w:rPr>
                <w:rFonts w:ascii="宋体" w:hAnsi="宋体"/>
                <w:color w:val="000000" w:themeColor="text1"/>
                <w:sz w:val="24"/>
                <w:highlight w:val="none"/>
                <w14:textFill>
                  <w14:solidFill>
                    <w14:schemeClr w14:val="tx1"/>
                  </w14:solidFill>
                </w14:textFill>
              </w:rPr>
              <w:t>合同总价的</w:t>
            </w:r>
            <w:r>
              <w:rPr>
                <w:rFonts w:ascii="宋体" w:hAnsi="宋体"/>
                <w:color w:val="000000" w:themeColor="text1"/>
                <w:sz w:val="24"/>
                <w:highlight w:val="none"/>
                <w:u w:val="single"/>
                <w14:textFill>
                  <w14:solidFill>
                    <w14:schemeClr w14:val="tx1"/>
                  </w14:solidFill>
                </w14:textFill>
              </w:rPr>
              <w:t xml:space="preserve">  20   </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迟延</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的违约金计算数额达到前述最高限额之日起</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甲方有权在要求乙方支付违约金的同时</w:t>
            </w:r>
            <w:r>
              <w:rPr>
                <w:rFonts w:hint="eastAsia" w:ascii="宋体" w:hAnsi="宋体"/>
                <w:color w:val="000000" w:themeColor="text1"/>
                <w:sz w:val="24"/>
                <w:highlight w:val="none"/>
                <w14:textFill>
                  <w14:solidFill>
                    <w14:schemeClr w14:val="tx1"/>
                  </w14:solidFill>
                </w14:textFill>
              </w:rPr>
              <w:t>，书面通知乙方</w:t>
            </w:r>
            <w:r>
              <w:rPr>
                <w:rFonts w:ascii="宋体" w:hAnsi="宋体"/>
                <w:color w:val="000000" w:themeColor="text1"/>
                <w:sz w:val="24"/>
                <w:highlight w:val="none"/>
                <w14:textFill>
                  <w14:solidFill>
                    <w14:schemeClr w14:val="tx1"/>
                  </w14:solidFill>
                </w14:textFill>
              </w:rPr>
              <w:t>解除本合同</w:t>
            </w:r>
            <w:r>
              <w:rPr>
                <w:rFonts w:hint="eastAsia" w:ascii="宋体" w:hAnsi="宋体"/>
                <w:color w:val="000000" w:themeColor="text1"/>
                <w:sz w:val="24"/>
                <w:highlight w:val="none"/>
                <w14:textFill>
                  <w14:solidFill>
                    <w14:schemeClr w14:val="tx1"/>
                  </w14:solidFill>
                </w14:textFill>
              </w:rPr>
              <w:t>；</w:t>
            </w:r>
          </w:p>
          <w:p>
            <w:pPr>
              <w:pStyle w:val="3"/>
              <w:ind w:left="0" w:firstLine="482" w:firstLineChars="200"/>
              <w:rPr>
                <w:rFonts w:ascii="宋体" w:hAnsi="宋体" w:eastAsia="宋体" w:cs="宋体"/>
                <w:b w:val="0"/>
                <w:bCs w:val="0"/>
                <w:color w:val="000000" w:themeColor="text1"/>
                <w:sz w:val="24"/>
                <w:szCs w:val="24"/>
                <w:highlight w:val="none"/>
                <w:lang w:val="en-US"/>
                <w14:textFill>
                  <w14:solidFill>
                    <w14:schemeClr w14:val="tx1"/>
                  </w14:solidFill>
                </w14:textFill>
              </w:rPr>
            </w:pPr>
            <w:r>
              <w:rPr>
                <w:rFonts w:hint="default" w:ascii="Calibri" w:hAnsi="Calibri" w:cs="Calibri"/>
                <w:color w:val="000000" w:themeColor="text1"/>
                <w:sz w:val="24"/>
                <w:highlight w:val="none"/>
                <w14:textFill>
                  <w14:solidFill>
                    <w14:schemeClr w14:val="tx1"/>
                  </w14:solidFill>
                </w14:textFill>
              </w:rPr>
              <w:t>②</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0.0</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 xml:space="preserve">5（可根据情况修改） </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%计算，最高限额为本合同总价的</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20  </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default" w:ascii="Calibri" w:hAnsi="Calibri" w:cs="Calibri"/>
                <w:color w:val="000000" w:themeColor="text1"/>
                <w:sz w:val="24"/>
                <w:highlight w:val="none"/>
                <w14:textFill>
                  <w14:solidFill>
                    <w14:schemeClr w14:val="tx1"/>
                  </w14:solidFill>
                </w14:textFill>
              </w:rPr>
              <w:t>③</w:t>
            </w:r>
            <w:r>
              <w:rPr>
                <w:rFonts w:hint="eastAsia" w:ascii="宋体" w:hAnsi="宋体" w:cs="宋体"/>
                <w:color w:val="000000" w:themeColor="text1"/>
                <w:sz w:val="24"/>
                <w:highlight w:val="none"/>
                <w14:textFill>
                  <w14:solidFill>
                    <w14:schemeClr w14:val="tx1"/>
                  </w14:solidFill>
                </w14:textFill>
              </w:rPr>
              <w:t>除不可抗力外，如果甲方没有按照本合同约定的付款方式付款，那么乙方可要求甲方支付违约金，违约金按每迟延付款一日的应付而未付款的</w:t>
            </w:r>
            <w:r>
              <w:rPr>
                <w:rFonts w:hint="eastAsia" w:ascii="宋体" w:hAnsi="宋体" w:cs="宋体"/>
                <w:color w:val="000000" w:themeColor="text1"/>
                <w:sz w:val="24"/>
                <w:highlight w:val="none"/>
                <w:u w:val="single"/>
                <w14:textFill>
                  <w14:solidFill>
                    <w14:schemeClr w14:val="tx1"/>
                  </w14:solidFill>
                </w14:textFill>
              </w:rPr>
              <w:t xml:space="preserve">   0.05   </w:t>
            </w:r>
            <w:r>
              <w:rPr>
                <w:rFonts w:hint="eastAsia" w:ascii="宋体" w:hAnsi="宋体" w:cs="宋体"/>
                <w:color w:val="000000" w:themeColor="text1"/>
                <w:sz w:val="24"/>
                <w:highlight w:val="none"/>
                <w14:textFill>
                  <w14:solidFill>
                    <w14:schemeClr w14:val="tx1"/>
                  </w14:solidFill>
                </w14:textFill>
              </w:rPr>
              <w:t>%计算，最高限额为本合同总价的</w:t>
            </w:r>
            <w:r>
              <w:rPr>
                <w:rFonts w:hint="eastAsia" w:ascii="宋体" w:hAnsi="宋体" w:cs="宋体"/>
                <w:color w:val="000000" w:themeColor="text1"/>
                <w:sz w:val="24"/>
                <w:highlight w:val="none"/>
                <w:u w:val="single"/>
                <w14:textFill>
                  <w14:solidFill>
                    <w14:schemeClr w14:val="tx1"/>
                  </w14:solidFill>
                </w14:textFill>
              </w:rPr>
              <w:t xml:space="preserve">   20</w:t>
            </w:r>
            <w:r>
              <w:rPr>
                <w:rFonts w:hint="eastAsia" w:ascii="宋体" w:hAnsi="宋体" w:cs="宋体"/>
                <w:color w:val="000000" w:themeColor="text1"/>
                <w:kern w:val="0"/>
                <w:sz w:val="24"/>
                <w:highlight w:val="none"/>
                <w:u w:val="single"/>
                <w14:textFill>
                  <w14:solidFill>
                    <w14:schemeClr w14:val="tx1"/>
                  </w14:solidFill>
                </w14:textFill>
              </w:rPr>
              <w:t>（可根据情况修改）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r>
              <w:rPr>
                <w:rFonts w:hint="eastAsia" w:ascii="宋体" w:hAnsi="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default" w:ascii="Calibri" w:hAnsi="Calibri" w:cs="Calibri"/>
                <w:color w:val="000000" w:themeColor="text1"/>
                <w:sz w:val="24"/>
                <w:highlight w:val="none"/>
                <w14:textFill>
                  <w14:solidFill>
                    <w14:schemeClr w14:val="tx1"/>
                  </w14:solidFill>
                </w14:textFill>
              </w:rPr>
              <w:t>④</w:t>
            </w:r>
            <w:r>
              <w:rPr>
                <w:rFonts w:hint="eastAsia" w:ascii="宋体" w:hAnsi="宋体" w:cs="宋体"/>
                <w:color w:val="000000" w:themeColor="text1"/>
                <w:sz w:val="24"/>
                <w:highlight w:val="none"/>
                <w14:textFill>
                  <w14:solidFill>
                    <w14:schemeClr w14:val="tx1"/>
                  </w14:solidFill>
                </w14:textFill>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default" w:ascii="Calibri" w:hAnsi="Calibri" w:cs="Calibri"/>
                <w:color w:val="000000" w:themeColor="text1"/>
                <w:sz w:val="24"/>
                <w:highlight w:val="none"/>
                <w14:textFill>
                  <w14:solidFill>
                    <w14:schemeClr w14:val="tx1"/>
                  </w14:solidFill>
                </w14:textFill>
              </w:rPr>
              <w:t>⑤</w:t>
            </w:r>
            <w:r>
              <w:rPr>
                <w:rFonts w:hint="eastAsia" w:ascii="宋体" w:hAnsi="宋体" w:cs="宋体"/>
                <w:color w:val="000000" w:themeColor="text1"/>
                <w:sz w:val="24"/>
                <w:highlight w:val="none"/>
                <w14:textFill>
                  <w14:solidFill>
                    <w14:schemeClr w14:val="tx1"/>
                  </w14:solidFill>
                </w14:textFill>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default" w:ascii="Calibri" w:hAnsi="Calibri" w:cs="Calibri"/>
                <w:color w:val="000000" w:themeColor="text1"/>
                <w:sz w:val="24"/>
                <w:highlight w:val="none"/>
                <w14:textFill>
                  <w14:solidFill>
                    <w14:schemeClr w14:val="tx1"/>
                  </w14:solidFill>
                </w14:textFill>
              </w:rPr>
              <w:t>⑥</w:t>
            </w:r>
            <w:r>
              <w:rPr>
                <w:rFonts w:hint="eastAsia" w:ascii="宋体" w:hAnsi="宋体" w:cs="宋体"/>
                <w:color w:val="000000" w:themeColor="text1"/>
                <w:sz w:val="24"/>
                <w:highlight w:val="none"/>
                <w14:textFill>
                  <w14:solidFill>
                    <w14:schemeClr w14:val="tx1"/>
                  </w14:solidFill>
                </w14:textFill>
              </w:rPr>
              <w:t>如果出现政府采购监督管理部门在处理投诉事项期间，书面通知甲方暂停采购活动的情形，或者询问或质疑事项可能影响中标或者成交结果的，导致甲方中止履行合同的情形，均不视为甲方违约。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1.9</w:t>
            </w:r>
          </w:p>
        </w:tc>
        <w:tc>
          <w:tcPr>
            <w:tcW w:w="4506" w:type="pct"/>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选择以下第2条款规定的方式解决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w:t>
            </w:r>
          </w:p>
        </w:tc>
        <w:tc>
          <w:tcPr>
            <w:tcW w:w="4506" w:type="pct"/>
            <w:vAlign w:val="center"/>
          </w:tcPr>
          <w:p>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w:t>
            </w:r>
          </w:p>
        </w:tc>
        <w:tc>
          <w:tcPr>
            <w:tcW w:w="4506" w:type="pct"/>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向买方当地人民法院起诉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w:t>
            </w:r>
          </w:p>
        </w:tc>
        <w:tc>
          <w:tcPr>
            <w:tcW w:w="4506" w:type="pct"/>
            <w:vAlign w:val="center"/>
          </w:tcPr>
          <w:p>
            <w:pPr>
              <w:spacing w:line="360" w:lineRule="auto"/>
              <w:ind w:left="-420" w:leftChars="-200" w:right="-420" w:rightChars="-200"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75" w:hRule="atLeast"/>
        </w:trPr>
        <w:tc>
          <w:tcPr>
            <w:tcW w:w="493"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5</w:t>
            </w:r>
          </w:p>
        </w:tc>
        <w:tc>
          <w:tcPr>
            <w:tcW w:w="4506" w:type="pct"/>
            <w:vAlign w:val="center"/>
          </w:tcPr>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合同签订方式，一年一签，服务管理费用先服务后支付，按月支付，支付时间为每月15日之前</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每月支付金额为：合同总金额除以</w:t>
            </w: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cs="宋体"/>
                <w:color w:val="000000" w:themeColor="text1"/>
                <w:sz w:val="24"/>
                <w:highlight w:val="none"/>
                <w14:textFill>
                  <w14:solidFill>
                    <w14:schemeClr w14:val="tx1"/>
                  </w14:solidFill>
                </w14:textFill>
              </w:rPr>
              <w:t>月，当月考核不合格项在当月合同金额中扣除。履约验收合格后7个工作日内无息退还履约保证金。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p>
        </w:tc>
        <w:tc>
          <w:tcPr>
            <w:tcW w:w="4506" w:type="pct"/>
            <w:vAlign w:val="center"/>
          </w:tcPr>
          <w:p>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一个月内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11.4</w:t>
            </w:r>
            <w:r>
              <w:rPr>
                <w:rFonts w:hint="eastAsia" w:ascii="宋体" w:hAnsi="宋体" w:cs="宋体"/>
                <w:color w:val="000000" w:themeColor="text1"/>
                <w:sz w:val="24"/>
                <w:highlight w:val="none"/>
                <w14:textFill>
                  <w14:solidFill>
                    <w14:schemeClr w14:val="tx1"/>
                  </w14:solidFill>
                </w14:textFill>
              </w:rPr>
              <w:t xml:space="preserve"> </w:t>
            </w:r>
          </w:p>
        </w:tc>
        <w:tc>
          <w:tcPr>
            <w:tcW w:w="4506" w:type="pct"/>
          </w:tcPr>
          <w:p>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一个月内、一个月内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15</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1</w:t>
            </w:r>
          </w:p>
        </w:tc>
        <w:tc>
          <w:tcPr>
            <w:tcW w:w="4506" w:type="pct"/>
            <w:vAlign w:val="center"/>
          </w:tcPr>
          <w:p>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乙方按照本合同考核的约定，</w:t>
            </w:r>
            <w:r>
              <w:rPr>
                <w:rFonts w:ascii="宋体" w:hAnsi="宋体"/>
                <w:color w:val="000000" w:themeColor="text1"/>
                <w:sz w:val="24"/>
                <w:highlight w:val="none"/>
                <w14:textFill>
                  <w14:solidFill>
                    <w14:schemeClr w14:val="tx1"/>
                  </w14:solidFill>
                </w14:textFill>
              </w:rPr>
              <w:t>定期提交服务报告</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甲方按照</w:t>
            </w:r>
            <w:r>
              <w:rPr>
                <w:rFonts w:hint="eastAsia" w:ascii="宋体" w:hAnsi="宋体" w:cs="宋体"/>
                <w:color w:val="000000" w:themeColor="text1"/>
                <w:sz w:val="24"/>
                <w:highlight w:val="none"/>
                <w:lang w:val="en-US" w:eastAsia="zh-CN"/>
                <w14:textFill>
                  <w14:solidFill>
                    <w14:schemeClr w14:val="tx1"/>
                  </w14:solidFill>
                </w14:textFill>
              </w:rPr>
              <w:t>考核细侧及</w:t>
            </w:r>
            <w:r>
              <w:rPr>
                <w:rFonts w:hint="eastAsia" w:ascii="宋体" w:hAnsi="宋体"/>
                <w:color w:val="000000" w:themeColor="text1"/>
                <w:sz w:val="24"/>
                <w:highlight w:val="none"/>
                <w14:textFill>
                  <w14:solidFill>
                    <w14:schemeClr w14:val="tx1"/>
                  </w14:solidFill>
                </w14:textFill>
              </w:rPr>
              <w:t>《温州市政府采购履约验收办法》</w:t>
            </w:r>
            <w:r>
              <w:rPr>
                <w:rFonts w:hint="eastAsia" w:ascii="宋体" w:hAnsi="宋体"/>
                <w:color w:val="000000" w:themeColor="text1"/>
                <w:sz w:val="24"/>
                <w:highlight w:val="none"/>
                <w:lang w:val="en-US" w:eastAsia="zh-CN"/>
                <w14:textFill>
                  <w14:solidFill>
                    <w14:schemeClr w14:val="tx1"/>
                  </w14:solidFill>
                </w14:textFill>
              </w:rPr>
              <w:t>的约定进行服务履约中的定期考核及服务到期后验收。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15</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p>
        </w:tc>
        <w:tc>
          <w:tcPr>
            <w:tcW w:w="4506" w:type="pct"/>
            <w:vAlign w:val="center"/>
          </w:tcPr>
          <w:p>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详见考核细则及</w:t>
            </w:r>
            <w:r>
              <w:rPr>
                <w:rFonts w:hint="eastAsia" w:ascii="宋体" w:hAnsi="宋体"/>
                <w:color w:val="000000" w:themeColor="text1"/>
                <w:sz w:val="24"/>
                <w:highlight w:val="none"/>
                <w14:textFill>
                  <w14:solidFill>
                    <w14:schemeClr w14:val="tx1"/>
                  </w14:solidFill>
                </w14:textFill>
              </w:rPr>
              <w:t>《温州市政府采购履约验收办法》</w:t>
            </w:r>
            <w:r>
              <w:rPr>
                <w:rFonts w:hint="eastAsia" w:ascii="宋体" w:hAnsi="宋体"/>
                <w:color w:val="000000" w:themeColor="text1"/>
                <w:sz w:val="24"/>
                <w:highlight w:val="none"/>
                <w:lang w:eastAsia="zh-CN"/>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93" w:type="pct"/>
            <w:tcBorders>
              <w:left w:val="single" w:color="auto" w:sz="4" w:space="0"/>
            </w:tcBorders>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2.19</w:t>
            </w:r>
          </w:p>
        </w:tc>
        <w:tc>
          <w:tcPr>
            <w:tcW w:w="4506" w:type="pct"/>
          </w:tcPr>
          <w:p>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本合同一式陆份，甲方肆份，乙方贰份，每份均具有同等法律效力。</w:t>
            </w:r>
          </w:p>
        </w:tc>
      </w:tr>
    </w:tbl>
    <w:p>
      <w:pPr>
        <w:spacing w:line="360" w:lineRule="auto"/>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left="-420" w:leftChars="-200" w:right="-420" w:rightChars="-200" w:firstLine="480" w:firstLineChars="200"/>
        <w:jc w:val="center"/>
        <w:outlineLvl w:val="0"/>
        <w:rPr>
          <w:rFonts w:ascii="宋体" w:hAnsi="宋体" w:cs="宋体"/>
          <w:color w:val="000000" w:themeColor="text1"/>
          <w:sz w:val="24"/>
          <w:highlight w:val="none"/>
          <w14:textFill>
            <w14:solidFill>
              <w14:schemeClr w14:val="tx1"/>
            </w14:solidFill>
          </w14:textFill>
        </w:rPr>
      </w:pPr>
    </w:p>
    <w:p>
      <w:pPr>
        <w:widowControl/>
        <w:adjustRightInd/>
        <w:jc w:val="center"/>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第六部分</w:t>
      </w:r>
      <w:bookmarkEnd w:id="398"/>
      <w:r>
        <w:rPr>
          <w:rFonts w:hint="eastAsia" w:ascii="宋体" w:hAnsi="宋体" w:cs="宋体"/>
          <w:b/>
          <w:color w:val="000000" w:themeColor="text1"/>
          <w:sz w:val="36"/>
          <w:szCs w:val="20"/>
          <w:highlight w:val="none"/>
          <w14:textFill>
            <w14:solidFill>
              <w14:schemeClr w14:val="tx1"/>
            </w14:solidFill>
          </w14:textFill>
        </w:rPr>
        <w:t xml:space="preserve"> </w:t>
      </w:r>
      <w:bookmarkEnd w:id="399"/>
      <w:r>
        <w:rPr>
          <w:rFonts w:hint="eastAsia" w:ascii="宋体" w:hAnsi="宋体" w:cs="宋体"/>
          <w:b/>
          <w:color w:val="000000" w:themeColor="text1"/>
          <w:sz w:val="36"/>
          <w:szCs w:val="20"/>
          <w:highlight w:val="none"/>
          <w14:textFill>
            <w14:solidFill>
              <w14:schemeClr w14:val="tx1"/>
            </w14:solidFill>
          </w14:textFill>
        </w:rPr>
        <w:t>应提交的有关格式范例</w:t>
      </w: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资格文件部分</w:t>
      </w: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（1）符合参加政府采购活动应当具备的一般条件的承诺函……………（页码）</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（2）联合协议</w:t>
      </w:r>
      <w:r>
        <w:rPr>
          <w:rFonts w:hint="eastAsia" w:ascii="宋体" w:hAnsi="宋体" w:cs="宋体"/>
          <w:color w:val="000000" w:themeColor="text1"/>
          <w:sz w:val="24"/>
          <w:highlight w:val="none"/>
          <w14:textFill>
            <w14:solidFill>
              <w14:schemeClr w14:val="tx1"/>
            </w14:solidFill>
          </w14:textFill>
        </w:rPr>
        <w:t>………………………………………………………………（页码）</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）落实政府采购政策需满足的资格要求………………………………（页码）</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）本项目的特定资格要求………………………………………………（页码）</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r>
        <w:rPr>
          <w:rFonts w:hint="eastAsia" w:ascii="宋体" w:hAnsi="宋体"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 xml:space="preserve">温州科技馆 </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u w:val="single"/>
          <w:lang w:eastAsia="zh-CN"/>
          <w14:textFill>
            <w14:solidFill>
              <w14:schemeClr w14:val="tx1"/>
            </w14:solidFill>
          </w14:textFill>
        </w:rPr>
        <w:t>温州市政务服务管理中心（温州市政府采购中心）</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我方参与</w:t>
      </w:r>
      <w:r>
        <w:rPr>
          <w:rFonts w:hint="eastAsia" w:ascii="宋体" w:hAnsi="宋体" w:cs="宋体"/>
          <w:color w:val="000000" w:themeColor="text1"/>
          <w:sz w:val="24"/>
          <w:highlight w:val="none"/>
          <w:u w:val="single"/>
          <w:lang w:eastAsia="zh-CN"/>
          <w14:textFill>
            <w14:solidFill>
              <w14:schemeClr w14:val="tx1"/>
            </w14:solidFill>
          </w14:textFill>
        </w:rPr>
        <w:t>温州科技馆物业管理服务及设备维保和其他服务项目（重）</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招标编号：</w:t>
      </w:r>
      <w:r>
        <w:rPr>
          <w:rFonts w:hint="eastAsia" w:ascii="宋体" w:hAnsi="宋体" w:cs="宋体"/>
          <w:color w:val="000000" w:themeColor="text1"/>
          <w:sz w:val="24"/>
          <w:highlight w:val="none"/>
          <w:u w:val="single"/>
          <w:lang w:eastAsia="zh-CN"/>
          <w14:textFill>
            <w14:solidFill>
              <w14:schemeClr w14:val="tx1"/>
            </w14:solidFill>
          </w14:textFill>
        </w:rPr>
        <w:t>Z-GB202507070003YXJ</w:t>
      </w:r>
      <w:r>
        <w:rPr>
          <w:rFonts w:hint="eastAsia" w:ascii="宋体" w:hAnsi="宋体" w:cs="宋体"/>
          <w:color w:val="000000" w:themeColor="text1"/>
          <w:sz w:val="24"/>
          <w:highlight w:val="none"/>
          <w14:textFill>
            <w14:solidFill>
              <w14:schemeClr w14:val="tx1"/>
            </w14:solidFill>
          </w14:textFill>
        </w:rPr>
        <w:t>】政府采购活动，郑重承诺：</w:t>
      </w:r>
    </w:p>
    <w:p>
      <w:pPr>
        <w:snapToGrid w:val="0"/>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（一）具备《中华人民共和国政府采购法》第二十二条第一款规定的条件：</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2、具有良好的商业信誉和健全的财务会计制度； </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6、具有法律、行政法规规定的其他条件。</w:t>
      </w:r>
    </w:p>
    <w:p>
      <w:pPr>
        <w:snapToGrid w:val="0"/>
        <w:spacing w:line="360" w:lineRule="auto"/>
        <w:ind w:firstLine="480" w:firstLineChars="200"/>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二）符合《中华人民共和国政府采购法》第二十二条规定的供应商资格要求及项目特定资格要求（如有）</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三</w:t>
      </w:r>
      <w:r>
        <w:rPr>
          <w:rFonts w:hint="eastAsia" w:ascii="宋体" w:hAnsi="宋体" w:cs="宋体"/>
          <w:color w:val="000000" w:themeColor="text1"/>
          <w:sz w:val="24"/>
          <w:highlight w:val="none"/>
          <w14:textFill>
            <w14:solidFill>
              <w14:schemeClr w14:val="tx1"/>
            </w14:solidFill>
          </w14:textFill>
        </w:rPr>
        <w:t>）未被信用中国（www.creditchina.gov.cn)、中国政府采购网（www.ccgp.gov.cn）列入失信被执行人、重大税收违法案件当事人名单、政府采购严重违法失信行为记录名单。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四</w:t>
      </w:r>
      <w:r>
        <w:rPr>
          <w:rFonts w:hint="eastAsia" w:ascii="宋体" w:hAnsi="宋体" w:cs="宋体"/>
          <w:color w:val="000000" w:themeColor="text1"/>
          <w:sz w:val="24"/>
          <w:highlight w:val="none"/>
          <w14:textFill>
            <w14:solidFill>
              <w14:schemeClr w14:val="tx1"/>
            </w14:solidFill>
          </w14:textFill>
        </w:rPr>
        <w:t>）不存在以下情况：</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pPr>
        <w:pStyle w:val="2"/>
        <w:rPr>
          <w:color w:val="000000" w:themeColor="text1"/>
          <w:highlight w:val="none"/>
          <w14:textFill>
            <w14:solidFill>
              <w14:schemeClr w14:val="tx1"/>
            </w14:solidFill>
          </w14:textFill>
        </w:rPr>
      </w:pPr>
    </w:p>
    <w:p>
      <w:pPr>
        <w:snapToGrid w:val="0"/>
        <w:spacing w:line="360" w:lineRule="auto"/>
        <w:ind w:firstLine="5520" w:firstLineChars="23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投标人名称(电子签名)：</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widowControl/>
        <w:spacing w:line="360" w:lineRule="auto"/>
        <w:ind w:firstLine="643" w:firstLineChars="20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二、联合协议（如果有）</w:t>
      </w:r>
    </w:p>
    <w:p>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三、落实政府采购政策需满足的资格要求</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.专门面向中小企业，服务全部由符合政策要求的中小企业（或小微企业）承接的，提供相应的中小企业声明函（附件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 xml:space="preserve">）。 </w:t>
      </w:r>
    </w:p>
    <w:p>
      <w:pPr>
        <w:widowControl/>
        <w:spacing w:line="360" w:lineRule="auto"/>
        <w:ind w:firstLine="480"/>
        <w:jc w:val="left"/>
        <w:rPr>
          <w:rFonts w:ascii="宋体" w:hAnsi="宋体" w:cs="宋体"/>
          <w:color w:val="000000" w:themeColor="text1"/>
          <w:sz w:val="24"/>
          <w:highlight w:val="none"/>
          <w14:textFill>
            <w14:solidFill>
              <w14:schemeClr w14:val="tx1"/>
            </w14:solidFill>
          </w14:textFill>
        </w:rPr>
      </w:pPr>
    </w:p>
    <w:p>
      <w:pPr>
        <w:widowControl/>
        <w:spacing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要求以联合体形式参加的，提供联合协议（附件</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），联合协议中中小企业合同金额应当达到招标公告载明的比例；如果供应商本身提供所有标的均由中小企业承接的，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C、</w:t>
      </w:r>
      <w:r>
        <w:rPr>
          <w:rFonts w:hint="eastAsia" w:ascii="宋体" w:hAnsi="宋体" w:cs="宋体"/>
          <w:color w:val="000000" w:themeColor="text1"/>
          <w:sz w:val="24"/>
          <w:highlight w:val="none"/>
          <w14:textFill>
            <w14:solidFill>
              <w14:schemeClr w14:val="tx1"/>
            </w14:solidFill>
          </w14:textFill>
        </w:rPr>
        <w:t>要求合同分包的，提供分包意向协议（附件6）和中小企业声明函（附件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），分包意向协议中中小企业合同金额应当达到招标公告载明的比例；如果供应商本身提供所有标的均由中小企业承接的，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视同符合了资格条件，无需再向中小企业分包，无需提供分包意向协议。</w:t>
      </w:r>
    </w:p>
    <w:p>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p>
    <w:p>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四、本项目的特定资格要求</w:t>
      </w:r>
    </w:p>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（根据招标公告本项目的特定资格要求提供相应的材料；未要求的，无需提供）</w:t>
      </w:r>
    </w:p>
    <w:p>
      <w:pPr>
        <w:rPr>
          <w:rFonts w:ascii="宋体" w:hAnsi="宋体" w:cs="宋体"/>
          <w:color w:val="000000" w:themeColor="text1"/>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widowControl/>
        <w:adjustRightInd/>
        <w:jc w:val="left"/>
        <w:rPr>
          <w:rFonts w:ascii="宋体" w:hAnsi="宋体" w:cs="宋体"/>
          <w:b/>
          <w:color w:val="000000" w:themeColor="text1"/>
          <w:kern w:val="0"/>
          <w:sz w:val="36"/>
          <w:szCs w:val="36"/>
          <w:highlight w:val="none"/>
          <w14:textFill>
            <w14:solidFill>
              <w14:schemeClr w14:val="tx1"/>
            </w14:solidFill>
          </w14:textFill>
        </w:rPr>
      </w:pPr>
      <w:r>
        <w:rPr>
          <w:rFonts w:ascii="宋体" w:hAnsi="宋体" w:cs="宋体"/>
          <w:b/>
          <w:color w:val="000000" w:themeColor="text1"/>
          <w:kern w:val="0"/>
          <w:sz w:val="36"/>
          <w:szCs w:val="36"/>
          <w:highlight w:val="none"/>
          <w14:textFill>
            <w14:solidFill>
              <w14:schemeClr w14:val="tx1"/>
            </w14:solidFill>
          </w14:textFill>
        </w:rPr>
        <w:br w:type="page"/>
      </w: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商务技术文件部分</w:t>
      </w:r>
    </w:p>
    <w:p>
      <w:pPr>
        <w:spacing w:line="360" w:lineRule="auto"/>
        <w:jc w:val="center"/>
        <w:outlineLvl w:val="0"/>
        <w:rPr>
          <w:rFonts w:ascii="宋体" w:hAnsi="宋体" w:cs="宋体"/>
          <w:b/>
          <w:color w:val="000000" w:themeColor="text1"/>
          <w:kern w:val="0"/>
          <w:sz w:val="24"/>
          <w:highlight w:val="none"/>
          <w14:textFill>
            <w14:solidFill>
              <w14:schemeClr w14:val="tx1"/>
            </w14:solidFill>
          </w14:textFill>
        </w:rPr>
      </w:pPr>
    </w:p>
    <w:p>
      <w:pPr>
        <w:spacing w:line="360" w:lineRule="auto"/>
        <w:jc w:val="center"/>
        <w:outlineLvl w:val="0"/>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目录</w:t>
      </w:r>
    </w:p>
    <w:p>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（1）投标函</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cs="宋体"/>
          <w:color w:val="000000" w:themeColor="text1"/>
          <w:highlight w:val="none"/>
          <w14:textFill>
            <w14:solidFill>
              <w14:schemeClr w14:val="tx1"/>
            </w14:solidFill>
          </w14:textFill>
        </w:rPr>
        <w:t>………（页码）</w:t>
      </w:r>
    </w:p>
    <w:p>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color w:val="000000" w:themeColor="text1"/>
          <w:highlight w:val="none"/>
          <w14:textFill>
            <w14:solidFill>
              <w14:schemeClr w14:val="tx1"/>
            </w14:solidFill>
          </w14:textFill>
        </w:rPr>
        <w:t>…………………………………………………………………………（页码）</w:t>
      </w:r>
    </w:p>
    <w:p>
      <w:pPr>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r>
        <w:rPr>
          <w:rFonts w:hint="eastAsia" w:ascii="宋体" w:hAnsi="宋体" w:cs="宋体"/>
          <w:color w:val="000000" w:themeColor="text1"/>
          <w:highlight w:val="none"/>
          <w14:textFill>
            <w14:solidFill>
              <w14:schemeClr w14:val="tx1"/>
            </w14:solidFill>
          </w14:textFill>
        </w:rPr>
        <w:t>………………………………………………………………………（页码）</w:t>
      </w:r>
    </w:p>
    <w:p>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r>
        <w:rPr>
          <w:rFonts w:hint="eastAsia" w:ascii="宋体" w:hAnsi="宋体" w:cs="宋体"/>
          <w:color w:val="000000" w:themeColor="text1"/>
          <w:highlight w:val="none"/>
          <w14:textFill>
            <w14:solidFill>
              <w14:schemeClr w14:val="tx1"/>
            </w14:solidFill>
          </w14:textFill>
        </w:rPr>
        <w:t>………………………………………………………………………（页码）</w:t>
      </w:r>
    </w:p>
    <w:p>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cs="宋体"/>
          <w:color w:val="000000" w:themeColor="text1"/>
          <w:highlight w:val="none"/>
          <w14:textFill>
            <w14:solidFill>
              <w14:schemeClr w14:val="tx1"/>
            </w14:solidFill>
          </w14:textFill>
        </w:rPr>
        <w:t>…………………………………………………（页码）</w:t>
      </w:r>
    </w:p>
    <w:p>
      <w:pPr>
        <w:snapToGrid w:val="0"/>
        <w:spacing w:line="360" w:lineRule="auto"/>
        <w:ind w:firstLine="480" w:firstLineChars="200"/>
        <w:rPr>
          <w:rFonts w:cs="仿宋" w:asciiTheme="minorEastAsia" w:hAnsiTheme="minorEastAsia"/>
          <w:color w:val="000000" w:themeColor="text1"/>
          <w:highlight w:val="none"/>
          <w14:textFill>
            <w14:solidFill>
              <w14:schemeClr w14:val="tx1"/>
            </w14:solidFill>
          </w14:textFill>
        </w:rPr>
      </w:pPr>
      <w:r>
        <w:rPr>
          <w:rFonts w:hint="eastAsia" w:cs="仿宋" w:asciiTheme="minorEastAsia" w:hAnsiTheme="minorEastAsia"/>
          <w:color w:val="000000" w:themeColor="text1"/>
          <w:sz w:val="24"/>
          <w:highlight w:val="none"/>
          <w:lang w:val="zh-CN"/>
          <w14:textFill>
            <w14:solidFill>
              <w14:schemeClr w14:val="tx1"/>
            </w14:solidFill>
          </w14:textFill>
        </w:rPr>
        <w:t>（</w:t>
      </w:r>
      <w:r>
        <w:rPr>
          <w:rFonts w:hint="eastAsia" w:cs="仿宋" w:asciiTheme="minorEastAsia" w:hAnsiTheme="minorEastAsia"/>
          <w:color w:val="000000" w:themeColor="text1"/>
          <w:sz w:val="24"/>
          <w:highlight w:val="none"/>
          <w:lang w:val="en-US" w:eastAsia="zh-CN"/>
          <w14:textFill>
            <w14:solidFill>
              <w14:schemeClr w14:val="tx1"/>
            </w14:solidFill>
          </w14:textFill>
        </w:rPr>
        <w:t>9</w:t>
      </w:r>
      <w:r>
        <w:rPr>
          <w:rFonts w:hint="eastAsia" w:cs="仿宋" w:asciiTheme="minorEastAsia" w:hAnsiTheme="minorEastAsia"/>
          <w:color w:val="000000" w:themeColor="text1"/>
          <w:sz w:val="24"/>
          <w:highlight w:val="none"/>
          <w:lang w:val="zh-CN"/>
          <w14:textFill>
            <w14:solidFill>
              <w14:schemeClr w14:val="tx1"/>
            </w14:solidFill>
          </w14:textFill>
        </w:rPr>
        <w:t>）</w:t>
      </w:r>
      <w:r>
        <w:rPr>
          <w:rFonts w:hint="eastAsia" w:cs="仿宋" w:asciiTheme="minorEastAsia" w:hAnsiTheme="minorEastAsia"/>
          <w:color w:val="000000" w:themeColor="text1"/>
          <w:sz w:val="24"/>
          <w:highlight w:val="none"/>
          <w:lang w:val="en-US" w:eastAsia="zh-CN"/>
          <w14:textFill>
            <w14:solidFill>
              <w14:schemeClr w14:val="tx1"/>
            </w14:solidFill>
          </w14:textFill>
        </w:rPr>
        <w:t>供应商认为需要的其他文件资料</w:t>
      </w:r>
      <w:r>
        <w:rPr>
          <w:rFonts w:hint="eastAsia" w:cs="仿宋" w:asciiTheme="minorEastAsia" w:hAnsiTheme="minorEastAsia"/>
          <w:color w:val="000000" w:themeColor="text1"/>
          <w:sz w:val="24"/>
          <w:highlight w:val="none"/>
          <w14:textFill>
            <w14:solidFill>
              <w14:schemeClr w14:val="tx1"/>
            </w14:solidFill>
          </w14:textFill>
        </w:rPr>
        <w:t>…………………………………………（页码）</w:t>
      </w: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rPr>
          <w:rFonts w:ascii="宋体" w:hAnsi="宋体" w:cs="宋体"/>
          <w:b/>
          <w:color w:val="000000" w:themeColor="text1"/>
          <w:kern w:val="0"/>
          <w:sz w:val="32"/>
          <w:szCs w:val="32"/>
          <w:highlight w:val="none"/>
          <w:lang w:val="zh-CN"/>
          <w14:textFill>
            <w14:solidFill>
              <w14:schemeClr w14:val="tx1"/>
            </w14:solidFill>
          </w14:textFill>
        </w:rPr>
      </w:pPr>
    </w:p>
    <w:p>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pPr>
        <w:snapToGrid w:val="0"/>
        <w:spacing w:line="360" w:lineRule="auto"/>
        <w:jc w:val="center"/>
        <w:outlineLvl w:val="0"/>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一、投标</w:t>
      </w:r>
      <w:r>
        <w:rPr>
          <w:rFonts w:hint="eastAsia" w:ascii="宋体" w:hAnsi="宋体" w:cs="宋体"/>
          <w:b/>
          <w:color w:val="000000" w:themeColor="text1"/>
          <w:sz w:val="32"/>
          <w:szCs w:val="32"/>
          <w:highlight w:val="none"/>
          <w14:textFill>
            <w14:solidFill>
              <w14:schemeClr w14:val="tx1"/>
            </w14:solidFill>
          </w14:textFill>
        </w:rPr>
        <w:t>函</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 xml:space="preserve">温州科技馆 </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u w:val="single"/>
          <w:lang w:eastAsia="zh-CN"/>
          <w14:textFill>
            <w14:solidFill>
              <w14:schemeClr w14:val="tx1"/>
            </w14:solidFill>
          </w14:textFill>
        </w:rPr>
        <w:t>温州市政务服务管理中心（温州市政府采购中心）</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我方参加你方组织的</w:t>
      </w:r>
      <w:r>
        <w:rPr>
          <w:rFonts w:hint="eastAsia" w:ascii="宋体" w:hAnsi="宋体" w:cs="宋体"/>
          <w:color w:val="000000" w:themeColor="text1"/>
          <w:sz w:val="24"/>
          <w:highlight w:val="none"/>
          <w:u w:val="single"/>
          <w:lang w:eastAsia="zh-CN"/>
          <w14:textFill>
            <w14:solidFill>
              <w14:schemeClr w14:val="tx1"/>
            </w14:solidFill>
          </w14:textFill>
        </w:rPr>
        <w:t>温州科技馆物业管理服务及设备维保和其他服务项目（重）</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招标编号：</w:t>
      </w:r>
      <w:r>
        <w:rPr>
          <w:rFonts w:hint="eastAsia" w:ascii="宋体" w:hAnsi="宋体" w:cs="宋体"/>
          <w:color w:val="000000" w:themeColor="text1"/>
          <w:sz w:val="24"/>
          <w:highlight w:val="none"/>
          <w:u w:val="single"/>
          <w:lang w:eastAsia="zh-CN"/>
          <w14:textFill>
            <w14:solidFill>
              <w14:schemeClr w14:val="tx1"/>
            </w14:solidFill>
          </w14:textFill>
        </w:rPr>
        <w:t>Z-GB202507070003YXJ</w:t>
      </w:r>
      <w:r>
        <w:rPr>
          <w:rFonts w:hint="eastAsia" w:ascii="宋体" w:hAnsi="宋体" w:cs="宋体"/>
          <w:color w:val="000000" w:themeColor="text1"/>
          <w:sz w:val="24"/>
          <w:highlight w:val="none"/>
          <w14:textFill>
            <w14:solidFill>
              <w14:schemeClr w14:val="tx1"/>
            </w14:solidFill>
          </w14:textFill>
        </w:rPr>
        <w:t>】招标的有关活动，并对此项目进行投标。为此：</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90</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天（不少于90天）</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本投标文件在投标有效期满之前均具有约束力。</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2、我方的投标文件包括以下内容：</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2.1资格文件：</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2.1.1承诺函；</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w:t>
      </w:r>
      <w:r>
        <w:rPr>
          <w:rFonts w:hint="eastAsia" w:ascii="宋体" w:hAnsi="宋体" w:cs="宋体"/>
          <w:snapToGrid w:val="0"/>
          <w:color w:val="000000" w:themeColor="text1"/>
          <w:kern w:val="28"/>
          <w:sz w:val="24"/>
          <w:szCs w:val="20"/>
          <w:highlight w:val="none"/>
          <w14:textFill>
            <w14:solidFill>
              <w14:schemeClr w14:val="tx1"/>
            </w14:solidFill>
          </w14:textFill>
        </w:rPr>
        <w:t>联合协议</w:t>
      </w:r>
      <w:bookmarkStart w:id="514" w:name="_Hlk101257010"/>
      <w:r>
        <w:rPr>
          <w:rFonts w:hint="eastAsia" w:ascii="宋体" w:hAnsi="宋体" w:cs="宋体"/>
          <w:color w:val="000000" w:themeColor="text1"/>
          <w:sz w:val="24"/>
          <w:highlight w:val="none"/>
          <w14:textFill>
            <w14:solidFill>
              <w14:schemeClr w14:val="tx1"/>
            </w14:solidFill>
          </w14:textFill>
        </w:rPr>
        <w:t>（如果有)</w:t>
      </w:r>
      <w:bookmarkEnd w:id="514"/>
      <w:r>
        <w:rPr>
          <w:rFonts w:hint="eastAsia" w:ascii="宋体" w:hAnsi="宋体" w:cs="宋体"/>
          <w:snapToGrid w:val="0"/>
          <w:color w:val="000000" w:themeColor="text1"/>
          <w:kern w:val="28"/>
          <w:sz w:val="24"/>
          <w:szCs w:val="20"/>
          <w:highlight w:val="none"/>
          <w14:textFill>
            <w14:solidFill>
              <w14:schemeClr w14:val="tx1"/>
            </w14:solidFill>
          </w14:textFill>
        </w:rPr>
        <w:t>；</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.1.3</w:t>
      </w:r>
      <w:r>
        <w:rPr>
          <w:rFonts w:hint="eastAsia" w:ascii="宋体" w:hAnsi="宋体" w:cs="宋体"/>
          <w:color w:val="000000" w:themeColor="text1"/>
          <w:sz w:val="24"/>
          <w:highlight w:val="none"/>
          <w14:textFill>
            <w14:solidFill>
              <w14:schemeClr w14:val="tx1"/>
            </w14:solidFill>
          </w14:textFill>
        </w:rPr>
        <w:t>落实政府采购政策需满足的资格要求（如果有）；</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本项目的特定资格要求（如果有)。</w:t>
      </w:r>
    </w:p>
    <w:p>
      <w:pPr>
        <w:snapToGrid w:val="0"/>
        <w:spacing w:line="360" w:lineRule="auto"/>
        <w:ind w:left="210" w:leftChars="1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2.2.1投标函；</w:t>
      </w:r>
      <w:r>
        <w:rPr>
          <w:rFonts w:hint="eastAsia" w:ascii="宋体" w:hAnsi="宋体" w:cs="宋体"/>
          <w:color w:val="000000" w:themeColor="text1"/>
          <w:sz w:val="24"/>
          <w:highlight w:val="none"/>
          <w:lang w:val="zh-CN"/>
          <w14:textFill>
            <w14:solidFill>
              <w14:schemeClr w14:val="tx1"/>
            </w14:solidFill>
          </w14:textFill>
        </w:rPr>
        <w:t xml:space="preserve"> </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2.2.2授权委托书或法定代表人（单位负责人）身份证明；</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分包意向协议（如果有)；</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pPr>
        <w:snapToGrid w:val="0"/>
        <w:spacing w:line="360" w:lineRule="auto"/>
        <w:ind w:left="420" w:leftChars="200"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pPr>
        <w:pStyle w:val="23"/>
        <w:ind w:firstLine="960" w:firstLineChars="400"/>
        <w:rPr>
          <w:rFonts w:hint="default" w:eastAsia="宋体"/>
          <w:color w:val="000000" w:themeColor="text1"/>
          <w:highlight w:val="none"/>
          <w:lang w:val="en-US" w:eastAsia="zh-CN"/>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2.2.9供应商认为需要的其他文件资料。</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3报价文件</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2.3.1开标一览表（报价表）；</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2.3.2中小企业声明函（如果有）。</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3、我方承诺除商务技术偏离表列出的偏离外，我方响应招标文件的全部要求。</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4、如我方中标，我方承诺：</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4.2在签订合同时不向你方提出附加条件； </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4.3按照招标文件要求提交履约保证金； </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4.4在合同约定的期限内完成合同规定的全部义务。 </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5、其他补充说明: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投标人名称（电子签名）：                          </w:t>
      </w:r>
    </w:p>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pPr>
        <w:snapToGrid w:val="0"/>
        <w:spacing w:line="360" w:lineRule="auto"/>
        <w:ind w:left="420" w:leftChars="200" w:firstLine="4200" w:firstLineChars="1750"/>
        <w:rPr>
          <w:rFonts w:ascii="宋体" w:hAnsi="宋体" w:cs="宋体"/>
          <w:color w:val="000000" w:themeColor="text1"/>
          <w:kern w:val="0"/>
          <w:sz w:val="24"/>
          <w:highlight w:val="none"/>
          <w:u w:val="single"/>
          <w14:textFill>
            <w14:solidFill>
              <w14:schemeClr w14:val="tx1"/>
            </w14:solidFill>
          </w14:textFill>
        </w:rPr>
      </w:pP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rPr>
          <w:rFonts w:ascii="宋体" w:hAnsi="宋体" w:cs="宋体"/>
          <w:color w:val="000000" w:themeColor="text1"/>
          <w:sz w:val="24"/>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pStyle w:val="3"/>
        <w:rPr>
          <w:color w:val="000000" w:themeColor="text1"/>
          <w:highlight w:val="none"/>
          <w:lang w:val="en-US"/>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pPr>
        <w:snapToGrid w:val="0"/>
        <w:spacing w:line="360" w:lineRule="auto"/>
        <w:ind w:firstLine="2872" w:firstLineChars="894"/>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授权委托书（适用于非联合体投标）</w:t>
      </w:r>
      <w:r>
        <w:rPr>
          <w:rFonts w:hint="eastAsia" w:ascii="宋体" w:hAnsi="宋体" w:cs="宋体"/>
          <w:color w:val="000000" w:themeColor="text1"/>
          <w:highlight w:val="none"/>
          <w14:textFill>
            <w14:solidFill>
              <w14:schemeClr w14:val="tx1"/>
            </w14:solidFill>
          </w14:textFill>
        </w:rPr>
        <w:t xml:space="preserve">                               </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 xml:space="preserve">温州科技馆 </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u w:val="single"/>
          <w:lang w:eastAsia="zh-CN"/>
          <w14:textFill>
            <w14:solidFill>
              <w14:schemeClr w14:val="tx1"/>
            </w14:solidFill>
          </w14:textFill>
        </w:rPr>
        <w:t>温州市政务服务管理中心（温州市政府采购中心）</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u w:val="single"/>
          <w:lang w:eastAsia="zh-CN"/>
          <w14:textFill>
            <w14:solidFill>
              <w14:schemeClr w14:val="tx1"/>
            </w14:solidFill>
          </w14:textFill>
        </w:rPr>
        <w:t>温州科技馆物业管理服务及设备维保和其他服务项目（重）</w:t>
      </w:r>
      <w:r>
        <w:rPr>
          <w:rFonts w:hint="eastAsia" w:ascii="宋体" w:hAnsi="宋体" w:cs="宋体"/>
          <w:color w:val="000000" w:themeColor="text1"/>
          <w:sz w:val="24"/>
          <w:highlight w:val="none"/>
          <w:u w:val="single"/>
          <w14:textFill>
            <w14:solidFill>
              <w14:schemeClr w14:val="tx1"/>
            </w14:solidFill>
          </w14:textFill>
        </w:rPr>
        <w:t>【招标编号：</w:t>
      </w:r>
      <w:r>
        <w:rPr>
          <w:rFonts w:hint="eastAsia" w:ascii="宋体" w:hAnsi="宋体" w:cs="宋体"/>
          <w:color w:val="000000" w:themeColor="text1"/>
          <w:sz w:val="24"/>
          <w:highlight w:val="none"/>
          <w:u w:val="single"/>
          <w:lang w:eastAsia="zh-CN"/>
          <w14:textFill>
            <w14:solidFill>
              <w14:schemeClr w14:val="tx1"/>
            </w14:solidFill>
          </w14:textFill>
        </w:rPr>
        <w:t>Z-GB202507070003YXJ</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pPr>
        <w:snapToGrid w:val="0"/>
        <w:spacing w:line="360" w:lineRule="auto"/>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pPr>
        <w:snapToGrid w:val="0"/>
        <w:spacing w:line="360" w:lineRule="auto"/>
        <w:ind w:firstLine="6000" w:firstLineChars="25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投标人名称(电子签名)：</w:t>
      </w:r>
    </w:p>
    <w:p>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pPr>
        <w:snapToGrid w:val="0"/>
        <w:spacing w:line="360" w:lineRule="auto"/>
        <w:rPr>
          <w:rFonts w:ascii="宋体" w:hAnsi="宋体" w:cs="宋体"/>
          <w:color w:val="000000" w:themeColor="text1"/>
          <w:sz w:val="24"/>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 xml:space="preserve">      </w:t>
      </w:r>
      <w:r>
        <w:rPr>
          <w:rFonts w:hint="eastAsia" w:ascii="宋体" w:hAnsi="宋体" w:cs="宋体"/>
          <w:b/>
          <w:color w:val="000000" w:themeColor="text1"/>
          <w:kern w:val="0"/>
          <w:sz w:val="32"/>
          <w:szCs w:val="32"/>
          <w:highlight w:val="none"/>
          <w14:textFill>
            <w14:solidFill>
              <w14:schemeClr w14:val="tx1"/>
            </w14:solidFill>
          </w14:textFill>
        </w:rPr>
        <w:t xml:space="preserve"> </w:t>
      </w:r>
      <w:r>
        <w:rPr>
          <w:rFonts w:hint="eastAsia" w:ascii="宋体" w:hAnsi="宋体" w:cs="宋体"/>
          <w:b/>
          <w:color w:val="000000" w:themeColor="text1"/>
          <w:kern w:val="0"/>
          <w:sz w:val="32"/>
          <w:szCs w:val="32"/>
          <w:highlight w:val="none"/>
          <w:lang w:val="zh-CN"/>
          <w14:textFill>
            <w14:solidFill>
              <w14:schemeClr w14:val="tx1"/>
            </w14:solidFill>
          </w14:textFill>
        </w:rPr>
        <w:t>授权委托书（</w:t>
      </w:r>
      <w:r>
        <w:rPr>
          <w:rFonts w:hint="eastAsia" w:ascii="宋体" w:hAnsi="宋体" w:cs="宋体"/>
          <w:b/>
          <w:color w:val="000000" w:themeColor="text1"/>
          <w:kern w:val="0"/>
          <w:sz w:val="32"/>
          <w:szCs w:val="32"/>
          <w:highlight w:val="none"/>
          <w:lang w:val="en-US" w:eastAsia="zh-CN"/>
          <w14:textFill>
            <w14:solidFill>
              <w14:schemeClr w14:val="tx1"/>
            </w14:solidFill>
          </w14:textFill>
        </w:rPr>
        <w:t>仅</w:t>
      </w:r>
      <w:r>
        <w:rPr>
          <w:rFonts w:hint="eastAsia" w:ascii="宋体" w:hAnsi="宋体" w:cs="宋体"/>
          <w:b/>
          <w:color w:val="000000" w:themeColor="text1"/>
          <w:kern w:val="0"/>
          <w:sz w:val="32"/>
          <w:szCs w:val="32"/>
          <w:highlight w:val="none"/>
          <w:lang w:val="zh-CN"/>
          <w14:textFill>
            <w14:solidFill>
              <w14:schemeClr w14:val="tx1"/>
            </w14:solidFill>
          </w14:textFill>
        </w:rPr>
        <w:t>适用于联合体投标）</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 xml:space="preserve">温州科技馆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温州市政务服务管理中心（温州市政府采购中心）</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lang w:eastAsia="zh-CN"/>
          <w14:textFill>
            <w14:solidFill>
              <w14:schemeClr w14:val="tx1"/>
            </w14:solidFill>
          </w14:textFill>
        </w:rPr>
        <w:t>温州科技馆物业管理服务及设备维保和其他服务项目（重）</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Z-GB202507070003YXJ</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pPr>
        <w:jc w:val="center"/>
        <w:rPr>
          <w:rFonts w:ascii="宋体" w:hAnsi="宋体" w:cs="宋体"/>
          <w:b/>
          <w:color w:val="000000" w:themeColor="text1"/>
          <w:kern w:val="0"/>
          <w:sz w:val="32"/>
          <w:szCs w:val="32"/>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pPr>
        <w:autoSpaceDE w:val="0"/>
        <w:autoSpaceDN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cs="宋体"/>
          <w:b/>
          <w:color w:val="000000" w:themeColor="text1"/>
          <w:sz w:val="30"/>
          <w:szCs w:val="30"/>
          <w:highlight w:val="none"/>
          <w14:textFill>
            <w14:solidFill>
              <w14:schemeClr w14:val="tx1"/>
            </w14:solidFill>
          </w14:textFill>
        </w:rPr>
        <w:t>的身份证明（适用于法定代表人、单位负责人或者自然人本人代表投标人参加投标）</w:t>
      </w:r>
    </w:p>
    <w:p>
      <w:pPr>
        <w:pStyle w:val="146"/>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pPr>
              <w:pStyle w:val="146"/>
              <w:adjustRightInd w:val="0"/>
              <w:spacing w:line="360" w:lineRule="auto"/>
              <w:rPr>
                <w:rFonts w:hAnsi="宋体" w:cs="宋体"/>
                <w:bCs/>
                <w:color w:val="000000" w:themeColor="text1"/>
                <w:sz w:val="24"/>
                <w:highlight w:val="none"/>
                <w14:textFill>
                  <w14:solidFill>
                    <w14:schemeClr w14:val="tx1"/>
                  </w14:solidFill>
                </w14:textFill>
              </w:rPr>
            </w:pPr>
          </w:p>
        </w:tc>
      </w:tr>
    </w:tbl>
    <w:p>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                              </w:t>
      </w:r>
    </w:p>
    <w:p>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rPr>
          <w:rFonts w:ascii="宋体" w:hAnsi="宋体" w:cs="宋体"/>
          <w:b/>
          <w:color w:val="000000" w:themeColor="text1"/>
          <w:kern w:val="0"/>
          <w:sz w:val="32"/>
          <w:szCs w:val="32"/>
          <w:highlight w:val="none"/>
          <w14:textFill>
            <w14:solidFill>
              <w14:schemeClr w14:val="tx1"/>
            </w14:solidFill>
          </w14:textFill>
        </w:rPr>
        <w:sectPr>
          <w:headerReference r:id="rId6" w:type="first"/>
          <w:footerReference r:id="rId8" w:type="first"/>
          <w:headerReference r:id="rId5" w:type="default"/>
          <w:footerReference r:id="rId7"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ind w:firstLine="3534" w:firstLineChars="110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三、分包意向协议（如果有）</w:t>
      </w:r>
    </w:p>
    <w:p>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中标后以分包方式履行合同的，提供分包意向协议(附件6</w:t>
      </w:r>
      <w:r>
        <w:rPr>
          <w:rFonts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rPr>
          <w:rFonts w:ascii="宋体" w:hAnsi="宋体" w:cs="宋体"/>
          <w:color w:val="000000" w:themeColor="text1"/>
          <w:kern w:val="0"/>
          <w:sz w:val="24"/>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四、符合性审查资料</w:t>
      </w:r>
    </w:p>
    <w:p>
      <w:pPr>
        <w:jc w:val="center"/>
        <w:rPr>
          <w:rFonts w:ascii="宋体" w:hAnsi="宋体" w:cs="宋体"/>
          <w:b/>
          <w:color w:val="000000" w:themeColor="text1"/>
          <w:kern w:val="0"/>
          <w:sz w:val="32"/>
          <w:szCs w:val="32"/>
          <w:highlight w:val="none"/>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65"/>
        <w:gridCol w:w="367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3865"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3677"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1418"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投标文件中的</w:t>
            </w:r>
          </w:p>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3865" w:type="dxa"/>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投标文件按照招标文件要求需签署、盖章的（</w:t>
            </w:r>
            <w:r>
              <w:rPr>
                <w:rFonts w:hint="eastAsia" w:ascii="宋体" w:hAnsi="宋体" w:cs="宋体"/>
                <w:color w:val="000000" w:themeColor="text1"/>
                <w:sz w:val="24"/>
                <w:highlight w:val="none"/>
                <w:lang w:val="en-US" w:eastAsia="zh-CN"/>
                <w14:textFill>
                  <w14:solidFill>
                    <w14:schemeClr w14:val="tx1"/>
                  </w14:solidFill>
                </w14:textFill>
              </w:rPr>
              <w:t>如</w:t>
            </w:r>
            <w:r>
              <w:rPr>
                <w:rFonts w:hint="eastAsia" w:ascii="宋体" w:hAnsi="宋体" w:cs="宋体"/>
                <w:color w:val="000000" w:themeColor="text1"/>
                <w:sz w:val="24"/>
                <w:highlight w:val="none"/>
                <w14:textFill>
                  <w14:solidFill>
                    <w14:schemeClr w14:val="tx1"/>
                  </w14:solidFill>
                </w14:textFill>
              </w:rPr>
              <w:t>法人授权委托书、廉洁自律承诺书</w:t>
            </w:r>
            <w:r>
              <w:rPr>
                <w:rFonts w:hint="eastAsia" w:ascii="宋体" w:hAnsi="宋体" w:cs="宋体"/>
                <w:color w:val="000000" w:themeColor="text1"/>
                <w:sz w:val="24"/>
                <w:highlight w:val="none"/>
                <w:lang w:val="en-US" w:eastAsia="zh-CN"/>
                <w14:textFill>
                  <w14:solidFill>
                    <w14:schemeClr w14:val="tx1"/>
                  </w14:solidFill>
                </w14:textFill>
              </w:rPr>
              <w:t>等</w:t>
            </w:r>
            <w:r>
              <w:rPr>
                <w:rFonts w:hint="eastAsia" w:ascii="宋体" w:hAnsi="宋体" w:cs="宋体"/>
                <w:color w:val="000000" w:themeColor="text1"/>
                <w:sz w:val="24"/>
                <w:highlight w:val="none"/>
                <w14:textFill>
                  <w14:solidFill>
                    <w14:schemeClr w14:val="tx1"/>
                  </w14:solidFill>
                </w14:textFill>
              </w:rPr>
              <w:t>）</w:t>
            </w:r>
          </w:p>
        </w:tc>
        <w:tc>
          <w:tcPr>
            <w:tcW w:w="3677"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提供需要使用电子签名或者签字盖章的投标文件的组成部分（法人授权委托书、廉洁自律承诺书等是否均已签署、盖章）</w:t>
            </w:r>
          </w:p>
        </w:tc>
        <w:tc>
          <w:tcPr>
            <w:tcW w:w="1418" w:type="dxa"/>
          </w:tcPr>
          <w:p>
            <w:pPr>
              <w:rPr>
                <w:rFonts w:ascii="宋体" w:hAnsi="宋体" w:cs="宋体"/>
                <w:color w:val="000000" w:themeColor="text1"/>
                <w:sz w:val="24"/>
                <w:highlight w:val="none"/>
                <w14:textFill>
                  <w14:solidFill>
                    <w14:schemeClr w14:val="tx1"/>
                  </w14:solidFill>
                </w14:textFill>
              </w:rPr>
            </w:pPr>
          </w:p>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w:t>
            </w:r>
          </w:p>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3865" w:type="dxa"/>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3677"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投标函</w:t>
            </w:r>
          </w:p>
        </w:tc>
        <w:tc>
          <w:tcPr>
            <w:tcW w:w="1418" w:type="dxa"/>
          </w:tcPr>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3865" w:type="dxa"/>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投标文件满足招标文件第三部分采购需求参数里的其它实质性要求（如有）。</w:t>
            </w:r>
          </w:p>
        </w:tc>
        <w:tc>
          <w:tcPr>
            <w:tcW w:w="3677"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提供招标文件需求参数里的其它实质性要求相应的材料（“▲且加下线部分”系指实质性要求条款，招标文件无其它实质性要求的，无需提供）</w:t>
            </w:r>
          </w:p>
        </w:tc>
        <w:tc>
          <w:tcPr>
            <w:tcW w:w="1418" w:type="dxa"/>
          </w:tcPr>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bl>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 xml:space="preserve">            </w:t>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五、评标标准相应的商务技术资料</w:t>
      </w:r>
    </w:p>
    <w:p>
      <w:pPr>
        <w:snapToGrid w:val="0"/>
        <w:spacing w:line="360" w:lineRule="auto"/>
        <w:jc w:val="left"/>
        <w:rPr>
          <w:rFonts w:hint="default" w:ascii="宋体" w:hAnsi="宋体" w:eastAsia="宋体" w:cs="宋体"/>
          <w:b/>
          <w:color w:val="000000" w:themeColor="text1"/>
          <w:kern w:val="0"/>
          <w:sz w:val="32"/>
          <w:szCs w:val="32"/>
          <w:highlight w:val="none"/>
          <w:lang w:val="en-US"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r>
        <w:rPr>
          <w:rFonts w:hint="eastAsia" w:ascii="宋体" w:hAnsi="宋体" w:cs="宋体"/>
          <w:b/>
          <w:color w:val="000000" w:themeColor="text1"/>
          <w:sz w:val="24"/>
          <w:highlight w:val="none"/>
          <w:lang w:val="en-US" w:eastAsia="zh-CN"/>
          <w14:textFill>
            <w14:solidFill>
              <w14:schemeClr w14:val="tx1"/>
            </w14:solidFill>
          </w14:textFill>
        </w:rPr>
        <w:t xml:space="preserve">      格式自拟</w:t>
      </w:r>
    </w:p>
    <w:p>
      <w:pPr>
        <w:jc w:val="center"/>
        <w:rPr>
          <w:rFonts w:ascii="宋体" w:hAnsi="宋体" w:cs="宋体"/>
          <w:b/>
          <w:color w:val="000000" w:themeColor="text1"/>
          <w:kern w:val="0"/>
          <w:sz w:val="32"/>
          <w:szCs w:val="32"/>
          <w:highlight w:val="none"/>
          <w14:textFill>
            <w14:solidFill>
              <w14:schemeClr w14:val="tx1"/>
            </w14:solidFill>
          </w14:textFill>
        </w:rPr>
      </w:pPr>
    </w:p>
    <w:p>
      <w:pPr>
        <w:ind w:firstLine="2891" w:firstLineChars="90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006"/>
        <w:gridCol w:w="1477"/>
        <w:gridCol w:w="1260"/>
        <w:gridCol w:w="827"/>
        <w:gridCol w:w="2745"/>
        <w:gridCol w:w="538"/>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0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47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服务要求</w:t>
            </w:r>
          </w:p>
        </w:tc>
        <w:tc>
          <w:tcPr>
            <w:tcW w:w="8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服务时间</w:t>
            </w:r>
          </w:p>
        </w:tc>
        <w:tc>
          <w:tcPr>
            <w:tcW w:w="2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服务标准</w:t>
            </w:r>
          </w:p>
        </w:tc>
        <w:tc>
          <w:tcPr>
            <w:tcW w:w="5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人数</w:t>
            </w:r>
          </w:p>
          <w:p>
            <w:pPr>
              <w:spacing w:line="360" w:lineRule="auto"/>
              <w:jc w:val="center"/>
              <w:rPr>
                <w:rFonts w:ascii="宋体" w:hAnsi="宋体" w:cs="宋体"/>
                <w:b/>
                <w:color w:val="000000" w:themeColor="text1"/>
                <w:sz w:val="24"/>
                <w:highlight w:val="none"/>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备注（如果有）</w:t>
            </w:r>
          </w:p>
          <w:p>
            <w:pPr>
              <w:spacing w:line="360" w:lineRule="auto"/>
              <w:jc w:val="center"/>
              <w:rPr>
                <w:rFonts w:ascii="宋体" w:hAnsi="宋体" w:cs="宋体"/>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00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4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8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5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00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4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8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5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00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4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8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5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bl>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snapToGrid w:val="0"/>
        <w:spacing w:line="360" w:lineRule="auto"/>
        <w:ind w:firstLine="576"/>
        <w:jc w:val="center"/>
        <w:rPr>
          <w:rFonts w:hint="eastAsia" w:ascii="宋体" w:hAnsi="宋体" w:cs="宋体"/>
          <w:color w:val="000000" w:themeColor="text1"/>
          <w:kern w:val="0"/>
          <w:sz w:val="24"/>
          <w:highlight w:val="none"/>
          <w:lang w:val="zh-CN"/>
          <w14:textFill>
            <w14:solidFill>
              <w14:schemeClr w14:val="tx1"/>
            </w14:solidFill>
          </w14:textFill>
        </w:rPr>
      </w:pPr>
    </w:p>
    <w:p>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 xml:space="preserve">投标人名称(电子签名)：                              </w:t>
      </w:r>
    </w:p>
    <w:p>
      <w:pPr>
        <w:spacing w:line="360" w:lineRule="auto"/>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3683"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招标文件章节及具体内容</w:t>
            </w:r>
          </w:p>
        </w:tc>
        <w:tc>
          <w:tcPr>
            <w:tcW w:w="3546"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投标文件章节及具体内容</w:t>
            </w:r>
          </w:p>
        </w:tc>
        <w:tc>
          <w:tcPr>
            <w:tcW w:w="1276"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683"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pPr>
              <w:jc w:val="center"/>
              <w:rPr>
                <w:rFonts w:ascii="宋体" w:hAnsi="宋体" w:cs="宋体"/>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683"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pPr>
              <w:jc w:val="center"/>
              <w:rPr>
                <w:rFonts w:ascii="宋体" w:hAnsi="宋体" w:cs="宋体"/>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683"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pPr>
              <w:jc w:val="center"/>
              <w:rPr>
                <w:rFonts w:ascii="宋体" w:hAnsi="宋体" w:cs="宋体"/>
                <w:b/>
                <w:color w:val="000000" w:themeColor="text1"/>
                <w:kern w:val="0"/>
                <w:sz w:val="32"/>
                <w:szCs w:val="32"/>
                <w:highlight w:val="none"/>
                <w14:textFill>
                  <w14:solidFill>
                    <w14:schemeClr w14:val="tx1"/>
                  </w14:solidFill>
                </w14:textFill>
              </w:rPr>
            </w:pPr>
          </w:p>
        </w:tc>
      </w:tr>
    </w:tbl>
    <w:p>
      <w:pPr>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投标人保证：除商务技术偏离表列出的偏离外，投标人响应招标文件的全部要求</w:t>
      </w:r>
    </w:p>
    <w:p>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numPr>
          <w:ilvl w:val="0"/>
          <w:numId w:val="7"/>
        </w:numPr>
        <w:spacing w:line="380" w:lineRule="exact"/>
        <w:rPr>
          <w:rFonts w:hint="eastAsia" w:ascii="楷体" w:hAnsi="楷体" w:eastAsia="楷体" w:cs="Arial"/>
          <w:color w:val="000000" w:themeColor="text1"/>
          <w:sz w:val="24"/>
          <w:highlight w:val="none"/>
          <w:u w:val="single"/>
          <w14:textFill>
            <w14:solidFill>
              <w14:schemeClr w14:val="tx1"/>
            </w14:solidFill>
          </w14:textFill>
        </w:rPr>
      </w:pPr>
      <w:r>
        <w:rPr>
          <w:rFonts w:hint="eastAsia" w:ascii="楷体" w:hAnsi="楷体" w:eastAsia="楷体"/>
          <w:bCs/>
          <w:color w:val="000000" w:themeColor="text1"/>
          <w:sz w:val="24"/>
          <w:highlight w:val="none"/>
          <w:u w:val="single"/>
          <w14:textFill>
            <w14:solidFill>
              <w14:schemeClr w14:val="tx1"/>
            </w14:solidFill>
          </w14:textFill>
        </w:rPr>
        <w:t>▲</w:t>
      </w:r>
      <w:r>
        <w:rPr>
          <w:rFonts w:hint="eastAsia" w:ascii="楷体" w:hAnsi="楷体" w:eastAsia="楷体" w:cs="Arial"/>
          <w:color w:val="000000" w:themeColor="text1"/>
          <w:sz w:val="24"/>
          <w:highlight w:val="none"/>
          <w:u w:val="single"/>
          <w14:textFill>
            <w14:solidFill>
              <w14:schemeClr w14:val="tx1"/>
            </w14:solidFill>
          </w14:textFill>
        </w:rPr>
        <w:t>没有填写此表视为完全满足招标文件的实质性要求；</w:t>
      </w:r>
      <w:r>
        <w:rPr>
          <w:rFonts w:hint="eastAsia" w:ascii="楷体" w:hAnsi="楷体" w:eastAsia="楷体" w:cs="Arial"/>
          <w:color w:val="000000" w:themeColor="text1"/>
          <w:sz w:val="24"/>
          <w:highlight w:val="none"/>
          <w:u w:val="single"/>
          <w:lang w:eastAsia="zh-CN"/>
          <w14:textFill>
            <w14:solidFill>
              <w14:schemeClr w14:val="tx1"/>
            </w14:solidFill>
          </w14:textFill>
        </w:rPr>
        <w:t>（</w:t>
      </w:r>
      <w:r>
        <w:rPr>
          <w:rFonts w:hint="eastAsia" w:ascii="楷体" w:hAnsi="楷体" w:eastAsia="楷体" w:cs="Arial"/>
          <w:color w:val="000000" w:themeColor="text1"/>
          <w:sz w:val="24"/>
          <w:highlight w:val="none"/>
          <w:u w:val="single"/>
          <w:lang w:val="en-US" w:eastAsia="zh-CN"/>
          <w14:textFill>
            <w14:solidFill>
              <w14:schemeClr w14:val="tx1"/>
            </w14:solidFill>
          </w14:textFill>
        </w:rPr>
        <w:t>但必须提供</w:t>
      </w:r>
      <w:r>
        <w:rPr>
          <w:rFonts w:hint="eastAsia" w:ascii="楷体" w:hAnsi="楷体" w:eastAsia="楷体" w:cs="Arial"/>
          <w:color w:val="000000" w:themeColor="text1"/>
          <w:sz w:val="24"/>
          <w:highlight w:val="none"/>
          <w:u w:val="single"/>
          <w:lang w:eastAsia="zh-CN"/>
          <w14:textFill>
            <w14:solidFill>
              <w14:schemeClr w14:val="tx1"/>
            </w14:solidFill>
          </w14:textFill>
        </w:rPr>
        <w:t>）</w:t>
      </w:r>
    </w:p>
    <w:p>
      <w:pPr>
        <w:numPr>
          <w:ilvl w:val="0"/>
          <w:numId w:val="7"/>
        </w:numPr>
        <w:spacing w:line="380" w:lineRule="exact"/>
        <w:rPr>
          <w:rFonts w:ascii="楷体" w:hAnsi="楷体" w:eastAsia="楷体" w:cs="Arial"/>
          <w:color w:val="000000" w:themeColor="text1"/>
          <w:sz w:val="24"/>
          <w:highlight w:val="none"/>
          <w14:textFill>
            <w14:solidFill>
              <w14:schemeClr w14:val="tx1"/>
            </w14:solidFill>
          </w14:textFill>
        </w:rPr>
      </w:pPr>
      <w:r>
        <w:rPr>
          <w:rFonts w:hint="eastAsia" w:ascii="楷体" w:hAnsi="楷体" w:eastAsia="楷体" w:cs="Arial"/>
          <w:color w:val="000000" w:themeColor="text1"/>
          <w:sz w:val="24"/>
          <w:highlight w:val="none"/>
          <w14:textFill>
            <w14:solidFill>
              <w14:schemeClr w14:val="tx1"/>
            </w14:solidFill>
          </w14:textFill>
        </w:rPr>
        <w:t>如出现偏离，投标人务必如实填写此表，“投标文件对应规范”及“说明”栏不得复制粘贴，所投产品必须对照招标文件要求详细填写说明，否则存在的风险由投标人自行承担；</w:t>
      </w:r>
    </w:p>
    <w:p>
      <w:pPr>
        <w:spacing w:line="380" w:lineRule="exact"/>
        <w:rPr>
          <w:rFonts w:ascii="宋体" w:hAnsi="宋体" w:cs="宋体"/>
          <w:b/>
          <w:bCs/>
          <w:color w:val="000000" w:themeColor="text1"/>
          <w:sz w:val="32"/>
          <w:szCs w:val="32"/>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3.</w:t>
      </w:r>
      <w:r>
        <w:rPr>
          <w:rFonts w:hint="eastAsia" w:ascii="楷体" w:hAnsi="楷体" w:eastAsia="楷体"/>
          <w:bCs/>
          <w:color w:val="000000" w:themeColor="text1"/>
          <w:sz w:val="24"/>
          <w:highlight w:val="none"/>
          <w14:textFill>
            <w14:solidFill>
              <w14:schemeClr w14:val="tx1"/>
            </w14:solidFill>
          </w14:textFill>
        </w:rPr>
        <w:t xml:space="preserve"> 投标人可按以上表格形式进行复制。</w:t>
      </w:r>
    </w:p>
    <w:p>
      <w:pPr>
        <w:ind w:firstLine="1911" w:firstLineChars="595"/>
        <w:rPr>
          <w:rFonts w:ascii="宋体" w:hAnsi="宋体" w:cs="宋体"/>
          <w:b/>
          <w:bCs/>
          <w:color w:val="000000" w:themeColor="text1"/>
          <w:sz w:val="32"/>
          <w:szCs w:val="32"/>
          <w:highlight w:val="none"/>
          <w14:textFill>
            <w14:solidFill>
              <w14:schemeClr w14:val="tx1"/>
            </w14:solidFill>
          </w14:textFill>
        </w:rPr>
      </w:pPr>
    </w:p>
    <w:p>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 xml:space="preserve">投标人名称(电子签名)：                              </w:t>
      </w:r>
    </w:p>
    <w:p>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pPr>
        <w:ind w:firstLine="1911" w:firstLineChars="595"/>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八</w:t>
      </w:r>
      <w:r>
        <w:rPr>
          <w:rFonts w:hint="eastAsia" w:ascii="宋体" w:hAnsi="宋体" w:cs="宋体"/>
          <w:b/>
          <w:color w:val="000000" w:themeColor="text1"/>
          <w:kern w:val="0"/>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政府采购供应商廉洁自律承诺书</w:t>
      </w:r>
    </w:p>
    <w:p>
      <w:pPr>
        <w:snapToGrid w:val="0"/>
        <w:spacing w:line="360" w:lineRule="auto"/>
        <w:rPr>
          <w:rFonts w:ascii="宋体" w:hAnsi="宋体" w:cs="宋体"/>
          <w:color w:val="000000" w:themeColor="text1"/>
          <w:sz w:val="24"/>
          <w:highlight w:val="none"/>
          <w14:textFill>
            <w14:solidFill>
              <w14:schemeClr w14:val="tx1"/>
            </w14:solidFill>
          </w14:textFill>
        </w:rPr>
      </w:pP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 xml:space="preserve">温州科技馆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温州市政务服务管理中心（温州市政府采购中心）</w:t>
      </w:r>
      <w:r>
        <w:rPr>
          <w:rFonts w:hint="eastAsia" w:ascii="宋体" w:hAnsi="宋体" w:cs="宋体"/>
          <w:color w:val="000000" w:themeColor="text1"/>
          <w:kern w:val="0"/>
          <w:sz w:val="24"/>
          <w:highlight w:val="none"/>
          <w:lang w:val="zh-CN"/>
          <w14:textFill>
            <w14:solidFill>
              <w14:schemeClr w14:val="tx1"/>
            </w14:solidFill>
          </w14:textFill>
        </w:rPr>
        <w:t>：</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四、不为项目有关人员及部门出国（境）、旅游等提供方便；</w:t>
      </w:r>
    </w:p>
    <w:p>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好处；</w:t>
      </w:r>
    </w:p>
    <w:p>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六、严格遵守《</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政府采购法》《</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招标投标</w:t>
      </w:r>
    </w:p>
    <w:p>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法》</w:t>
      </w:r>
      <w:r>
        <w:rPr>
          <w:rFonts w:hint="eastAsia" w:ascii="宋体" w:hAnsi="宋体" w:cs="宋体"/>
          <w:color w:val="000000" w:themeColor="text1"/>
          <w:sz w:val="24"/>
          <w:highlight w:val="none"/>
          <w:lang w:val="zh-CN"/>
          <w14:textFill>
            <w14:solidFill>
              <w14:schemeClr w14:val="tx1"/>
            </w14:solidFill>
          </w14:textFill>
        </w:rPr>
        <w:t>《中华人民共和国民法典》</w:t>
      </w:r>
      <w:r>
        <w:rPr>
          <w:rFonts w:hint="eastAsia" w:ascii="宋体" w:hAnsi="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pPr>
        <w:autoSpaceDE w:val="0"/>
        <w:autoSpaceDN w:val="0"/>
        <w:spacing w:line="360" w:lineRule="auto"/>
        <w:ind w:left="2" w:leftChars="1" w:right="1120" w:firstLine="4560" w:firstLineChars="19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kern w:val="0"/>
          <w:sz w:val="24"/>
          <w:highlight w:val="none"/>
          <w:lang w:val="zh-CN"/>
          <w14:textFill>
            <w14:solidFill>
              <w14:schemeClr w14:val="tx1"/>
            </w14:solidFill>
          </w14:textFill>
        </w:rPr>
        <w:t xml:space="preserve">）：                                                                                                                                                                                                               </w:t>
      </w:r>
    </w:p>
    <w:p>
      <w:pPr>
        <w:spacing w:line="360" w:lineRule="auto"/>
        <w:ind w:left="4620" w:leftChars="2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pPr>
        <w:spacing w:line="360" w:lineRule="auto"/>
        <w:jc w:val="center"/>
        <w:rPr>
          <w:rFonts w:ascii="宋体" w:hAnsi="宋体" w:cs="宋体"/>
          <w:b/>
          <w:bCs/>
          <w:color w:val="000000" w:themeColor="text1"/>
          <w:sz w:val="24"/>
          <w:highlight w:val="none"/>
          <w14:textFill>
            <w14:solidFill>
              <w14:schemeClr w14:val="tx1"/>
            </w14:solidFill>
          </w14:textFill>
        </w:rPr>
      </w:pPr>
    </w:p>
    <w:p>
      <w:pPr>
        <w:spacing w:line="360" w:lineRule="auto"/>
        <w:ind w:right="420"/>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pStyle w:val="23"/>
        <w:rPr>
          <w:rFonts w:ascii="宋体" w:hAnsi="宋体" w:cs="宋体"/>
          <w:b/>
          <w:bCs/>
          <w:color w:val="000000" w:themeColor="text1"/>
          <w:sz w:val="24"/>
          <w:highlight w:val="none"/>
          <w14:textFill>
            <w14:solidFill>
              <w14:schemeClr w14:val="tx1"/>
            </w14:solidFill>
          </w14:textFill>
        </w:rPr>
      </w:pPr>
    </w:p>
    <w:p>
      <w:pPr>
        <w:rPr>
          <w:rFonts w:ascii="宋体" w:hAnsi="宋体" w:cs="宋体"/>
          <w:b/>
          <w:bCs/>
          <w:color w:val="000000" w:themeColor="text1"/>
          <w:sz w:val="24"/>
          <w:highlight w:val="none"/>
          <w14:textFill>
            <w14:solidFill>
              <w14:schemeClr w14:val="tx1"/>
            </w14:solidFill>
          </w14:textFill>
        </w:rPr>
      </w:pPr>
    </w:p>
    <w:p>
      <w:pPr>
        <w:pStyle w:val="23"/>
        <w:rPr>
          <w:rFonts w:ascii="宋体" w:hAnsi="宋体" w:cs="宋体"/>
          <w:b/>
          <w:bCs/>
          <w:color w:val="000000" w:themeColor="text1"/>
          <w:sz w:val="24"/>
          <w:highlight w:val="none"/>
          <w14:textFill>
            <w14:solidFill>
              <w14:schemeClr w14:val="tx1"/>
            </w14:solidFill>
          </w14:textFill>
        </w:rPr>
      </w:pPr>
    </w:p>
    <w:p>
      <w:pPr>
        <w:ind w:firstLine="1911" w:firstLineChars="595"/>
        <w:rPr>
          <w:rFonts w:hint="eastAsia" w:ascii="宋体" w:hAnsi="宋体" w:cs="宋体"/>
          <w:b/>
          <w:bCs/>
          <w:color w:val="000000" w:themeColor="text1"/>
          <w:sz w:val="32"/>
          <w:szCs w:val="32"/>
          <w:highlight w:val="none"/>
          <w14:textFill>
            <w14:solidFill>
              <w14:schemeClr w14:val="tx1"/>
            </w14:solidFill>
          </w14:textFill>
        </w:rPr>
        <w:sectPr>
          <w:headerReference r:id="rId10" w:type="first"/>
          <w:footerReference r:id="rId12" w:type="first"/>
          <w:headerReference r:id="rId9" w:type="default"/>
          <w:footerReference r:id="rId11"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cs="宋体"/>
          <w:b/>
          <w:bCs/>
          <w:color w:val="000000" w:themeColor="text1"/>
          <w:sz w:val="32"/>
          <w:szCs w:val="32"/>
          <w:highlight w:val="none"/>
          <w:lang w:val="en-US" w:eastAsia="zh-CN"/>
          <w14:textFill>
            <w14:solidFill>
              <w14:schemeClr w14:val="tx1"/>
            </w14:solidFill>
          </w14:textFill>
        </w:rPr>
        <w:t>九、供应商认为需要的其他文件资料</w:t>
      </w: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报价文件部分</w:t>
      </w: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（1）开标一览表（报价表）………………………………………………………（页码）</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（2）中小企业声明函………………………………………………………………（页码）</w:t>
      </w: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pStyle w:val="690"/>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headerReference r:id="rId14" w:type="first"/>
          <w:footerReference r:id="rId16" w:type="first"/>
          <w:headerReference r:id="rId13" w:type="default"/>
          <w:footerReference r:id="rId15"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一、开标一览表（报价表）</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 xml:space="preserve">温州科技馆 </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u w:val="single"/>
          <w:lang w:eastAsia="zh-CN"/>
          <w14:textFill>
            <w14:solidFill>
              <w14:schemeClr w14:val="tx1"/>
            </w14:solidFill>
          </w14:textFill>
        </w:rPr>
        <w:t>温州市政务服务管理中心（温州市政府采购中心）</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482"/>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highlight w:val="none"/>
          <w:u w:val="single"/>
          <w:lang w:eastAsia="zh-CN"/>
          <w14:textFill>
            <w14:solidFill>
              <w14:schemeClr w14:val="tx1"/>
            </w14:solidFill>
          </w14:textFill>
        </w:rPr>
        <w:t>温州科技馆物业管理服务及设备维保和其他服务项目（重）</w:t>
      </w:r>
      <w:r>
        <w:rPr>
          <w:rFonts w:hint="eastAsia" w:ascii="宋体" w:hAnsi="宋体" w:cs="宋体"/>
          <w:color w:val="000000" w:themeColor="text1"/>
          <w:kern w:val="0"/>
          <w:sz w:val="24"/>
          <w:highlight w:val="none"/>
          <w:u w:val="single"/>
          <w:lang w:val="zh-CN"/>
          <w14:textFill>
            <w14:solidFill>
              <w14:schemeClr w14:val="tx1"/>
            </w14:solidFill>
          </w14:textFill>
        </w:rPr>
        <w:t>【招标编号：</w:t>
      </w:r>
      <w:r>
        <w:rPr>
          <w:rFonts w:hint="eastAsia" w:ascii="宋体" w:hAnsi="宋体" w:cs="宋体"/>
          <w:color w:val="000000" w:themeColor="text1"/>
          <w:sz w:val="24"/>
          <w:highlight w:val="none"/>
          <w:u w:val="single"/>
          <w:lang w:eastAsia="zh-CN"/>
          <w14:textFill>
            <w14:solidFill>
              <w14:schemeClr w14:val="tx1"/>
            </w14:solidFill>
          </w14:textFill>
        </w:rPr>
        <w:t>Z-GB202507070003YXJ</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的实施</w:t>
      </w:r>
      <w:r>
        <w:rPr>
          <w:rFonts w:hint="eastAsia" w:ascii="宋体" w:hAnsi="宋体" w:cs="宋体"/>
          <w:color w:val="000000" w:themeColor="text1"/>
          <w:kern w:val="0"/>
          <w:sz w:val="24"/>
          <w:highlight w:val="none"/>
          <w:lang w:val="zh-CN"/>
          <w14:textFill>
            <w14:solidFill>
              <w14:schemeClr w14:val="tx1"/>
            </w14:solidFill>
          </w14:textFill>
        </w:rPr>
        <w:t>。</w:t>
      </w:r>
    </w:p>
    <w:p>
      <w:pPr>
        <w:spacing w:line="360" w:lineRule="auto"/>
        <w:jc w:val="center"/>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992" w:type="dxa"/>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2268" w:type="dxa"/>
          </w:tcPr>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服务范围</w:t>
            </w:r>
          </w:p>
        </w:tc>
        <w:tc>
          <w:tcPr>
            <w:tcW w:w="2410" w:type="dxa"/>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服务要求</w:t>
            </w:r>
          </w:p>
        </w:tc>
        <w:tc>
          <w:tcPr>
            <w:tcW w:w="2268" w:type="dxa"/>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服务时间</w:t>
            </w:r>
          </w:p>
        </w:tc>
        <w:tc>
          <w:tcPr>
            <w:tcW w:w="2126" w:type="dxa"/>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服务标准</w:t>
            </w:r>
          </w:p>
        </w:tc>
        <w:tc>
          <w:tcPr>
            <w:tcW w:w="2127" w:type="dxa"/>
          </w:tcPr>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服务人数</w:t>
            </w:r>
          </w:p>
        </w:tc>
        <w:tc>
          <w:tcPr>
            <w:tcW w:w="2126" w:type="dxa"/>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备注（如果有）</w:t>
            </w:r>
          </w:p>
          <w:p>
            <w:pPr>
              <w:spacing w:line="360" w:lineRule="auto"/>
              <w:jc w:val="center"/>
              <w:rPr>
                <w:rFonts w:ascii="宋体" w:hAnsi="宋体" w:cs="宋体"/>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992"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w:t>
            </w:r>
            <w:r>
              <w:rPr>
                <w:rFonts w:ascii="宋体" w:hAnsi="宋体" w:cs="宋体"/>
                <w:color w:val="000000" w:themeColor="text1"/>
                <w:sz w:val="24"/>
                <w:highlight w:val="none"/>
                <w14:textFill>
                  <w14:solidFill>
                    <w14:schemeClr w14:val="tx1"/>
                  </w14:solidFill>
                </w14:textFill>
              </w:rPr>
              <w:t>X</w:t>
            </w: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410"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992"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w:t>
            </w:r>
            <w:r>
              <w:rPr>
                <w:rFonts w:ascii="宋体" w:hAnsi="宋体" w:cs="宋体"/>
                <w:color w:val="000000" w:themeColor="text1"/>
                <w:sz w:val="24"/>
                <w:highlight w:val="none"/>
                <w14:textFill>
                  <w14:solidFill>
                    <w14:schemeClr w14:val="tx1"/>
                  </w14:solidFill>
                </w14:textFill>
              </w:rPr>
              <w:t>X</w:t>
            </w: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410"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992"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410"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992"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410"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992"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410"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投标报价（小写）</w:t>
            </w:r>
          </w:p>
        </w:tc>
        <w:tc>
          <w:tcPr>
            <w:tcW w:w="8647" w:type="dxa"/>
            <w:gridSpan w:val="4"/>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投标报价（大写）</w:t>
            </w:r>
          </w:p>
        </w:tc>
        <w:tc>
          <w:tcPr>
            <w:tcW w:w="8647" w:type="dxa"/>
            <w:gridSpan w:val="4"/>
          </w:tcPr>
          <w:p>
            <w:pPr>
              <w:spacing w:line="360" w:lineRule="auto"/>
              <w:jc w:val="center"/>
              <w:rPr>
                <w:rFonts w:ascii="宋体" w:hAnsi="宋体" w:cs="宋体"/>
                <w:color w:val="000000" w:themeColor="text1"/>
                <w:sz w:val="24"/>
                <w:highlight w:val="none"/>
                <w14:textFill>
                  <w14:solidFill>
                    <w14:schemeClr w14:val="tx1"/>
                  </w14:solidFill>
                </w14:textFill>
              </w:rPr>
            </w:pPr>
          </w:p>
        </w:tc>
      </w:tr>
    </w:tbl>
    <w:p>
      <w:pPr>
        <w:snapToGrid w:val="0"/>
        <w:spacing w:line="360" w:lineRule="auto"/>
        <w:ind w:left="480"/>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注：</w:t>
      </w:r>
    </w:p>
    <w:p>
      <w:pPr>
        <w:spacing w:line="360" w:lineRule="auto"/>
        <w:ind w:left="-2" w:leftChars="-1"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1、投标人需按本表格式填写</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否则视为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宋体" w:hAnsi="宋体" w:cs="宋体"/>
          <w:b/>
          <w:color w:val="000000" w:themeColor="text1"/>
          <w:kern w:val="0"/>
          <w:sz w:val="24"/>
          <w:highlight w:val="none"/>
          <w:lang w:val="zh-CN"/>
          <w14:textFill>
            <w14:solidFill>
              <w14:schemeClr w14:val="tx1"/>
            </w14:solidFill>
          </w14:textFill>
        </w:rPr>
        <w:t>采购人将以合同形式有偿取得货物或服务，不接受投标人给予的赠品、回扣或者与采购无关的其他商品、服务</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不得出现“0元”“免费赠送”等形式的无偿报价，</w:t>
      </w:r>
      <w:r>
        <w:rPr>
          <w:rFonts w:hint="eastAsia" w:ascii="宋体" w:hAnsi="宋体" w:cs="宋体"/>
          <w:b/>
          <w:color w:val="000000" w:themeColor="text1"/>
          <w:kern w:val="0"/>
          <w:sz w:val="24"/>
          <w:highlight w:val="none"/>
          <w14:textFill>
            <w14:solidFill>
              <w14:schemeClr w14:val="tx1"/>
            </w14:solidFill>
          </w14:textFill>
        </w:rPr>
        <w:t>否则视为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cs="宋体"/>
          <w:b/>
          <w:color w:val="000000" w:themeColor="text1"/>
          <w:kern w:val="0"/>
          <w:sz w:val="24"/>
          <w:highlight w:val="none"/>
          <w:lang w:val="zh-CN"/>
          <w14:textFill>
            <w14:solidFill>
              <w14:schemeClr w14:val="tx1"/>
            </w14:solidFill>
          </w14:textFill>
        </w:rPr>
        <w:t>；采购内容未包含在《开标一览表（报价表）》名称栏中，投标人不能作出合理解释的，</w:t>
      </w:r>
      <w:r>
        <w:rPr>
          <w:rFonts w:hint="eastAsia" w:ascii="宋体" w:hAnsi="宋体" w:cs="宋体"/>
          <w:b/>
          <w:color w:val="000000" w:themeColor="text1"/>
          <w:kern w:val="0"/>
          <w:sz w:val="24"/>
          <w:highlight w:val="none"/>
          <w14:textFill>
            <w14:solidFill>
              <w14:schemeClr w14:val="tx1"/>
            </w14:solidFill>
          </w14:textFill>
        </w:rPr>
        <w:t>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szCs w:val="22"/>
          <w:highlight w:val="none"/>
          <w:lang w:val="zh-CN"/>
          <w14:textFill>
            <w14:solidFill>
              <w14:schemeClr w14:val="tx1"/>
            </w14:solidFill>
          </w14:textFill>
        </w:rPr>
        <w:t>4</w:t>
      </w:r>
      <w:r>
        <w:rPr>
          <w:rFonts w:hint="eastAsia" w:ascii="宋体" w:hAnsi="宋体" w:cs="宋体"/>
          <w:color w:val="000000" w:themeColor="text1"/>
          <w:kern w:val="0"/>
          <w:sz w:val="24"/>
          <w:szCs w:val="22"/>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000000" w:themeColor="text1"/>
          <w:kern w:val="0"/>
          <w:sz w:val="24"/>
          <w:highlight w:val="none"/>
          <w14:textFill>
            <w14:solidFill>
              <w14:schemeClr w14:val="tx1"/>
            </w14:solidFill>
          </w14:textFill>
        </w:rPr>
      </w:pPr>
    </w:p>
    <w:p>
      <w:pPr>
        <w:snapToGrid w:val="0"/>
        <w:spacing w:line="360" w:lineRule="auto"/>
        <w:ind w:firstLine="576"/>
        <w:jc w:val="center"/>
        <w:rPr>
          <w:rFonts w:hint="eastAsia" w:ascii="宋体" w:hAnsi="宋体" w:cs="宋体"/>
          <w:color w:val="000000" w:themeColor="text1"/>
          <w:kern w:val="0"/>
          <w:sz w:val="24"/>
          <w:highlight w:val="none"/>
          <w:lang w:val="en-US" w:eastAsia="zh-CN"/>
          <w14:textFill>
            <w14:solidFill>
              <w14:schemeClr w14:val="tx1"/>
            </w14:solidFill>
          </w14:textFill>
        </w:rPr>
      </w:pPr>
    </w:p>
    <w:p>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 xml:space="preserve">投标人名称(电子签名)：                              </w:t>
      </w:r>
    </w:p>
    <w:p>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pPr>
        <w:pStyle w:val="690"/>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二、</w:t>
      </w:r>
      <w:r>
        <w:rPr>
          <w:rFonts w:hint="eastAsia" w:ascii="宋体" w:hAnsi="宋体" w:eastAsia="宋体" w:cs="宋体"/>
          <w:color w:val="000000" w:themeColor="text1"/>
          <w:sz w:val="32"/>
          <w:szCs w:val="32"/>
          <w:highlight w:val="none"/>
          <w14:textFill>
            <w14:solidFill>
              <w14:schemeClr w14:val="tx1"/>
            </w14:solidFill>
          </w14:textFill>
        </w:rPr>
        <w:t>中小企业声明函（如果有）</w:t>
      </w:r>
    </w:p>
    <w:p>
      <w:pPr>
        <w:widowControl/>
        <w:spacing w:line="360" w:lineRule="auto"/>
        <w:ind w:firstLine="120" w:firstLineChars="5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highlight w:val="none"/>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w:t>
      </w:r>
    </w:p>
    <w:p>
      <w:pPr>
        <w:pStyle w:val="690"/>
        <w:keepNext w:val="0"/>
        <w:pageBreakBefore w:val="0"/>
        <w:tabs>
          <w:tab w:val="clear" w:pos="720"/>
        </w:tabs>
        <w:snapToGrid w:val="0"/>
        <w:spacing w:before="120" w:after="120"/>
        <w:ind w:firstLine="643"/>
        <w:outlineLvl w:val="9"/>
        <w:rPr>
          <w:rFonts w:ascii="宋体" w:hAnsi="宋体" w:eastAsia="宋体" w:cs="宋体"/>
          <w:b w:val="0"/>
          <w:color w:val="000000" w:themeColor="text1"/>
          <w:sz w:val="32"/>
          <w:szCs w:val="32"/>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附件</w:t>
      </w:r>
    </w:p>
    <w:p>
      <w:pPr>
        <w:spacing w:line="360" w:lineRule="auto"/>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附件1：</w:t>
      </w: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bookmarkStart w:id="515" w:name="OLE_LINK13"/>
      <w:bookmarkStart w:id="516" w:name="OLE_LINK14"/>
      <w:r>
        <w:rPr>
          <w:rFonts w:hint="eastAsia" w:ascii="宋体" w:hAnsi="宋体" w:cs="宋体"/>
          <w:b/>
          <w:color w:val="000000" w:themeColor="text1"/>
          <w:spacing w:val="6"/>
          <w:sz w:val="32"/>
          <w:szCs w:val="32"/>
          <w:highlight w:val="none"/>
          <w14:textFill>
            <w14:solidFill>
              <w14:schemeClr w14:val="tx1"/>
            </w14:solidFill>
          </w14:textFill>
        </w:rPr>
        <w:t>残疾人福利性单位声明函</w:t>
      </w:r>
    </w:p>
    <w:bookmarkEnd w:id="515"/>
    <w:bookmarkEnd w:id="516"/>
    <w:p>
      <w:pPr>
        <w:spacing w:line="360" w:lineRule="auto"/>
        <w:rPr>
          <w:rFonts w:ascii="宋体" w:hAnsi="宋体" w:cs="宋体"/>
          <w:b/>
          <w:color w:val="000000" w:themeColor="text1"/>
          <w:spacing w:val="6"/>
          <w:sz w:val="30"/>
          <w:szCs w:val="30"/>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highlight w:val="none"/>
          <w:u w:val="single"/>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_单位的_</w:t>
      </w:r>
      <w:r>
        <w:rPr>
          <w:rFonts w:hint="eastAsia" w:ascii="宋体" w:hAnsi="宋体" w:cs="宋体"/>
          <w:color w:val="000000" w:themeColor="text1"/>
          <w:sz w:val="24"/>
          <w:highlight w:val="none"/>
          <w:u w:val="single"/>
          <w:lang w:eastAsia="zh-CN"/>
          <w14:textFill>
            <w14:solidFill>
              <w14:schemeClr w14:val="tx1"/>
            </w14:solidFill>
          </w14:textFill>
        </w:rPr>
        <w:t>温州科技馆物业管理服务及设备维保和其他服务项目（重）</w:t>
      </w:r>
      <w:r>
        <w:rPr>
          <w:rFonts w:hint="eastAsia" w:ascii="宋体" w:hAnsi="宋体"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投标人名称（电子签名）</w:t>
      </w:r>
      <w:r>
        <w:rPr>
          <w:rFonts w:hint="eastAsia" w:ascii="宋体" w:hAnsi="宋体" w:cs="宋体"/>
          <w:color w:val="000000" w:themeColor="text1"/>
          <w:sz w:val="24"/>
          <w:highlight w:val="none"/>
          <w14:textFill>
            <w14:solidFill>
              <w14:schemeClr w14:val="tx1"/>
            </w14:solidFill>
          </w14:textFill>
        </w:rPr>
        <w:t>：</w:t>
      </w:r>
    </w:p>
    <w:p>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附件2：质疑函范本及制作说明</w:t>
      </w: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质疑函范本</w:t>
      </w:r>
    </w:p>
    <w:p>
      <w:pPr>
        <w:snapToGrid w:val="0"/>
        <w:spacing w:before="240" w:beforeLines="100"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pPr>
        <w:spacing w:line="360" w:lineRule="auto"/>
        <w:jc w:val="center"/>
        <w:rPr>
          <w:rFonts w:ascii="宋体" w:hAnsi="宋体" w:cs="宋体"/>
          <w:b/>
          <w:bCs/>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000000" w:themeColor="text1"/>
          <w:sz w:val="30"/>
          <w:szCs w:val="30"/>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附件3：投诉书范本及制作说明</w:t>
      </w:r>
    </w:p>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投诉书范本</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一、投诉相关主体基本情况</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tabs>
          <w:tab w:val="left" w:pos="6510"/>
        </w:tabs>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法定代表人/主要负责人：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tabs>
          <w:tab w:val="left" w:pos="6510"/>
        </w:tabs>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被投诉人1：</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被投诉人2</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相关供应商：</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二、投诉项目基本情况</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采购项目名称：</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采购结果公告: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三、质疑基本情况</w:t>
      </w:r>
    </w:p>
    <w:p>
      <w:pPr>
        <w:spacing w:line="360" w:lineRule="auto"/>
        <w:ind w:firstLine="480" w:firstLineChars="200"/>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日,向</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提出质疑，质疑事项为：</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采购人/代理机构</w:t>
      </w:r>
      <w:r>
        <w:rPr>
          <w:rFonts w:hint="eastAsia" w:ascii="宋体" w:hAnsi="宋体" w:cs="宋体"/>
          <w:color w:val="000000" w:themeColor="text1"/>
          <w:sz w:val="24"/>
          <w:highlight w:val="none"/>
          <w14:textFill>
            <w14:solidFill>
              <w14:schemeClr w14:val="tx1"/>
            </w14:solidFill>
          </w14:textFill>
        </w:rPr>
        <w:t>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日,就质疑事项作出了答复/没有在法定期限内作出答复。</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四、投诉事项具体内容</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 1：</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投诉事项2</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五、与投诉事项相关的投诉请求</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投诉书制作说明：</w:t>
      </w:r>
    </w:p>
    <w:p>
      <w:pPr>
        <w:widowControl/>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6.投诉书的投诉请求应与投诉事项相关。</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000000" w:themeColor="text1"/>
          <w:sz w:val="24"/>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附件4：</w:t>
      </w:r>
      <w:r>
        <w:rPr>
          <w:rFonts w:hint="eastAsia" w:ascii="宋体" w:hAnsi="宋体" w:cs="宋体"/>
          <w:b/>
          <w:bCs/>
          <w:color w:val="000000" w:themeColor="text1"/>
          <w:sz w:val="32"/>
          <w:szCs w:val="32"/>
          <w:highlight w:val="none"/>
          <w14:textFill>
            <w14:solidFill>
              <w14:schemeClr w14:val="tx1"/>
            </w14:solidFill>
          </w14:textFill>
        </w:rPr>
        <w:t>业务专用章使用说明函</w:t>
      </w:r>
    </w:p>
    <w:p>
      <w:pPr>
        <w:spacing w:line="360" w:lineRule="auto"/>
        <w:rPr>
          <w:rFonts w:ascii="宋体" w:hAnsi="宋体" w:cs="宋体"/>
          <w:color w:val="000000" w:themeColor="text1"/>
          <w:sz w:val="24"/>
          <w:highlight w:val="none"/>
          <w:u w:val="singl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 xml:space="preserve">温州科技馆 </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u w:val="single"/>
          <w:lang w:eastAsia="zh-CN"/>
          <w14:textFill>
            <w14:solidFill>
              <w14:schemeClr w14:val="tx1"/>
            </w14:solidFill>
          </w14:textFill>
        </w:rPr>
        <w:t>温州市政务服务管理中心（温州市政府采购中心）</w:t>
      </w:r>
      <w:r>
        <w:rPr>
          <w:rFonts w:hint="eastAsia" w:ascii="宋体" w:hAnsi="宋体" w:cs="宋体"/>
          <w:color w:val="000000" w:themeColor="text1"/>
          <w:sz w:val="24"/>
          <w:highlight w:val="none"/>
          <w:u w:val="single"/>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我方</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(投标人全称)是中华人民共和国依法登记注册的合法企业，</w:t>
      </w:r>
      <w:r>
        <w:rPr>
          <w:rFonts w:hint="eastAsia" w:ascii="宋体" w:hAnsi="宋体" w:cs="宋体"/>
          <w:bCs/>
          <w:color w:val="000000" w:themeColor="text1"/>
          <w:sz w:val="24"/>
          <w:highlight w:val="none"/>
          <w14:textFill>
            <w14:solidFill>
              <w14:schemeClr w14:val="tx1"/>
            </w14:solidFill>
          </w14:textFill>
        </w:rPr>
        <w:t>在参加</w:t>
      </w:r>
      <w:r>
        <w:rPr>
          <w:rFonts w:hint="eastAsia" w:ascii="宋体" w:hAnsi="宋体" w:cs="宋体"/>
          <w:color w:val="000000" w:themeColor="text1"/>
          <w:sz w:val="24"/>
          <w:highlight w:val="none"/>
          <w14:textFill>
            <w14:solidFill>
              <w14:schemeClr w14:val="tx1"/>
            </w14:solidFill>
          </w14:textFill>
        </w:rPr>
        <w:t>你方组织的</w:t>
      </w:r>
      <w:r>
        <w:rPr>
          <w:rFonts w:hint="eastAsia" w:ascii="宋体" w:hAnsi="宋体" w:cs="宋体"/>
          <w:color w:val="000000" w:themeColor="text1"/>
          <w:sz w:val="24"/>
          <w:highlight w:val="none"/>
          <w:lang w:eastAsia="zh-CN"/>
          <w14:textFill>
            <w14:solidFill>
              <w14:schemeClr w14:val="tx1"/>
            </w14:solidFill>
          </w14:textFill>
        </w:rPr>
        <w:t>温州科技馆物业管理服务及设备维保和其他服务项目（重）</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Z-GB202507070003YXJ</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投标活动中作如下说明：</w:t>
      </w:r>
      <w:r>
        <w:rPr>
          <w:rFonts w:hint="eastAsia" w:ascii="宋体" w:hAnsi="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特此说明。</w:t>
      </w:r>
    </w:p>
    <w:p>
      <w:pPr>
        <w:spacing w:line="360" w:lineRule="auto"/>
        <w:ind w:firstLine="494"/>
        <w:rPr>
          <w:rFonts w:ascii="宋体" w:hAnsi="宋体" w:cs="宋体"/>
          <w:color w:val="000000" w:themeColor="text1"/>
          <w:sz w:val="24"/>
          <w:highlight w:val="none"/>
          <w14:textFill>
            <w14:solidFill>
              <w14:schemeClr w14:val="tx1"/>
            </w14:solidFill>
          </w14:textFill>
        </w:rPr>
      </w:pPr>
    </w:p>
    <w:p>
      <w:pPr>
        <w:spacing w:line="360" w:lineRule="auto"/>
        <w:ind w:firstLine="494"/>
        <w:rPr>
          <w:rFonts w:ascii="宋体" w:hAnsi="宋体" w:cs="宋体"/>
          <w:color w:val="000000" w:themeColor="text1"/>
          <w:sz w:val="24"/>
          <w:highlight w:val="none"/>
          <w14:textFill>
            <w14:solidFill>
              <w14:schemeClr w14:val="tx1"/>
            </w14:solidFill>
          </w14:textFill>
        </w:rPr>
      </w:pPr>
    </w:p>
    <w:p>
      <w:pPr>
        <w:spacing w:line="360" w:lineRule="auto"/>
        <w:ind w:firstLine="494"/>
        <w:rPr>
          <w:rFonts w:ascii="宋体" w:hAnsi="宋体" w:cs="宋体"/>
          <w:color w:val="000000" w:themeColor="text1"/>
          <w:sz w:val="24"/>
          <w:highlight w:val="none"/>
          <w14:textFill>
            <w14:solidFill>
              <w14:schemeClr w14:val="tx1"/>
            </w14:solidFill>
          </w14:textFill>
        </w:rPr>
      </w:pPr>
    </w:p>
    <w:p>
      <w:pPr>
        <w:spacing w:line="360" w:lineRule="auto"/>
        <w:ind w:firstLine="494"/>
        <w:rPr>
          <w:rFonts w:ascii="宋体" w:hAnsi="宋体" w:cs="宋体"/>
          <w:color w:val="000000" w:themeColor="text1"/>
          <w:sz w:val="24"/>
          <w:highlight w:val="none"/>
          <w14:textFill>
            <w14:solidFill>
              <w14:schemeClr w14:val="tx1"/>
            </w14:solidFill>
          </w14:textFill>
        </w:rPr>
      </w:pPr>
    </w:p>
    <w:p>
      <w:pPr>
        <w:spacing w:line="360" w:lineRule="auto"/>
        <w:ind w:right="480" w:firstLine="4080" w:firstLineChars="17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投标单位（法定名称章）：</w:t>
      </w:r>
    </w:p>
    <w:p>
      <w:pPr>
        <w:ind w:right="1440" w:firstLine="494"/>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pP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p>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ZAPP9gAAAAKAQAADwAAAAAAAAABACAA&#10;AAAiAAAAZHJzL2Rvd25yZXYueG1sUEsBAhQAFAAAAAgAh07iQJDfNusNAgAAJgQAAA4AAAAAAAAA&#10;AQAgAAAAJwEAAGRycy9lMm9Eb2MueG1sUEsFBgAAAAAGAAYAWQEAAKYFA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YxHptgAAAAKAQAADwAAAAAAAAABACAA&#10;AAAiAAAAZHJzL2Rvd25yZXYueG1sUEsBAhQAFAAAAAgAh07iQAWK06YNAgAAJgQAAA4AAAAAAAAA&#10;AQAgAAAAJwEAAGRycy9lMm9Eb2MueG1sUEsFBgAAAAAGAAYAWQEAAKYFA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highlight w:val="none"/>
          <w14:textFill>
            <w14:solidFill>
              <w14:schemeClr w14:val="tx1"/>
            </w14:solidFill>
          </w14:textFill>
        </w:rPr>
        <w:t>投标单位法定名称章（印模）                投标单位“XX专用章”（印模）</w:t>
      </w: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5</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联合协议</w:t>
      </w:r>
    </w:p>
    <w:p>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（联合体所有成员名称）</w:t>
      </w:r>
      <w:r>
        <w:rPr>
          <w:rFonts w:hint="eastAsia" w:ascii="宋体" w:hAnsi="宋体" w:cs="宋体"/>
          <w:color w:val="000000" w:themeColor="text1"/>
          <w:kern w:val="0"/>
          <w:sz w:val="24"/>
          <w:highlight w:val="none"/>
          <w14:textFill>
            <w14:solidFill>
              <w14:schemeClr w14:val="tx1"/>
            </w14:solidFill>
          </w14:textFill>
        </w:rPr>
        <w:t>自愿</w:t>
      </w:r>
      <w:r>
        <w:rPr>
          <w:rFonts w:hint="eastAsia" w:ascii="宋体" w:hAnsi="宋体" w:cs="宋体"/>
          <w:color w:val="000000" w:themeColor="text1"/>
          <w:kern w:val="0"/>
          <w:sz w:val="24"/>
          <w:highlight w:val="none"/>
          <w:lang w:val="zh-CN"/>
          <w14:textFill>
            <w14:solidFill>
              <w14:schemeClr w14:val="tx1"/>
            </w14:solidFill>
          </w14:textFill>
        </w:rPr>
        <w:t>组成一个联合体，以一个投标人的身份</w:t>
      </w:r>
      <w:r>
        <w:rPr>
          <w:rFonts w:hint="eastAsia" w:ascii="宋体" w:hAnsi="宋体" w:cs="宋体"/>
          <w:color w:val="000000" w:themeColor="text1"/>
          <w:kern w:val="0"/>
          <w:sz w:val="24"/>
          <w:highlight w:val="none"/>
          <w14:textFill>
            <w14:solidFill>
              <w14:schemeClr w14:val="tx1"/>
            </w14:solidFill>
          </w14:textFill>
        </w:rPr>
        <w:t>参加</w:t>
      </w:r>
      <w:r>
        <w:rPr>
          <w:rFonts w:hint="eastAsia" w:ascii="宋体" w:hAnsi="宋体" w:cs="宋体"/>
          <w:color w:val="000000" w:themeColor="text1"/>
          <w:sz w:val="24"/>
          <w:highlight w:val="none"/>
          <w:lang w:eastAsia="zh-CN"/>
          <w14:textFill>
            <w14:solidFill>
              <w14:schemeClr w14:val="tx1"/>
            </w14:solidFill>
          </w14:textFill>
        </w:rPr>
        <w:t>温州科技馆物业管理服务及设备维保和其他服务项目（重）</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Z-GB202507070003YXJ</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投标。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一、各方一致决定，</w:t>
      </w:r>
      <w:r>
        <w:rPr>
          <w:rFonts w:hint="eastAsia" w:ascii="宋体" w:hAnsi="宋体" w:cs="宋体"/>
          <w:color w:val="000000" w:themeColor="text1"/>
          <w:kern w:val="0"/>
          <w:sz w:val="24"/>
          <w:highlight w:val="none"/>
          <w:u w:val="single"/>
          <w14:textFill>
            <w14:solidFill>
              <w14:schemeClr w14:val="tx1"/>
            </w14:solidFill>
          </w14:textFill>
        </w:rPr>
        <w:t>（某联合体成员名称）</w:t>
      </w:r>
      <w:r>
        <w:rPr>
          <w:rFonts w:hint="eastAsia" w:ascii="宋体" w:hAnsi="宋体" w:cs="宋体"/>
          <w:color w:val="000000" w:themeColor="text1"/>
          <w:kern w:val="0"/>
          <w:sz w:val="24"/>
          <w:highlight w:val="none"/>
          <w14:textFill>
            <w14:solidFill>
              <w14:schemeClr w14:val="tx1"/>
            </w14:solidFill>
          </w14:textFill>
        </w:rPr>
        <w:t>为联合体</w:t>
      </w:r>
      <w:r>
        <w:rPr>
          <w:rFonts w:hint="eastAsia" w:ascii="宋体" w:hAnsi="宋体" w:cs="宋体"/>
          <w:color w:val="000000" w:themeColor="text1"/>
          <w:kern w:val="0"/>
          <w:sz w:val="24"/>
          <w:highlight w:val="none"/>
          <w:lang w:val="zh-CN"/>
          <w14:textFill>
            <w14:solidFill>
              <w14:schemeClr w14:val="tx1"/>
            </w14:solidFill>
          </w14:textFill>
        </w:rPr>
        <w:t>牵头人</w:t>
      </w:r>
      <w:r>
        <w:rPr>
          <w:rFonts w:hint="eastAsia" w:ascii="宋体" w:hAnsi="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三、本次联合投标中，分工如下：</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（联合体成员1）</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2</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四、联合体成员中小企业合同份额。</w:t>
      </w:r>
    </w:p>
    <w:p>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w:t>
      </w:r>
      <w:bookmarkStart w:id="517" w:name="_Hlk101131882"/>
      <w:r>
        <w:rPr>
          <w:rFonts w:hint="eastAsia" w:ascii="宋体" w:hAnsi="宋体" w:cs="宋体"/>
          <w:color w:val="000000" w:themeColor="text1"/>
          <w:kern w:val="0"/>
          <w:sz w:val="24"/>
          <w:highlight w:val="none"/>
          <w:u w:val="single"/>
          <w14:textFill>
            <w14:solidFill>
              <w14:schemeClr w14:val="tx1"/>
            </w14:solidFill>
          </w14:textFill>
        </w:rPr>
        <w:t>联合体成员X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w:t>
      </w:r>
      <w:bookmarkEnd w:id="517"/>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提供的服务由小微企业承接，其合同份额占到合同总金额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w:t>
      </w:r>
      <w:bookmarkStart w:id="518" w:name="_Hlk101133598"/>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bookmarkEnd w:id="518"/>
      <w:r>
        <w:rPr>
          <w:rFonts w:hint="eastAsia" w:ascii="宋体" w:hAnsi="宋体" w:cs="宋体"/>
          <w:b/>
          <w:color w:val="000000" w:themeColor="text1"/>
          <w:kern w:val="0"/>
          <w:sz w:val="24"/>
          <w:highlight w:val="none"/>
          <w:lang w:val="zh-CN"/>
          <w14:textFill>
            <w14:solidFill>
              <w14:schemeClr w14:val="tx1"/>
            </w14:solidFill>
          </w14:textFill>
        </w:rPr>
        <w:t>）</w:t>
      </w:r>
    </w:p>
    <w:p>
      <w:pPr>
        <w:spacing w:line="360" w:lineRule="auto"/>
        <w:ind w:firstLine="480" w:firstLineChars="200"/>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bookmarkStart w:id="519" w:name="_Hlk101133173"/>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bookmarkEnd w:id="519"/>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五、如果中标，</w:t>
      </w:r>
      <w:r>
        <w:rPr>
          <w:rFonts w:hint="eastAsia" w:ascii="宋体" w:hAnsi="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六、有关本次联合投标的其他事宜：</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right="960"/>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widowControl/>
        <w:adjustRightInd/>
        <w:jc w:val="left"/>
        <w:rPr>
          <w:rFonts w:ascii="宋体" w:hAnsi="宋体" w:cs="宋体"/>
          <w:b/>
          <w:color w:val="000000" w:themeColor="text1"/>
          <w:spacing w:val="6"/>
          <w:sz w:val="32"/>
          <w:szCs w:val="32"/>
          <w:highlight w:val="none"/>
          <w14:textFill>
            <w14:solidFill>
              <w14:schemeClr w14:val="tx1"/>
            </w14:solidFill>
          </w14:textFill>
        </w:rPr>
      </w:pPr>
    </w:p>
    <w:p>
      <w:pPr>
        <w:snapToGrid w:val="0"/>
        <w:spacing w:line="360" w:lineRule="auto"/>
        <w:ind w:firstLine="3666" w:firstLineChars="110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6</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14:textFill>
            <w14:solidFill>
              <w14:schemeClr w14:val="tx1"/>
            </w14:solidFill>
          </w14:textFill>
        </w:rPr>
        <w:t>分包意向协议</w:t>
      </w:r>
    </w:p>
    <w:p>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若成为</w:t>
      </w:r>
      <w:r>
        <w:rPr>
          <w:rFonts w:hint="eastAsia" w:ascii="宋体" w:hAnsi="宋体" w:cs="宋体"/>
          <w:color w:val="000000" w:themeColor="text1"/>
          <w:sz w:val="24"/>
          <w:highlight w:val="none"/>
          <w:lang w:eastAsia="zh-CN"/>
          <w14:textFill>
            <w14:solidFill>
              <w14:schemeClr w14:val="tx1"/>
            </w14:solidFill>
          </w14:textFill>
        </w:rPr>
        <w:t>温州科技馆物业管理服务及设备维保和其他服务项目（重）</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Z-GB202507070003YXJ</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与</w:t>
      </w:r>
      <w:r>
        <w:rPr>
          <w:rFonts w:hint="eastAsia" w:ascii="宋体" w:hAnsi="宋体" w:cs="宋体"/>
          <w:color w:val="000000" w:themeColor="text1"/>
          <w:kern w:val="0"/>
          <w:sz w:val="24"/>
          <w:highlight w:val="none"/>
          <w:u w:val="single"/>
          <w14:textFill>
            <w14:solidFill>
              <w14:schemeClr w14:val="tx1"/>
            </w14:solidFill>
          </w14:textFill>
        </w:rPr>
        <w:t>（所有分包供应商名称）</w:t>
      </w:r>
      <w:r>
        <w:rPr>
          <w:rFonts w:hint="eastAsia" w:ascii="宋体" w:hAnsi="宋体" w:cs="宋体"/>
          <w:color w:val="000000" w:themeColor="text1"/>
          <w:kern w:val="0"/>
          <w:sz w:val="24"/>
          <w:highlight w:val="none"/>
          <w14:textFill>
            <w14:solidFill>
              <w14:schemeClr w14:val="tx1"/>
            </w14:solidFill>
          </w14:textFill>
        </w:rPr>
        <w:t>达成分包意向协议</w:t>
      </w:r>
      <w:r>
        <w:rPr>
          <w:rFonts w:hint="eastAsia" w:ascii="宋体" w:hAnsi="宋体" w:cs="宋体"/>
          <w:color w:val="000000" w:themeColor="text1"/>
          <w:kern w:val="0"/>
          <w:sz w:val="24"/>
          <w:highlight w:val="none"/>
          <w:lang w:val="zh-CN"/>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一、分包标的及数量</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将</w:t>
      </w:r>
      <w:r>
        <w:rPr>
          <w:rFonts w:hint="eastAsia"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cs="宋体"/>
          <w:color w:val="000000" w:themeColor="text1"/>
          <w:sz w:val="24"/>
          <w:highlight w:val="none"/>
          <w14:textFill>
            <w14:solidFill>
              <w14:schemeClr w14:val="tx1"/>
            </w14:solidFill>
          </w14:textFill>
        </w:rPr>
        <w:t>分包给</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（分包供应商2名称），</w:t>
      </w:r>
      <w:r>
        <w:rPr>
          <w:rFonts w:hint="eastAsia" w:ascii="宋体" w:hAnsi="宋体" w:cs="宋体"/>
          <w:color w:val="000000" w:themeColor="text1"/>
          <w:kern w:val="0"/>
          <w:sz w:val="24"/>
          <w:highlight w:val="none"/>
          <w:lang w:val="zh-CN"/>
          <w14:textFill>
            <w14:solidFill>
              <w14:schemeClr w14:val="tx1"/>
            </w14:solidFill>
          </w14:textFill>
        </w:rPr>
        <w:t>具备承</w:t>
      </w:r>
      <w:r>
        <w:rPr>
          <w:rFonts w:hint="eastAsia" w:ascii="宋体" w:hAnsi="宋体" w:cs="宋体"/>
          <w:color w:val="000000" w:themeColor="text1"/>
          <w:kern w:val="0"/>
          <w:sz w:val="24"/>
          <w:highlight w:val="none"/>
          <w14:textFill>
            <w14:solidFill>
              <w14:schemeClr w14:val="tx1"/>
            </w14:solidFill>
          </w14:textFill>
        </w:rPr>
        <w:t>担</w:t>
      </w:r>
      <w:r>
        <w:rPr>
          <w:rFonts w:hint="eastAsia" w:ascii="宋体" w:hAnsi="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cs="宋体"/>
          <w:color w:val="000000" w:themeColor="text1"/>
          <w:kern w:val="0"/>
          <w:sz w:val="24"/>
          <w:highlight w:val="none"/>
          <w:lang w:val="zh-CN"/>
          <w14:textFill>
            <w14:solidFill>
              <w14:schemeClr w14:val="tx1"/>
            </w14:solidFill>
          </w14:textFill>
        </w:rPr>
        <w:t>相应资质条件且不得再次分包；</w:t>
      </w:r>
    </w:p>
    <w:p>
      <w:pPr>
        <w:pStyle w:val="3"/>
        <w:ind w:left="664" w:leftChars="316" w:firstLine="229" w:firstLineChars="95"/>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p>
      <w:pPr>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二、分包供应商中小企业合同份额</w:t>
      </w:r>
    </w:p>
    <w:p>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（分包供应商X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……）提供的服务全部由小微企业承接，</w:t>
      </w:r>
      <w:r>
        <w:rPr>
          <w:rFonts w:hint="eastAsia" w:ascii="宋体" w:hAnsi="宋体" w:cs="宋体"/>
          <w:color w:val="000000" w:themeColor="text1"/>
          <w:kern w:val="0"/>
          <w:sz w:val="24"/>
          <w:highlight w:val="none"/>
          <w14:textFill>
            <w14:solidFill>
              <w14:schemeClr w14:val="tx1"/>
            </w14:solidFill>
          </w14:textFill>
        </w:rPr>
        <w:t>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pPr>
        <w:spacing w:line="360" w:lineRule="auto"/>
        <w:ind w:firstLine="480" w:firstLineChars="200"/>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highlight w:val="none"/>
          <w:lang w:val="zh-CN"/>
          <w14:textFill>
            <w14:solidFill>
              <w14:schemeClr w14:val="tx1"/>
            </w14:solidFill>
          </w14:textFill>
        </w:rPr>
        <w:t>分包意向协议</w:t>
      </w:r>
      <w:r>
        <w:rPr>
          <w:rFonts w:hint="eastAsia" w:ascii="宋体" w:hAnsi="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三、分包工作履行期限、地点、方式</w:t>
      </w:r>
    </w:p>
    <w:p>
      <w:pPr>
        <w:snapToGrid w:val="0"/>
        <w:spacing w:line="360" w:lineRule="auto"/>
        <w:ind w:firstLine="576"/>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四、质量</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五、价款或者报酬</w:t>
      </w:r>
    </w:p>
    <w:p>
      <w:pP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六、违约责任</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七、争议解决的办法</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八、其他</w:t>
      </w:r>
    </w:p>
    <w:p>
      <w:pPr>
        <w:snapToGrid w:val="0"/>
        <w:spacing w:line="360" w:lineRule="auto"/>
        <w:ind w:left="5758" w:leftChars="342" w:hanging="504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                                           投标人名称(电子签名)：</w:t>
      </w:r>
    </w:p>
    <w:p>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分包供应商名称(电子签名/公章)：</w:t>
      </w:r>
    </w:p>
    <w:p>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left="5758" w:leftChars="342" w:hanging="504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left"/>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附件</w:t>
      </w:r>
      <w:r>
        <w:rPr>
          <w:rFonts w:ascii="宋体" w:hAnsi="宋体" w:cs="宋体"/>
          <w:b/>
          <w:color w:val="000000" w:themeColor="text1"/>
          <w:sz w:val="36"/>
          <w:szCs w:val="20"/>
          <w:highlight w:val="none"/>
          <w14:textFill>
            <w14:solidFill>
              <w14:schemeClr w14:val="tx1"/>
            </w14:solidFill>
          </w14:textFill>
        </w:rPr>
        <w:t>7</w:t>
      </w:r>
      <w:r>
        <w:rPr>
          <w:rFonts w:hint="eastAsia" w:ascii="宋体" w:hAnsi="宋体" w:cs="宋体"/>
          <w:b/>
          <w:color w:val="000000" w:themeColor="text1"/>
          <w:sz w:val="36"/>
          <w:szCs w:val="20"/>
          <w:highlight w:val="none"/>
          <w14:textFill>
            <w14:solidFill>
              <w14:schemeClr w14:val="tx1"/>
            </w14:solidFill>
          </w14:textFill>
        </w:rPr>
        <w:t>：中小企业声明函</w:t>
      </w:r>
    </w:p>
    <w:p>
      <w:pPr>
        <w:spacing w:line="360" w:lineRule="auto"/>
        <w:jc w:val="center"/>
        <w:rPr>
          <w:rFonts w:ascii="宋体" w:hAnsi="宋体" w:cs="宋体"/>
          <w:color w:val="000000" w:themeColor="text1"/>
          <w:sz w:val="24"/>
          <w:highlight w:val="none"/>
          <w:u w:val="single"/>
          <w14:textFill>
            <w14:solidFill>
              <w14:schemeClr w14:val="tx1"/>
            </w14:solidFill>
          </w14:textFill>
        </w:rPr>
      </w:pPr>
    </w:p>
    <w:p>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中小企业声明函（服务）</w:t>
      </w:r>
    </w:p>
    <w:p>
      <w:pPr>
        <w:spacing w:line="360" w:lineRule="auto"/>
        <w:ind w:firstLine="360" w:firstLineChars="1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highlight w:val="none"/>
          <w:u w:val="single"/>
          <w:lang w:eastAsia="zh-CN"/>
          <w14:textFill>
            <w14:solidFill>
              <w14:schemeClr w14:val="tx1"/>
            </w14:solidFill>
          </w14:textFill>
        </w:rPr>
        <w:t xml:space="preserve">温州科技馆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温州科技馆物业管理服务及设备维保和其他服务项目（重）</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 xml:space="preserve"> （采购文件中明确的所属行业）</w:t>
      </w:r>
      <w:r>
        <w:rPr>
          <w:rFonts w:hint="eastAsia" w:ascii="宋体" w:hAnsi="宋体" w:cs="宋体"/>
          <w:color w:val="000000" w:themeColor="text1"/>
          <w:sz w:val="24"/>
          <w:highlight w:val="none"/>
          <w14:textFill>
            <w14:solidFill>
              <w14:schemeClr w14:val="tx1"/>
            </w14:solidFill>
          </w14:textFill>
        </w:rPr>
        <w:t xml:space="preserve"> ；承建（承接）企业为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u w:val="single"/>
          <w14:textFill>
            <w14:solidFill>
              <w14:schemeClr w14:val="tx1"/>
            </w14:solidFill>
          </w14:textFill>
        </w:rPr>
        <w:t xml:space="preserve"> （标的名称），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 xml:space="preserve">（采购文件中明确的所属行业） </w:t>
      </w:r>
      <w:r>
        <w:rPr>
          <w:rFonts w:hint="eastAsia" w:ascii="宋体" w:hAnsi="宋体" w:cs="宋体"/>
          <w:color w:val="000000" w:themeColor="text1"/>
          <w:sz w:val="24"/>
          <w:highlight w:val="none"/>
          <w14:textFill>
            <w14:solidFill>
              <w14:schemeClr w14:val="tx1"/>
            </w14:solidFill>
          </w14:textFill>
        </w:rPr>
        <w:t xml:space="preserve">；承建（承接）企业为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pPr>
        <w:spacing w:line="360" w:lineRule="auto"/>
        <w:ind w:right="1760"/>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投标人名称（电子签名）：</w:t>
      </w:r>
    </w:p>
    <w:p>
      <w:pPr>
        <w:spacing w:line="360" w:lineRule="auto"/>
        <w:ind w:right="1120" w:firstLine="4680" w:firstLineChars="19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pPr>
        <w:spacing w:line="360" w:lineRule="auto"/>
        <w:ind w:firstLine="310" w:firstLineChars="147"/>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从业人员、营业收入、资产总额填报上一年度数据，无上一年度数据的新成立企业可不填报。</w:t>
      </w:r>
    </w:p>
    <w:p>
      <w:pPr>
        <w:spacing w:line="360" w:lineRule="auto"/>
        <w:ind w:right="420"/>
        <w:rPr>
          <w:rFonts w:ascii="宋体" w:hAnsi="宋体" w:cs="宋体"/>
          <w:color w:val="000000" w:themeColor="text1"/>
          <w:sz w:val="24"/>
          <w:highlight w:val="none"/>
          <w14:textFill>
            <w14:solidFill>
              <w14:schemeClr w14:val="tx1"/>
            </w14:solidFill>
          </w14:textFill>
        </w:rPr>
      </w:pP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注：</w:t>
      </w:r>
    </w:p>
    <w:p>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
        <w:rPr>
          <w:rFonts w:ascii="宋体" w:hAnsi="宋体" w:eastAsia="宋体" w:cs="宋体"/>
          <w:color w:val="000000" w:themeColor="text1"/>
          <w:highlight w:val="none"/>
          <w:lang w:val="en-US"/>
          <w14:textFill>
            <w14:solidFill>
              <w14:schemeClr w14:val="tx1"/>
            </w14:solidFill>
          </w14:textFill>
        </w:rPr>
      </w:pPr>
    </w:p>
    <w:p>
      <w:pPr>
        <w:rPr>
          <w:rFonts w:ascii="宋体" w:hAnsi="宋体" w:eastAsia="宋体" w:cs="宋体"/>
          <w:color w:val="000000" w:themeColor="text1"/>
          <w:highlight w:val="none"/>
          <w:lang w:val="en-US"/>
          <w14:textFill>
            <w14:solidFill>
              <w14:schemeClr w14:val="tx1"/>
            </w14:solidFill>
          </w14:textFill>
        </w:rPr>
      </w:pPr>
    </w:p>
    <w:p>
      <w:pPr>
        <w:pStyle w:val="2"/>
        <w:rPr>
          <w:rFonts w:ascii="宋体" w:hAnsi="宋体" w:eastAsia="宋体" w:cs="宋体"/>
          <w:color w:val="000000" w:themeColor="text1"/>
          <w:highlight w:val="none"/>
          <w:lang w:val="en-US"/>
          <w14:textFill>
            <w14:solidFill>
              <w14:schemeClr w14:val="tx1"/>
            </w14:solidFill>
          </w14:textFill>
        </w:rPr>
      </w:pPr>
    </w:p>
    <w:p>
      <w:pPr>
        <w:rPr>
          <w:rFonts w:ascii="宋体" w:hAnsi="宋体" w:eastAsia="宋体" w:cs="宋体"/>
          <w:color w:val="000000" w:themeColor="text1"/>
          <w:highlight w:val="none"/>
          <w:lang w:val="en-US"/>
          <w14:textFill>
            <w14:solidFill>
              <w14:schemeClr w14:val="tx1"/>
            </w14:solidFill>
          </w14:textFill>
        </w:rPr>
      </w:pPr>
    </w:p>
    <w:p>
      <w:pPr>
        <w:pStyle w:val="2"/>
        <w:rPr>
          <w:rFonts w:ascii="宋体" w:hAnsi="宋体" w:eastAsia="宋体" w:cs="宋体"/>
          <w:color w:val="000000" w:themeColor="text1"/>
          <w:highlight w:val="none"/>
          <w:lang w:val="en-US"/>
          <w14:textFill>
            <w14:solidFill>
              <w14:schemeClr w14:val="tx1"/>
            </w14:solidFill>
          </w14:textFill>
        </w:rPr>
      </w:pPr>
    </w:p>
    <w:p>
      <w:pPr>
        <w:rPr>
          <w:rFonts w:ascii="宋体" w:hAnsi="宋体" w:eastAsia="宋体" w:cs="宋体"/>
          <w:color w:val="000000" w:themeColor="text1"/>
          <w:highlight w:val="none"/>
          <w:lang w:val="en-US"/>
          <w14:textFill>
            <w14:solidFill>
              <w14:schemeClr w14:val="tx1"/>
            </w14:solidFill>
          </w14:textFill>
        </w:rPr>
      </w:pPr>
    </w:p>
    <w:p>
      <w:pPr>
        <w:pStyle w:val="2"/>
        <w:rPr>
          <w:rFonts w:ascii="宋体" w:hAnsi="宋体" w:eastAsia="宋体" w:cs="宋体"/>
          <w:color w:val="000000" w:themeColor="text1"/>
          <w:highlight w:val="none"/>
          <w:lang w:val="en-US"/>
          <w14:textFill>
            <w14:solidFill>
              <w14:schemeClr w14:val="tx1"/>
            </w14:solidFill>
          </w14:textFill>
        </w:rPr>
      </w:pPr>
    </w:p>
    <w:p>
      <w:pPr>
        <w:rPr>
          <w:rFonts w:ascii="宋体" w:hAnsi="宋体" w:eastAsia="宋体" w:cs="宋体"/>
          <w:color w:val="000000" w:themeColor="text1"/>
          <w:highlight w:val="none"/>
          <w:lang w:val="en-US"/>
          <w14:textFill>
            <w14:solidFill>
              <w14:schemeClr w14:val="tx1"/>
            </w14:solidFill>
          </w14:textFill>
        </w:rPr>
      </w:pPr>
    </w:p>
    <w:p>
      <w:pPr>
        <w:pStyle w:val="2"/>
        <w:rPr>
          <w:rFonts w:ascii="宋体" w:hAnsi="宋体" w:eastAsia="宋体" w:cs="宋体"/>
          <w:color w:val="000000" w:themeColor="text1"/>
          <w:highlight w:val="none"/>
          <w:lang w:val="en-US"/>
          <w14:textFill>
            <w14:solidFill>
              <w14:schemeClr w14:val="tx1"/>
            </w14:solidFill>
          </w14:textFill>
        </w:rPr>
      </w:pPr>
    </w:p>
    <w:p>
      <w:pPr>
        <w:rPr>
          <w:rFonts w:ascii="宋体" w:hAnsi="宋体" w:eastAsia="宋体" w:cs="宋体"/>
          <w:color w:val="000000" w:themeColor="text1"/>
          <w:highlight w:val="none"/>
          <w:lang w:val="en-US"/>
          <w14:textFill>
            <w14:solidFill>
              <w14:schemeClr w14:val="tx1"/>
            </w14:solidFill>
          </w14:textFill>
        </w:rPr>
      </w:pPr>
    </w:p>
    <w:p>
      <w:pPr>
        <w:spacing w:line="360" w:lineRule="auto"/>
        <w:ind w:right="420"/>
        <w:rPr>
          <w:rFonts w:ascii="宋体" w:hAnsi="宋体" w:cs="宋体"/>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spacing w:line="360" w:lineRule="auto"/>
        <w:rPr>
          <w:rFonts w:hint="eastAsia" w:ascii="宋体" w:hAnsi="宋体" w:cs="宋体"/>
          <w:b/>
          <w:bCs/>
          <w:color w:val="000000" w:themeColor="text1"/>
          <w:sz w:val="24"/>
          <w:highlight w:val="none"/>
          <w:u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附件8：</w:t>
      </w:r>
      <w:r>
        <w:rPr>
          <w:rFonts w:hint="eastAsia" w:ascii="宋体" w:hAnsi="宋体" w:cs="宋体"/>
          <w:bCs/>
          <w:color w:val="000000" w:themeColor="text1"/>
          <w:sz w:val="24"/>
          <w:highlight w:val="none"/>
          <w:u w:val="none"/>
          <w:lang w:val="en-US" w:eastAsia="zh-CN"/>
          <w14:textFill>
            <w14:solidFill>
              <w14:schemeClr w14:val="tx1"/>
            </w14:solidFill>
          </w14:textFill>
        </w:rPr>
        <w:t>关于</w:t>
      </w:r>
      <w:r>
        <w:rPr>
          <w:rFonts w:hint="eastAsia" w:ascii="宋体" w:hAnsi="宋体" w:cs="宋体"/>
          <w:b/>
          <w:bCs/>
          <w:color w:val="000000" w:themeColor="text1"/>
          <w:sz w:val="24"/>
          <w:highlight w:val="none"/>
          <w:u w:val="none"/>
          <w:lang w:val="en-US" w:eastAsia="zh-CN"/>
          <w14:textFill>
            <w14:solidFill>
              <w14:schemeClr w14:val="tx1"/>
            </w14:solidFill>
          </w14:textFill>
        </w:rPr>
        <w:t>服务人员配置要求的承诺函</w:t>
      </w:r>
    </w:p>
    <w:p>
      <w:pPr>
        <w:pStyle w:val="2"/>
        <w:rPr>
          <w:rFonts w:hint="eastAsia" w:ascii="宋体" w:hAnsi="宋体" w:cs="宋体"/>
          <w:b/>
          <w:bCs/>
          <w:color w:val="000000" w:themeColor="text1"/>
          <w:sz w:val="24"/>
          <w:highlight w:val="none"/>
          <w:u w:val="none"/>
          <w:lang w:val="en-US" w:eastAsia="zh-CN"/>
          <w14:textFill>
            <w14:solidFill>
              <w14:schemeClr w14:val="tx1"/>
            </w14:solidFill>
          </w14:textFill>
        </w:rPr>
      </w:pPr>
      <w:r>
        <w:rPr>
          <w:rFonts w:hint="eastAsia" w:ascii="宋体" w:hAnsi="宋体" w:cs="宋体"/>
          <w:b/>
          <w:bCs/>
          <w:color w:val="000000" w:themeColor="text1"/>
          <w:sz w:val="24"/>
          <w:highlight w:val="none"/>
          <w:u w:val="none"/>
          <w:lang w:val="en-US" w:eastAsia="zh-CN"/>
          <w14:textFill>
            <w14:solidFill>
              <w14:schemeClr w14:val="tx1"/>
            </w14:solidFill>
          </w14:textFill>
        </w:rPr>
        <w:t>为保证服务质量，投标人承诺本项目服务人员最低配置要求不少于37人，且所有人员为专职人员（不得兼职）。</w:t>
      </w:r>
    </w:p>
    <w:p>
      <w:pPr>
        <w:rPr>
          <w:rFonts w:hint="eastAsia" w:ascii="宋体" w:hAnsi="宋体" w:cs="宋体"/>
          <w:b/>
          <w:bCs/>
          <w:color w:val="000000" w:themeColor="text1"/>
          <w:sz w:val="24"/>
          <w:highlight w:val="none"/>
          <w:u w:val="none"/>
          <w:lang w:val="en-US" w:eastAsia="zh-CN"/>
          <w14:textFill>
            <w14:solidFill>
              <w14:schemeClr w14:val="tx1"/>
            </w14:solidFill>
          </w14:textFill>
        </w:rPr>
      </w:pPr>
    </w:p>
    <w:p>
      <w:pPr>
        <w:snapToGrid w:val="0"/>
        <w:spacing w:line="360" w:lineRule="auto"/>
        <w:ind w:left="5747" w:leftChars="2508" w:hanging="480" w:hanging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投标人名称(电子签名)：</w:t>
      </w:r>
    </w:p>
    <w:p>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分包供应商名称(电子签名/公章)：</w:t>
      </w:r>
    </w:p>
    <w:p>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left="5758" w:leftChars="342" w:hanging="504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pStyle w:val="2"/>
        <w:rPr>
          <w:rFonts w:hint="default"/>
          <w:color w:val="000000" w:themeColor="text1"/>
          <w:highlight w:val="none"/>
          <w:lang w:val="en-US" w:eastAsia="zh-CN"/>
          <w14:textFill>
            <w14:solidFill>
              <w14:schemeClr w14:val="tx1"/>
            </w14:solidFill>
          </w14:textFill>
        </w:rPr>
      </w:pPr>
    </w:p>
    <w:sectPr>
      <w:headerReference r:id="rId18" w:type="first"/>
      <w:footerReference r:id="rId21" w:type="first"/>
      <w:headerReference r:id="rId17" w:type="default"/>
      <w:footerReference r:id="rId19" w:type="default"/>
      <w:footerReference r:id="rId20"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20" w:name="_Toc131845147"/>
    <w:bookmarkStart w:id="521" w:name="_Toc164085800"/>
    <w:bookmarkStart w:id="522" w:name="_Toc91899912"/>
    <w:bookmarkStart w:id="523" w:name="_Toc36110187"/>
    <w:r>
      <w:rPr>
        <w:rFonts w:hint="eastAsia" w:ascii="仿宋_GB2312" w:eastAsia="仿宋_GB2312"/>
        <w:kern w:val="0"/>
        <w:szCs w:val="21"/>
      </w:rPr>
      <w:t xml:space="preserve"> 页</w:t>
    </w:r>
    <w:bookmarkEnd w:id="520"/>
    <w:bookmarkEnd w:id="521"/>
    <w:bookmarkEnd w:id="522"/>
    <w:bookmarkEnd w:id="52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rPr>
        <w:rFonts w:hint="eastAsia" w:eastAsia="宋体"/>
        <w:lang w:eastAsia="zh-CN"/>
      </w:rPr>
    </w:pPr>
    <w:r>
      <w:t></w:t>
    </w:r>
    <w:r>
      <w:rPr>
        <w:rFonts w:hint="eastAsia"/>
      </w:rPr>
      <w:t xml:space="preserve">           </w:t>
    </w:r>
    <w:r>
      <w:rPr>
        <w:rFonts w:hint="eastAsia"/>
        <w:sz w:val="15"/>
        <w:szCs w:val="15"/>
        <w:lang w:val="en-US" w:eastAsia="zh-CN"/>
      </w:rPr>
      <w:t>温</w:t>
    </w:r>
    <w:r>
      <w:rPr>
        <w:sz w:val="15"/>
        <w:szCs w:val="15"/>
      </w:rPr>
      <w:t>州市政府采购公开招标文件</w:t>
    </w:r>
    <w:r>
      <w:rPr>
        <w:rFonts w:hint="eastAsia"/>
        <w:sz w:val="15"/>
        <w:szCs w:val="15"/>
      </w:rPr>
      <w:t>（编号:</w:t>
    </w:r>
    <w:r>
      <w:rPr>
        <w:rFonts w:hint="eastAsia"/>
        <w:sz w:val="15"/>
        <w:szCs w:val="15"/>
        <w:lang w:eastAsia="zh-CN"/>
      </w:rPr>
      <w:t>Z-GB202507070003YXJ</w:t>
    </w:r>
    <w:r>
      <w:rPr>
        <w:rFonts w:hint="eastAsia"/>
        <w:sz w:val="15"/>
        <w:szCs w:val="15"/>
      </w:rPr>
      <w:t>）</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 xml:space="preserve">             </w:t>
    </w:r>
    <w:r>
      <w:rPr>
        <w:rFonts w:hint="eastAsia"/>
        <w:lang w:val="en-US" w:eastAsia="zh-CN"/>
      </w:rPr>
      <w:t>温</w:t>
    </w:r>
    <w:r>
      <w:t>州市政府采购公开招标文件</w:t>
    </w:r>
  </w:p>
  <w:p>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rPr>
        <w:rFonts w:hint="eastAsia"/>
        <w:lang w:val="en-US" w:eastAsia="zh-CN"/>
      </w:rPr>
      <w:t>温</w:t>
    </w:r>
    <w:r>
      <w:t>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rPr>
        <w:rFonts w:hint="eastAsia"/>
        <w:lang w:val="en-US" w:eastAsia="zh-CN"/>
      </w:rPr>
      <w:t>温</w:t>
    </w:r>
    <w:r>
      <w:t>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 xml:space="preserve">                                </w:t>
    </w:r>
    <w:r>
      <w:rPr>
        <w:rFonts w:hint="eastAsia"/>
      </w:rPr>
      <w:t xml:space="preserve">         </w:t>
    </w:r>
    <w:r>
      <w:rPr>
        <w:rFonts w:hint="eastAsia"/>
        <w:lang w:val="en-US" w:eastAsia="zh-CN"/>
      </w:rPr>
      <w:t>温</w:t>
    </w:r>
    <w:r>
      <w:t>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rPr>
        <w:rFonts w:hint="eastAsia"/>
        <w:lang w:val="en-US" w:eastAsia="zh-CN"/>
      </w:rPr>
      <w:t>温</w:t>
    </w:r>
    <w:r>
      <w:t>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rPr>
        <w:rFonts w:hint="eastAsia"/>
        <w:lang w:val="en-US" w:eastAsia="zh-CN"/>
      </w:rPr>
      <w:t>温</w:t>
    </w:r>
    <w:r>
      <w:t>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w:t>
    </w:r>
    <w:r>
      <w:rPr>
        <w:rFonts w:hint="eastAsia"/>
        <w:lang w:val="en-US" w:eastAsia="zh-CN"/>
      </w:rPr>
      <w:t>温</w:t>
    </w:r>
    <w:r>
      <w:t>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rPr>
        <w:rFonts w:hint="eastAsia"/>
        <w:lang w:val="en-US" w:eastAsia="zh-CN"/>
      </w:rPr>
      <w:t>温</w:t>
    </w:r>
    <w:r>
      <w:t>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04D685"/>
    <w:multiLevelType w:val="singleLevel"/>
    <w:tmpl w:val="8B04D685"/>
    <w:lvl w:ilvl="0" w:tentative="0">
      <w:start w:val="4"/>
      <w:numFmt w:val="decimal"/>
      <w:suff w:val="space"/>
      <w:lvlText w:val="%1."/>
      <w:lvlJc w:val="left"/>
    </w:lvl>
  </w:abstractNum>
  <w:abstractNum w:abstractNumId="1">
    <w:nsid w:val="99E995C8"/>
    <w:multiLevelType w:val="singleLevel"/>
    <w:tmpl w:val="99E995C8"/>
    <w:lvl w:ilvl="0" w:tentative="0">
      <w:start w:val="1"/>
      <w:numFmt w:val="decimal"/>
      <w:suff w:val="space"/>
      <w:lvlText w:val="%1."/>
      <w:lvlJc w:val="left"/>
    </w:lvl>
  </w:abstractNum>
  <w:abstractNum w:abstractNumId="2">
    <w:nsid w:val="9F6AD61D"/>
    <w:multiLevelType w:val="singleLevel"/>
    <w:tmpl w:val="9F6AD61D"/>
    <w:lvl w:ilvl="0" w:tentative="0">
      <w:start w:val="1"/>
      <w:numFmt w:val="decimal"/>
      <w:suff w:val="nothing"/>
      <w:lvlText w:val="%1、"/>
      <w:lvlJc w:val="left"/>
      <w:rPr>
        <w:rFonts w:hint="default"/>
        <w:u w:val="none"/>
      </w:rPr>
    </w:lvl>
  </w:abstractNum>
  <w:abstractNum w:abstractNumId="3">
    <w:nsid w:val="9FAC1DF7"/>
    <w:multiLevelType w:val="singleLevel"/>
    <w:tmpl w:val="9FAC1DF7"/>
    <w:lvl w:ilvl="0" w:tentative="0">
      <w:start w:val="1"/>
      <w:numFmt w:val="decimal"/>
      <w:suff w:val="nothing"/>
      <w:lvlText w:val="%1、"/>
      <w:lvlJc w:val="left"/>
    </w:lvl>
  </w:abstractNum>
  <w:abstractNum w:abstractNumId="4">
    <w:nsid w:val="B45261C9"/>
    <w:multiLevelType w:val="singleLevel"/>
    <w:tmpl w:val="B45261C9"/>
    <w:lvl w:ilvl="0" w:tentative="0">
      <w:start w:val="1"/>
      <w:numFmt w:val="decimal"/>
      <w:lvlText w:val="%1)"/>
      <w:lvlJc w:val="left"/>
      <w:pPr>
        <w:ind w:left="425" w:hanging="425"/>
      </w:pPr>
      <w:rPr>
        <w:rFonts w:hint="default"/>
      </w:rPr>
    </w:lvl>
  </w:abstractNum>
  <w:abstractNum w:abstractNumId="5">
    <w:nsid w:val="F6720CDC"/>
    <w:multiLevelType w:val="singleLevel"/>
    <w:tmpl w:val="F6720CDC"/>
    <w:lvl w:ilvl="0" w:tentative="0">
      <w:start w:val="5"/>
      <w:numFmt w:val="decimal"/>
      <w:suff w:val="space"/>
      <w:lvlText w:val="%1."/>
      <w:lvlJc w:val="left"/>
    </w:lvl>
  </w:abstractNum>
  <w:abstractNum w:abstractNumId="6">
    <w:nsid w:val="2D30A1EF"/>
    <w:multiLevelType w:val="singleLevel"/>
    <w:tmpl w:val="2D30A1EF"/>
    <w:lvl w:ilvl="0" w:tentative="0">
      <w:start w:val="1"/>
      <w:numFmt w:val="decimal"/>
      <w:suff w:val="nothing"/>
      <w:lvlText w:val="%1、"/>
      <w:lvlJc w:val="left"/>
    </w:lvl>
  </w:abstractNum>
  <w:num w:numId="1">
    <w:abstractNumId w:val="6"/>
  </w:num>
  <w:num w:numId="2">
    <w:abstractNumId w:val="5"/>
  </w:num>
  <w:num w:numId="3">
    <w:abstractNumId w:val="0"/>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4ZTI5NTgyNWMwNmQwYjY0NDY1NmU4OGQyYzAyZTc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29F"/>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8A5"/>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46F3A"/>
    <w:rsid w:val="011F6449"/>
    <w:rsid w:val="01236AFB"/>
    <w:rsid w:val="018A1D85"/>
    <w:rsid w:val="019F7441"/>
    <w:rsid w:val="01A23EC4"/>
    <w:rsid w:val="01B37585"/>
    <w:rsid w:val="01D55165"/>
    <w:rsid w:val="01DF6BF8"/>
    <w:rsid w:val="01EC2C57"/>
    <w:rsid w:val="024E1E42"/>
    <w:rsid w:val="025D6925"/>
    <w:rsid w:val="025F0711"/>
    <w:rsid w:val="026439C5"/>
    <w:rsid w:val="026B2E25"/>
    <w:rsid w:val="02824D4D"/>
    <w:rsid w:val="02A50CC8"/>
    <w:rsid w:val="02DC4B10"/>
    <w:rsid w:val="02DD76CE"/>
    <w:rsid w:val="02F36323"/>
    <w:rsid w:val="02F5619C"/>
    <w:rsid w:val="0326446A"/>
    <w:rsid w:val="032D5555"/>
    <w:rsid w:val="036634D2"/>
    <w:rsid w:val="03955F9D"/>
    <w:rsid w:val="039A0964"/>
    <w:rsid w:val="03D80B6A"/>
    <w:rsid w:val="03DD35E4"/>
    <w:rsid w:val="04076900"/>
    <w:rsid w:val="041A5A3B"/>
    <w:rsid w:val="0422453D"/>
    <w:rsid w:val="042311BA"/>
    <w:rsid w:val="042B157A"/>
    <w:rsid w:val="048F763B"/>
    <w:rsid w:val="04942C70"/>
    <w:rsid w:val="049F330E"/>
    <w:rsid w:val="04AA775C"/>
    <w:rsid w:val="04AF1889"/>
    <w:rsid w:val="04F231DD"/>
    <w:rsid w:val="04F66F48"/>
    <w:rsid w:val="051460FE"/>
    <w:rsid w:val="05251E14"/>
    <w:rsid w:val="05524BBD"/>
    <w:rsid w:val="05A16594"/>
    <w:rsid w:val="05A7762D"/>
    <w:rsid w:val="05BF0A4B"/>
    <w:rsid w:val="060E5941"/>
    <w:rsid w:val="06110FAF"/>
    <w:rsid w:val="06493CA7"/>
    <w:rsid w:val="065A6178"/>
    <w:rsid w:val="066F1CF3"/>
    <w:rsid w:val="06930BB8"/>
    <w:rsid w:val="06A84E8F"/>
    <w:rsid w:val="06BE57A6"/>
    <w:rsid w:val="06D13045"/>
    <w:rsid w:val="07245D42"/>
    <w:rsid w:val="07264C62"/>
    <w:rsid w:val="0779354C"/>
    <w:rsid w:val="07BC6460"/>
    <w:rsid w:val="08061376"/>
    <w:rsid w:val="08345769"/>
    <w:rsid w:val="08452D77"/>
    <w:rsid w:val="086401F8"/>
    <w:rsid w:val="08751CAA"/>
    <w:rsid w:val="087E4C40"/>
    <w:rsid w:val="08A871D0"/>
    <w:rsid w:val="08B1431B"/>
    <w:rsid w:val="08D66AD6"/>
    <w:rsid w:val="08DA33A3"/>
    <w:rsid w:val="08E80F13"/>
    <w:rsid w:val="08FB492B"/>
    <w:rsid w:val="09220B80"/>
    <w:rsid w:val="09335624"/>
    <w:rsid w:val="0944690F"/>
    <w:rsid w:val="09535675"/>
    <w:rsid w:val="095F057D"/>
    <w:rsid w:val="09642282"/>
    <w:rsid w:val="09733572"/>
    <w:rsid w:val="09772C16"/>
    <w:rsid w:val="098353B5"/>
    <w:rsid w:val="09A05394"/>
    <w:rsid w:val="09A92330"/>
    <w:rsid w:val="09B06B87"/>
    <w:rsid w:val="09C13146"/>
    <w:rsid w:val="09C947EA"/>
    <w:rsid w:val="09E04166"/>
    <w:rsid w:val="0A1C0718"/>
    <w:rsid w:val="0A2E24CE"/>
    <w:rsid w:val="0A32785A"/>
    <w:rsid w:val="0A3E7710"/>
    <w:rsid w:val="0A5B7E63"/>
    <w:rsid w:val="0A8D41AF"/>
    <w:rsid w:val="0AA374A5"/>
    <w:rsid w:val="0AAB7649"/>
    <w:rsid w:val="0ABC5606"/>
    <w:rsid w:val="0AC7622D"/>
    <w:rsid w:val="0B30404E"/>
    <w:rsid w:val="0B4C6C14"/>
    <w:rsid w:val="0B547599"/>
    <w:rsid w:val="0B631A88"/>
    <w:rsid w:val="0B683D45"/>
    <w:rsid w:val="0B7F3F11"/>
    <w:rsid w:val="0B884417"/>
    <w:rsid w:val="0B9C6927"/>
    <w:rsid w:val="0BC2290B"/>
    <w:rsid w:val="0BF6188C"/>
    <w:rsid w:val="0BF73C91"/>
    <w:rsid w:val="0C061668"/>
    <w:rsid w:val="0C1213D5"/>
    <w:rsid w:val="0C170175"/>
    <w:rsid w:val="0C571A41"/>
    <w:rsid w:val="0C5C1171"/>
    <w:rsid w:val="0C5E1CBC"/>
    <w:rsid w:val="0C615B50"/>
    <w:rsid w:val="0C8445DA"/>
    <w:rsid w:val="0C87121B"/>
    <w:rsid w:val="0CC007F7"/>
    <w:rsid w:val="0CC617AC"/>
    <w:rsid w:val="0CE07044"/>
    <w:rsid w:val="0CE618DF"/>
    <w:rsid w:val="0CFE707A"/>
    <w:rsid w:val="0D063BDA"/>
    <w:rsid w:val="0D08375F"/>
    <w:rsid w:val="0D184CFB"/>
    <w:rsid w:val="0D2A6B4B"/>
    <w:rsid w:val="0D4A7419"/>
    <w:rsid w:val="0D827401"/>
    <w:rsid w:val="0D84094E"/>
    <w:rsid w:val="0D8A00E9"/>
    <w:rsid w:val="0D8D589E"/>
    <w:rsid w:val="0DA01C73"/>
    <w:rsid w:val="0DD63300"/>
    <w:rsid w:val="0DE85F40"/>
    <w:rsid w:val="0DF50604"/>
    <w:rsid w:val="0DF702FE"/>
    <w:rsid w:val="0E060E51"/>
    <w:rsid w:val="0E0D4B27"/>
    <w:rsid w:val="0E5604B2"/>
    <w:rsid w:val="0E6D5D79"/>
    <w:rsid w:val="0E9D0089"/>
    <w:rsid w:val="0EB803EE"/>
    <w:rsid w:val="0EF175F5"/>
    <w:rsid w:val="0EF94D4B"/>
    <w:rsid w:val="0F027C89"/>
    <w:rsid w:val="0F3873E1"/>
    <w:rsid w:val="0F4958DC"/>
    <w:rsid w:val="0F515DF7"/>
    <w:rsid w:val="0F596BA8"/>
    <w:rsid w:val="0F6248D2"/>
    <w:rsid w:val="0F693536"/>
    <w:rsid w:val="0F7B0511"/>
    <w:rsid w:val="0F7B76D9"/>
    <w:rsid w:val="0F816ACD"/>
    <w:rsid w:val="0F9832DB"/>
    <w:rsid w:val="0FA4106A"/>
    <w:rsid w:val="0FAD5AF7"/>
    <w:rsid w:val="0FBC625D"/>
    <w:rsid w:val="0FBF3FD2"/>
    <w:rsid w:val="0FBF7FF3"/>
    <w:rsid w:val="10072C4B"/>
    <w:rsid w:val="10646583"/>
    <w:rsid w:val="107D4B15"/>
    <w:rsid w:val="108A3C80"/>
    <w:rsid w:val="10B526D8"/>
    <w:rsid w:val="10C26171"/>
    <w:rsid w:val="10F33360"/>
    <w:rsid w:val="10FC16EA"/>
    <w:rsid w:val="110714FE"/>
    <w:rsid w:val="110F1D40"/>
    <w:rsid w:val="11266F33"/>
    <w:rsid w:val="118963A1"/>
    <w:rsid w:val="11C6522A"/>
    <w:rsid w:val="11E104CC"/>
    <w:rsid w:val="11E20309"/>
    <w:rsid w:val="1221496F"/>
    <w:rsid w:val="12255233"/>
    <w:rsid w:val="12530213"/>
    <w:rsid w:val="127723A9"/>
    <w:rsid w:val="12862074"/>
    <w:rsid w:val="12883966"/>
    <w:rsid w:val="12975D02"/>
    <w:rsid w:val="129A5602"/>
    <w:rsid w:val="129E45B4"/>
    <w:rsid w:val="12D81596"/>
    <w:rsid w:val="13072A44"/>
    <w:rsid w:val="135F4BE2"/>
    <w:rsid w:val="139B1A0A"/>
    <w:rsid w:val="139D25C7"/>
    <w:rsid w:val="13BF3CE4"/>
    <w:rsid w:val="13F76DF0"/>
    <w:rsid w:val="14085E9B"/>
    <w:rsid w:val="141008D8"/>
    <w:rsid w:val="14125FE6"/>
    <w:rsid w:val="146D271E"/>
    <w:rsid w:val="14893EB3"/>
    <w:rsid w:val="14982588"/>
    <w:rsid w:val="149A3B59"/>
    <w:rsid w:val="149A5AD9"/>
    <w:rsid w:val="14A7619D"/>
    <w:rsid w:val="14D546E3"/>
    <w:rsid w:val="150536C3"/>
    <w:rsid w:val="150C1963"/>
    <w:rsid w:val="151447A0"/>
    <w:rsid w:val="152C17F5"/>
    <w:rsid w:val="152F4C89"/>
    <w:rsid w:val="154A6454"/>
    <w:rsid w:val="15762120"/>
    <w:rsid w:val="157E0345"/>
    <w:rsid w:val="15A16FF9"/>
    <w:rsid w:val="15C05592"/>
    <w:rsid w:val="15CE7AB6"/>
    <w:rsid w:val="15D9514F"/>
    <w:rsid w:val="15F52BE0"/>
    <w:rsid w:val="16A6065A"/>
    <w:rsid w:val="16A8729C"/>
    <w:rsid w:val="16AA70FC"/>
    <w:rsid w:val="16B33777"/>
    <w:rsid w:val="16BC70A7"/>
    <w:rsid w:val="16C6339E"/>
    <w:rsid w:val="16DD17AC"/>
    <w:rsid w:val="16F41836"/>
    <w:rsid w:val="171A7F67"/>
    <w:rsid w:val="172F2D79"/>
    <w:rsid w:val="1746400C"/>
    <w:rsid w:val="17557BEF"/>
    <w:rsid w:val="17746F1A"/>
    <w:rsid w:val="17D349C1"/>
    <w:rsid w:val="1830729E"/>
    <w:rsid w:val="183E3065"/>
    <w:rsid w:val="1870062C"/>
    <w:rsid w:val="18817102"/>
    <w:rsid w:val="18830A15"/>
    <w:rsid w:val="18852B28"/>
    <w:rsid w:val="188B5321"/>
    <w:rsid w:val="1920145A"/>
    <w:rsid w:val="19932372"/>
    <w:rsid w:val="19A20DD5"/>
    <w:rsid w:val="19AE03F1"/>
    <w:rsid w:val="19E42D7E"/>
    <w:rsid w:val="19E77BBE"/>
    <w:rsid w:val="19F72D55"/>
    <w:rsid w:val="1A071A03"/>
    <w:rsid w:val="1A1F16AE"/>
    <w:rsid w:val="1A3B5C77"/>
    <w:rsid w:val="1A984BAD"/>
    <w:rsid w:val="1AA77C2A"/>
    <w:rsid w:val="1AAA3B81"/>
    <w:rsid w:val="1AB8220E"/>
    <w:rsid w:val="1AE4166C"/>
    <w:rsid w:val="1AE41A36"/>
    <w:rsid w:val="1AF06CFB"/>
    <w:rsid w:val="1AF11B8D"/>
    <w:rsid w:val="1B0C0F56"/>
    <w:rsid w:val="1B11359C"/>
    <w:rsid w:val="1B2A271F"/>
    <w:rsid w:val="1B530544"/>
    <w:rsid w:val="1B713184"/>
    <w:rsid w:val="1B991540"/>
    <w:rsid w:val="1BA209CF"/>
    <w:rsid w:val="1BB4777D"/>
    <w:rsid w:val="1BD37759"/>
    <w:rsid w:val="1BD75AB8"/>
    <w:rsid w:val="1C0459C2"/>
    <w:rsid w:val="1C1B3B4A"/>
    <w:rsid w:val="1C7E350E"/>
    <w:rsid w:val="1C88086E"/>
    <w:rsid w:val="1D266CE1"/>
    <w:rsid w:val="1D3963AF"/>
    <w:rsid w:val="1D650950"/>
    <w:rsid w:val="1D6A673C"/>
    <w:rsid w:val="1D9247AE"/>
    <w:rsid w:val="1DB567EC"/>
    <w:rsid w:val="1DF51A98"/>
    <w:rsid w:val="1E3D060F"/>
    <w:rsid w:val="1E3F7D2E"/>
    <w:rsid w:val="1E4134E4"/>
    <w:rsid w:val="1E5062B3"/>
    <w:rsid w:val="1E523514"/>
    <w:rsid w:val="1E66312F"/>
    <w:rsid w:val="1E714A66"/>
    <w:rsid w:val="1E802593"/>
    <w:rsid w:val="1E8B6156"/>
    <w:rsid w:val="1EA703CC"/>
    <w:rsid w:val="1EB7330C"/>
    <w:rsid w:val="1F0A0FF3"/>
    <w:rsid w:val="1F25530D"/>
    <w:rsid w:val="1F5771FF"/>
    <w:rsid w:val="1F646191"/>
    <w:rsid w:val="1FD52DD5"/>
    <w:rsid w:val="1FE868A9"/>
    <w:rsid w:val="1FF72119"/>
    <w:rsid w:val="20034907"/>
    <w:rsid w:val="20173E4B"/>
    <w:rsid w:val="204E48BC"/>
    <w:rsid w:val="208921B3"/>
    <w:rsid w:val="20973DEB"/>
    <w:rsid w:val="20B26522"/>
    <w:rsid w:val="20B44310"/>
    <w:rsid w:val="20F152C6"/>
    <w:rsid w:val="20F271DB"/>
    <w:rsid w:val="211116EB"/>
    <w:rsid w:val="216133FC"/>
    <w:rsid w:val="219902D3"/>
    <w:rsid w:val="21D56769"/>
    <w:rsid w:val="21E52EF3"/>
    <w:rsid w:val="21E542A5"/>
    <w:rsid w:val="21FB5D7B"/>
    <w:rsid w:val="22015E94"/>
    <w:rsid w:val="220B1C3D"/>
    <w:rsid w:val="221D1D20"/>
    <w:rsid w:val="221E3573"/>
    <w:rsid w:val="22334A87"/>
    <w:rsid w:val="228758D6"/>
    <w:rsid w:val="22877B28"/>
    <w:rsid w:val="22BD4158"/>
    <w:rsid w:val="22BE6801"/>
    <w:rsid w:val="23145C92"/>
    <w:rsid w:val="233500BF"/>
    <w:rsid w:val="23377FF7"/>
    <w:rsid w:val="236B425F"/>
    <w:rsid w:val="23836192"/>
    <w:rsid w:val="23901F29"/>
    <w:rsid w:val="239C0061"/>
    <w:rsid w:val="23B908A4"/>
    <w:rsid w:val="23E51E7E"/>
    <w:rsid w:val="23E95BEF"/>
    <w:rsid w:val="23FD0064"/>
    <w:rsid w:val="24422776"/>
    <w:rsid w:val="245375B0"/>
    <w:rsid w:val="245466C9"/>
    <w:rsid w:val="24642C0A"/>
    <w:rsid w:val="24A67B1E"/>
    <w:rsid w:val="24B22173"/>
    <w:rsid w:val="24B95AD9"/>
    <w:rsid w:val="24BE24DA"/>
    <w:rsid w:val="24CF5825"/>
    <w:rsid w:val="24D663E6"/>
    <w:rsid w:val="24D77F2B"/>
    <w:rsid w:val="25316BD9"/>
    <w:rsid w:val="256858B3"/>
    <w:rsid w:val="258B00E2"/>
    <w:rsid w:val="25A917A6"/>
    <w:rsid w:val="25BE27CC"/>
    <w:rsid w:val="25F74A5C"/>
    <w:rsid w:val="2628662C"/>
    <w:rsid w:val="262D45DE"/>
    <w:rsid w:val="262D4B53"/>
    <w:rsid w:val="26871DC8"/>
    <w:rsid w:val="26A53EF9"/>
    <w:rsid w:val="26A94201"/>
    <w:rsid w:val="26AC274F"/>
    <w:rsid w:val="26CE6E53"/>
    <w:rsid w:val="26CF00EA"/>
    <w:rsid w:val="27044A29"/>
    <w:rsid w:val="271D34C8"/>
    <w:rsid w:val="276142BF"/>
    <w:rsid w:val="27783712"/>
    <w:rsid w:val="27907362"/>
    <w:rsid w:val="28270801"/>
    <w:rsid w:val="282C7BF7"/>
    <w:rsid w:val="28333E1D"/>
    <w:rsid w:val="28454BD6"/>
    <w:rsid w:val="28455253"/>
    <w:rsid w:val="28551971"/>
    <w:rsid w:val="285B1C53"/>
    <w:rsid w:val="286954DC"/>
    <w:rsid w:val="287D3CB8"/>
    <w:rsid w:val="289F7086"/>
    <w:rsid w:val="28BC4F05"/>
    <w:rsid w:val="28C32028"/>
    <w:rsid w:val="28CC490F"/>
    <w:rsid w:val="28D459CC"/>
    <w:rsid w:val="28DE40AA"/>
    <w:rsid w:val="28ED350C"/>
    <w:rsid w:val="29205824"/>
    <w:rsid w:val="29345E77"/>
    <w:rsid w:val="294C65AD"/>
    <w:rsid w:val="2959341C"/>
    <w:rsid w:val="29806583"/>
    <w:rsid w:val="298B3C4C"/>
    <w:rsid w:val="29A54B81"/>
    <w:rsid w:val="29B478C8"/>
    <w:rsid w:val="29F26D24"/>
    <w:rsid w:val="2A0113CF"/>
    <w:rsid w:val="2A15033F"/>
    <w:rsid w:val="2A1662C1"/>
    <w:rsid w:val="2A1C7367"/>
    <w:rsid w:val="2A2815FA"/>
    <w:rsid w:val="2A2C5AA9"/>
    <w:rsid w:val="2A5F6506"/>
    <w:rsid w:val="2A6D6092"/>
    <w:rsid w:val="2A745637"/>
    <w:rsid w:val="2A7D76B4"/>
    <w:rsid w:val="2B0B44DF"/>
    <w:rsid w:val="2B0F7D2A"/>
    <w:rsid w:val="2B437463"/>
    <w:rsid w:val="2B5B4BB7"/>
    <w:rsid w:val="2B6B0823"/>
    <w:rsid w:val="2B7807EE"/>
    <w:rsid w:val="2BA50BF7"/>
    <w:rsid w:val="2BBF00EC"/>
    <w:rsid w:val="2BC37CFD"/>
    <w:rsid w:val="2BD5237F"/>
    <w:rsid w:val="2BE536CE"/>
    <w:rsid w:val="2BE758D9"/>
    <w:rsid w:val="2C09049E"/>
    <w:rsid w:val="2C0A653C"/>
    <w:rsid w:val="2C191F85"/>
    <w:rsid w:val="2C393AEC"/>
    <w:rsid w:val="2CCF6DA8"/>
    <w:rsid w:val="2CE82D6F"/>
    <w:rsid w:val="2D343236"/>
    <w:rsid w:val="2D542CD7"/>
    <w:rsid w:val="2D720E3E"/>
    <w:rsid w:val="2D873D7C"/>
    <w:rsid w:val="2DA06CA5"/>
    <w:rsid w:val="2DD15014"/>
    <w:rsid w:val="2DF72DE4"/>
    <w:rsid w:val="2DF8692E"/>
    <w:rsid w:val="2E0220AF"/>
    <w:rsid w:val="2E0D3C36"/>
    <w:rsid w:val="2E2C1379"/>
    <w:rsid w:val="2E4B082A"/>
    <w:rsid w:val="2E5D4E86"/>
    <w:rsid w:val="2E5D790B"/>
    <w:rsid w:val="2E9A3C18"/>
    <w:rsid w:val="2EBB0FEE"/>
    <w:rsid w:val="2EC63002"/>
    <w:rsid w:val="2F0A6B38"/>
    <w:rsid w:val="2F433A91"/>
    <w:rsid w:val="2F8F7E27"/>
    <w:rsid w:val="2F946CCB"/>
    <w:rsid w:val="2FD25781"/>
    <w:rsid w:val="2FDC745C"/>
    <w:rsid w:val="2FE61C79"/>
    <w:rsid w:val="2FE8501D"/>
    <w:rsid w:val="2FFD7934"/>
    <w:rsid w:val="30160669"/>
    <w:rsid w:val="30550C0A"/>
    <w:rsid w:val="30733ACD"/>
    <w:rsid w:val="308C3862"/>
    <w:rsid w:val="309379D8"/>
    <w:rsid w:val="30A270F7"/>
    <w:rsid w:val="30AC36C4"/>
    <w:rsid w:val="30C250A7"/>
    <w:rsid w:val="30DF1478"/>
    <w:rsid w:val="30EC586F"/>
    <w:rsid w:val="314550B7"/>
    <w:rsid w:val="319C6071"/>
    <w:rsid w:val="31AC537E"/>
    <w:rsid w:val="31E3679B"/>
    <w:rsid w:val="31E732FD"/>
    <w:rsid w:val="320F0802"/>
    <w:rsid w:val="32517576"/>
    <w:rsid w:val="32860A62"/>
    <w:rsid w:val="32BE5C2C"/>
    <w:rsid w:val="32FB6478"/>
    <w:rsid w:val="33263B3F"/>
    <w:rsid w:val="333866C9"/>
    <w:rsid w:val="336963EB"/>
    <w:rsid w:val="33816EEB"/>
    <w:rsid w:val="339563DD"/>
    <w:rsid w:val="33EB55CD"/>
    <w:rsid w:val="33EC4C02"/>
    <w:rsid w:val="340D2360"/>
    <w:rsid w:val="3410665D"/>
    <w:rsid w:val="34211214"/>
    <w:rsid w:val="342D6DD2"/>
    <w:rsid w:val="342E63AB"/>
    <w:rsid w:val="34682754"/>
    <w:rsid w:val="34950E68"/>
    <w:rsid w:val="34986E94"/>
    <w:rsid w:val="34AF62C9"/>
    <w:rsid w:val="34CB4388"/>
    <w:rsid w:val="34EA3D1C"/>
    <w:rsid w:val="34FA6E12"/>
    <w:rsid w:val="354D7158"/>
    <w:rsid w:val="355B4723"/>
    <w:rsid w:val="358D5588"/>
    <w:rsid w:val="35B201B6"/>
    <w:rsid w:val="35D72B5B"/>
    <w:rsid w:val="3622369F"/>
    <w:rsid w:val="36293391"/>
    <w:rsid w:val="362958D9"/>
    <w:rsid w:val="363A3B40"/>
    <w:rsid w:val="365302AE"/>
    <w:rsid w:val="36607A0A"/>
    <w:rsid w:val="36624980"/>
    <w:rsid w:val="366E227C"/>
    <w:rsid w:val="366F2E0D"/>
    <w:rsid w:val="367B6A5C"/>
    <w:rsid w:val="36A34173"/>
    <w:rsid w:val="36A74ADA"/>
    <w:rsid w:val="36AD60D5"/>
    <w:rsid w:val="36B224F9"/>
    <w:rsid w:val="36EC0CC9"/>
    <w:rsid w:val="373F410B"/>
    <w:rsid w:val="376E6F3E"/>
    <w:rsid w:val="37CF2AD8"/>
    <w:rsid w:val="37EE7094"/>
    <w:rsid w:val="3817059E"/>
    <w:rsid w:val="38296C89"/>
    <w:rsid w:val="383002EB"/>
    <w:rsid w:val="383F5FBC"/>
    <w:rsid w:val="38586797"/>
    <w:rsid w:val="38BC0149"/>
    <w:rsid w:val="38D87D1C"/>
    <w:rsid w:val="392A4E0F"/>
    <w:rsid w:val="392A5B99"/>
    <w:rsid w:val="39636459"/>
    <w:rsid w:val="396B7F6C"/>
    <w:rsid w:val="39B417A9"/>
    <w:rsid w:val="39DC2ECE"/>
    <w:rsid w:val="39E5622F"/>
    <w:rsid w:val="39FC5695"/>
    <w:rsid w:val="39FF1A66"/>
    <w:rsid w:val="3A006D8E"/>
    <w:rsid w:val="3A117B17"/>
    <w:rsid w:val="3A3651E5"/>
    <w:rsid w:val="3A443028"/>
    <w:rsid w:val="3A6C6D28"/>
    <w:rsid w:val="3A744481"/>
    <w:rsid w:val="3A8C7BEF"/>
    <w:rsid w:val="3A906246"/>
    <w:rsid w:val="3B2349B7"/>
    <w:rsid w:val="3B3756FA"/>
    <w:rsid w:val="3B4B78B4"/>
    <w:rsid w:val="3B616CFF"/>
    <w:rsid w:val="3B6259F6"/>
    <w:rsid w:val="3B726DE6"/>
    <w:rsid w:val="3B976654"/>
    <w:rsid w:val="3BA31A2F"/>
    <w:rsid w:val="3BB12F3A"/>
    <w:rsid w:val="3BB50D82"/>
    <w:rsid w:val="3BC01EFC"/>
    <w:rsid w:val="3BCA786A"/>
    <w:rsid w:val="3BD31E2F"/>
    <w:rsid w:val="3BF15831"/>
    <w:rsid w:val="3BFA4B92"/>
    <w:rsid w:val="3C0E6CB3"/>
    <w:rsid w:val="3C105946"/>
    <w:rsid w:val="3C471448"/>
    <w:rsid w:val="3C5F759A"/>
    <w:rsid w:val="3C6C525A"/>
    <w:rsid w:val="3C795882"/>
    <w:rsid w:val="3CCE23CB"/>
    <w:rsid w:val="3CD17D17"/>
    <w:rsid w:val="3D17507E"/>
    <w:rsid w:val="3D3C7F39"/>
    <w:rsid w:val="3D440F09"/>
    <w:rsid w:val="3D4504A0"/>
    <w:rsid w:val="3D8734BB"/>
    <w:rsid w:val="3D9A11D4"/>
    <w:rsid w:val="3DA16D89"/>
    <w:rsid w:val="3DA364BE"/>
    <w:rsid w:val="3DC93312"/>
    <w:rsid w:val="3DD56C3A"/>
    <w:rsid w:val="3DE041CB"/>
    <w:rsid w:val="3E0D48F6"/>
    <w:rsid w:val="3E1868B4"/>
    <w:rsid w:val="3E377251"/>
    <w:rsid w:val="3E405586"/>
    <w:rsid w:val="3E42664B"/>
    <w:rsid w:val="3E510E87"/>
    <w:rsid w:val="3E5A7334"/>
    <w:rsid w:val="3E7B5D6B"/>
    <w:rsid w:val="3E843E66"/>
    <w:rsid w:val="3E8F51FE"/>
    <w:rsid w:val="3E926F87"/>
    <w:rsid w:val="3E9A59DE"/>
    <w:rsid w:val="3EAF4836"/>
    <w:rsid w:val="3EC33DFA"/>
    <w:rsid w:val="3ED11B82"/>
    <w:rsid w:val="3F060E16"/>
    <w:rsid w:val="3F1D1096"/>
    <w:rsid w:val="3F1F06F0"/>
    <w:rsid w:val="3F2F0234"/>
    <w:rsid w:val="3F423050"/>
    <w:rsid w:val="3F4E5D09"/>
    <w:rsid w:val="3F6363FE"/>
    <w:rsid w:val="3F756B8F"/>
    <w:rsid w:val="3F8413AB"/>
    <w:rsid w:val="3F95482B"/>
    <w:rsid w:val="3FD93128"/>
    <w:rsid w:val="3FEF13BA"/>
    <w:rsid w:val="4019356B"/>
    <w:rsid w:val="402D6D88"/>
    <w:rsid w:val="40483C6B"/>
    <w:rsid w:val="40592157"/>
    <w:rsid w:val="406E1CAE"/>
    <w:rsid w:val="40864ED4"/>
    <w:rsid w:val="40A0133A"/>
    <w:rsid w:val="40C31A53"/>
    <w:rsid w:val="40C47D07"/>
    <w:rsid w:val="40FF545D"/>
    <w:rsid w:val="410067C8"/>
    <w:rsid w:val="411E5140"/>
    <w:rsid w:val="418F0D2A"/>
    <w:rsid w:val="41D01505"/>
    <w:rsid w:val="41E31414"/>
    <w:rsid w:val="41E85F56"/>
    <w:rsid w:val="42474939"/>
    <w:rsid w:val="424C3C57"/>
    <w:rsid w:val="42613FF3"/>
    <w:rsid w:val="42660D96"/>
    <w:rsid w:val="428667D2"/>
    <w:rsid w:val="42CD1CE0"/>
    <w:rsid w:val="42D64229"/>
    <w:rsid w:val="42E1381E"/>
    <w:rsid w:val="42ED6459"/>
    <w:rsid w:val="42FE58DD"/>
    <w:rsid w:val="43174B3D"/>
    <w:rsid w:val="434B790E"/>
    <w:rsid w:val="435D1241"/>
    <w:rsid w:val="4360274F"/>
    <w:rsid w:val="43897C45"/>
    <w:rsid w:val="43977AB6"/>
    <w:rsid w:val="43A3342B"/>
    <w:rsid w:val="43B241D8"/>
    <w:rsid w:val="43C77C27"/>
    <w:rsid w:val="43DE09EE"/>
    <w:rsid w:val="43F056D4"/>
    <w:rsid w:val="44002FAD"/>
    <w:rsid w:val="44123ED4"/>
    <w:rsid w:val="446D1793"/>
    <w:rsid w:val="449101DD"/>
    <w:rsid w:val="44DE1391"/>
    <w:rsid w:val="451B225C"/>
    <w:rsid w:val="452410C9"/>
    <w:rsid w:val="45317DFB"/>
    <w:rsid w:val="456D3CE4"/>
    <w:rsid w:val="4579042C"/>
    <w:rsid w:val="457F0571"/>
    <w:rsid w:val="45851176"/>
    <w:rsid w:val="45C63B94"/>
    <w:rsid w:val="45C71987"/>
    <w:rsid w:val="460E7DA5"/>
    <w:rsid w:val="46276812"/>
    <w:rsid w:val="46422483"/>
    <w:rsid w:val="4659254A"/>
    <w:rsid w:val="465B0637"/>
    <w:rsid w:val="465E3F0D"/>
    <w:rsid w:val="466A16E6"/>
    <w:rsid w:val="46893F2B"/>
    <w:rsid w:val="46922B69"/>
    <w:rsid w:val="46AC5084"/>
    <w:rsid w:val="46C4686E"/>
    <w:rsid w:val="46E83842"/>
    <w:rsid w:val="4725048F"/>
    <w:rsid w:val="477B778F"/>
    <w:rsid w:val="478203EC"/>
    <w:rsid w:val="47B025FA"/>
    <w:rsid w:val="4809698F"/>
    <w:rsid w:val="4811697D"/>
    <w:rsid w:val="487A3E25"/>
    <w:rsid w:val="488B5503"/>
    <w:rsid w:val="48937E21"/>
    <w:rsid w:val="489A0361"/>
    <w:rsid w:val="48B94FF3"/>
    <w:rsid w:val="48C97DB4"/>
    <w:rsid w:val="48E37AAB"/>
    <w:rsid w:val="48FD4B4C"/>
    <w:rsid w:val="490A68E0"/>
    <w:rsid w:val="491055FE"/>
    <w:rsid w:val="495F5B3E"/>
    <w:rsid w:val="496455DB"/>
    <w:rsid w:val="496F77D7"/>
    <w:rsid w:val="497654FD"/>
    <w:rsid w:val="49B64211"/>
    <w:rsid w:val="49CB01FA"/>
    <w:rsid w:val="49E56AF9"/>
    <w:rsid w:val="49F6167F"/>
    <w:rsid w:val="4A064FA0"/>
    <w:rsid w:val="4A16615C"/>
    <w:rsid w:val="4A2D01E3"/>
    <w:rsid w:val="4A4424D7"/>
    <w:rsid w:val="4AB82D0F"/>
    <w:rsid w:val="4AEB7664"/>
    <w:rsid w:val="4AFD7C19"/>
    <w:rsid w:val="4B0567D1"/>
    <w:rsid w:val="4B236AAE"/>
    <w:rsid w:val="4B4E75D6"/>
    <w:rsid w:val="4B707271"/>
    <w:rsid w:val="4B867A73"/>
    <w:rsid w:val="4B9739F7"/>
    <w:rsid w:val="4BEE2503"/>
    <w:rsid w:val="4C245A30"/>
    <w:rsid w:val="4CB6685F"/>
    <w:rsid w:val="4CC367FE"/>
    <w:rsid w:val="4CD153DA"/>
    <w:rsid w:val="4CF83054"/>
    <w:rsid w:val="4D077F3C"/>
    <w:rsid w:val="4D123355"/>
    <w:rsid w:val="4D2A3B31"/>
    <w:rsid w:val="4D312C52"/>
    <w:rsid w:val="4D5C0655"/>
    <w:rsid w:val="4D905305"/>
    <w:rsid w:val="4D964A72"/>
    <w:rsid w:val="4D9C1254"/>
    <w:rsid w:val="4DA228F6"/>
    <w:rsid w:val="4DC1161F"/>
    <w:rsid w:val="4E335276"/>
    <w:rsid w:val="4E793892"/>
    <w:rsid w:val="4E800872"/>
    <w:rsid w:val="4E8D05BA"/>
    <w:rsid w:val="4EA001D2"/>
    <w:rsid w:val="4EA20185"/>
    <w:rsid w:val="4EC569ED"/>
    <w:rsid w:val="4ED50EA1"/>
    <w:rsid w:val="4EEC050C"/>
    <w:rsid w:val="4F104EC3"/>
    <w:rsid w:val="4F47354A"/>
    <w:rsid w:val="4F4A74BF"/>
    <w:rsid w:val="4F911C54"/>
    <w:rsid w:val="4FE117CF"/>
    <w:rsid w:val="4FE625E0"/>
    <w:rsid w:val="4FF2066A"/>
    <w:rsid w:val="50195B48"/>
    <w:rsid w:val="5021480F"/>
    <w:rsid w:val="50962ECB"/>
    <w:rsid w:val="50A42E38"/>
    <w:rsid w:val="50A4577F"/>
    <w:rsid w:val="50B73D1F"/>
    <w:rsid w:val="50BD5BC9"/>
    <w:rsid w:val="50C11EEE"/>
    <w:rsid w:val="50E97CFC"/>
    <w:rsid w:val="50FA4028"/>
    <w:rsid w:val="510D65B7"/>
    <w:rsid w:val="511157AB"/>
    <w:rsid w:val="5142540C"/>
    <w:rsid w:val="51521762"/>
    <w:rsid w:val="518832C8"/>
    <w:rsid w:val="519C0CDD"/>
    <w:rsid w:val="519D3C50"/>
    <w:rsid w:val="51A0432A"/>
    <w:rsid w:val="51A86090"/>
    <w:rsid w:val="51B7396D"/>
    <w:rsid w:val="522257EC"/>
    <w:rsid w:val="522E4CC3"/>
    <w:rsid w:val="5244713B"/>
    <w:rsid w:val="525B1CED"/>
    <w:rsid w:val="52615633"/>
    <w:rsid w:val="526F4DE4"/>
    <w:rsid w:val="52977FD4"/>
    <w:rsid w:val="52A25790"/>
    <w:rsid w:val="52A96B6F"/>
    <w:rsid w:val="52B45975"/>
    <w:rsid w:val="52D94AA4"/>
    <w:rsid w:val="52EA3A62"/>
    <w:rsid w:val="52F50BB8"/>
    <w:rsid w:val="53097272"/>
    <w:rsid w:val="53544462"/>
    <w:rsid w:val="535A0839"/>
    <w:rsid w:val="53837B1B"/>
    <w:rsid w:val="53947BE8"/>
    <w:rsid w:val="5397158E"/>
    <w:rsid w:val="53D41856"/>
    <w:rsid w:val="53E30641"/>
    <w:rsid w:val="53E62FDC"/>
    <w:rsid w:val="53EE6917"/>
    <w:rsid w:val="54013861"/>
    <w:rsid w:val="540473E2"/>
    <w:rsid w:val="540B6EFF"/>
    <w:rsid w:val="54487265"/>
    <w:rsid w:val="544D6070"/>
    <w:rsid w:val="54605E1E"/>
    <w:rsid w:val="546476E8"/>
    <w:rsid w:val="54B3506A"/>
    <w:rsid w:val="54CA0D16"/>
    <w:rsid w:val="54D95B26"/>
    <w:rsid w:val="54DD4057"/>
    <w:rsid w:val="54E7490F"/>
    <w:rsid w:val="54EC12CA"/>
    <w:rsid w:val="550764A4"/>
    <w:rsid w:val="550B2BF6"/>
    <w:rsid w:val="55214EB5"/>
    <w:rsid w:val="55364EFD"/>
    <w:rsid w:val="555D4828"/>
    <w:rsid w:val="55695711"/>
    <w:rsid w:val="5572546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7F05846"/>
    <w:rsid w:val="586424F7"/>
    <w:rsid w:val="586A1498"/>
    <w:rsid w:val="58917D2F"/>
    <w:rsid w:val="5894085C"/>
    <w:rsid w:val="5894176A"/>
    <w:rsid w:val="58AE4F0C"/>
    <w:rsid w:val="58B85899"/>
    <w:rsid w:val="58D01CCB"/>
    <w:rsid w:val="58E363A9"/>
    <w:rsid w:val="595E1678"/>
    <w:rsid w:val="596D5BD4"/>
    <w:rsid w:val="597E3DD8"/>
    <w:rsid w:val="59CC2E41"/>
    <w:rsid w:val="59F27234"/>
    <w:rsid w:val="59F80043"/>
    <w:rsid w:val="5A09252F"/>
    <w:rsid w:val="5A0B2778"/>
    <w:rsid w:val="5A2A7C7B"/>
    <w:rsid w:val="5A3E2560"/>
    <w:rsid w:val="5A5D3B6E"/>
    <w:rsid w:val="5A637A76"/>
    <w:rsid w:val="5A6D33BA"/>
    <w:rsid w:val="5A792B1F"/>
    <w:rsid w:val="5A874767"/>
    <w:rsid w:val="5AA85BE2"/>
    <w:rsid w:val="5AAD6F28"/>
    <w:rsid w:val="5AD63A24"/>
    <w:rsid w:val="5B084A0C"/>
    <w:rsid w:val="5B0B1755"/>
    <w:rsid w:val="5B2E1A1D"/>
    <w:rsid w:val="5B843A1C"/>
    <w:rsid w:val="5B873E3F"/>
    <w:rsid w:val="5BB02CB4"/>
    <w:rsid w:val="5BCF7397"/>
    <w:rsid w:val="5BEF1E68"/>
    <w:rsid w:val="5BF571F4"/>
    <w:rsid w:val="5BF84792"/>
    <w:rsid w:val="5C02690E"/>
    <w:rsid w:val="5C196DA7"/>
    <w:rsid w:val="5C2A048C"/>
    <w:rsid w:val="5C80234E"/>
    <w:rsid w:val="5C875BEB"/>
    <w:rsid w:val="5C8A680C"/>
    <w:rsid w:val="5CC11096"/>
    <w:rsid w:val="5D0C4701"/>
    <w:rsid w:val="5D0F0395"/>
    <w:rsid w:val="5D221076"/>
    <w:rsid w:val="5D397964"/>
    <w:rsid w:val="5D5941A4"/>
    <w:rsid w:val="5D5A391C"/>
    <w:rsid w:val="5D5F10C0"/>
    <w:rsid w:val="5D891B7B"/>
    <w:rsid w:val="5D9F67A1"/>
    <w:rsid w:val="5DAD38EE"/>
    <w:rsid w:val="5DD406FA"/>
    <w:rsid w:val="5E006862"/>
    <w:rsid w:val="5E0207B9"/>
    <w:rsid w:val="5E1834A1"/>
    <w:rsid w:val="5E261785"/>
    <w:rsid w:val="5E4A7017"/>
    <w:rsid w:val="5E552BBA"/>
    <w:rsid w:val="5E611C10"/>
    <w:rsid w:val="5E7A0F3F"/>
    <w:rsid w:val="5E8629EC"/>
    <w:rsid w:val="5EF32A72"/>
    <w:rsid w:val="5EFC7377"/>
    <w:rsid w:val="5F06174D"/>
    <w:rsid w:val="5F21102F"/>
    <w:rsid w:val="5F3A3602"/>
    <w:rsid w:val="5F3B5588"/>
    <w:rsid w:val="5F45733B"/>
    <w:rsid w:val="5F6277C6"/>
    <w:rsid w:val="5F6D0B1D"/>
    <w:rsid w:val="5F8D0B82"/>
    <w:rsid w:val="5F980AF8"/>
    <w:rsid w:val="5FB048AE"/>
    <w:rsid w:val="5FCC5339"/>
    <w:rsid w:val="5FDF5BB3"/>
    <w:rsid w:val="5FE34A5B"/>
    <w:rsid w:val="5FFE1E36"/>
    <w:rsid w:val="60232584"/>
    <w:rsid w:val="60493394"/>
    <w:rsid w:val="60555ECC"/>
    <w:rsid w:val="60703BBC"/>
    <w:rsid w:val="607330CE"/>
    <w:rsid w:val="60825176"/>
    <w:rsid w:val="609F2AC4"/>
    <w:rsid w:val="60FA2EE8"/>
    <w:rsid w:val="61054A27"/>
    <w:rsid w:val="610658C8"/>
    <w:rsid w:val="610A52BC"/>
    <w:rsid w:val="611D2366"/>
    <w:rsid w:val="61421856"/>
    <w:rsid w:val="615227C4"/>
    <w:rsid w:val="61654E3F"/>
    <w:rsid w:val="6182292A"/>
    <w:rsid w:val="619F7F92"/>
    <w:rsid w:val="61F94C26"/>
    <w:rsid w:val="62000E56"/>
    <w:rsid w:val="624F3E49"/>
    <w:rsid w:val="62632286"/>
    <w:rsid w:val="62885958"/>
    <w:rsid w:val="62F40B65"/>
    <w:rsid w:val="62F57AED"/>
    <w:rsid w:val="62FC2CFE"/>
    <w:rsid w:val="63024505"/>
    <w:rsid w:val="632F1968"/>
    <w:rsid w:val="635600A5"/>
    <w:rsid w:val="635B1DB5"/>
    <w:rsid w:val="63711FED"/>
    <w:rsid w:val="63880DDC"/>
    <w:rsid w:val="638D750D"/>
    <w:rsid w:val="63A577D2"/>
    <w:rsid w:val="63AC6CC0"/>
    <w:rsid w:val="63FE229B"/>
    <w:rsid w:val="64055776"/>
    <w:rsid w:val="64240056"/>
    <w:rsid w:val="643E143A"/>
    <w:rsid w:val="644375BE"/>
    <w:rsid w:val="64491666"/>
    <w:rsid w:val="645E40C5"/>
    <w:rsid w:val="64625357"/>
    <w:rsid w:val="648B6EEF"/>
    <w:rsid w:val="64973DE2"/>
    <w:rsid w:val="64C158BF"/>
    <w:rsid w:val="64CE2EAA"/>
    <w:rsid w:val="64FF402A"/>
    <w:rsid w:val="653C3090"/>
    <w:rsid w:val="65854376"/>
    <w:rsid w:val="65856625"/>
    <w:rsid w:val="658767BE"/>
    <w:rsid w:val="65892531"/>
    <w:rsid w:val="658F317C"/>
    <w:rsid w:val="659C699F"/>
    <w:rsid w:val="65DD6CF1"/>
    <w:rsid w:val="66195831"/>
    <w:rsid w:val="66234782"/>
    <w:rsid w:val="662E75B1"/>
    <w:rsid w:val="66342C2E"/>
    <w:rsid w:val="663A1A20"/>
    <w:rsid w:val="663E784C"/>
    <w:rsid w:val="668B6A45"/>
    <w:rsid w:val="669D10AB"/>
    <w:rsid w:val="67011F07"/>
    <w:rsid w:val="672F3F24"/>
    <w:rsid w:val="673E055F"/>
    <w:rsid w:val="67551CE3"/>
    <w:rsid w:val="67A22552"/>
    <w:rsid w:val="67B22DCC"/>
    <w:rsid w:val="67B361D3"/>
    <w:rsid w:val="67BE71AA"/>
    <w:rsid w:val="67C04916"/>
    <w:rsid w:val="67C478F5"/>
    <w:rsid w:val="67D90273"/>
    <w:rsid w:val="67DE5875"/>
    <w:rsid w:val="67E55852"/>
    <w:rsid w:val="67EB1AB4"/>
    <w:rsid w:val="67FA1285"/>
    <w:rsid w:val="680430A7"/>
    <w:rsid w:val="68374360"/>
    <w:rsid w:val="68551F4F"/>
    <w:rsid w:val="687C10C9"/>
    <w:rsid w:val="68840C16"/>
    <w:rsid w:val="68872541"/>
    <w:rsid w:val="68876EFB"/>
    <w:rsid w:val="68884654"/>
    <w:rsid w:val="689F444F"/>
    <w:rsid w:val="68B96DBB"/>
    <w:rsid w:val="68CA2805"/>
    <w:rsid w:val="68E937A3"/>
    <w:rsid w:val="691664E5"/>
    <w:rsid w:val="693E15D3"/>
    <w:rsid w:val="69627681"/>
    <w:rsid w:val="6977531D"/>
    <w:rsid w:val="69AF5205"/>
    <w:rsid w:val="69CC2BFF"/>
    <w:rsid w:val="69D86B42"/>
    <w:rsid w:val="69DC4DAF"/>
    <w:rsid w:val="69FD55B8"/>
    <w:rsid w:val="6A0B1C62"/>
    <w:rsid w:val="6A2406C8"/>
    <w:rsid w:val="6ADD77AA"/>
    <w:rsid w:val="6ADE0BD1"/>
    <w:rsid w:val="6AE96859"/>
    <w:rsid w:val="6B147746"/>
    <w:rsid w:val="6B24787C"/>
    <w:rsid w:val="6B43778D"/>
    <w:rsid w:val="6B573233"/>
    <w:rsid w:val="6B5B6274"/>
    <w:rsid w:val="6B793D2A"/>
    <w:rsid w:val="6B935D53"/>
    <w:rsid w:val="6BB50DB1"/>
    <w:rsid w:val="6C196F71"/>
    <w:rsid w:val="6C226FCB"/>
    <w:rsid w:val="6C243CF9"/>
    <w:rsid w:val="6C31226F"/>
    <w:rsid w:val="6C552F0B"/>
    <w:rsid w:val="6C8C67B7"/>
    <w:rsid w:val="6C9D744C"/>
    <w:rsid w:val="6D167928"/>
    <w:rsid w:val="6D26299B"/>
    <w:rsid w:val="6D402BFE"/>
    <w:rsid w:val="6D4772EC"/>
    <w:rsid w:val="6D684262"/>
    <w:rsid w:val="6D78223D"/>
    <w:rsid w:val="6D9078AF"/>
    <w:rsid w:val="6DAA3FEF"/>
    <w:rsid w:val="6DC0172B"/>
    <w:rsid w:val="6DCB690C"/>
    <w:rsid w:val="6DD41A5B"/>
    <w:rsid w:val="6DF43C2E"/>
    <w:rsid w:val="6DF51CA3"/>
    <w:rsid w:val="6E3E08F3"/>
    <w:rsid w:val="6E6C3888"/>
    <w:rsid w:val="6E8335BD"/>
    <w:rsid w:val="6E8E12EF"/>
    <w:rsid w:val="6E972936"/>
    <w:rsid w:val="6E9F6F6A"/>
    <w:rsid w:val="6EC62479"/>
    <w:rsid w:val="6ED446C5"/>
    <w:rsid w:val="6EF37FC9"/>
    <w:rsid w:val="6F1472ED"/>
    <w:rsid w:val="6F2A7D94"/>
    <w:rsid w:val="6F8331F1"/>
    <w:rsid w:val="6FAE1A09"/>
    <w:rsid w:val="6FBA736C"/>
    <w:rsid w:val="6FD043EC"/>
    <w:rsid w:val="6FD75BF8"/>
    <w:rsid w:val="707723D0"/>
    <w:rsid w:val="70EE73C7"/>
    <w:rsid w:val="70F5661B"/>
    <w:rsid w:val="7100489E"/>
    <w:rsid w:val="71360107"/>
    <w:rsid w:val="713B688E"/>
    <w:rsid w:val="717B3CF3"/>
    <w:rsid w:val="71D43752"/>
    <w:rsid w:val="71DF641A"/>
    <w:rsid w:val="71F1796A"/>
    <w:rsid w:val="72027F54"/>
    <w:rsid w:val="720C127E"/>
    <w:rsid w:val="72154626"/>
    <w:rsid w:val="72262B5D"/>
    <w:rsid w:val="72283FF7"/>
    <w:rsid w:val="722E7212"/>
    <w:rsid w:val="723A0474"/>
    <w:rsid w:val="724D3D0E"/>
    <w:rsid w:val="725923E4"/>
    <w:rsid w:val="72864BF7"/>
    <w:rsid w:val="729023FC"/>
    <w:rsid w:val="72CA3148"/>
    <w:rsid w:val="72D373ED"/>
    <w:rsid w:val="7395391F"/>
    <w:rsid w:val="73C0646E"/>
    <w:rsid w:val="742222F5"/>
    <w:rsid w:val="74355F75"/>
    <w:rsid w:val="74476126"/>
    <w:rsid w:val="74706664"/>
    <w:rsid w:val="747F3682"/>
    <w:rsid w:val="74807619"/>
    <w:rsid w:val="749C4185"/>
    <w:rsid w:val="74B83EDD"/>
    <w:rsid w:val="74E928C1"/>
    <w:rsid w:val="75067759"/>
    <w:rsid w:val="752E6DCD"/>
    <w:rsid w:val="7551380D"/>
    <w:rsid w:val="75600BE5"/>
    <w:rsid w:val="7564475C"/>
    <w:rsid w:val="7583797F"/>
    <w:rsid w:val="758644F6"/>
    <w:rsid w:val="75D20F1D"/>
    <w:rsid w:val="75DA2C18"/>
    <w:rsid w:val="75EF4095"/>
    <w:rsid w:val="75F54412"/>
    <w:rsid w:val="761D08E0"/>
    <w:rsid w:val="762D3DA6"/>
    <w:rsid w:val="765D347C"/>
    <w:rsid w:val="766B2D98"/>
    <w:rsid w:val="766C1956"/>
    <w:rsid w:val="766E5940"/>
    <w:rsid w:val="76826699"/>
    <w:rsid w:val="76C87133"/>
    <w:rsid w:val="76CD08D5"/>
    <w:rsid w:val="76DB4B92"/>
    <w:rsid w:val="76FD013A"/>
    <w:rsid w:val="77052AA4"/>
    <w:rsid w:val="77136511"/>
    <w:rsid w:val="77340A39"/>
    <w:rsid w:val="77351FD0"/>
    <w:rsid w:val="77472422"/>
    <w:rsid w:val="77516237"/>
    <w:rsid w:val="77790B15"/>
    <w:rsid w:val="777F31F2"/>
    <w:rsid w:val="77B70463"/>
    <w:rsid w:val="77D1700D"/>
    <w:rsid w:val="77D97B0E"/>
    <w:rsid w:val="77EC04CC"/>
    <w:rsid w:val="78073B29"/>
    <w:rsid w:val="78775729"/>
    <w:rsid w:val="78A42DB0"/>
    <w:rsid w:val="78A656AB"/>
    <w:rsid w:val="78AB3846"/>
    <w:rsid w:val="78B2245C"/>
    <w:rsid w:val="78C41355"/>
    <w:rsid w:val="78CB1DC8"/>
    <w:rsid w:val="78E172CC"/>
    <w:rsid w:val="78EA1D1F"/>
    <w:rsid w:val="78F11B0C"/>
    <w:rsid w:val="7904172F"/>
    <w:rsid w:val="790D73A9"/>
    <w:rsid w:val="790F7E27"/>
    <w:rsid w:val="792A231A"/>
    <w:rsid w:val="79316829"/>
    <w:rsid w:val="79612A5E"/>
    <w:rsid w:val="797E1D12"/>
    <w:rsid w:val="797E66A9"/>
    <w:rsid w:val="798518A4"/>
    <w:rsid w:val="79A97383"/>
    <w:rsid w:val="79BE0617"/>
    <w:rsid w:val="79C558CE"/>
    <w:rsid w:val="79E27E8B"/>
    <w:rsid w:val="79F7134D"/>
    <w:rsid w:val="79F850CE"/>
    <w:rsid w:val="79FD443C"/>
    <w:rsid w:val="7A1D1975"/>
    <w:rsid w:val="7A3E5150"/>
    <w:rsid w:val="7A4670D6"/>
    <w:rsid w:val="7A534B63"/>
    <w:rsid w:val="7A5D48D3"/>
    <w:rsid w:val="7A615382"/>
    <w:rsid w:val="7A67303B"/>
    <w:rsid w:val="7AAB1D04"/>
    <w:rsid w:val="7AAD3CFE"/>
    <w:rsid w:val="7ABA4368"/>
    <w:rsid w:val="7AD05746"/>
    <w:rsid w:val="7AE12897"/>
    <w:rsid w:val="7AEF195D"/>
    <w:rsid w:val="7B16379A"/>
    <w:rsid w:val="7B257FFD"/>
    <w:rsid w:val="7B273D20"/>
    <w:rsid w:val="7B2966A8"/>
    <w:rsid w:val="7B343476"/>
    <w:rsid w:val="7B522F29"/>
    <w:rsid w:val="7B5A2978"/>
    <w:rsid w:val="7B5A7E4C"/>
    <w:rsid w:val="7B667AF9"/>
    <w:rsid w:val="7B7468F8"/>
    <w:rsid w:val="7BD51939"/>
    <w:rsid w:val="7BDA2121"/>
    <w:rsid w:val="7BEE0103"/>
    <w:rsid w:val="7C0A0FE4"/>
    <w:rsid w:val="7C0D42B5"/>
    <w:rsid w:val="7C1B4DA1"/>
    <w:rsid w:val="7C254906"/>
    <w:rsid w:val="7C590818"/>
    <w:rsid w:val="7C7C10F6"/>
    <w:rsid w:val="7C853BEA"/>
    <w:rsid w:val="7C881368"/>
    <w:rsid w:val="7CE27788"/>
    <w:rsid w:val="7D0C32F1"/>
    <w:rsid w:val="7D0F408D"/>
    <w:rsid w:val="7D3B07A8"/>
    <w:rsid w:val="7D491C6C"/>
    <w:rsid w:val="7D5429C0"/>
    <w:rsid w:val="7D6E6D43"/>
    <w:rsid w:val="7DB57A34"/>
    <w:rsid w:val="7DD05473"/>
    <w:rsid w:val="7DE60973"/>
    <w:rsid w:val="7DEF0916"/>
    <w:rsid w:val="7E1E5218"/>
    <w:rsid w:val="7E2278DA"/>
    <w:rsid w:val="7E2D5831"/>
    <w:rsid w:val="7E4E57A5"/>
    <w:rsid w:val="7E9A4E1F"/>
    <w:rsid w:val="7EA7723A"/>
    <w:rsid w:val="7EF56FBB"/>
    <w:rsid w:val="7F0768EB"/>
    <w:rsid w:val="7F143BEC"/>
    <w:rsid w:val="7F152092"/>
    <w:rsid w:val="7F26150E"/>
    <w:rsid w:val="7F715AF2"/>
    <w:rsid w:val="7F886E69"/>
    <w:rsid w:val="7FB00F42"/>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25">
    <w:name w:val="Body Text Indent"/>
    <w:basedOn w:val="1"/>
    <w:next w:val="26"/>
    <w:link w:val="262"/>
    <w:qFormat/>
    <w:uiPriority w:val="0"/>
    <w:pPr>
      <w:spacing w:line="480" w:lineRule="exact"/>
      <w:ind w:firstLine="480" w:firstLineChars="200"/>
    </w:pPr>
    <w:rPr>
      <w:rFonts w:ascii="宋体" w:hAnsi="宋体"/>
      <w:sz w:val="24"/>
    </w:rPr>
  </w:style>
  <w:style w:type="paragraph" w:styleId="26">
    <w:name w:val="Body Text First Indent 2"/>
    <w:basedOn w:val="25"/>
    <w:next w:val="23"/>
    <w:link w:val="118"/>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2"/>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8"/>
    <w:qFormat/>
    <w:uiPriority w:val="0"/>
    <w:pPr>
      <w:ind w:left="100" w:leftChars="2500"/>
    </w:pPr>
    <w:rPr>
      <w:rFonts w:ascii="宋体"/>
      <w:sz w:val="24"/>
      <w:szCs w:val="21"/>
      <w:lang w:val="zh-CN"/>
    </w:rPr>
  </w:style>
  <w:style w:type="paragraph" w:styleId="38">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5"/>
    <w:qFormat/>
    <w:uiPriority w:val="0"/>
    <w:rPr>
      <w:sz w:val="18"/>
      <w:szCs w:val="18"/>
    </w:rPr>
  </w:style>
  <w:style w:type="paragraph" w:styleId="41">
    <w:name w:val="footer"/>
    <w:basedOn w:val="1"/>
    <w:link w:val="380"/>
    <w:qFormat/>
    <w:uiPriority w:val="99"/>
    <w:pPr>
      <w:tabs>
        <w:tab w:val="center" w:pos="4153"/>
        <w:tab w:val="right" w:pos="8306"/>
      </w:tabs>
      <w:snapToGrid w:val="0"/>
      <w:jc w:val="left"/>
    </w:pPr>
    <w:rPr>
      <w:sz w:val="18"/>
      <w:szCs w:val="18"/>
    </w:rPr>
  </w:style>
  <w:style w:type="paragraph" w:styleId="42">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3"/>
    <w:qFormat/>
    <w:uiPriority w:val="0"/>
    <w:rPr>
      <w:b/>
      <w:bCs/>
    </w:rPr>
  </w:style>
  <w:style w:type="paragraph" w:styleId="61">
    <w:name w:val="Body Text First Indent"/>
    <w:basedOn w:val="23"/>
    <w:next w:val="1"/>
    <w:link w:val="318"/>
    <w:qFormat/>
    <w:uiPriority w:val="0"/>
    <w:pPr>
      <w:ind w:firstLine="420"/>
    </w:pPr>
    <w:rPr>
      <w:rFonts w:hAnsi="Calibri" w:cs="Times New Roman"/>
      <w:snapToGrid/>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26"/>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24"/>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7"/>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40"/>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1"/>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2"/>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7"/>
    <w:qFormat/>
    <w:uiPriority w:val="0"/>
    <w:rPr>
      <w:rFonts w:ascii="黑体" w:hAnsi="Courier New" w:eastAsia="黑体"/>
    </w:rPr>
  </w:style>
  <w:style w:type="character" w:customStyle="1" w:styleId="299">
    <w:name w:val="正文文本 2 Char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8"/>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1"/>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99"/>
    <w:rPr>
      <w:kern w:val="2"/>
      <w:sz w:val="21"/>
      <w:szCs w:val="24"/>
    </w:rPr>
  </w:style>
  <w:style w:type="character" w:customStyle="1" w:styleId="342">
    <w:name w:val="签名 Char"/>
    <w:link w:val="43"/>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1"/>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2"/>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9"/>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Plain Text"/>
    <w:basedOn w:val="1"/>
    <w:qFormat/>
    <w:uiPriority w:val="0"/>
    <w:rPr>
      <w:rFonts w:ascii="宋体" w:hAnsi="Courier New" w:cs="Times New Roman"/>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89</Pages>
  <Words>3193</Words>
  <Characters>3635</Characters>
  <Lines>281</Lines>
  <Paragraphs>79</Paragraphs>
  <TotalTime>16</TotalTime>
  <ScaleCrop>false</ScaleCrop>
  <LinksUpToDate>false</LinksUpToDate>
  <CharactersWithSpaces>3911</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YE202208</cp:lastModifiedBy>
  <cp:lastPrinted>2021-12-27T11:06:00Z</cp:lastPrinted>
  <dcterms:modified xsi:type="dcterms:W3CDTF">2025-07-08T00:47:57Z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4BE63754013D4F6F8DF0DF0D98D4DF73_13</vt:lpwstr>
  </property>
  <property fmtid="{D5CDD505-2E9C-101B-9397-08002B2CF9AE}" pid="5" name="KSOTemplateDocerSaveRecord">
    <vt:lpwstr>eyJoZGlkIjoiZTVlZmI1ZmFiYTc5ODU2MGMzOWIyYWRmMzVlNmJlMDQifQ==</vt:lpwstr>
  </property>
</Properties>
</file>