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温州市司法局综合物业管理服务采购项目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hint="eastAsia" w:ascii="宋体" w:hAnsi="宋体" w:cs="宋体"/>
          <w:sz w:val="48"/>
          <w:szCs w:val="48"/>
        </w:rPr>
      </w:pPr>
      <w:r>
        <w:rPr>
          <w:rFonts w:hint="eastAsia" w:ascii="宋体" w:hAnsi="宋体" w:cs="宋体"/>
          <w:b/>
          <w:sz w:val="44"/>
          <w:szCs w:val="44"/>
        </w:rPr>
        <w:t xml:space="preserve"> </w:t>
      </w:r>
      <w:r>
        <w:rPr>
          <w:rFonts w:hint="eastAsia" w:ascii="宋体" w:hAnsi="宋体" w:cs="宋体"/>
          <w:sz w:val="48"/>
          <w:szCs w:val="48"/>
          <w:lang w:val="en-US" w:eastAsia="zh-CN"/>
        </w:rPr>
        <w:t>公开招标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lang w:eastAsia="zh-CN"/>
        </w:rPr>
        <w:t>Z-GB202405280006JJG</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温州市司法局（温州市行政复议局）</w:t>
      </w:r>
    </w:p>
    <w:p>
      <w:pPr>
        <w:snapToGrid w:val="0"/>
        <w:spacing w:line="36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温州市政务服务管理中心（温州市政府采购中心）</w:t>
      </w:r>
    </w:p>
    <w:p>
      <w:pPr>
        <w:snapToGrid w:val="0"/>
        <w:spacing w:line="36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二〇</w:t>
      </w:r>
      <w:r>
        <w:rPr>
          <w:rFonts w:hint="eastAsia" w:ascii="宋体" w:hAnsi="宋体" w:cs="宋体"/>
          <w:color w:val="000000" w:themeColor="text1"/>
          <w:sz w:val="32"/>
          <w:szCs w:val="32"/>
          <w:lang w:val="en-US" w:eastAsia="zh-CN"/>
          <w14:textFill>
            <w14:solidFill>
              <w14:schemeClr w14:val="tx1"/>
            </w14:solidFill>
          </w14:textFill>
        </w:rPr>
        <w:t>二四</w:t>
      </w:r>
      <w:r>
        <w:rPr>
          <w:rFonts w:hint="eastAsia" w:ascii="宋体" w:hAnsi="宋体" w:cs="宋体"/>
          <w:color w:val="000000" w:themeColor="text1"/>
          <w:sz w:val="32"/>
          <w:szCs w:val="32"/>
          <w:lang w:eastAsia="zh-CN"/>
          <w14:textFill>
            <w14:solidFill>
              <w14:schemeClr w14:val="tx1"/>
            </w14:solidFill>
          </w14:textFill>
        </w:rPr>
        <w:t>年</w:t>
      </w:r>
      <w:r>
        <w:rPr>
          <w:rFonts w:hint="eastAsia" w:ascii="宋体" w:hAnsi="宋体" w:cs="宋体"/>
          <w:color w:val="000000" w:themeColor="text1"/>
          <w:sz w:val="32"/>
          <w:szCs w:val="32"/>
          <w:lang w:val="en-US" w:eastAsia="zh-CN"/>
          <w14:textFill>
            <w14:solidFill>
              <w14:schemeClr w14:val="tx1"/>
            </w14:solidFill>
          </w14:textFill>
        </w:rPr>
        <w:t>五</w:t>
      </w:r>
      <w:r>
        <w:rPr>
          <w:rFonts w:hint="eastAsia" w:ascii="宋体" w:hAnsi="宋体" w:cs="宋体"/>
          <w:color w:val="000000" w:themeColor="text1"/>
          <w:sz w:val="32"/>
          <w:szCs w:val="32"/>
          <w:lang w:eastAsia="zh-CN"/>
          <w14:textFill>
            <w14:solidFill>
              <w14:schemeClr w14:val="tx1"/>
            </w14:solidFill>
          </w14:textFill>
        </w:rPr>
        <w:t>月</w:t>
      </w:r>
      <w:r>
        <w:rPr>
          <w:rFonts w:hint="eastAsia" w:ascii="宋体" w:hAnsi="宋体" w:cs="宋体"/>
          <w:color w:val="000000" w:themeColor="text1"/>
          <w:sz w:val="32"/>
          <w:szCs w:val="32"/>
          <w:lang w:val="en-US" w:eastAsia="zh-CN"/>
          <w14:textFill>
            <w14:solidFill>
              <w14:schemeClr w14:val="tx1"/>
            </w14:solidFill>
          </w14:textFill>
        </w:rPr>
        <w:t>二十八</w:t>
      </w:r>
      <w:r>
        <w:rPr>
          <w:rFonts w:hint="eastAsia" w:ascii="宋体" w:hAnsi="宋体" w:cs="宋体"/>
          <w:color w:val="000000" w:themeColor="text1"/>
          <w:sz w:val="32"/>
          <w:szCs w:val="32"/>
          <w:lang w:eastAsia="zh-CN"/>
          <w14:textFill>
            <w14:solidFill>
              <w14:schemeClr w14:val="tx1"/>
            </w14:solidFill>
          </w14:textFill>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第一部分      招标公告</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第二部分      投标人须知</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第三部分      采购需求</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第四部分      评标办法</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第五部分      拟签订的合同文本</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560" w:lineRule="exact"/>
        <w:ind w:left="567" w:leftChars="270" w:right="565" w:rightChars="269" w:firstLine="424" w:firstLineChars="202"/>
        <w:rPr>
          <w:rFonts w:hint="eastAsia" w:ascii="楷体" w:hAnsi="楷体" w:eastAsia="楷体"/>
          <w:bCs/>
          <w:color w:val="0000FF"/>
          <w:szCs w:val="21"/>
          <w:u w:val="single"/>
        </w:rPr>
      </w:pPr>
    </w:p>
    <w:p>
      <w:pPr>
        <w:spacing w:line="560" w:lineRule="exact"/>
        <w:ind w:left="567" w:leftChars="270" w:right="565" w:rightChars="269" w:firstLine="424" w:firstLineChars="202"/>
        <w:rPr>
          <w:rFonts w:hint="eastAsia" w:ascii="楷体" w:hAnsi="楷体" w:eastAsia="楷体"/>
          <w:bCs/>
          <w:color w:val="0000FF"/>
          <w:szCs w:val="21"/>
          <w:u w:val="single"/>
        </w:rPr>
      </w:pPr>
    </w:p>
    <w:p>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rPr>
        <w:t>注：▲</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中标“▲”且加下划线部分，为</w:t>
      </w:r>
      <w:r>
        <w:rPr>
          <w:rFonts w:hint="eastAsia" w:ascii="楷体" w:hAnsi="楷体" w:eastAsia="楷体"/>
          <w:bCs/>
          <w:color w:val="auto"/>
          <w:szCs w:val="21"/>
          <w:u w:val="single"/>
          <w:lang w:val="en-US" w:eastAsia="zh-CN"/>
        </w:rPr>
        <w:t>招标</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而造成的后果，采购人及采</w:t>
      </w:r>
      <w:r>
        <w:rPr>
          <w:rFonts w:hint="eastAsia" w:ascii="楷体" w:hAnsi="楷体" w:eastAsia="楷体"/>
          <w:bCs/>
          <w:color w:val="auto"/>
          <w:szCs w:val="21"/>
          <w:u w:val="single"/>
          <w:lang w:val="en-US" w:eastAsia="zh-CN"/>
        </w:rPr>
        <w:t>购代理</w:t>
      </w:r>
      <w:r>
        <w:rPr>
          <w:rFonts w:hint="eastAsia" w:ascii="楷体" w:hAnsi="楷体" w:eastAsia="楷体"/>
          <w:bCs/>
          <w:color w:val="auto"/>
          <w:szCs w:val="21"/>
          <w:u w:val="single"/>
        </w:rPr>
        <w:t>机构概不负责。</w:t>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2"/>
    <w:p>
      <w:pPr>
        <w:adjustRightInd/>
        <w:spacing w:line="360" w:lineRule="auto"/>
        <w:jc w:val="center"/>
        <w:outlineLvl w:val="0"/>
        <w:rPr>
          <w:rFonts w:ascii="宋体" w:hAnsi="宋体" w:cs="宋体"/>
          <w:b/>
          <w:sz w:val="36"/>
          <w:szCs w:val="20"/>
        </w:rPr>
      </w:pPr>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color w:val="000000" w:themeColor="text1"/>
          <w:sz w:val="24"/>
          <w:u w:val="single"/>
          <w:lang w:eastAsia="zh-CN"/>
          <w14:textFill>
            <w14:solidFill>
              <w14:schemeClr w14:val="tx1"/>
            </w14:solidFill>
          </w14:textFill>
        </w:rPr>
        <w:t>温州市司法局综合物业管理服务采购项目</w:t>
      </w:r>
      <w:r>
        <w:rPr>
          <w:rFonts w:hint="eastAsia" w:ascii="宋体" w:hAnsi="宋体" w:cs="宋体"/>
          <w:sz w:val="24"/>
        </w:rPr>
        <w:t>的潜在投标人应在政采云平台（</w:t>
      </w:r>
      <w:r>
        <w:rPr>
          <w:rFonts w:hint="eastAsia" w:ascii="宋体" w:hAnsi="宋体" w:cs="宋体"/>
          <w:sz w:val="24"/>
        </w:rPr>
        <w:fldChar w:fldCharType="begin"/>
      </w:r>
      <w:r>
        <w:rPr>
          <w:rFonts w:hint="eastAsia" w:ascii="宋体" w:hAnsi="宋体" w:cs="宋体"/>
          <w:sz w:val="24"/>
        </w:rPr>
        <w:instrText xml:space="preserve"> HYPERLINK "https://www.zcygov.cn/）获取（下载）招标文件，并于202%20年%20月%20日%20点%20分00秒" </w:instrText>
      </w:r>
      <w:r>
        <w:rPr>
          <w:rFonts w:hint="eastAsia" w:ascii="宋体" w:hAnsi="宋体" w:cs="宋体"/>
          <w:sz w:val="24"/>
        </w:rPr>
        <w:fldChar w:fldCharType="separate"/>
      </w:r>
      <w:r>
        <w:rPr>
          <w:rFonts w:hint="eastAsia" w:ascii="宋体" w:hAnsi="宋体" w:cs="宋体"/>
          <w:sz w:val="24"/>
        </w:rPr>
        <w:t>https://www.zcygov.cn/）获取（下载）招标文件，并于</w:t>
      </w:r>
      <w:r>
        <w:rPr>
          <w:rFonts w:hint="eastAsia" w:ascii="宋体" w:hAnsi="宋体" w:cs="宋体"/>
          <w:sz w:val="24"/>
          <w:lang w:eastAsia="zh-CN"/>
        </w:rPr>
        <w:t>202</w:t>
      </w:r>
      <w:r>
        <w:rPr>
          <w:rFonts w:hint="eastAsia" w:ascii="宋体" w:hAnsi="宋体" w:cs="宋体"/>
          <w:sz w:val="24"/>
          <w:lang w:val="en-US" w:eastAsia="zh-CN"/>
        </w:rPr>
        <w:t>4</w:t>
      </w:r>
      <w:r>
        <w:rPr>
          <w:rFonts w:hint="eastAsia" w:ascii="宋体" w:hAnsi="宋体" w:cs="宋体"/>
          <w:sz w:val="24"/>
          <w:highlight w:val="none"/>
          <w:lang w:eastAsia="zh-CN"/>
        </w:rPr>
        <w:t>年</w:t>
      </w:r>
      <w:r>
        <w:rPr>
          <w:rFonts w:hint="eastAsia" w:ascii="宋体" w:hAnsi="宋体" w:cs="宋体"/>
          <w:sz w:val="24"/>
          <w:highlight w:val="none"/>
          <w:lang w:val="en-US" w:eastAsia="zh-CN"/>
        </w:rPr>
        <w:t xml:space="preserve"> 6</w:t>
      </w:r>
      <w:r>
        <w:rPr>
          <w:rFonts w:hint="eastAsia" w:ascii="宋体" w:hAnsi="宋体" w:cs="宋体"/>
          <w:sz w:val="24"/>
          <w:highlight w:val="none"/>
          <w:lang w:eastAsia="zh-CN"/>
        </w:rPr>
        <w:t>月</w:t>
      </w:r>
      <w:r>
        <w:rPr>
          <w:rFonts w:hint="eastAsia" w:ascii="宋体" w:hAnsi="宋体" w:cs="宋体"/>
          <w:sz w:val="24"/>
          <w:highlight w:val="none"/>
          <w:lang w:val="en-US" w:eastAsia="zh-CN"/>
        </w:rPr>
        <w:t>20</w:t>
      </w:r>
      <w:r>
        <w:rPr>
          <w:rFonts w:hint="eastAsia" w:ascii="宋体" w:hAnsi="宋体" w:cs="宋体"/>
          <w:sz w:val="24"/>
          <w:highlight w:val="none"/>
          <w:lang w:eastAsia="zh-CN"/>
        </w:rPr>
        <w:t>日 0</w:t>
      </w:r>
      <w:r>
        <w:rPr>
          <w:rFonts w:hint="eastAsia" w:ascii="宋体" w:hAnsi="宋体" w:cs="宋体"/>
          <w:sz w:val="24"/>
          <w:lang w:eastAsia="zh-CN"/>
        </w:rPr>
        <w:t>9点 00分</w:t>
      </w:r>
      <w:r>
        <w:rPr>
          <w:rFonts w:hint="eastAsia" w:ascii="宋体" w:hAnsi="宋体" w:cs="宋体"/>
          <w:sz w:val="24"/>
        </w:rPr>
        <w:t>00秒</w:t>
      </w:r>
      <w:r>
        <w:rPr>
          <w:rFonts w:hint="eastAsia" w:ascii="宋体" w:hAnsi="宋体" w:cs="宋体"/>
          <w:sz w:val="24"/>
        </w:rPr>
        <w:fldChar w:fldCharType="end"/>
      </w:r>
      <w:r>
        <w:rPr>
          <w:rFonts w:hint="eastAsia" w:ascii="宋体" w:hAnsi="宋体" w:cs="宋体"/>
          <w:sz w:val="24"/>
        </w:rPr>
        <w:t>（北京时间）前递交（上传）投标文件。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000000" w:themeColor="text1"/>
          <w:sz w:val="24"/>
          <w:lang w:eastAsia="zh-CN"/>
          <w14:textFill>
            <w14:solidFill>
              <w14:schemeClr w14:val="tx1"/>
            </w14:solidFill>
          </w14:textFill>
        </w:rPr>
        <w:t>Z-GB202405280006JJG</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温州市司法局综合物业管理服务采购项目</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b/>
          <w:color w:val="000000" w:themeColor="text1"/>
          <w:sz w:val="24"/>
          <w:lang w:val="en-US" w:eastAsia="zh-CN"/>
          <w14:textFill>
            <w14:solidFill>
              <w14:schemeClr w14:val="tx1"/>
            </w14:solidFill>
          </w14:textFill>
        </w:rPr>
        <w:t>680000</w:t>
      </w:r>
    </w:p>
    <w:p>
      <w:pPr>
        <w:spacing w:line="360" w:lineRule="auto"/>
        <w:ind w:firstLine="480"/>
        <w:rPr>
          <w:rFonts w:hint="default" w:ascii="宋体" w:hAnsi="宋体" w:eastAsia="宋体" w:cs="宋体"/>
          <w:color w:val="0D0D0D" w:themeColor="text1" w:themeTint="F2"/>
          <w:sz w:val="24"/>
          <w:lang w:val="en-US" w:eastAsia="zh-CN"/>
          <w14:textFill>
            <w14:solidFill>
              <w14:schemeClr w14:val="tx1">
                <w14:lumMod w14:val="95000"/>
                <w14:lumOff w14:val="5000"/>
              </w14:schemeClr>
            </w14:solidFill>
          </w14:textFill>
        </w:rPr>
      </w:pPr>
      <w:r>
        <w:rPr>
          <w:rFonts w:hint="eastAsia" w:ascii="宋体" w:hAnsi="宋体" w:cs="宋体"/>
          <w:b/>
          <w:color w:val="0D0D0D" w:themeColor="text1" w:themeTint="F2"/>
          <w:sz w:val="24"/>
          <w14:textFill>
            <w14:solidFill>
              <w14:schemeClr w14:val="tx1">
                <w14:lumMod w14:val="95000"/>
                <w14:lumOff w14:val="5000"/>
              </w14:schemeClr>
            </w14:solidFill>
          </w14:textFill>
        </w:rPr>
        <w:t>最高限价（元）：</w:t>
      </w:r>
      <w:r>
        <w:rPr>
          <w:rFonts w:hint="eastAsia" w:ascii="宋体" w:hAnsi="宋体" w:cs="宋体"/>
          <w:b/>
          <w:color w:val="0D0D0D" w:themeColor="text1" w:themeTint="F2"/>
          <w:sz w:val="24"/>
          <w:lang w:val="en-US" w:eastAsia="zh-CN"/>
          <w14:textFill>
            <w14:solidFill>
              <w14:schemeClr w14:val="tx1">
                <w14:lumMod w14:val="95000"/>
                <w14:lumOff w14:val="5000"/>
              </w14:schemeClr>
            </w14:solidFill>
          </w14:textFill>
        </w:rPr>
        <w:t xml:space="preserve">680000 </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hint="eastAsia" w:hAnsi="宋体" w:cs="宋体"/>
          <w:b/>
          <w:color w:val="0D0D0D" w:themeColor="text1" w:themeTint="F2"/>
          <w:sz w:val="24"/>
          <w:highlight w:val="none"/>
          <w14:textFill>
            <w14:solidFill>
              <w14:schemeClr w14:val="tx1">
                <w14:lumMod w14:val="95000"/>
                <w14:lumOff w14:val="5000"/>
              </w14:schemeClr>
            </w14:solidFill>
          </w14:textFill>
        </w:rPr>
      </w:pPr>
      <w:r>
        <w:rPr>
          <w:rFonts w:hint="eastAsia" w:hAnsi="宋体" w:cs="宋体"/>
          <w:b/>
          <w:color w:val="0D0D0D" w:themeColor="text1" w:themeTint="F2"/>
          <w:sz w:val="24"/>
          <w:highlight w:val="none"/>
          <w14:textFill>
            <w14:solidFill>
              <w14:schemeClr w14:val="tx1">
                <w14:lumMod w14:val="95000"/>
                <w14:lumOff w14:val="5000"/>
              </w14:schemeClr>
            </w14:solidFill>
          </w14:textFill>
        </w:rPr>
        <w:t>采购需求：</w:t>
      </w:r>
    </w:p>
    <w:p>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asciiTheme="minorEastAsia" w:hAnsiTheme="minorEastAsia" w:eastAsiaTheme="minorEastAsia"/>
          <w:snapToGrid/>
          <w:color w:val="0D0D0D" w:themeColor="text1" w:themeTint="F2"/>
          <w:kern w:val="2"/>
          <w:sz w:val="24"/>
          <w:szCs w:val="24"/>
          <w:highlight w:val="none"/>
          <w14:textFill>
            <w14:solidFill>
              <w14:schemeClr w14:val="tx1">
                <w14:lumMod w14:val="95000"/>
                <w14:lumOff w14:val="5000"/>
              </w14:schemeClr>
            </w14:solidFill>
          </w14:textFill>
        </w:rPr>
      </w:pPr>
      <w:r>
        <w:rPr>
          <w:rFonts w:hint="eastAsia" w:hAnsi="宋体" w:cs="宋体"/>
          <w:bCs/>
          <w:snapToGrid/>
          <w:color w:val="0D0D0D" w:themeColor="text1" w:themeTint="F2"/>
          <w:kern w:val="2"/>
          <w:sz w:val="24"/>
          <w:szCs w:val="24"/>
          <w:highlight w:val="none"/>
          <w:lang w:val="en-US" w:eastAsia="zh-CN"/>
          <w14:textFill>
            <w14:solidFill>
              <w14:schemeClr w14:val="tx1">
                <w14:lumMod w14:val="95000"/>
                <w14:lumOff w14:val="5000"/>
              </w14:schemeClr>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0"/>
        <w:textAlignment w:val="auto"/>
        <w:rPr>
          <w:rFonts w:hint="eastAsia" w:ascii="宋体" w:hAnsi="宋体" w:eastAsia="宋体" w:cs="宋体"/>
          <w:b w:val="0"/>
          <w:bCs w:val="0"/>
          <w:color w:val="0D0D0D" w:themeColor="text1" w:themeTint="F2"/>
          <w:kern w:val="2"/>
          <w:sz w:val="24"/>
          <w:szCs w:val="24"/>
          <w:lang w:val="en-US" w:eastAsia="zh-CN" w:bidi="ar-SA"/>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kern w:val="0"/>
          <w:sz w:val="24"/>
          <w:szCs w:val="24"/>
          <w:lang w:val="en-US" w:eastAsia="zh-CN" w:bidi="ar-SA"/>
          <w14:textFill>
            <w14:solidFill>
              <w14:schemeClr w14:val="tx1">
                <w14:lumMod w14:val="95000"/>
                <w14:lumOff w14:val="5000"/>
              </w14:schemeClr>
            </w14:solidFill>
          </w14:textFill>
        </w:rPr>
        <w:t xml:space="preserve"> </w:t>
      </w:r>
      <w:r>
        <w:rPr>
          <w:rFonts w:hint="eastAsia" w:ascii="宋体" w:hAnsi="宋体" w:eastAsia="宋体" w:cs="宋体"/>
          <w:b w:val="0"/>
          <w:bCs w:val="0"/>
          <w:color w:val="0D0D0D" w:themeColor="text1" w:themeTint="F2"/>
          <w:kern w:val="2"/>
          <w:sz w:val="24"/>
          <w:szCs w:val="24"/>
          <w:lang w:val="en-US" w:eastAsia="zh-CN" w:bidi="ar-SA"/>
          <w14:textFill>
            <w14:solidFill>
              <w14:schemeClr w14:val="tx1">
                <w14:lumMod w14:val="95000"/>
                <w14:lumOff w14:val="5000"/>
              </w14:schemeClr>
            </w14:solidFill>
          </w14:textFill>
        </w:rPr>
        <w:t>  标项名称: 温州市司法局综合物业管理服务采购项目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color w:val="0D0D0D" w:themeColor="text1" w:themeTint="F2"/>
          <w:kern w:val="2"/>
          <w:sz w:val="24"/>
          <w:szCs w:val="24"/>
          <w:lang w:val="en-US" w:eastAsia="zh-CN" w:bidi="ar-SA"/>
          <w14:textFill>
            <w14:solidFill>
              <w14:schemeClr w14:val="tx1">
                <w14:lumMod w14:val="95000"/>
                <w14:lumOff w14:val="5000"/>
              </w14:schemeClr>
            </w14:solidFill>
          </w14:textFill>
        </w:rPr>
        <w:t>     数量:  12个月  </w:t>
      </w:r>
      <w:r>
        <w:rPr>
          <w:rFonts w:hint="eastAsia" w:ascii="宋体" w:hAnsi="宋体" w:eastAsia="宋体" w:cs="宋体"/>
          <w:b w:val="0"/>
          <w:bCs w:val="0"/>
          <w:color w:val="0D0D0D" w:themeColor="text1" w:themeTint="F2"/>
          <w:kern w:val="2"/>
          <w:sz w:val="24"/>
          <w:szCs w:val="24"/>
          <w:lang w:val="en-US" w:eastAsia="zh-CN" w:bidi="ar-SA"/>
          <w14:textFill>
            <w14:solidFill>
              <w14:schemeClr w14:val="tx1">
                <w14:lumMod w14:val="95000"/>
                <w14:lumOff w14:val="5000"/>
              </w14:schemeClr>
            </w14:solidFill>
          </w14:textFill>
        </w:rPr>
        <w:br w:type="textWrapping"/>
      </w:r>
      <w:r>
        <w:rPr>
          <w:rFonts w:hint="eastAsia" w:ascii="宋体" w:hAnsi="宋体" w:eastAsia="宋体" w:cs="宋体"/>
          <w:b w:val="0"/>
          <w:bCs w:val="0"/>
          <w:kern w:val="2"/>
          <w:sz w:val="24"/>
          <w:szCs w:val="24"/>
          <w:lang w:val="en-US" w:eastAsia="zh-CN" w:bidi="ar-SA"/>
        </w:rPr>
        <w:t>   预算金额（元）: 680000</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简要规格描述或项目基本概况介绍、用途：本项目非预留份额的采购项目，所属行业为物业管理。本次采购的物业管理服务项目包括温州市司法局安全保卫、卫生保洁、会务后勤及绿化养护等物业管理服务，共计需要至少1</w:t>
      </w:r>
      <w:r>
        <w:rPr>
          <w:rFonts w:hint="eastAsia" w:ascii="宋体" w:hAnsi="宋体" w:cs="宋体"/>
          <w:b w:val="0"/>
          <w:bCs w:val="0"/>
          <w:kern w:val="2"/>
          <w:sz w:val="24"/>
          <w:szCs w:val="24"/>
          <w:lang w:val="en-US" w:eastAsia="zh-CN" w:bidi="ar-SA"/>
        </w:rPr>
        <w:t>0</w:t>
      </w:r>
      <w:r>
        <w:rPr>
          <w:rFonts w:hint="eastAsia" w:ascii="宋体" w:hAnsi="宋体" w:eastAsia="宋体" w:cs="宋体"/>
          <w:b w:val="0"/>
          <w:bCs w:val="0"/>
          <w:kern w:val="2"/>
          <w:sz w:val="24"/>
          <w:szCs w:val="24"/>
          <w:lang w:val="en-US" w:eastAsia="zh-CN" w:bidi="ar-SA"/>
        </w:rPr>
        <w:t xml:space="preserve">人。具体以招标文件第三部分采购需求为准，供应商可点击本公告下方“浏览采购文件”查看采购需求。 </w:t>
      </w:r>
    </w:p>
    <w:p>
      <w:pPr>
        <w:pStyle w:val="59"/>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hint="eastAsia" w:cs="宋体"/>
          <w:color w:val="auto"/>
          <w:lang w:val="en-US" w:eastAsia="zh-CN"/>
        </w:rPr>
        <w:t xml:space="preserve"> </w:t>
      </w:r>
      <w:r>
        <w:rPr>
          <w:rFonts w:cs="宋体"/>
          <w:color w:val="auto"/>
        </w:rPr>
        <w:t>  备注：/ </w:t>
      </w:r>
    </w:p>
    <w:p>
      <w:pPr>
        <w:pStyle w:val="130"/>
        <w:ind w:firstLine="482"/>
        <w:outlineLvl w:val="2"/>
        <w:rPr>
          <w:rFonts w:hint="eastAsia" w:cs="宋体"/>
          <w:color w:val="auto"/>
          <w:highlight w:val="none"/>
          <w:lang w:val="en-US" w:eastAsia="zh-CN"/>
        </w:rPr>
      </w:pPr>
      <w:r>
        <w:rPr>
          <w:rFonts w:cs="宋体"/>
          <w:color w:val="auto"/>
        </w:rPr>
        <w:t>合同履约期限：</w:t>
      </w:r>
      <w:r>
        <w:rPr>
          <w:rFonts w:hint="eastAsia" w:cs="宋体"/>
          <w:color w:val="auto"/>
          <w:lang w:val="en-US" w:eastAsia="zh-CN"/>
        </w:rPr>
        <w:t>12个月总服务期，具体详见采购文件</w:t>
      </w:r>
    </w:p>
    <w:p>
      <w:pPr>
        <w:pStyle w:val="59"/>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cs="宋体"/>
          <w:color w:val="auto"/>
        </w:rPr>
        <w:t xml:space="preserve">  </w:t>
      </w:r>
      <w:r>
        <w:rPr>
          <w:rFonts w:hint="eastAsia" w:cs="宋体"/>
          <w:color w:val="auto"/>
          <w:lang w:val="en-US" w:eastAsia="zh-CN"/>
        </w:rPr>
        <w:t xml:space="preserve"> </w:t>
      </w:r>
      <w:r>
        <w:rPr>
          <w:rFonts w:cs="宋体"/>
          <w:color w:val="auto"/>
        </w:rPr>
        <w:t>本项目（否）接受联合体投标。</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落实政府采购政策需满足的资格要求：无 </w:t>
      </w:r>
    </w:p>
    <w:p>
      <w:pPr>
        <w:spacing w:line="360" w:lineRule="auto"/>
        <w:ind w:firstLine="48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 xml:space="preserve"> 年</w:t>
      </w:r>
      <w:r>
        <w:rPr>
          <w:rFonts w:hint="eastAsia" w:ascii="宋体" w:hAnsi="宋体" w:cs="宋体"/>
          <w:color w:val="auto"/>
          <w:sz w:val="24"/>
          <w:u w:val="single"/>
          <w:lang w:val="en-US" w:eastAsia="zh-CN"/>
        </w:rPr>
        <w:t>6</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r>
        <w:rPr>
          <w:rFonts w:hint="eastAsia" w:ascii="宋体" w:hAnsi="宋体" w:cs="宋体"/>
          <w:color w:val="auto"/>
          <w:sz w:val="24"/>
          <w:lang w:val="en-US" w:eastAsia="zh-CN"/>
        </w:rPr>
        <w:t>线上获取</w:t>
      </w:r>
      <w:r>
        <w:rPr>
          <w:rFonts w:hint="eastAsia" w:ascii="宋体" w:hAnsi="宋体" w:cs="宋体"/>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 xml:space="preserve"> 年</w:t>
      </w:r>
      <w:r>
        <w:rPr>
          <w:rFonts w:hint="eastAsia" w:ascii="宋体" w:hAnsi="宋体" w:cs="宋体"/>
          <w:color w:val="auto"/>
          <w:sz w:val="24"/>
          <w:u w:val="single"/>
          <w:lang w:val="en-US" w:eastAsia="zh-CN"/>
        </w:rPr>
        <w:t xml:space="preserve">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lang w:eastAsia="zh-CN"/>
        </w:rPr>
        <w:t>日</w:t>
      </w:r>
      <w:r>
        <w:rPr>
          <w:rFonts w:hint="eastAsia" w:ascii="宋体" w:hAnsi="宋体" w:cs="宋体"/>
          <w:color w:val="auto"/>
          <w:sz w:val="24"/>
          <w:u w:val="single"/>
          <w:lang w:eastAsia="zh-CN"/>
        </w:rPr>
        <w:t xml:space="preserve"> 09点 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 xml:space="preserve"> 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lang w:eastAsia="zh-CN"/>
        </w:rPr>
        <w:t xml:space="preserve">日 </w:t>
      </w:r>
      <w:r>
        <w:rPr>
          <w:rFonts w:hint="eastAsia" w:ascii="宋体" w:hAnsi="宋体" w:cs="宋体"/>
          <w:color w:val="auto"/>
          <w:sz w:val="24"/>
          <w:u w:val="single"/>
          <w:lang w:eastAsia="zh-CN"/>
        </w:rPr>
        <w:t>09点 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六、其他补充事宜</w:t>
      </w:r>
    </w:p>
    <w:p>
      <w:pPr>
        <w:pStyle w:val="59"/>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9"/>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9"/>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七、对本次采购提出询问、质疑、投诉，请按以下方式联系</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sz w:val="24"/>
        </w:rPr>
      </w:pPr>
      <w:r>
        <w:rPr>
          <w:rFonts w:hint="eastAsia" w:ascii="宋体" w:hAnsi="宋体" w:cs="宋体"/>
          <w:sz w:val="24"/>
        </w:rPr>
        <w:t xml:space="preserve">    1.采购人信息</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lang w:eastAsia="zh-CN"/>
        </w:rPr>
        <w:t>温州市司法局（温州市行政复议局）</w:t>
      </w:r>
      <w:r>
        <w:rPr>
          <w:rFonts w:hint="eastAsia" w:ascii="宋体" w:hAnsi="宋体" w:cs="宋体"/>
          <w:color w:val="auto"/>
          <w:sz w:val="24"/>
        </w:rPr>
        <w:t xml:space="preserve"> </w:t>
      </w:r>
    </w:p>
    <w:p>
      <w:pPr>
        <w:spacing w:line="360" w:lineRule="auto"/>
        <w:ind w:firstLine="48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val="en-US" w:eastAsia="zh-CN"/>
        </w:rPr>
        <w:t>温州市鹿城区学院中路291号</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徐亮</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项目联系方式（询问）：0577-88360990</w:t>
      </w:r>
    </w:p>
    <w:p>
      <w:pPr>
        <w:spacing w:line="360" w:lineRule="auto"/>
        <w:rPr>
          <w:rFonts w:hint="default" w:ascii="宋体" w:hAnsi="宋体" w:eastAsia="宋体" w:cs="宋体"/>
          <w:sz w:val="24"/>
          <w:highlight w:val="none"/>
          <w:lang w:val="en-US" w:eastAsia="zh-CN"/>
        </w:rPr>
      </w:pPr>
      <w:r>
        <w:rPr>
          <w:rFonts w:hint="eastAsia" w:ascii="宋体" w:hAnsi="宋体" w:cs="宋体"/>
          <w:color w:val="auto"/>
          <w:sz w:val="24"/>
        </w:rPr>
        <w:t xml:space="preserve">    </w:t>
      </w: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auto"/>
          <w:sz w:val="24"/>
          <w:lang w:val="en-US" w:eastAsia="zh-CN"/>
        </w:rPr>
        <w:t xml:space="preserve"> 张翔</w:t>
      </w:r>
      <w:r>
        <w:rPr>
          <w:rFonts w:hint="eastAsia" w:ascii="宋体" w:hAnsi="宋体" w:cs="宋体"/>
          <w:color w:val="auto"/>
          <w:sz w:val="24"/>
          <w:lang w:val="en-US" w:eastAsia="zh-CN"/>
        </w:rPr>
        <w:tab/>
      </w:r>
    </w:p>
    <w:p>
      <w:pPr>
        <w:spacing w:line="360" w:lineRule="auto"/>
        <w:rPr>
          <w:rFonts w:hint="default" w:ascii="宋体" w:hAnsi="宋体" w:eastAsia="宋体" w:cs="宋体"/>
          <w:color w:val="auto"/>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18057750677</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名称：温州市政务服务管理中心（温州市政府采购中心）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地址：温州市会展路1268号“温州市民中心”A座412室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金健戈</w:t>
      </w:r>
      <w:r>
        <w:rPr>
          <w:rFonts w:hint="eastAsia" w:ascii="宋体" w:hAnsi="宋体" w:eastAsia="宋体" w:cs="宋体"/>
          <w:color w:val="auto"/>
          <w:sz w:val="24"/>
          <w:highlight w:val="none"/>
        </w:rPr>
        <w:t>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项目联系方式（询问）：0577-889268</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张立初</w:t>
      </w:r>
      <w:r>
        <w:rPr>
          <w:rFonts w:hint="eastAsia" w:ascii="宋体" w:hAnsi="宋体" w:eastAsia="宋体" w:cs="宋体"/>
          <w:color w:val="auto"/>
          <w:sz w:val="24"/>
          <w:highlight w:val="none"/>
        </w:rPr>
        <w:t>       </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质疑联系方式：0577-889268</w:t>
      </w:r>
      <w:r>
        <w:rPr>
          <w:rFonts w:hint="eastAsia" w:ascii="宋体" w:hAnsi="宋体" w:cs="宋体"/>
          <w:color w:val="auto"/>
          <w:sz w:val="24"/>
          <w:highlight w:val="none"/>
          <w:lang w:val="en-US" w:eastAsia="zh-CN"/>
        </w:rPr>
        <w:t>38</w:t>
      </w:r>
    </w:p>
    <w:p>
      <w:pPr>
        <w:keepNext w:val="0"/>
        <w:keepLines w:val="0"/>
        <w:pageBreakBefore w:val="0"/>
        <w:kinsoku/>
        <w:wordWrap/>
        <w:overflowPunct/>
        <w:topLinePunct w:val="0"/>
        <w:autoSpaceDE/>
        <w:autoSpaceDN/>
        <w:bidi w:val="0"/>
        <w:adjustRightInd w:val="0"/>
        <w:snapToGrid/>
        <w:spacing w:line="240" w:lineRule="auto"/>
        <w:ind w:firstLine="240" w:firstLineChars="100"/>
        <w:textAlignment w:val="auto"/>
        <w:rPr>
          <w:rFonts w:cs="宋体"/>
          <w:color w:val="auto"/>
        </w:rPr>
      </w:pPr>
      <w:r>
        <w:rPr>
          <w:rFonts w:hint="eastAsia" w:ascii="宋体" w:hAnsi="宋体" w:cs="宋体"/>
          <w:color w:val="auto"/>
          <w:sz w:val="24"/>
        </w:rPr>
        <w:t xml:space="preserve"> 3.同级政府采购监督管理部门            </w:t>
      </w:r>
      <w:r>
        <w:rPr>
          <w:rFonts w:cs="宋体"/>
          <w:color w:val="auto"/>
        </w:rPr>
        <w:t>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名称：温州市财政局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地址：温州绣山路299号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联系人 ：项先生、蔡女士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监督投诉电话：0577-88532725、88521948</w:t>
      </w:r>
    </w:p>
    <w:p>
      <w:pPr>
        <w:spacing w:line="360" w:lineRule="auto"/>
        <w:ind w:firstLine="480"/>
        <w:rPr>
          <w:rFonts w:hint="eastAsia" w:ascii="宋体" w:hAnsi="宋体" w:cs="宋体"/>
          <w:sz w:val="24"/>
          <w:lang w:val="en-US" w:eastAsia="zh-CN"/>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pPr>
              <w:spacing w:line="360" w:lineRule="auto"/>
              <w:jc w:val="both"/>
              <w:rPr>
                <w:rFonts w:ascii="宋体" w:hAnsi="宋体" w:cs="宋体"/>
                <w:color w:val="auto"/>
                <w:sz w:val="24"/>
              </w:rPr>
            </w:pPr>
            <w:r>
              <w:rPr>
                <w:rFonts w:hint="eastAsia" w:ascii="宋体" w:hAnsi="宋体" w:cs="宋体"/>
                <w:color w:val="auto"/>
                <w:sz w:val="24"/>
              </w:rPr>
              <w:t>服务类。本项目是</w:t>
            </w:r>
            <w:r>
              <w:rPr>
                <w:rFonts w:hint="eastAsia" w:ascii="宋体" w:hAnsi="宋体" w:cs="宋体"/>
                <w:color w:val="auto"/>
                <w:sz w:val="24"/>
                <w:u w:val="single"/>
              </w:rPr>
              <w:t>非</w:t>
            </w:r>
            <w:r>
              <w:rPr>
                <w:rFonts w:hint="eastAsia" w:ascii="宋体" w:hAnsi="宋体" w:cs="宋体"/>
                <w:color w:val="auto"/>
                <w:sz w:val="24"/>
              </w:rPr>
              <w:t>预留份额采购项目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pPr>
              <w:snapToGrid w:val="0"/>
              <w:spacing w:line="360" w:lineRule="auto"/>
              <w:jc w:val="both"/>
              <w:rPr>
                <w:color w:val="auto"/>
              </w:rPr>
            </w:pPr>
            <w:r>
              <w:rPr>
                <w:rFonts w:hint="eastAsia" w:ascii="宋体" w:hAnsi="宋体"/>
                <w:color w:val="auto"/>
                <w:sz w:val="24"/>
                <w:highlight w:val="none"/>
              </w:rPr>
              <w:t>（1）标的：</w:t>
            </w:r>
            <w:r>
              <w:rPr>
                <w:rFonts w:hint="eastAsia" w:ascii="宋体" w:hAnsi="宋体"/>
                <w:color w:val="auto"/>
                <w:sz w:val="24"/>
                <w:highlight w:val="none"/>
                <w:u w:val="single"/>
                <w:lang w:val="en-US" w:eastAsia="zh-CN"/>
              </w:rPr>
              <w:t>物业管理服务</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物业管理</w:t>
            </w:r>
            <w:r>
              <w:rPr>
                <w:rFonts w:hint="eastAsia" w:ascii="宋体" w:hAnsi="宋体"/>
                <w:color w:val="auto"/>
                <w:sz w:val="24"/>
                <w:highlight w:val="none"/>
                <w:u w:val="single"/>
              </w:rPr>
              <w:t xml:space="preserve"> </w:t>
            </w:r>
            <w:r>
              <w:rPr>
                <w:rFonts w:hint="eastAsia"/>
                <w:color w:val="auto"/>
                <w:u w:val="single"/>
              </w:rPr>
              <w:t xml:space="preserve"> </w:t>
            </w:r>
            <w:r>
              <w:rPr>
                <w:rFonts w:hint="eastAsia" w:ascii="宋体" w:hAnsi="宋体"/>
                <w:color w:val="auto"/>
                <w:sz w:val="24"/>
                <w:highlight w:val="none"/>
              </w:rPr>
              <w:t>行业；</w:t>
            </w:r>
          </w:p>
          <w:p>
            <w:pPr>
              <w:jc w:val="both"/>
              <w:rPr>
                <w:color w:val="auto"/>
                <w:lang w:val="en-US"/>
              </w:rPr>
            </w:pPr>
            <w:r>
              <w:rPr>
                <w:rFonts w:hint="eastAsia"/>
                <w:color w:val="auto"/>
                <w:lang w:val="en-US" w:eastAsia="zh-CN"/>
              </w:rPr>
              <w:t xml:space="preserve"> </w:t>
            </w:r>
            <w:r>
              <w:rPr>
                <w:rFonts w:hint="eastAsia" w:ascii="宋体" w:hAnsi="宋体"/>
                <w:color w:val="auto"/>
                <w:sz w:val="24"/>
                <w:highlight w:val="none"/>
              </w:rPr>
              <w:t>中小企业的划分标准依据《关于印发中小企业划型标准规定的通知》（工信部联企业〔2011〕300号）文件执行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pPr>
              <w:spacing w:line="360" w:lineRule="auto"/>
              <w:jc w:val="both"/>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both"/>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pPr>
              <w:snapToGrid w:val="0"/>
              <w:spacing w:line="360" w:lineRule="auto"/>
              <w:ind w:firstLine="482" w:firstLineChars="200"/>
              <w:jc w:val="both"/>
              <w:rPr>
                <w:rFonts w:ascii="宋体" w:hAnsi="宋体" w:cs="宋体"/>
                <w:b/>
                <w:sz w:val="24"/>
              </w:rPr>
            </w:pPr>
            <w:r>
              <w:rPr>
                <w:rFonts w:hint="eastAsia" w:ascii="宋体" w:hAnsi="宋体" w:cs="宋体"/>
                <w:b/>
                <w:sz w:val="24"/>
              </w:rPr>
              <w:t>分包</w:t>
            </w:r>
          </w:p>
        </w:tc>
        <w:tc>
          <w:tcPr>
            <w:tcW w:w="6095" w:type="dxa"/>
            <w:tcBorders>
              <w:tl2br w:val="nil"/>
              <w:tr2bl w:val="nil"/>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jc w:val="both"/>
              <w:rPr>
                <w:rFonts w:ascii="宋体" w:hAnsi="宋体" w:cs="宋体"/>
                <w:sz w:val="24"/>
              </w:rPr>
            </w:pPr>
            <w:r>
              <w:rPr>
                <w:rFonts w:hint="eastAsia" w:ascii="宋体" w:hAnsi="宋体" w:cs="宋体"/>
                <w:color w:val="auto"/>
                <w:sz w:val="24"/>
              </w:rPr>
              <w:t>注：不得限制大中型企业向小微企业合理分包。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pPr>
              <w:spacing w:line="360" w:lineRule="auto"/>
              <w:jc w:val="both"/>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jc w:val="both"/>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pPr>
              <w:spacing w:line="360" w:lineRule="auto"/>
              <w:jc w:val="both"/>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jc w:val="both"/>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jc w:val="both"/>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jc w:val="both"/>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jc w:val="both"/>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jc w:val="both"/>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jc w:val="both"/>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jc w:val="both"/>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jc w:val="both"/>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pPr>
              <w:snapToGrid w:val="0"/>
              <w:spacing w:line="360" w:lineRule="auto"/>
              <w:jc w:val="both"/>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pPr>
              <w:spacing w:line="360" w:lineRule="auto"/>
              <w:jc w:val="both"/>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jc w:val="both"/>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jc w:val="both"/>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jc w:val="both"/>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jc w:val="both"/>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jc w:val="both"/>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jc w:val="both"/>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pPr>
              <w:spacing w:line="360" w:lineRule="auto"/>
              <w:jc w:val="both"/>
              <w:rPr>
                <w:rFonts w:ascii="宋体" w:hAnsi="宋体" w:cs="宋体"/>
                <w:sz w:val="24"/>
              </w:rPr>
            </w:pPr>
            <w:r>
              <w:rPr>
                <w:rFonts w:hint="eastAsia" w:ascii="宋体" w:hAnsi="宋体" w:cs="宋体"/>
                <w:sz w:val="24"/>
              </w:rPr>
              <w:t>（1）资格证明文件：见招标文件第二部分11.1。</w:t>
            </w:r>
          </w:p>
          <w:p>
            <w:pPr>
              <w:spacing w:line="360" w:lineRule="auto"/>
              <w:jc w:val="both"/>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jc w:val="both"/>
              <w:rPr>
                <w:rFonts w:ascii="宋体" w:hAnsi="宋体" w:cs="宋体"/>
                <w:sz w:val="24"/>
              </w:rPr>
            </w:pPr>
          </w:p>
        </w:tc>
        <w:tc>
          <w:tcPr>
            <w:tcW w:w="1843" w:type="dxa"/>
            <w:vMerge w:val="continue"/>
            <w:tcBorders>
              <w:tl2br w:val="nil"/>
              <w:tr2bl w:val="nil"/>
            </w:tcBorders>
            <w:vAlign w:val="center"/>
          </w:tcPr>
          <w:p>
            <w:pPr>
              <w:snapToGrid w:val="0"/>
              <w:spacing w:line="360" w:lineRule="auto"/>
              <w:jc w:val="both"/>
              <w:rPr>
                <w:rFonts w:ascii="宋体" w:hAnsi="宋体" w:cs="宋体"/>
                <w:b/>
                <w:sz w:val="24"/>
              </w:rPr>
            </w:pPr>
          </w:p>
        </w:tc>
        <w:tc>
          <w:tcPr>
            <w:tcW w:w="6095" w:type="dxa"/>
            <w:tcBorders>
              <w:tl2br w:val="nil"/>
              <w:tr2bl w:val="nil"/>
            </w:tcBorders>
            <w:vAlign w:val="center"/>
          </w:tcPr>
          <w:p>
            <w:pPr>
              <w:spacing w:line="360" w:lineRule="auto"/>
              <w:jc w:val="both"/>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pPr>
              <w:snapToGrid w:val="0"/>
              <w:spacing w:line="360" w:lineRule="auto"/>
              <w:jc w:val="both"/>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w:t>
            </w:r>
            <w:r>
              <w:rPr>
                <w:rFonts w:hint="eastAsia" w:ascii="宋体" w:hAnsi="宋体" w:cs="宋体"/>
                <w:kern w:val="0"/>
                <w:sz w:val="24"/>
                <w:lang w:val="zh-CN"/>
              </w:rPr>
              <w:t>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both"/>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both"/>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both"/>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jc w:val="both"/>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jc w:val="both"/>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pPr>
              <w:spacing w:line="360" w:lineRule="auto"/>
              <w:ind w:firstLine="480" w:firstLineChars="200"/>
              <w:jc w:val="both"/>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l2br w:val="nil"/>
              <w:tr2bl w:val="nil"/>
            </w:tcBorders>
            <w:vAlign w:val="center"/>
          </w:tcPr>
          <w:p>
            <w:pPr>
              <w:pStyle w:val="33"/>
              <w:spacing w:line="360" w:lineRule="auto"/>
              <w:jc w:val="both"/>
              <w:rPr>
                <w:rFonts w:hint="default" w:hAnsi="宋体" w:eastAsia="宋体" w:cs="宋体"/>
                <w:b w:val="0"/>
                <w:bCs/>
                <w:color w:val="auto"/>
                <w:kern w:val="28"/>
                <w:sz w:val="24"/>
                <w:lang w:val="en-US" w:eastAsia="zh-CN"/>
              </w:rPr>
            </w:pPr>
            <w:r>
              <w:rPr>
                <w:rFonts w:hint="eastAsia" w:ascii="宋体" w:hAnsi="宋体" w:eastAsia="宋体" w:cs="宋体"/>
                <w:snapToGrid w:val="0"/>
                <w:kern w:val="28"/>
                <w:sz w:val="24"/>
                <w:szCs w:val="24"/>
                <w:lang w:val="en-US" w:eastAsia="zh-CN" w:bidi="ar-SA"/>
              </w:rPr>
              <w:t>备份投标文件送达地点</w:t>
            </w:r>
            <w:r>
              <w:rPr>
                <w:rFonts w:hint="eastAsia" w:hAnsi="宋体" w:cs="宋体"/>
                <w:color w:val="auto"/>
                <w:kern w:val="28"/>
                <w:sz w:val="24"/>
                <w:szCs w:val="24"/>
                <w:u w:val="none"/>
              </w:rPr>
              <w:t>：</w:t>
            </w:r>
            <w:r>
              <w:rPr>
                <w:rFonts w:cs="宋体"/>
                <w:color w:val="auto"/>
                <w:highlight w:val="none"/>
                <w:u w:val="single"/>
              </w:rPr>
              <w:t>温州市会展路1268号“温州市民中心”A座412室</w:t>
            </w:r>
            <w:r>
              <w:rPr>
                <w:rFonts w:hint="eastAsia" w:hAnsi="宋体" w:cs="宋体"/>
                <w:color w:val="auto"/>
                <w:kern w:val="28"/>
                <w:sz w:val="24"/>
                <w:szCs w:val="24"/>
                <w:u w:val="none"/>
              </w:rPr>
              <w:t>；</w:t>
            </w:r>
            <w:r>
              <w:rPr>
                <w:rFonts w:hint="eastAsia" w:ascii="宋体" w:hAnsi="宋体" w:eastAsia="宋体" w:cs="宋体"/>
                <w:snapToGrid w:val="0"/>
                <w:kern w:val="28"/>
                <w:sz w:val="24"/>
                <w:szCs w:val="24"/>
                <w:lang w:val="en-US" w:eastAsia="zh-CN" w:bidi="ar-SA"/>
              </w:rPr>
              <w:t>备份投标文件签收人员联系电话：</w:t>
            </w:r>
            <w:r>
              <w:rPr>
                <w:rFonts w:hint="eastAsia" w:ascii="宋体" w:hAnsi="宋体" w:eastAsia="宋体" w:cs="宋体"/>
                <w:snapToGrid w:val="0"/>
                <w:kern w:val="28"/>
                <w:sz w:val="24"/>
                <w:szCs w:val="24"/>
                <w:u w:val="single"/>
                <w:lang w:val="en-US" w:eastAsia="zh-CN" w:bidi="ar-SA"/>
              </w:rPr>
              <w:t>0577-889268</w:t>
            </w:r>
            <w:r>
              <w:rPr>
                <w:rFonts w:hint="eastAsia" w:hAnsi="宋体" w:cs="宋体"/>
                <w:snapToGrid w:val="0"/>
                <w:kern w:val="28"/>
                <w:sz w:val="24"/>
                <w:szCs w:val="24"/>
                <w:u w:val="single"/>
                <w:lang w:val="en-US" w:eastAsia="zh-CN" w:bidi="ar-SA"/>
              </w:rPr>
              <w:t>22</w:t>
            </w:r>
            <w:r>
              <w:rPr>
                <w:rFonts w:hint="eastAsia" w:ascii="宋体" w:hAnsi="宋体" w:eastAsia="宋体" w:cs="宋体"/>
                <w:snapToGrid w:val="0"/>
                <w:kern w:val="28"/>
                <w:sz w:val="24"/>
                <w:szCs w:val="24"/>
                <w:u w:val="single"/>
                <w:lang w:val="en-US" w:eastAsia="zh-CN" w:bidi="ar-SA"/>
              </w:rPr>
              <w:t xml:space="preserve"> </w:t>
            </w:r>
            <w:r>
              <w:rPr>
                <w:rFonts w:hint="eastAsia" w:ascii="宋体" w:hAnsi="宋体" w:eastAsia="宋体" w:cs="宋体"/>
                <w:snapToGrid w:val="0"/>
                <w:kern w:val="28"/>
                <w:sz w:val="24"/>
                <w:szCs w:val="24"/>
                <w:lang w:val="en-US" w:eastAsia="zh-CN" w:bidi="ar-SA"/>
              </w:rPr>
              <w:t>。</w:t>
            </w:r>
            <w:r>
              <w:rPr>
                <w:rFonts w:hint="eastAsia" w:ascii="宋体" w:hAnsi="宋体" w:eastAsia="宋体" w:cs="宋体"/>
                <w:b/>
                <w:bCs/>
                <w:snapToGrid w:val="0"/>
                <w:kern w:val="28"/>
                <w:sz w:val="24"/>
                <w:szCs w:val="24"/>
                <w:lang w:val="en-US" w:eastAsia="zh-CN" w:bidi="ar-SA"/>
              </w:rPr>
              <w:t>采购人、采购代理机构不强制或变相强制投标人提交备份投标文件</w:t>
            </w:r>
            <w:r>
              <w:rPr>
                <w:rFonts w:hint="eastAsia" w:ascii="宋体" w:hAnsi="宋体" w:eastAsia="宋体" w:cs="宋体"/>
                <w:snapToGrid w:val="0"/>
                <w:kern w:val="28"/>
                <w:sz w:val="24"/>
                <w:szCs w:val="24"/>
                <w:lang w:val="en-US" w:eastAsia="zh-CN" w:bidi="ar-SA"/>
              </w:rPr>
              <w:t>。采购活动结束后，备份投标文件存储介质请于3个工作日内取回，逾期未取回，不负保管义务。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vMerge w:val="restart"/>
            <w:tcBorders>
              <w:tl2br w:val="nil"/>
              <w:tr2bl w:val="nil"/>
            </w:tcBorders>
            <w:vAlign w:val="center"/>
          </w:tcPr>
          <w:p>
            <w:pPr>
              <w:snapToGrid w:val="0"/>
              <w:spacing w:line="360" w:lineRule="auto"/>
              <w:jc w:val="both"/>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l2br w:val="nil"/>
              <w:tr2bl w:val="nil"/>
            </w:tcBorders>
            <w:vAlign w:val="center"/>
          </w:tcPr>
          <w:p>
            <w:pPr>
              <w:spacing w:line="360" w:lineRule="auto"/>
              <w:jc w:val="both"/>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pPr>
              <w:snapToGrid w:val="0"/>
              <w:spacing w:line="360" w:lineRule="auto"/>
              <w:jc w:val="both"/>
              <w:rPr>
                <w:rFonts w:ascii="宋体" w:hAnsi="宋体" w:cs="宋体"/>
                <w:sz w:val="24"/>
              </w:rPr>
            </w:pPr>
          </w:p>
        </w:tc>
        <w:tc>
          <w:tcPr>
            <w:tcW w:w="1843" w:type="dxa"/>
            <w:vMerge w:val="continue"/>
            <w:tcBorders>
              <w:tl2br w:val="nil"/>
              <w:tr2bl w:val="nil"/>
            </w:tcBorders>
            <w:vAlign w:val="center"/>
          </w:tcPr>
          <w:p>
            <w:pPr>
              <w:snapToGrid w:val="0"/>
              <w:spacing w:line="360" w:lineRule="auto"/>
              <w:jc w:val="both"/>
              <w:rPr>
                <w:rFonts w:ascii="宋体" w:hAnsi="宋体" w:cs="宋体"/>
                <w:b/>
                <w:sz w:val="24"/>
              </w:rPr>
            </w:pPr>
          </w:p>
        </w:tc>
        <w:tc>
          <w:tcPr>
            <w:tcW w:w="6095" w:type="dxa"/>
            <w:tcBorders>
              <w:tl2br w:val="nil"/>
              <w:tr2bl w:val="nil"/>
            </w:tcBorders>
            <w:vAlign w:val="center"/>
          </w:tcPr>
          <w:p>
            <w:pPr>
              <w:spacing w:line="360" w:lineRule="auto"/>
              <w:jc w:val="both"/>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jc w:val="both"/>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0" w:name="第三部分"/>
      <w:bookmarkStart w:id="11"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w:t>
      </w:r>
      <w:r>
        <w:rPr>
          <w:rFonts w:hint="eastAsia" w:ascii="宋体" w:hAnsi="宋体" w:cs="宋体"/>
          <w:color w:val="auto"/>
          <w:sz w:val="24"/>
        </w:rPr>
        <w:t xml:space="preserve"> “▲</w:t>
      </w:r>
      <w:r>
        <w:rPr>
          <w:rFonts w:hint="eastAsia" w:ascii="宋体" w:hAnsi="宋体" w:cs="宋体"/>
          <w:color w:val="auto"/>
          <w:sz w:val="24"/>
          <w:lang w:val="en-US" w:eastAsia="zh-CN"/>
        </w:rPr>
        <w:t>且加下划线部分</w:t>
      </w:r>
      <w:r>
        <w:rPr>
          <w:rFonts w:hint="eastAsia" w:ascii="宋体" w:hAnsi="宋体" w:cs="宋体"/>
          <w:color w:val="auto"/>
          <w:sz w:val="24"/>
        </w:rPr>
        <w:t xml:space="preserve">” </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rPr>
        <w:t>。</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3.3.2.2在工程采购项目中，工程由中小企业承建，即工程施工单位为中小企业；</w:t>
      </w:r>
    </w:p>
    <w:p>
      <w:pPr>
        <w:widowControl/>
        <w:spacing w:line="360" w:lineRule="auto"/>
        <w:ind w:firstLine="480" w:firstLineChars="200"/>
        <w:jc w:val="left"/>
        <w:rPr>
          <w:rFonts w:cs="仿宋" w:asciiTheme="minorEastAsia" w:hAnsiTheme="minorEastAsia"/>
          <w:color w:val="auto"/>
          <w:kern w:val="0"/>
          <w:sz w:val="24"/>
        </w:rPr>
      </w:pPr>
      <w:r>
        <w:rPr>
          <w:rFonts w:hint="eastAsia" w:cs="仿宋" w:asciiTheme="minorEastAsia" w:hAnsiTheme="minorEastAsia"/>
          <w:kern w:val="0"/>
          <w:sz w:val="24"/>
        </w:rPr>
        <w:t>3.3.2.3在服务采购项目中，服务由中小企业承接，即提供服务的人员为中小企业依照</w:t>
      </w:r>
      <w:r>
        <w:rPr>
          <w:rFonts w:hint="eastAsia" w:cs="仿宋" w:asciiTheme="minorEastAsia" w:hAnsiTheme="minorEastAsia"/>
          <w:color w:val="auto"/>
          <w:kern w:val="0"/>
          <w:sz w:val="24"/>
        </w:rPr>
        <w:t>《</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cs="仿宋" w:asciiTheme="minorEastAsia" w:hAnsiTheme="minorEastAsia"/>
          <w:color w:val="auto"/>
          <w:kern w:val="0"/>
          <w:sz w:val="24"/>
        </w:rPr>
        <w:t>》订立劳动合同的从业人员。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color w:val="auto"/>
          <w:kern w:val="0"/>
          <w:sz w:val="24"/>
        </w:rPr>
        <w:t>在服务采购项目中，服务由中小企业承接，即提供服务的人员为中小企业依照</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宋体"/>
          <w:color w:val="auto"/>
          <w:kern w:val="0"/>
          <w:sz w:val="24"/>
          <w:u w:val="none"/>
        </w:rPr>
        <w:t>》</w:t>
      </w:r>
      <w:r>
        <w:rPr>
          <w:rFonts w:hint="eastAsia" w:ascii="宋体" w:hAnsi="宋体" w:cs="宋体"/>
          <w:color w:val="auto"/>
          <w:kern w:val="0"/>
          <w:sz w:val="24"/>
        </w:rPr>
        <w:t>订</w:t>
      </w:r>
      <w:r>
        <w:rPr>
          <w:rFonts w:hint="eastAsia" w:ascii="宋体" w:hAnsi="宋体" w:cs="宋体"/>
          <w:kern w:val="0"/>
          <w:sz w:val="24"/>
        </w:rPr>
        <w:t>立劳动合同的从业人员。</w:t>
      </w:r>
      <w:r>
        <w:rPr>
          <w:rFonts w:hint="eastAsia" w:cs="仿宋" w:asciiTheme="minorEastAsia" w:hAnsiTheme="minorEastAsia"/>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rPr>
        <w:t>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w:t>
      </w:r>
      <w:r>
        <w:rPr>
          <w:rFonts w:hint="eastAsia" w:ascii="宋体" w:hAnsi="宋体" w:cs="宋体"/>
          <w:sz w:val="24"/>
        </w:rPr>
        <w:t>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4.3.3.2质疑项目的名称、编号；</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4.3.3.3具体、明确的质疑事项和与质疑事项相关的请求；</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4.3.3.4事实依据；</w:t>
      </w:r>
    </w:p>
    <w:p>
      <w:pPr>
        <w:pStyle w:val="33"/>
        <w:spacing w:line="360" w:lineRule="auto"/>
        <w:ind w:firstLine="480" w:firstLineChars="200"/>
        <w:rPr>
          <w:rFonts w:hint="eastAsia" w:ascii="宋体" w:hAnsi="宋体" w:eastAsia="宋体" w:cs="宋体"/>
          <w:snapToGrid/>
          <w:kern w:val="0"/>
          <w:sz w:val="24"/>
          <w:szCs w:val="24"/>
          <w:lang w:val="zh-CN" w:eastAsia="zh-CN" w:bidi="ar-SA"/>
        </w:rPr>
      </w:pPr>
      <w:r>
        <w:rPr>
          <w:rFonts w:hint="eastAsia" w:hAnsi="宋体" w:cs="宋体"/>
          <w:kern w:val="0"/>
          <w:sz w:val="24"/>
          <w:lang w:val="zh-CN"/>
        </w:rPr>
        <w:t>　</w:t>
      </w:r>
      <w:r>
        <w:rPr>
          <w:rFonts w:hint="eastAsia" w:ascii="宋体" w:hAnsi="宋体" w:eastAsia="宋体" w:cs="宋体"/>
          <w:snapToGrid/>
          <w:kern w:val="0"/>
          <w:sz w:val="24"/>
          <w:szCs w:val="24"/>
          <w:lang w:val="zh-CN" w:eastAsia="zh-CN" w:bidi="ar-SA"/>
        </w:rPr>
        <w:t>　4.3.3.5必要的法律依据；</w:t>
      </w:r>
    </w:p>
    <w:p>
      <w:pPr>
        <w:pStyle w:val="33"/>
        <w:spacing w:line="360" w:lineRule="auto"/>
        <w:ind w:firstLine="960" w:firstLineChars="400"/>
        <w:rPr>
          <w:rFonts w:hint="eastAsia" w:ascii="宋体" w:hAnsi="宋体" w:eastAsia="宋体" w:cs="宋体"/>
          <w:snapToGrid/>
          <w:kern w:val="0"/>
          <w:sz w:val="24"/>
          <w:szCs w:val="24"/>
          <w:lang w:val="zh-CN" w:eastAsia="zh-CN" w:bidi="ar-SA"/>
        </w:rPr>
      </w:pPr>
      <w:r>
        <w:rPr>
          <w:rFonts w:hint="eastAsia" w:ascii="宋体" w:hAnsi="宋体" w:eastAsia="宋体" w:cs="宋体"/>
          <w:snapToGrid/>
          <w:kern w:val="0"/>
          <w:sz w:val="24"/>
          <w:szCs w:val="24"/>
          <w:lang w:val="zh-CN" w:eastAsia="zh-CN" w:bidi="ar-SA"/>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default" w:eastAsia="宋体"/>
          <w:color w:val="auto"/>
          <w:u w:val="none"/>
          <w:lang w:val="en-US" w:eastAsia="zh-CN"/>
        </w:rPr>
      </w:pPr>
      <w:r>
        <w:rPr>
          <w:rFonts w:hint="eastAsia"/>
          <w:color w:val="auto"/>
          <w:lang w:val="zh-CN"/>
        </w:rPr>
        <w:t>4.3</w:t>
      </w:r>
      <w:r>
        <w:rPr>
          <w:rFonts w:hint="eastAsia"/>
          <w:color w:val="auto"/>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cs="宋体"/>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7"/>
        <w:shd w:val="clear" w:color="auto" w:fill="FFFFFF"/>
        <w:snapToGrid w:val="0"/>
        <w:spacing w:after="240" w:afterAutospacing="0" w:line="360" w:lineRule="auto"/>
        <w:ind w:firstLine="400"/>
        <w:contextualSpacing/>
        <w:rPr>
          <w:color w:val="auto"/>
        </w:rPr>
      </w:pPr>
      <w:r>
        <w:rPr>
          <w:rFonts w:hint="eastAsia"/>
          <w:color w:val="auto"/>
        </w:rPr>
        <w:t>4.4.1质疑供应商对采购人的答复不满意或者采购人未在规定的时间内作出答复的，可以在答复期满后十五个工作日内向同级政府采购监督管理部门提出投诉。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pStyle w:val="887"/>
        <w:numPr>
          <w:ilvl w:val="0"/>
          <w:numId w:val="1"/>
        </w:numPr>
        <w:shd w:val="clear" w:color="auto" w:fill="FFFFFF"/>
        <w:snapToGrid w:val="0"/>
        <w:spacing w:after="240" w:afterAutospacing="0" w:line="360" w:lineRule="auto"/>
        <w:ind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pPr>
        <w:pStyle w:val="887"/>
        <w:shd w:val="clear" w:color="auto" w:fill="FFFFFF"/>
        <w:snapToGrid w:val="0"/>
        <w:spacing w:after="240" w:afterAutospacing="0" w:line="360" w:lineRule="auto"/>
        <w:ind w:firstLine="400"/>
        <w:contextualSpacing/>
        <w:rPr>
          <w:rFonts w:hint="eastAsia"/>
          <w:color w:val="auto"/>
        </w:rPr>
      </w:pPr>
      <w:r>
        <w:rPr>
          <w:rFonts w:hint="eastAsia"/>
          <w:color w:val="auto"/>
          <w:lang w:val="en-US" w:eastAsia="zh-CN"/>
        </w:rPr>
        <w:t>5.1招标</w:t>
      </w:r>
      <w:r>
        <w:rPr>
          <w:rFonts w:hint="eastAsia"/>
          <w:color w:val="auto"/>
        </w:rPr>
        <w:t>文件中所涉及的产品品牌或型号均为建议性要求或为代替部分技术指标描述，</w:t>
      </w:r>
      <w:r>
        <w:rPr>
          <w:rFonts w:hint="eastAsia"/>
          <w:color w:val="auto"/>
          <w:lang w:val="en-US" w:eastAsia="zh-CN"/>
        </w:rPr>
        <w:t>投标人</w:t>
      </w:r>
      <w:r>
        <w:rPr>
          <w:rFonts w:hint="eastAsia"/>
          <w:color w:val="auto"/>
        </w:rPr>
        <w:t>可以选择其他品牌型号的产品参加投标但投标产品须具有相当于或优于采购文件要求的指标、性能。否则，评标委员会将对其作出不利的评审。</w:t>
      </w:r>
    </w:p>
    <w:p>
      <w:pPr>
        <w:pStyle w:val="887"/>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5．招标文件的构成</w:t>
      </w:r>
    </w:p>
    <w:p>
      <w:pPr>
        <w:pStyle w:val="130"/>
        <w:snapToGrid w:val="0"/>
        <w:spacing w:before="0"/>
        <w:ind w:firstLine="480"/>
        <w:rPr>
          <w:rFonts w:hint="eastAsia" w:ascii="宋体" w:hAnsi="宋体" w:cs="宋体"/>
          <w:lang w:eastAsia="zh-CN"/>
        </w:rPr>
      </w:pPr>
      <w:r>
        <w:rPr>
          <w:rFonts w:hint="eastAsia" w:ascii="宋体" w:hAnsi="宋体" w:cs="宋体"/>
          <w:lang w:eastAsia="zh-CN"/>
        </w:rPr>
        <w:t>5.1 招标文件包括下列文件及附件：</w:t>
      </w:r>
    </w:p>
    <w:p>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5.1.1招标公告；</w:t>
      </w:r>
    </w:p>
    <w:p>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5.1.2投标人须知；</w:t>
      </w:r>
    </w:p>
    <w:p>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5.1.3采购需求；</w:t>
      </w:r>
    </w:p>
    <w:p>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5.1.4评标办法；</w:t>
      </w:r>
    </w:p>
    <w:p>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5.1.5拟签订的合同文本；</w:t>
      </w:r>
    </w:p>
    <w:p>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5.1.6应提交的有关格式范例。</w:t>
      </w:r>
    </w:p>
    <w:p>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5.2与本项目有关的澄清或者修改的内容为招标文件的组成部分。</w:t>
      </w:r>
    </w:p>
    <w:p>
      <w:pPr>
        <w:pStyle w:val="33"/>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6. 招标文件的澄清、修改</w:t>
      </w:r>
    </w:p>
    <w:p>
      <w:pPr>
        <w:pStyle w:val="130"/>
        <w:snapToGrid w:val="0"/>
        <w:spacing w:before="0"/>
        <w:ind w:firstLine="960" w:firstLineChars="40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0"/>
        <w:snapToGrid w:val="0"/>
        <w:spacing w:before="0"/>
        <w:ind w:firstLine="960" w:firstLineChars="40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val="0"/>
          <w:bCs/>
          <w:sz w:val="30"/>
          <w:szCs w:val="20"/>
        </w:rPr>
      </w:pPr>
      <w:r>
        <w:rPr>
          <w:rFonts w:hint="eastAsia" w:ascii="宋体" w:hAnsi="宋体" w:cs="宋体"/>
          <w:b w:val="0"/>
          <w:bCs/>
          <w:sz w:val="30"/>
          <w:szCs w:val="20"/>
        </w:rPr>
        <w:t>三、投标</w:t>
      </w:r>
    </w:p>
    <w:p>
      <w:pPr>
        <w:pStyle w:val="33"/>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7. 招标文件的获取</w:t>
      </w:r>
    </w:p>
    <w:p>
      <w:pPr>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详见招标公告中获取招标文件的时间期限、地点、方式及招标文件售价。</w:t>
      </w:r>
    </w:p>
    <w:p>
      <w:pPr>
        <w:pStyle w:val="33"/>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8.开标前答疑会或现场考察</w:t>
      </w:r>
    </w:p>
    <w:p>
      <w:pPr>
        <w:pStyle w:val="33"/>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10. 投标文件的语言</w:t>
      </w:r>
    </w:p>
    <w:p>
      <w:pPr>
        <w:pStyle w:val="33"/>
        <w:spacing w:line="360" w:lineRule="auto"/>
        <w:ind w:firstLine="480" w:firstLineChars="200"/>
        <w:rPr>
          <w:rFonts w:hint="eastAsia" w:ascii="宋体" w:hAnsi="宋体" w:eastAsia="宋体" w:cs="宋体"/>
          <w:snapToGrid/>
          <w:kern w:val="2"/>
          <w:sz w:val="24"/>
          <w:szCs w:val="24"/>
          <w:lang w:val="zh-CN" w:eastAsia="zh-CN" w:bidi="ar-SA"/>
        </w:rPr>
      </w:pPr>
      <w:r>
        <w:rPr>
          <w:rFonts w:hint="eastAsia" w:ascii="宋体" w:hAnsi="宋体" w:eastAsia="宋体" w:cs="宋体"/>
          <w:snapToGrid/>
          <w:kern w:val="2"/>
          <w:sz w:val="24"/>
          <w:szCs w:val="24"/>
          <w:lang w:val="en-US" w:eastAsia="zh-CN" w:bidi="ar-SA"/>
        </w:rPr>
        <w:t>投标文件及投标人与采购有关的来往通知、函件和文件均应使用中文。</w:t>
      </w:r>
    </w:p>
    <w:p>
      <w:pPr>
        <w:pStyle w:val="33"/>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pStyle w:val="24"/>
        <w:ind w:firstLine="960" w:firstLineChars="400"/>
        <w:rPr>
          <w:rFonts w:hint="default"/>
          <w:color w:val="auto"/>
          <w:lang w:val="en-US"/>
        </w:rPr>
      </w:pPr>
      <w:r>
        <w:rPr>
          <w:rFonts w:hint="eastAsia" w:cs="仿宋" w:asciiTheme="minorEastAsia" w:hAnsiTheme="minorEastAsia"/>
          <w:color w:val="auto"/>
          <w:sz w:val="24"/>
          <w:lang w:val="en-US" w:eastAsia="zh-CN"/>
        </w:rPr>
        <w:t>11.2.8认为需要的其他文件资料或说明.</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color w:val="auto"/>
          <w:u w:val="single"/>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color w:val="auto"/>
          <w:u w:val="single"/>
        </w:rPr>
        <w:t>▲投标人的投标文件未按照招标文件要求签署、盖章的，其投标无效</w:t>
      </w:r>
      <w:r>
        <w:rPr>
          <w:rFonts w:hint="eastAsia" w:ascii="宋体" w:hAnsi="宋体" w:cs="宋体"/>
          <w:color w:val="auto"/>
          <w:szCs w:val="24"/>
          <w:u w:val="single"/>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15.备份投标文件</w:t>
      </w:r>
    </w:p>
    <w:p>
      <w:pPr>
        <w:pStyle w:val="33"/>
        <w:spacing w:line="360" w:lineRule="auto"/>
        <w:ind w:firstLine="360" w:firstLineChars="150"/>
        <w:rPr>
          <w:rFonts w:hint="eastAsia"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snapToGrid/>
          <w:kern w:val="2"/>
          <w:sz w:val="24"/>
          <w:szCs w:val="24"/>
          <w:lang w:val="en-US" w:eastAsia="zh-CN" w:bidi="ar-SA"/>
        </w:rPr>
        <w:t>但采购人、采购代理机构不强制或变相强制投标人提交备份投标文件。</w:t>
      </w:r>
    </w:p>
    <w:p>
      <w:pPr>
        <w:pStyle w:val="33"/>
        <w:spacing w:line="360" w:lineRule="auto"/>
        <w:ind w:firstLine="480" w:firstLineChars="200"/>
        <w:rPr>
          <w:rFonts w:hint="default"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napToGrid/>
          <w:kern w:val="2"/>
          <w:sz w:val="24"/>
          <w:szCs w:val="24"/>
          <w:lang w:val="en-US" w:eastAsia="zh-CN" w:bidi="ar-SA"/>
        </w:rPr>
        <w:t xml:space="preserve">不符合上述制作、存储、密封规定的备份投标文件将被视为无效或者被拒绝接收。 </w:t>
      </w:r>
    </w:p>
    <w:p>
      <w:pPr>
        <w:pStyle w:val="33"/>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15.5投标人仅提交备份投标文件，未在电子交易平台传输递交投标文件的，投标无效。</w:t>
      </w:r>
    </w:p>
    <w:p>
      <w:pPr>
        <w:pStyle w:val="130"/>
        <w:spacing w:before="0"/>
        <w:ind w:firstLine="0" w:firstLineChars="0"/>
        <w:rPr>
          <w:rFonts w:ascii="宋体" w:hAnsi="宋体" w:cs="宋体"/>
          <w:b/>
          <w:bCs w:val="0"/>
          <w:szCs w:val="24"/>
        </w:rPr>
      </w:pPr>
      <w:r>
        <w:rPr>
          <w:rFonts w:hint="eastAsia" w:ascii="宋体" w:hAnsi="宋体" w:cs="宋体"/>
          <w:b/>
          <w:bCs w:val="0"/>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w:t>
      </w:r>
      <w:r>
        <w:rPr>
          <w:rFonts w:hint="eastAsia" w:ascii="宋体" w:hAnsi="宋体" w:cs="宋体"/>
          <w:b/>
          <w:bCs/>
          <w:color w:val="auto"/>
          <w:sz w:val="24"/>
          <w:szCs w:val="20"/>
          <w:u w:val="single"/>
        </w:rPr>
        <w:t>▲投标有效期为从提交投标文件的截止之日起90天。投标人的投标文件中承</w:t>
      </w:r>
      <w:r>
        <w:rPr>
          <w:rFonts w:hint="eastAsia" w:ascii="宋体" w:hAnsi="宋体" w:cs="宋体"/>
          <w:b/>
          <w:bCs/>
          <w:color w:val="auto"/>
          <w:sz w:val="24"/>
          <w:szCs w:val="21"/>
          <w:u w:val="single"/>
        </w:rPr>
        <w:t>诺的投标有效期少于招标文件中载明的投标有效期的，投标无效</w:t>
      </w:r>
      <w:r>
        <w:rPr>
          <w:rFonts w:hint="eastAsia" w:ascii="宋体" w:hAnsi="宋体" w:cs="宋体"/>
          <w:b/>
          <w:color w:val="auto"/>
          <w:sz w:val="24"/>
          <w:szCs w:val="21"/>
        </w:rPr>
        <w:t>。</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kern w:val="0"/>
          <w:sz w:val="24"/>
        </w:rPr>
        <w:t>1</w:t>
      </w:r>
      <w:r>
        <w:rPr>
          <w:rFonts w:hint="eastAsia" w:ascii="宋体" w:hAnsi="宋体" w:cs="宋体"/>
          <w:color w:val="auto"/>
          <w:kern w:val="0"/>
          <w:sz w:val="24"/>
        </w:rPr>
        <w:t>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w:t>
      </w:r>
      <w:r>
        <w:rPr>
          <w:rFonts w:hint="eastAsia" w:ascii="宋体" w:hAnsi="宋体" w:cs="宋体"/>
          <w:kern w:val="0"/>
          <w:szCs w:val="24"/>
          <w:lang w:val="en-US" w:eastAsia="zh-CN"/>
        </w:rPr>
        <w:t>人</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w:t>
      </w:r>
      <w:r>
        <w:rPr>
          <w:rFonts w:hint="eastAsia" w:ascii="宋体" w:hAnsi="宋体" w:cs="宋体"/>
          <w:color w:val="auto"/>
          <w:kern w:val="0"/>
          <w:sz w:val="24"/>
        </w:rPr>
        <w:t>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color w:val="0000FF"/>
          <w:sz w:val="24"/>
          <w:highlight w:val="none"/>
          <w:lang w:val="en-US" w:eastAsia="zh-CN"/>
        </w:rPr>
        <w:t>7</w:t>
      </w:r>
      <w:r>
        <w:rPr>
          <w:rFonts w:ascii="宋体" w:hAnsi="宋体"/>
          <w:sz w:val="24"/>
          <w:highlight w:val="none"/>
        </w:rPr>
        <w:t>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hint="eastAsia"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2"/>
      <w:bookmarkStart w:id="14" w:name="_Hlt68073093"/>
      <w:bookmarkEnd w:id="14"/>
      <w:bookmarkStart w:id="15" w:name="_Hlt75236101"/>
      <w:bookmarkEnd w:id="15"/>
      <w:bookmarkStart w:id="16" w:name="_Hlt68072990"/>
      <w:bookmarkEnd w:id="16"/>
      <w:bookmarkStart w:id="17" w:name="_Hlt74729768"/>
      <w:bookmarkEnd w:id="17"/>
      <w:bookmarkStart w:id="18" w:name="_Hlt68403820"/>
      <w:bookmarkEnd w:id="18"/>
      <w:bookmarkStart w:id="19" w:name="_Hlt75236290"/>
      <w:bookmarkEnd w:id="19"/>
      <w:bookmarkStart w:id="20" w:name="_Hlt68072998"/>
      <w:bookmarkEnd w:id="20"/>
      <w:bookmarkStart w:id="21" w:name="_Hlt74714665"/>
      <w:bookmarkEnd w:id="21"/>
      <w:bookmarkStart w:id="22" w:name="_Hlt68057669"/>
      <w:bookmarkEnd w:id="22"/>
      <w:bookmarkStart w:id="23" w:name="_Hlt74730295"/>
      <w:bookmarkEnd w:id="23"/>
      <w:bookmarkStart w:id="24" w:name="_Hlt75236011"/>
      <w:bookmarkEnd w:id="24"/>
      <w:bookmarkStart w:id="25" w:name="_Hlt74707468"/>
      <w:bookmarkEnd w:id="25"/>
    </w:p>
    <w:bookmarkEnd w:id="10"/>
    <w:bookmarkEnd w:id="11"/>
    <w:p>
      <w:pPr>
        <w:numPr>
          <w:ilvl w:val="0"/>
          <w:numId w:val="2"/>
        </w:num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 xml:space="preserve">  采购需求</w:t>
      </w:r>
    </w:p>
    <w:p>
      <w:pPr>
        <w:autoSpaceDE w:val="0"/>
        <w:autoSpaceDN w:val="0"/>
        <w:adjustRightInd w:val="0"/>
        <w:snapToGrid w:val="0"/>
        <w:spacing w:line="400" w:lineRule="exact"/>
        <w:ind w:firstLine="331" w:firstLineChars="150"/>
        <w:textAlignment w:val="bottom"/>
        <w:rPr>
          <w:rFonts w:ascii="宋体" w:hAnsi="宋体" w:cs="宋体"/>
          <w:b/>
          <w:bCs/>
          <w:sz w:val="22"/>
          <w:szCs w:val="22"/>
        </w:rPr>
      </w:pPr>
      <w:r>
        <w:rPr>
          <w:rFonts w:hint="eastAsia" w:ascii="宋体" w:hAnsi="宋体" w:cs="宋体"/>
          <w:b/>
          <w:bCs/>
          <w:sz w:val="22"/>
          <w:szCs w:val="22"/>
        </w:rPr>
        <w:t>一、项目地点及概要</w:t>
      </w:r>
    </w:p>
    <w:p>
      <w:pPr>
        <w:spacing w:line="400" w:lineRule="exact"/>
        <w:ind w:firstLine="440" w:firstLineChars="200"/>
        <w:rPr>
          <w:rFonts w:ascii="宋体" w:hAnsi="宋体" w:cs="宋体"/>
          <w:sz w:val="22"/>
          <w:szCs w:val="22"/>
        </w:rPr>
      </w:pPr>
      <w:r>
        <w:rPr>
          <w:rFonts w:hint="eastAsia" w:ascii="宋体" w:hAnsi="宋体" w:cs="宋体"/>
          <w:sz w:val="22"/>
          <w:szCs w:val="22"/>
        </w:rPr>
        <w:t>1、温州市司法局工作概况：承担全面依法治市重大问题的政策和研究，协调有关方面提出全面依法治市中长期规划建议，负责有关重大决策部署督察工作；承担统筹规划立法工作的责任。负责面向社会征集法律、地方性法规、规章制定项目建议；组织起草、审查地方性法规草案、政府规章草案，负责政府规章的备案工作。负责市政府法律顾问工作；承办市政府规章的解释答复、立法后评估工作。负责市政府规章清理、编纂工作。指导行政规范性文件清理工作；承担统筹推进法治政府建设的责任。指导监督市政府各部门、地方各级政府依法行政工作。负责有关行政复议、行政应诉和国家赔偿案件的办理工作；承担统筹规划法治社会建设的责任。负责拟订法治宣传教育规划，组织实施普法宣传工作，组织对外法治宣传。推动人民参与和促进法治建设。指导依法治理和法治创建工作。指导调解工作和人民陪审员、人民监督员选任管理工作。指导推进司法所建设；指导管理全市社区矫正工作。指导刑满释放人员帮教安置工作；指导监督司法行政戒毒管理工作；负责拟订公共法律服务体系建设规划并指导实施，统筹和布局城乡、区域法律服务资源。指导监督律师、法律援助、司法鉴定、公证、仲裁和基层法律服务管理工作；承担国家统一法律职业资格考试在温州的组织实施工作；负责本系统枪支、弹药、服装和警车管理工作，指导监督本系统财务、装备、设施、场所等保障性工作；规划、协调、指导法治人才队伍建设相关工作，指导监督本系统队伍建设。负责本系统警务管理和督察工作。协助县（市、区）管理司法局领导干部；管理市黄龙强制隔离戒毒所；完成市委、市政府交办的其他任务。</w:t>
      </w:r>
    </w:p>
    <w:p>
      <w:pPr>
        <w:spacing w:line="400" w:lineRule="exact"/>
        <w:ind w:firstLine="440" w:firstLineChars="200"/>
        <w:rPr>
          <w:rFonts w:ascii="宋体" w:hAnsi="宋体" w:cs="宋体"/>
          <w:sz w:val="22"/>
          <w:szCs w:val="22"/>
        </w:rPr>
      </w:pPr>
      <w:r>
        <w:rPr>
          <w:rFonts w:hint="eastAsia" w:ascii="宋体" w:hAnsi="宋体" w:cs="宋体"/>
          <w:sz w:val="22"/>
          <w:szCs w:val="22"/>
        </w:rPr>
        <w:t>2、项目地点：坐落于温州市学院中路291号</w:t>
      </w:r>
    </w:p>
    <w:p>
      <w:pPr>
        <w:spacing w:line="400" w:lineRule="exact"/>
        <w:ind w:firstLine="420"/>
        <w:rPr>
          <w:rFonts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、建筑面积：总建筑面积9404平方米。</w:t>
      </w:r>
      <w:r>
        <w:rPr>
          <w:rFonts w:hint="eastAsia" w:ascii="宋体" w:hAnsi="宋体" w:cs="宋体"/>
          <w:sz w:val="22"/>
          <w:szCs w:val="22"/>
        </w:rPr>
        <w:tab/>
      </w:r>
    </w:p>
    <w:p>
      <w:pPr>
        <w:spacing w:line="400" w:lineRule="exact"/>
        <w:ind w:firstLine="331" w:firstLineChars="150"/>
        <w:rPr>
          <w:rFonts w:ascii="宋体" w:hAnsi="宋体" w:cs="宋体"/>
          <w:sz w:val="22"/>
          <w:szCs w:val="22"/>
        </w:rPr>
      </w:pPr>
      <w:r>
        <w:rPr>
          <w:rFonts w:hint="eastAsia" w:ascii="宋体" w:hAnsi="宋体" w:cs="宋体"/>
          <w:b/>
          <w:bCs/>
          <w:sz w:val="22"/>
          <w:szCs w:val="22"/>
        </w:rPr>
        <w:t>二、采购范围、要求、承包期限</w:t>
      </w:r>
    </w:p>
    <w:p>
      <w:pPr>
        <w:spacing w:line="400" w:lineRule="exact"/>
        <w:ind w:left="519" w:leftChars="200" w:hanging="99" w:hangingChars="45"/>
        <w:rPr>
          <w:rFonts w:ascii="宋体" w:hAnsi="宋体" w:cs="宋体"/>
          <w:b/>
          <w:bCs/>
          <w:sz w:val="22"/>
          <w:szCs w:val="22"/>
        </w:rPr>
      </w:pPr>
      <w:r>
        <w:rPr>
          <w:rFonts w:hint="eastAsia" w:ascii="宋体" w:hAnsi="宋体" w:cs="宋体"/>
          <w:b/>
          <w:bCs/>
          <w:sz w:val="22"/>
          <w:szCs w:val="22"/>
        </w:rPr>
        <w:t>1、服务范围：</w:t>
      </w:r>
    </w:p>
    <w:p>
      <w:pPr>
        <w:spacing w:line="400" w:lineRule="exact"/>
        <w:ind w:left="734" w:leftChars="200" w:hanging="314" w:hangingChars="143"/>
        <w:rPr>
          <w:rFonts w:ascii="宋体" w:hAnsi="宋体" w:cs="宋体"/>
          <w:sz w:val="22"/>
          <w:szCs w:val="22"/>
        </w:rPr>
      </w:pPr>
      <w:r>
        <w:rPr>
          <w:rFonts w:hint="eastAsia" w:ascii="宋体" w:hAnsi="宋体" w:cs="宋体"/>
          <w:bCs/>
          <w:sz w:val="22"/>
          <w:szCs w:val="22"/>
        </w:rPr>
        <w:t>A、</w:t>
      </w:r>
      <w:r>
        <w:rPr>
          <w:rFonts w:hint="eastAsia" w:ascii="宋体" w:hAnsi="宋体" w:cs="宋体"/>
          <w:sz w:val="22"/>
          <w:szCs w:val="22"/>
        </w:rPr>
        <w:t>温州市司法局机关大楼整个室内区域（办公大楼区域内的安全保卫、卫生保洁、会务后勤及绿化养护等物业管理服务）。</w:t>
      </w:r>
    </w:p>
    <w:p>
      <w:pPr>
        <w:adjustRightInd w:val="0"/>
        <w:snapToGrid w:val="0"/>
        <w:spacing w:line="400" w:lineRule="exact"/>
        <w:ind w:firstLine="431" w:firstLineChars="196"/>
        <w:outlineLvl w:val="0"/>
        <w:rPr>
          <w:rFonts w:ascii="宋体" w:hAnsi="宋体" w:cs="宋体"/>
          <w:sz w:val="22"/>
          <w:szCs w:val="22"/>
        </w:rPr>
      </w:pPr>
      <w:r>
        <w:rPr>
          <w:rFonts w:hint="eastAsia" w:ascii="宋体" w:hAnsi="宋体" w:cs="宋体"/>
          <w:bCs/>
          <w:sz w:val="22"/>
          <w:szCs w:val="22"/>
        </w:rPr>
        <w:t>B、</w:t>
      </w:r>
      <w:r>
        <w:rPr>
          <w:rFonts w:hint="eastAsia" w:ascii="宋体" w:hAnsi="宋体" w:cs="宋体"/>
          <w:sz w:val="22"/>
          <w:szCs w:val="22"/>
        </w:rPr>
        <w:t>温州市司法局机关大楼整个室外区域（庭院保洁、</w:t>
      </w:r>
      <w:r>
        <w:rPr>
          <w:rFonts w:hint="eastAsia" w:ascii="宋体" w:hAnsi="宋体" w:cs="宋体"/>
          <w:sz w:val="22"/>
          <w:szCs w:val="22"/>
          <w:lang w:val="en-US" w:eastAsia="zh-CN"/>
        </w:rPr>
        <w:t>绿化养护、</w:t>
      </w:r>
      <w:r>
        <w:rPr>
          <w:rFonts w:hint="eastAsia" w:ascii="宋体" w:hAnsi="宋体" w:cs="宋体"/>
          <w:sz w:val="22"/>
          <w:szCs w:val="22"/>
        </w:rPr>
        <w:t>停车场管理）。</w:t>
      </w:r>
    </w:p>
    <w:p>
      <w:pPr>
        <w:adjustRightInd w:val="0"/>
        <w:snapToGrid w:val="0"/>
        <w:spacing w:line="400" w:lineRule="exact"/>
        <w:ind w:firstLine="433" w:firstLineChars="196"/>
        <w:outlineLvl w:val="0"/>
        <w:rPr>
          <w:rFonts w:ascii="宋体" w:hAnsi="宋体" w:cs="宋体"/>
          <w:b/>
          <w:bCs/>
          <w:sz w:val="22"/>
          <w:szCs w:val="22"/>
        </w:rPr>
      </w:pPr>
      <w:r>
        <w:rPr>
          <w:rFonts w:hint="eastAsia" w:ascii="宋体" w:hAnsi="宋体" w:cs="宋体"/>
          <w:b/>
          <w:bCs/>
          <w:sz w:val="22"/>
          <w:szCs w:val="22"/>
        </w:rPr>
        <w:t>2、采购内容：</w:t>
      </w:r>
    </w:p>
    <w:tbl>
      <w:tblPr>
        <w:tblStyle w:val="64"/>
        <w:tblpPr w:leftFromText="180" w:rightFromText="180" w:vertAnchor="text" w:horzAnchor="page" w:tblpXSpec="center" w:tblpY="65"/>
        <w:tblOverlap w:val="never"/>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09"/>
        <w:gridCol w:w="1039"/>
        <w:gridCol w:w="4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6" w:type="dxa"/>
            <w:vAlign w:val="center"/>
          </w:tcPr>
          <w:p>
            <w:pPr>
              <w:spacing w:line="360" w:lineRule="exact"/>
              <w:jc w:val="center"/>
              <w:rPr>
                <w:rFonts w:ascii="宋体" w:hAnsi="宋体" w:cs="宋体"/>
                <w:b/>
                <w:bCs/>
                <w:sz w:val="22"/>
                <w:szCs w:val="22"/>
              </w:rPr>
            </w:pPr>
            <w:r>
              <w:rPr>
                <w:rFonts w:hint="eastAsia" w:ascii="宋体" w:hAnsi="宋体" w:cs="宋体"/>
                <w:b/>
                <w:bCs/>
                <w:sz w:val="22"/>
                <w:szCs w:val="22"/>
              </w:rPr>
              <w:t>序号</w:t>
            </w:r>
          </w:p>
        </w:tc>
        <w:tc>
          <w:tcPr>
            <w:tcW w:w="1909" w:type="dxa"/>
            <w:vAlign w:val="center"/>
          </w:tcPr>
          <w:p>
            <w:pPr>
              <w:spacing w:line="360" w:lineRule="exact"/>
              <w:jc w:val="center"/>
              <w:rPr>
                <w:rFonts w:ascii="宋体" w:hAnsi="宋体" w:cs="宋体"/>
                <w:b/>
                <w:bCs/>
                <w:sz w:val="22"/>
                <w:szCs w:val="22"/>
              </w:rPr>
            </w:pPr>
            <w:r>
              <w:rPr>
                <w:rFonts w:hint="eastAsia" w:ascii="宋体" w:hAnsi="宋体" w:cs="宋体"/>
                <w:b/>
                <w:bCs/>
                <w:sz w:val="22"/>
                <w:szCs w:val="22"/>
              </w:rPr>
              <w:t>项目名称</w:t>
            </w:r>
          </w:p>
        </w:tc>
        <w:tc>
          <w:tcPr>
            <w:tcW w:w="1039" w:type="dxa"/>
            <w:vAlign w:val="center"/>
          </w:tcPr>
          <w:p>
            <w:pPr>
              <w:spacing w:line="360" w:lineRule="exact"/>
              <w:jc w:val="center"/>
              <w:rPr>
                <w:rFonts w:ascii="宋体" w:hAnsi="宋体" w:cs="宋体"/>
                <w:b/>
                <w:bCs/>
                <w:sz w:val="22"/>
                <w:szCs w:val="22"/>
              </w:rPr>
            </w:pPr>
            <w:r>
              <w:rPr>
                <w:rFonts w:hint="eastAsia" w:ascii="宋体" w:hAnsi="宋体" w:cs="宋体"/>
                <w:b/>
                <w:bCs/>
                <w:sz w:val="22"/>
                <w:szCs w:val="22"/>
              </w:rPr>
              <w:t>服务期</w:t>
            </w:r>
          </w:p>
        </w:tc>
        <w:tc>
          <w:tcPr>
            <w:tcW w:w="4969" w:type="dxa"/>
            <w:vAlign w:val="center"/>
          </w:tcPr>
          <w:p>
            <w:pPr>
              <w:spacing w:line="360" w:lineRule="exact"/>
              <w:jc w:val="center"/>
              <w:rPr>
                <w:rFonts w:ascii="宋体" w:hAnsi="宋体" w:cs="宋体"/>
                <w:b/>
                <w:bCs/>
                <w:sz w:val="22"/>
                <w:szCs w:val="22"/>
              </w:rPr>
            </w:pPr>
            <w:r>
              <w:rPr>
                <w:rFonts w:hint="eastAsia" w:ascii="宋体" w:hAnsi="宋体" w:cs="宋体"/>
                <w:b/>
                <w:bCs/>
                <w:sz w:val="22"/>
                <w:szCs w:val="22"/>
              </w:rPr>
              <w:t>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96" w:type="dxa"/>
            <w:vAlign w:val="center"/>
          </w:tcPr>
          <w:p>
            <w:pPr>
              <w:spacing w:line="360" w:lineRule="exact"/>
              <w:jc w:val="center"/>
              <w:rPr>
                <w:rFonts w:ascii="宋体" w:hAnsi="宋体" w:cs="宋体"/>
                <w:sz w:val="22"/>
                <w:szCs w:val="22"/>
              </w:rPr>
            </w:pPr>
            <w:r>
              <w:rPr>
                <w:rFonts w:hint="eastAsia" w:ascii="宋体" w:hAnsi="宋体" w:cs="宋体"/>
                <w:sz w:val="22"/>
                <w:szCs w:val="22"/>
              </w:rPr>
              <w:t>1</w:t>
            </w:r>
          </w:p>
        </w:tc>
        <w:tc>
          <w:tcPr>
            <w:tcW w:w="1909" w:type="dxa"/>
            <w:vAlign w:val="center"/>
          </w:tcPr>
          <w:p>
            <w:pPr>
              <w:spacing w:line="360" w:lineRule="exact"/>
              <w:jc w:val="center"/>
              <w:rPr>
                <w:rFonts w:ascii="宋体" w:hAnsi="宋体" w:cs="宋体"/>
                <w:sz w:val="22"/>
                <w:szCs w:val="22"/>
              </w:rPr>
            </w:pPr>
            <w:r>
              <w:rPr>
                <w:rFonts w:hint="eastAsia" w:ascii="宋体" w:hAnsi="宋体" w:cs="宋体"/>
                <w:sz w:val="22"/>
                <w:szCs w:val="22"/>
              </w:rPr>
              <w:t>综合物业管理服务</w:t>
            </w:r>
          </w:p>
        </w:tc>
        <w:tc>
          <w:tcPr>
            <w:tcW w:w="1039" w:type="dxa"/>
            <w:vAlign w:val="center"/>
          </w:tcPr>
          <w:p>
            <w:pPr>
              <w:spacing w:line="360" w:lineRule="exact"/>
              <w:jc w:val="center"/>
              <w:rPr>
                <w:rFonts w:ascii="宋体" w:hAnsi="宋体" w:cs="宋体"/>
                <w:sz w:val="22"/>
                <w:szCs w:val="22"/>
              </w:rPr>
            </w:pPr>
            <w:r>
              <w:rPr>
                <w:rFonts w:hint="eastAsia" w:ascii="宋体" w:hAnsi="宋体" w:cs="宋体"/>
                <w:sz w:val="22"/>
                <w:szCs w:val="22"/>
              </w:rPr>
              <w:t>1年</w:t>
            </w:r>
          </w:p>
        </w:tc>
        <w:tc>
          <w:tcPr>
            <w:tcW w:w="4969" w:type="dxa"/>
            <w:vAlign w:val="center"/>
          </w:tcPr>
          <w:p>
            <w:pPr>
              <w:spacing w:line="360" w:lineRule="exact"/>
              <w:jc w:val="left"/>
              <w:rPr>
                <w:rFonts w:ascii="宋体" w:hAnsi="宋体" w:cs="宋体"/>
                <w:sz w:val="22"/>
                <w:szCs w:val="22"/>
              </w:rPr>
            </w:pPr>
            <w:r>
              <w:rPr>
                <w:rFonts w:hint="eastAsia" w:ascii="宋体" w:hAnsi="宋体" w:cs="宋体"/>
                <w:sz w:val="22"/>
                <w:szCs w:val="22"/>
              </w:rPr>
              <w:t>大楼区域内安全保卫、卫生保洁、会务后勤、绿化养护等物业管理服务。年采购额约680000元。</w:t>
            </w:r>
          </w:p>
        </w:tc>
      </w:tr>
    </w:tbl>
    <w:p>
      <w:pPr>
        <w:numPr>
          <w:ilvl w:val="0"/>
          <w:numId w:val="3"/>
        </w:numPr>
        <w:adjustRightInd w:val="0"/>
        <w:snapToGrid w:val="0"/>
        <w:spacing w:line="400" w:lineRule="exact"/>
        <w:ind w:firstLine="433" w:firstLineChars="196"/>
        <w:outlineLvl w:val="0"/>
        <w:rPr>
          <w:rFonts w:ascii="宋体" w:hAnsi="宋体" w:cs="宋体"/>
          <w:b/>
          <w:bCs/>
          <w:sz w:val="22"/>
          <w:szCs w:val="22"/>
        </w:rPr>
      </w:pPr>
      <w:r>
        <w:rPr>
          <w:rFonts w:hint="eastAsia" w:ascii="宋体" w:hAnsi="宋体" w:cs="宋体"/>
          <w:b/>
          <w:bCs/>
          <w:sz w:val="22"/>
          <w:szCs w:val="22"/>
        </w:rPr>
        <w:t>承包期限：</w:t>
      </w:r>
    </w:p>
    <w:p>
      <w:pPr>
        <w:numPr>
          <w:ilvl w:val="0"/>
          <w:numId w:val="0"/>
        </w:numPr>
        <w:autoSpaceDN w:val="0"/>
        <w:spacing w:line="440" w:lineRule="exact"/>
        <w:ind w:firstLine="480" w:firstLineChars="200"/>
        <w:rPr>
          <w:rFonts w:hint="default" w:ascii="宋体" w:hAnsi="宋体" w:eastAsia="宋体" w:cs="宋体"/>
          <w:strike w:val="0"/>
          <w:dstrike w:val="0"/>
          <w:color w:val="000000" w:themeColor="text1"/>
          <w:spacing w:val="6"/>
          <w:sz w:val="22"/>
          <w:szCs w:val="22"/>
          <w:lang w:val="en-US" w:eastAsia="zh-CN"/>
          <w14:textFill>
            <w14:solidFill>
              <w14:schemeClr w14:val="tx1"/>
            </w14:solidFill>
          </w14:textFill>
        </w:rPr>
      </w:pPr>
      <w:r>
        <w:rPr>
          <w:rFonts w:hint="eastAsia" w:ascii="宋体" w:hAnsi="宋体" w:eastAsia="宋体" w:cs="宋体"/>
          <w:strike w:val="0"/>
          <w:dstrike w:val="0"/>
          <w:color w:val="000000" w:themeColor="text1"/>
          <w:kern w:val="28"/>
          <w:sz w:val="24"/>
          <w:szCs w:val="24"/>
          <w:lang w:val="en-US" w:eastAsia="zh-CN" w:bidi="ar-SA"/>
          <w14:textFill>
            <w14:solidFill>
              <w14:schemeClr w14:val="tx1"/>
            </w14:solidFill>
          </w14:textFill>
        </w:rPr>
        <w:t>本次招标的物业服务期限为：合同期为签订合同之日起至2025年</w:t>
      </w:r>
      <w:r>
        <w:rPr>
          <w:rFonts w:hint="eastAsia" w:ascii="宋体" w:hAnsi="宋体" w:cs="宋体"/>
          <w:strike w:val="0"/>
          <w:dstrike w:val="0"/>
          <w:color w:val="000000" w:themeColor="text1"/>
          <w:kern w:val="28"/>
          <w:sz w:val="24"/>
          <w:szCs w:val="24"/>
          <w:lang w:val="en-US" w:eastAsia="zh-CN" w:bidi="ar-SA"/>
          <w14:textFill>
            <w14:solidFill>
              <w14:schemeClr w14:val="tx1"/>
            </w14:solidFill>
          </w14:textFill>
        </w:rPr>
        <w:t>5</w:t>
      </w:r>
      <w:r>
        <w:rPr>
          <w:rFonts w:hint="eastAsia" w:ascii="宋体" w:hAnsi="宋体" w:eastAsia="宋体" w:cs="宋体"/>
          <w:strike w:val="0"/>
          <w:dstrike w:val="0"/>
          <w:color w:val="000000" w:themeColor="text1"/>
          <w:kern w:val="28"/>
          <w:sz w:val="24"/>
          <w:szCs w:val="24"/>
          <w:lang w:val="en-US" w:eastAsia="zh-CN" w:bidi="ar-SA"/>
          <w14:textFill>
            <w14:solidFill>
              <w14:schemeClr w14:val="tx1"/>
            </w14:solidFill>
          </w14:textFill>
        </w:rPr>
        <w:t>月3</w:t>
      </w:r>
      <w:r>
        <w:rPr>
          <w:rFonts w:hint="eastAsia" w:ascii="宋体" w:hAnsi="宋体" w:cs="宋体"/>
          <w:strike w:val="0"/>
          <w:dstrike w:val="0"/>
          <w:color w:val="000000" w:themeColor="text1"/>
          <w:kern w:val="28"/>
          <w:sz w:val="24"/>
          <w:szCs w:val="24"/>
          <w:lang w:val="en-US" w:eastAsia="zh-CN" w:bidi="ar-SA"/>
          <w14:textFill>
            <w14:solidFill>
              <w14:schemeClr w14:val="tx1"/>
            </w14:solidFill>
          </w14:textFill>
        </w:rPr>
        <w:t>1</w:t>
      </w:r>
      <w:r>
        <w:rPr>
          <w:rFonts w:hint="eastAsia" w:ascii="宋体" w:hAnsi="宋体" w:eastAsia="宋体" w:cs="宋体"/>
          <w:strike w:val="0"/>
          <w:dstrike w:val="0"/>
          <w:color w:val="000000" w:themeColor="text1"/>
          <w:kern w:val="28"/>
          <w:sz w:val="24"/>
          <w:szCs w:val="24"/>
          <w:lang w:val="en-US" w:eastAsia="zh-CN" w:bidi="ar-SA"/>
          <w14:textFill>
            <w14:solidFill>
              <w14:schemeClr w14:val="tx1"/>
            </w14:solidFill>
          </w14:textFill>
        </w:rPr>
        <w:t>日止，如中标人不是原供应商，原供应商2024年</w:t>
      </w:r>
      <w:r>
        <w:rPr>
          <w:rFonts w:hint="eastAsia" w:ascii="宋体" w:hAnsi="宋体" w:cs="宋体"/>
          <w:strike w:val="0"/>
          <w:dstrike w:val="0"/>
          <w:color w:val="000000" w:themeColor="text1"/>
          <w:kern w:val="28"/>
          <w:sz w:val="24"/>
          <w:szCs w:val="24"/>
          <w:lang w:val="en-US" w:eastAsia="zh-CN" w:bidi="ar-SA"/>
          <w14:textFill>
            <w14:solidFill>
              <w14:schemeClr w14:val="tx1"/>
            </w14:solidFill>
          </w14:textFill>
        </w:rPr>
        <w:t>6</w:t>
      </w:r>
      <w:r>
        <w:rPr>
          <w:rFonts w:hint="eastAsia" w:ascii="宋体" w:hAnsi="宋体" w:eastAsia="宋体" w:cs="宋体"/>
          <w:strike w:val="0"/>
          <w:dstrike w:val="0"/>
          <w:color w:val="000000" w:themeColor="text1"/>
          <w:kern w:val="28"/>
          <w:sz w:val="24"/>
          <w:szCs w:val="24"/>
          <w:lang w:val="en-US" w:eastAsia="zh-CN" w:bidi="ar-SA"/>
          <w14:textFill>
            <w14:solidFill>
              <w14:schemeClr w14:val="tx1"/>
            </w14:solidFill>
          </w14:textFill>
        </w:rPr>
        <w:t>月1日至合同签订之日所产生的费用，由中标人支付，费用标准以本项目报价单日均价计算。本项目报价服务要求为1年：2024年</w:t>
      </w:r>
      <w:r>
        <w:rPr>
          <w:rFonts w:hint="eastAsia" w:ascii="宋体" w:hAnsi="宋体" w:cs="宋体"/>
          <w:strike w:val="0"/>
          <w:dstrike w:val="0"/>
          <w:color w:val="000000" w:themeColor="text1"/>
          <w:kern w:val="28"/>
          <w:sz w:val="24"/>
          <w:szCs w:val="24"/>
          <w:lang w:val="en-US" w:eastAsia="zh-CN" w:bidi="ar-SA"/>
          <w14:textFill>
            <w14:solidFill>
              <w14:schemeClr w14:val="tx1"/>
            </w14:solidFill>
          </w14:textFill>
        </w:rPr>
        <w:t>6</w:t>
      </w:r>
      <w:r>
        <w:rPr>
          <w:rFonts w:hint="eastAsia" w:ascii="宋体" w:hAnsi="宋体" w:eastAsia="宋体" w:cs="宋体"/>
          <w:strike w:val="0"/>
          <w:dstrike w:val="0"/>
          <w:color w:val="000000" w:themeColor="text1"/>
          <w:kern w:val="28"/>
          <w:sz w:val="24"/>
          <w:szCs w:val="24"/>
          <w:lang w:val="en-US" w:eastAsia="zh-CN" w:bidi="ar-SA"/>
          <w14:textFill>
            <w14:solidFill>
              <w14:schemeClr w14:val="tx1"/>
            </w14:solidFill>
          </w14:textFill>
        </w:rPr>
        <w:t>月1日至2025年</w:t>
      </w:r>
      <w:r>
        <w:rPr>
          <w:rFonts w:hint="eastAsia" w:ascii="宋体" w:hAnsi="宋体" w:cs="宋体"/>
          <w:strike w:val="0"/>
          <w:dstrike w:val="0"/>
          <w:color w:val="000000" w:themeColor="text1"/>
          <w:kern w:val="28"/>
          <w:sz w:val="24"/>
          <w:szCs w:val="24"/>
          <w:lang w:val="en-US" w:eastAsia="zh-CN" w:bidi="ar-SA"/>
          <w14:textFill>
            <w14:solidFill>
              <w14:schemeClr w14:val="tx1"/>
            </w14:solidFill>
          </w14:textFill>
        </w:rPr>
        <w:t>5</w:t>
      </w:r>
      <w:r>
        <w:rPr>
          <w:rFonts w:hint="eastAsia" w:ascii="宋体" w:hAnsi="宋体" w:eastAsia="宋体" w:cs="宋体"/>
          <w:strike w:val="0"/>
          <w:dstrike w:val="0"/>
          <w:color w:val="000000" w:themeColor="text1"/>
          <w:kern w:val="28"/>
          <w:sz w:val="24"/>
          <w:szCs w:val="24"/>
          <w:lang w:val="en-US" w:eastAsia="zh-CN" w:bidi="ar-SA"/>
          <w14:textFill>
            <w14:solidFill>
              <w14:schemeClr w14:val="tx1"/>
            </w14:solidFill>
          </w14:textFill>
        </w:rPr>
        <w:t>月3</w:t>
      </w:r>
      <w:r>
        <w:rPr>
          <w:rFonts w:hint="eastAsia" w:ascii="宋体" w:hAnsi="宋体" w:cs="宋体"/>
          <w:strike w:val="0"/>
          <w:dstrike w:val="0"/>
          <w:color w:val="000000" w:themeColor="text1"/>
          <w:kern w:val="28"/>
          <w:sz w:val="24"/>
          <w:szCs w:val="24"/>
          <w:lang w:val="en-US" w:eastAsia="zh-CN" w:bidi="ar-SA"/>
          <w14:textFill>
            <w14:solidFill>
              <w14:schemeClr w14:val="tx1"/>
            </w14:solidFill>
          </w14:textFill>
        </w:rPr>
        <w:t>1</w:t>
      </w:r>
      <w:r>
        <w:rPr>
          <w:rFonts w:hint="eastAsia" w:ascii="宋体" w:hAnsi="宋体" w:eastAsia="宋体" w:cs="宋体"/>
          <w:strike w:val="0"/>
          <w:dstrike w:val="0"/>
          <w:color w:val="000000" w:themeColor="text1"/>
          <w:kern w:val="28"/>
          <w:sz w:val="24"/>
          <w:szCs w:val="24"/>
          <w:lang w:val="en-US" w:eastAsia="zh-CN" w:bidi="ar-SA"/>
          <w14:textFill>
            <w14:solidFill>
              <w14:schemeClr w14:val="tx1"/>
            </w14:solidFill>
          </w14:textFill>
        </w:rPr>
        <w:t>日。</w:t>
      </w:r>
    </w:p>
    <w:p>
      <w:pPr>
        <w:numPr>
          <w:ilvl w:val="0"/>
          <w:numId w:val="3"/>
        </w:numPr>
        <w:adjustRightInd w:val="0"/>
        <w:snapToGrid w:val="0"/>
        <w:spacing w:line="400" w:lineRule="exact"/>
        <w:ind w:firstLine="433" w:firstLineChars="196"/>
        <w:outlineLvl w:val="0"/>
        <w:rPr>
          <w:rFonts w:hint="eastAsia" w:ascii="宋体" w:hAnsi="宋体" w:cs="宋体"/>
          <w:b/>
          <w:bCs/>
          <w:sz w:val="22"/>
          <w:szCs w:val="22"/>
          <w:lang w:val="en-US" w:eastAsia="zh-CN"/>
        </w:rPr>
      </w:pPr>
      <w:r>
        <w:rPr>
          <w:rFonts w:hint="eastAsia" w:ascii="宋体" w:hAnsi="宋体" w:cs="宋体"/>
          <w:b/>
          <w:bCs/>
          <w:sz w:val="22"/>
          <w:szCs w:val="22"/>
          <w:lang w:val="en-US" w:eastAsia="zh-CN"/>
        </w:rPr>
        <w:t>付款方式：</w:t>
      </w:r>
    </w:p>
    <w:p>
      <w:pPr>
        <w:numPr>
          <w:ilvl w:val="0"/>
          <w:numId w:val="0"/>
        </w:numPr>
        <w:adjustRightInd w:val="0"/>
        <w:snapToGrid w:val="0"/>
        <w:spacing w:line="400" w:lineRule="exact"/>
        <w:ind w:firstLine="480" w:firstLineChars="200"/>
        <w:outlineLvl w:val="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4.1合同签订方式：一年一签，</w:t>
      </w:r>
      <w:r>
        <w:rPr>
          <w:rFonts w:hint="eastAsia" w:ascii="宋体" w:hAnsi="宋体" w:eastAsia="宋体" w:cs="宋体"/>
          <w:b w:val="0"/>
          <w:bCs w:val="0"/>
          <w:color w:val="000000" w:themeColor="text1"/>
          <w:sz w:val="24"/>
          <w:szCs w:val="24"/>
          <w:lang w:val="en-US" w:eastAsia="zh-CN"/>
          <w14:textFill>
            <w14:solidFill>
              <w14:schemeClr w14:val="tx1"/>
            </w14:solidFill>
          </w14:textFill>
        </w:rPr>
        <w:t>采购人在合同生效以及具备实施条件后7个工作日内，向</w:t>
      </w:r>
      <w:r>
        <w:rPr>
          <w:rFonts w:hint="eastAsia" w:ascii="宋体" w:hAnsi="宋体" w:cs="宋体"/>
          <w:b w:val="0"/>
          <w:bCs w:val="0"/>
          <w:color w:val="000000" w:themeColor="text1"/>
          <w:sz w:val="24"/>
          <w:szCs w:val="24"/>
          <w:lang w:val="en-US" w:eastAsia="zh-CN"/>
          <w14:textFill>
            <w14:solidFill>
              <w14:schemeClr w14:val="tx1"/>
            </w14:solidFill>
          </w14:textFill>
        </w:rPr>
        <w:t>中标单位</w:t>
      </w:r>
      <w:r>
        <w:rPr>
          <w:rFonts w:hint="eastAsia" w:ascii="宋体" w:hAnsi="宋体" w:eastAsia="宋体" w:cs="宋体"/>
          <w:b w:val="0"/>
          <w:bCs w:val="0"/>
          <w:color w:val="000000" w:themeColor="text1"/>
          <w:sz w:val="24"/>
          <w:szCs w:val="24"/>
          <w:lang w:val="en-US" w:eastAsia="zh-CN"/>
          <w14:textFill>
            <w14:solidFill>
              <w14:schemeClr w14:val="tx1"/>
            </w14:solidFill>
          </w14:textFill>
        </w:rPr>
        <w:t>支付合同总额20%的预付款。</w:t>
      </w:r>
      <w:r>
        <w:rPr>
          <w:rFonts w:hint="eastAsia" w:ascii="宋体" w:hAnsi="宋体" w:cs="宋体"/>
          <w:b w:val="0"/>
          <w:bCs w:val="0"/>
          <w:color w:val="000000" w:themeColor="text1"/>
          <w:sz w:val="24"/>
          <w:szCs w:val="24"/>
          <w:lang w:val="en-US" w:eastAsia="zh-CN"/>
          <w14:textFill>
            <w14:solidFill>
              <w14:schemeClr w14:val="tx1"/>
            </w14:solidFill>
          </w14:textFill>
        </w:rPr>
        <w:t>按照先服务后支付的原则，合同总额剩余的80%由采购人每三个月结算并支付一次，</w:t>
      </w:r>
      <w:r>
        <w:rPr>
          <w:rFonts w:hint="eastAsia" w:ascii="宋体" w:hAnsi="宋体" w:eastAsia="宋体" w:cs="宋体"/>
          <w:sz w:val="24"/>
          <w:szCs w:val="24"/>
          <w:lang w:val="en-US" w:eastAsia="zh-CN"/>
        </w:rPr>
        <w:t>每次支付合同总金额的20%</w:t>
      </w:r>
      <w:r>
        <w:rPr>
          <w:rFonts w:hint="eastAsia" w:ascii="宋体" w:hAnsi="宋体" w:cs="宋体"/>
          <w:b w:val="0"/>
          <w:bCs w:val="0"/>
          <w:color w:val="000000" w:themeColor="text1"/>
          <w:sz w:val="24"/>
          <w:szCs w:val="24"/>
          <w:lang w:val="en-US" w:eastAsia="zh-CN"/>
          <w14:textFill>
            <w14:solidFill>
              <w14:schemeClr w14:val="tx1"/>
            </w14:solidFill>
          </w14:textFill>
        </w:rPr>
        <w:t>，采购人在收到中标人开具的正式税务发票后7个工作日内支付前三个月的服务费，当期考核不合格项在当期合同金额中扣除。</w:t>
      </w:r>
    </w:p>
    <w:p>
      <w:pPr>
        <w:numPr>
          <w:ilvl w:val="0"/>
          <w:numId w:val="0"/>
        </w:numPr>
        <w:adjustRightInd w:val="0"/>
        <w:snapToGrid w:val="0"/>
        <w:spacing w:line="400" w:lineRule="exact"/>
        <w:ind w:firstLine="480" w:firstLineChars="200"/>
        <w:outlineLvl w:val="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4.2履约保证金缴纳：中标人在收到中标通知书后7个工作日内，需向采购人提供合同总价1％的履约保证金或者由银行或者保险公司出具的履约期内持续有效的保函。</w:t>
      </w:r>
    </w:p>
    <w:p>
      <w:pPr>
        <w:numPr>
          <w:ilvl w:val="0"/>
          <w:numId w:val="3"/>
        </w:numPr>
        <w:adjustRightInd w:val="0"/>
        <w:snapToGrid w:val="0"/>
        <w:spacing w:line="400" w:lineRule="exact"/>
        <w:ind w:firstLine="433" w:firstLineChars="196"/>
        <w:outlineLvl w:val="0"/>
        <w:rPr>
          <w:rFonts w:hint="eastAsia" w:ascii="宋体" w:hAnsi="宋体" w:cs="宋体"/>
          <w:b/>
          <w:bCs/>
          <w:sz w:val="22"/>
          <w:szCs w:val="22"/>
          <w:lang w:val="en-US" w:eastAsia="zh-CN"/>
        </w:rPr>
      </w:pPr>
      <w:r>
        <w:rPr>
          <w:rFonts w:hint="eastAsia" w:ascii="宋体" w:hAnsi="宋体" w:cs="宋体"/>
          <w:b/>
          <w:bCs/>
          <w:sz w:val="22"/>
          <w:szCs w:val="22"/>
          <w:lang w:val="en-US" w:eastAsia="zh-CN"/>
        </w:rPr>
        <w:t>执行约束：</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5.1.中标人所有的工作除按自身企业内部流程实施外还应接受采购人的日常考核。</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5.2.采购人可以不定期组织检查小组根据“考核要求表”上所列内容对中标供应商服务质量进行综合评分，供应商须无条件接受检查小组的检查，采购人有权根据评分结果对中标供应商进行处罚。</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5.3.每次根据采购人的抽查的“考核要求表”的统计结果进行综合评分，并将反馈意见结果通知供应商。具体考核办法见附件。</w:t>
      </w:r>
    </w:p>
    <w:p>
      <w:pPr>
        <w:spacing w:line="400" w:lineRule="exact"/>
        <w:ind w:firstLine="331" w:firstLineChars="150"/>
        <w:rPr>
          <w:rFonts w:ascii="宋体" w:hAnsi="宋体" w:cs="宋体"/>
          <w:b/>
          <w:bCs/>
          <w:sz w:val="22"/>
          <w:szCs w:val="22"/>
        </w:rPr>
      </w:pPr>
      <w:r>
        <w:rPr>
          <w:rFonts w:hint="eastAsia" w:ascii="宋体" w:hAnsi="宋体" w:cs="宋体"/>
          <w:b/>
          <w:bCs/>
          <w:sz w:val="22"/>
          <w:szCs w:val="22"/>
        </w:rPr>
        <w:t>三、物业管理服务内容及要求</w:t>
      </w:r>
    </w:p>
    <w:p>
      <w:pPr>
        <w:spacing w:line="400" w:lineRule="exact"/>
        <w:ind w:firstLine="437" w:firstLineChars="198"/>
        <w:rPr>
          <w:rFonts w:ascii="宋体" w:hAnsi="宋体" w:cs="宋体"/>
          <w:b/>
          <w:sz w:val="22"/>
          <w:szCs w:val="22"/>
        </w:rPr>
      </w:pPr>
      <w:r>
        <w:rPr>
          <w:rFonts w:hint="eastAsia" w:ascii="宋体" w:hAnsi="宋体" w:cs="宋体"/>
          <w:b/>
          <w:sz w:val="22"/>
          <w:szCs w:val="22"/>
        </w:rPr>
        <w:t>1、总体要求</w:t>
      </w:r>
    </w:p>
    <w:p>
      <w:pPr>
        <w:spacing w:line="400" w:lineRule="exact"/>
        <w:ind w:firstLine="480" w:firstLineChars="200"/>
        <w:rPr>
          <w:rFonts w:ascii="宋体" w:hAnsi="宋体" w:cs="宋体"/>
          <w:sz w:val="24"/>
          <w:szCs w:val="24"/>
        </w:rPr>
      </w:pPr>
      <w:r>
        <w:rPr>
          <w:rFonts w:hint="eastAsia" w:ascii="宋体" w:hAnsi="宋体" w:cs="宋体"/>
          <w:sz w:val="24"/>
          <w:szCs w:val="24"/>
        </w:rPr>
        <w:t>1.1</w:t>
      </w:r>
      <w:r>
        <w:rPr>
          <w:rFonts w:hint="eastAsia" w:ascii="宋体" w:hAnsi="宋体" w:cs="宋体"/>
          <w:b/>
          <w:sz w:val="24"/>
          <w:szCs w:val="24"/>
        </w:rPr>
        <w:t xml:space="preserve"> </w:t>
      </w:r>
      <w:r>
        <w:rPr>
          <w:rFonts w:hint="eastAsia" w:ascii="宋体" w:hAnsi="宋体" w:cs="宋体"/>
          <w:sz w:val="24"/>
          <w:szCs w:val="24"/>
        </w:rPr>
        <w:t>供应商应按现代企业机制运行，发挥自身优势，以安保服务、卫生保洁、会务后勤、绿化养护为主要内容，以热心、爱心、专心、贴心的服务，创造一个安全、有序、整洁的办公环境，为采购人提供有力的后勤保障。</w:t>
      </w:r>
    </w:p>
    <w:p>
      <w:pPr>
        <w:spacing w:line="400" w:lineRule="exact"/>
        <w:ind w:firstLine="475" w:firstLineChars="198"/>
        <w:rPr>
          <w:rFonts w:ascii="宋体" w:hAnsi="宋体" w:cs="宋体"/>
          <w:sz w:val="24"/>
          <w:szCs w:val="24"/>
        </w:rPr>
      </w:pPr>
      <w:r>
        <w:rPr>
          <w:rFonts w:hint="eastAsia" w:ascii="宋体" w:hAnsi="宋体" w:cs="宋体"/>
          <w:sz w:val="24"/>
          <w:szCs w:val="24"/>
        </w:rPr>
        <w:t>1.2供应商要选配优秀的物业服务项目负责人和素质优良的物业服务从业人员从事服务工作。其人员数量要符合本次物业服务量的需要。</w:t>
      </w:r>
    </w:p>
    <w:p>
      <w:pPr>
        <w:spacing w:line="400" w:lineRule="exact"/>
        <w:ind w:firstLine="475" w:firstLineChars="198"/>
        <w:rPr>
          <w:rFonts w:ascii="宋体" w:hAnsi="宋体" w:cs="宋体"/>
          <w:sz w:val="24"/>
          <w:szCs w:val="24"/>
        </w:rPr>
      </w:pPr>
      <w:r>
        <w:rPr>
          <w:rFonts w:hint="eastAsia" w:ascii="宋体" w:hAnsi="宋体" w:cs="宋体"/>
          <w:sz w:val="24"/>
          <w:szCs w:val="24"/>
        </w:rPr>
        <w:t>1.3物业服务从业人员（特别是重要岗位人员）要求政治上可靠，身体素质好，无不良行为记录。物业公司须向采购人提供所有从事本次项目物业服务人员的名单和人员履历情况，由采购人审查认可后，方可录用。</w:t>
      </w:r>
    </w:p>
    <w:p>
      <w:pPr>
        <w:spacing w:line="400" w:lineRule="exact"/>
        <w:ind w:firstLine="475" w:firstLineChars="198"/>
        <w:rPr>
          <w:rFonts w:ascii="宋体" w:hAnsi="宋体" w:cs="宋体"/>
          <w:sz w:val="24"/>
          <w:szCs w:val="24"/>
        </w:rPr>
      </w:pPr>
      <w:r>
        <w:rPr>
          <w:rFonts w:hint="eastAsia" w:ascii="宋体" w:hAnsi="宋体" w:cs="宋体"/>
          <w:sz w:val="24"/>
          <w:szCs w:val="24"/>
        </w:rPr>
        <w:t>1.4严格执行保密管理制度，特别是办公室、会议室等服务工作必须严格按照保密管理要求，做到相关内容不外传、相关资料不外带。</w:t>
      </w:r>
    </w:p>
    <w:p>
      <w:pPr>
        <w:spacing w:line="400" w:lineRule="exact"/>
        <w:ind w:firstLine="475" w:firstLineChars="198"/>
        <w:rPr>
          <w:rFonts w:ascii="宋体" w:hAnsi="宋体" w:cs="宋体"/>
          <w:sz w:val="24"/>
          <w:szCs w:val="24"/>
        </w:rPr>
      </w:pPr>
      <w:r>
        <w:rPr>
          <w:rFonts w:hint="eastAsia" w:ascii="宋体" w:hAnsi="宋体" w:cs="宋体"/>
          <w:sz w:val="24"/>
          <w:szCs w:val="24"/>
        </w:rPr>
        <w:t>1.5所有物业服务从业人员凡需获得相关主管部门认证的，均需持证上岗。主要服务人员应持有政府相关部门颁发的资格证书。</w:t>
      </w:r>
    </w:p>
    <w:p>
      <w:pPr>
        <w:spacing w:line="400" w:lineRule="exact"/>
        <w:ind w:firstLine="475" w:firstLineChars="198"/>
        <w:rPr>
          <w:rFonts w:ascii="宋体" w:hAnsi="宋体" w:cs="宋体"/>
          <w:sz w:val="24"/>
          <w:szCs w:val="24"/>
        </w:rPr>
      </w:pPr>
      <w:r>
        <w:rPr>
          <w:rFonts w:hint="eastAsia" w:ascii="宋体" w:hAnsi="宋体" w:cs="宋体"/>
          <w:sz w:val="24"/>
          <w:szCs w:val="24"/>
        </w:rPr>
        <w:t>1.6所有从业人员必须专职为采购人服务，不得兼职。物业公司如需要调换物业服务人员，须及时通报采购人，经采购人认可后方可调整。如服务人员出现素质低劣，不能胜任物业服务工作，采购人有权提出调换，供应商应予以及时调换。</w:t>
      </w:r>
    </w:p>
    <w:p>
      <w:pPr>
        <w:spacing w:line="400" w:lineRule="exact"/>
        <w:ind w:firstLine="475" w:firstLineChars="198"/>
        <w:rPr>
          <w:rFonts w:ascii="宋体" w:hAnsi="宋体" w:cs="宋体"/>
          <w:sz w:val="24"/>
          <w:szCs w:val="24"/>
        </w:rPr>
      </w:pPr>
      <w:r>
        <w:rPr>
          <w:rFonts w:hint="eastAsia" w:ascii="宋体" w:hAnsi="宋体" w:cs="宋体"/>
          <w:sz w:val="24"/>
          <w:szCs w:val="24"/>
        </w:rPr>
        <w:t>1.7供应商应按照国家相关部门颁发的物业服务标准和规范进行物业服务。严格按照ISO9001质量管理体系要求进行管理和运行。明确分工职责及工作质量标准，强化工作的计划性、可操作性和实效性，保证各种服务质量。</w:t>
      </w:r>
    </w:p>
    <w:p>
      <w:pPr>
        <w:spacing w:line="400" w:lineRule="exact"/>
        <w:ind w:firstLine="475" w:firstLineChars="198"/>
        <w:rPr>
          <w:rFonts w:ascii="宋体" w:hAnsi="宋体" w:cs="宋体"/>
          <w:sz w:val="24"/>
          <w:szCs w:val="24"/>
        </w:rPr>
      </w:pPr>
      <w:r>
        <w:rPr>
          <w:rFonts w:hint="eastAsia" w:ascii="宋体" w:hAnsi="宋体" w:cs="宋体"/>
          <w:sz w:val="24"/>
          <w:szCs w:val="24"/>
        </w:rPr>
        <w:t>1.8供应商应自觉接受采购人的监督、检查，定期向服务对象发放“服务意见征询书”，根据反馈意见进行统计，实行优化调整。出现问题及时整改。</w:t>
      </w:r>
    </w:p>
    <w:p>
      <w:pPr>
        <w:spacing w:line="400" w:lineRule="exact"/>
        <w:ind w:firstLine="475" w:firstLineChars="198"/>
        <w:rPr>
          <w:rFonts w:ascii="宋体" w:hAnsi="宋体" w:cs="宋体"/>
          <w:sz w:val="24"/>
          <w:szCs w:val="24"/>
        </w:rPr>
      </w:pPr>
      <w:r>
        <w:rPr>
          <w:rFonts w:hint="eastAsia" w:ascii="宋体" w:hAnsi="宋体" w:cs="宋体"/>
          <w:sz w:val="24"/>
          <w:szCs w:val="24"/>
        </w:rPr>
        <w:t>1.9供应商要加强对从业人员的培训，提升从业人员素质，不断提高服务水平，使采购人满意。</w:t>
      </w:r>
    </w:p>
    <w:p>
      <w:pPr>
        <w:spacing w:line="400" w:lineRule="exact"/>
        <w:ind w:firstLine="475" w:firstLineChars="198"/>
        <w:rPr>
          <w:rFonts w:ascii="宋体" w:hAnsi="宋体" w:cs="宋体"/>
          <w:sz w:val="24"/>
          <w:szCs w:val="24"/>
        </w:rPr>
      </w:pPr>
      <w:r>
        <w:rPr>
          <w:rFonts w:hint="eastAsia" w:ascii="宋体" w:hAnsi="宋体" w:cs="宋体"/>
          <w:sz w:val="24"/>
          <w:szCs w:val="24"/>
        </w:rPr>
        <w:t>1.10在特殊情况下，采购人有权对服务人员做集中调配使用，并以调休、补休等方式进行补偿。物业公司应予以配合。</w:t>
      </w:r>
    </w:p>
    <w:p>
      <w:pPr>
        <w:spacing w:line="400" w:lineRule="exact"/>
        <w:ind w:firstLine="475" w:firstLineChars="198"/>
        <w:rPr>
          <w:rFonts w:ascii="宋体" w:hAnsi="宋体" w:cs="宋体"/>
          <w:sz w:val="24"/>
          <w:szCs w:val="24"/>
        </w:rPr>
      </w:pPr>
      <w:r>
        <w:rPr>
          <w:rFonts w:hint="eastAsia" w:ascii="宋体" w:hAnsi="宋体" w:cs="宋体"/>
          <w:sz w:val="24"/>
          <w:szCs w:val="24"/>
        </w:rPr>
        <w:t>1.11供应商应建立完善的物业服务档案。</w:t>
      </w:r>
    </w:p>
    <w:p>
      <w:pPr>
        <w:spacing w:line="400" w:lineRule="exact"/>
        <w:ind w:firstLine="475" w:firstLineChars="198"/>
        <w:rPr>
          <w:rFonts w:hint="eastAsia" w:ascii="宋体" w:hAnsi="宋体" w:cs="宋体"/>
          <w:sz w:val="24"/>
          <w:szCs w:val="24"/>
        </w:rPr>
      </w:pPr>
      <w:r>
        <w:rPr>
          <w:rFonts w:hint="eastAsia" w:ascii="宋体" w:hAnsi="宋体" w:cs="宋体"/>
          <w:sz w:val="24"/>
          <w:szCs w:val="24"/>
        </w:rPr>
        <w:t>1.12供应商应有健全的财务管理制度，依法做好财务工作。</w:t>
      </w:r>
    </w:p>
    <w:p>
      <w:pPr>
        <w:spacing w:line="400" w:lineRule="exact"/>
        <w:ind w:firstLine="475" w:firstLineChars="198"/>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1.13加强能源管理，作好节能降耗工作，每月编制书面月度能耗分析报告。非上班时间或不需要时要及时关闭开水机，和服务区域内有关灯光照明。</w:t>
      </w:r>
    </w:p>
    <w:p>
      <w:pPr>
        <w:spacing w:line="400" w:lineRule="exact"/>
        <w:ind w:firstLine="437" w:firstLineChars="198"/>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2、物业管理人员配备要求</w:t>
      </w:r>
    </w:p>
    <w:p>
      <w:pPr>
        <w:spacing w:line="440" w:lineRule="exact"/>
        <w:ind w:left="420" w:hanging="480" w:hangingChars="200"/>
        <w:rPr>
          <w:rFonts w:ascii="宋体" w:hAnsi="宋体" w:cs="宋体"/>
          <w:sz w:val="24"/>
          <w:szCs w:val="24"/>
        </w:rPr>
      </w:pPr>
      <w:r>
        <w:rPr>
          <w:rFonts w:hint="eastAsia" w:ascii="宋体" w:hAnsi="宋体" w:cs="宋体"/>
          <w:sz w:val="24"/>
          <w:szCs w:val="24"/>
        </w:rPr>
        <w:t>2.1</w:t>
      </w:r>
      <w:r>
        <w:rPr>
          <w:rFonts w:hint="eastAsia" w:ascii="宋体" w:hAnsi="宋体" w:cs="宋体"/>
          <w:b/>
          <w:color w:val="000000" w:themeColor="text1"/>
          <w:szCs w:val="21"/>
          <w:u w:val="single"/>
          <w14:textFill>
            <w14:solidFill>
              <w14:schemeClr w14:val="tx1"/>
            </w14:solidFill>
          </w14:textFill>
        </w:rPr>
        <w:t>▲</w:t>
      </w:r>
      <w:r>
        <w:rPr>
          <w:rFonts w:hint="eastAsia" w:ascii="宋体" w:hAnsi="宋体" w:eastAsia="宋体" w:cs="宋体"/>
          <w:b/>
          <w:bCs/>
          <w:color w:val="000000" w:themeColor="text1"/>
          <w:sz w:val="22"/>
          <w:szCs w:val="22"/>
          <w:u w:val="single"/>
          <w14:textFill>
            <w14:solidFill>
              <w14:schemeClr w14:val="tx1"/>
            </w14:solidFill>
          </w14:textFill>
        </w:rPr>
        <w:t>本项目总人数要求（不少于</w:t>
      </w:r>
      <w:r>
        <w:rPr>
          <w:rFonts w:hint="eastAsia" w:ascii="宋体" w:hAnsi="宋体" w:cs="宋体"/>
          <w:b/>
          <w:bCs/>
          <w:color w:val="000000" w:themeColor="text1"/>
          <w:sz w:val="22"/>
          <w:szCs w:val="22"/>
          <w:u w:val="single"/>
          <w:lang w:val="en-US" w:eastAsia="zh-CN"/>
          <w14:textFill>
            <w14:solidFill>
              <w14:schemeClr w14:val="tx1"/>
            </w14:solidFill>
          </w14:textFill>
        </w:rPr>
        <w:t>10</w:t>
      </w:r>
      <w:r>
        <w:rPr>
          <w:rFonts w:ascii="宋体" w:hAnsi="宋体" w:eastAsia="宋体" w:cs="宋体"/>
          <w:b/>
          <w:bCs/>
          <w:color w:val="000000" w:themeColor="text1"/>
          <w:sz w:val="22"/>
          <w:szCs w:val="22"/>
          <w:u w:val="single"/>
          <w14:textFill>
            <w14:solidFill>
              <w14:schemeClr w14:val="tx1"/>
            </w14:solidFill>
          </w14:textFill>
        </w:rPr>
        <w:t>人，含</w:t>
      </w:r>
      <w:r>
        <w:rPr>
          <w:rFonts w:hint="eastAsia" w:ascii="宋体" w:hAnsi="宋体" w:cs="宋体"/>
          <w:b/>
          <w:bCs/>
          <w:color w:val="000000" w:themeColor="text1"/>
          <w:sz w:val="22"/>
          <w:szCs w:val="22"/>
          <w:u w:val="single"/>
          <w:lang w:val="en-US" w:eastAsia="zh-CN"/>
          <w14:textFill>
            <w14:solidFill>
              <w14:schemeClr w14:val="tx1"/>
            </w14:solidFill>
          </w14:textFill>
        </w:rPr>
        <w:t>10</w:t>
      </w:r>
      <w:r>
        <w:rPr>
          <w:rFonts w:ascii="宋体" w:hAnsi="宋体" w:eastAsia="宋体" w:cs="宋体"/>
          <w:b/>
          <w:bCs/>
          <w:color w:val="000000" w:themeColor="text1"/>
          <w:sz w:val="22"/>
          <w:szCs w:val="22"/>
          <w:u w:val="single"/>
          <w14:textFill>
            <w14:solidFill>
              <w14:schemeClr w14:val="tx1"/>
            </w14:solidFill>
          </w14:textFill>
        </w:rPr>
        <w:t>人），</w:t>
      </w:r>
      <w:r>
        <w:rPr>
          <w:rFonts w:hint="eastAsia" w:ascii="宋体" w:hAnsi="宋体" w:eastAsia="宋体" w:cs="宋体"/>
          <w:color w:val="000000" w:themeColor="text1"/>
          <w:sz w:val="22"/>
          <w:szCs w:val="22"/>
          <w14:textFill>
            <w14:solidFill>
              <w14:schemeClr w14:val="tx1"/>
            </w14:solidFill>
          </w14:textFill>
        </w:rPr>
        <w:t>日常配置如下：</w:t>
      </w:r>
    </w:p>
    <w:p>
      <w:pPr>
        <w:spacing w:line="400" w:lineRule="exact"/>
        <w:ind w:firstLine="475" w:firstLineChars="198"/>
        <w:rPr>
          <w:rFonts w:ascii="宋体" w:hAnsi="宋体" w:cs="宋体"/>
          <w:sz w:val="24"/>
          <w:szCs w:val="24"/>
        </w:rPr>
      </w:pPr>
      <w:r>
        <w:rPr>
          <w:rFonts w:hint="eastAsia" w:ascii="宋体" w:hAnsi="宋体" w:cs="宋体"/>
          <w:sz w:val="24"/>
          <w:szCs w:val="24"/>
        </w:rPr>
        <w:t>A、项目负责人：1人。</w:t>
      </w:r>
    </w:p>
    <w:p>
      <w:pPr>
        <w:spacing w:line="400" w:lineRule="exact"/>
        <w:ind w:firstLine="475" w:firstLineChars="198"/>
        <w:rPr>
          <w:rFonts w:ascii="宋体" w:hAnsi="宋体" w:cs="宋体"/>
          <w:sz w:val="24"/>
          <w:szCs w:val="24"/>
        </w:rPr>
      </w:pPr>
      <w:r>
        <w:rPr>
          <w:rFonts w:hint="eastAsia" w:ascii="宋体" w:hAnsi="宋体" w:cs="宋体"/>
          <w:sz w:val="24"/>
          <w:szCs w:val="24"/>
        </w:rPr>
        <w:t>B、</w:t>
      </w:r>
      <w:r>
        <w:rPr>
          <w:rFonts w:hint="eastAsia" w:ascii="宋体" w:hAnsi="宋体" w:cs="宋体"/>
          <w:sz w:val="24"/>
          <w:szCs w:val="24"/>
          <w:lang w:val="en-US" w:eastAsia="zh-CN"/>
        </w:rPr>
        <w:t>保洁主管：1人，</w:t>
      </w:r>
      <w:r>
        <w:rPr>
          <w:rFonts w:hint="eastAsia" w:ascii="宋体" w:hAnsi="宋体" w:cs="宋体"/>
          <w:sz w:val="24"/>
          <w:szCs w:val="24"/>
        </w:rPr>
        <w:t>保洁员：</w:t>
      </w:r>
      <w:r>
        <w:rPr>
          <w:rFonts w:hint="eastAsia" w:ascii="宋体" w:hAnsi="宋体" w:cs="宋体"/>
          <w:sz w:val="24"/>
          <w:szCs w:val="24"/>
          <w:lang w:val="en-US" w:eastAsia="zh-CN"/>
        </w:rPr>
        <w:t>2</w:t>
      </w:r>
      <w:r>
        <w:rPr>
          <w:rFonts w:hint="eastAsia" w:ascii="宋体" w:hAnsi="宋体" w:cs="宋体"/>
          <w:sz w:val="24"/>
          <w:szCs w:val="24"/>
        </w:rPr>
        <w:t>人。</w:t>
      </w:r>
    </w:p>
    <w:p>
      <w:pPr>
        <w:spacing w:line="400" w:lineRule="exact"/>
        <w:ind w:firstLine="475" w:firstLineChars="198"/>
        <w:rPr>
          <w:rFonts w:ascii="宋体" w:hAnsi="宋体" w:cs="宋体"/>
          <w:sz w:val="24"/>
          <w:szCs w:val="24"/>
        </w:rPr>
      </w:pPr>
      <w:r>
        <w:rPr>
          <w:rFonts w:hint="eastAsia" w:ascii="宋体" w:hAnsi="宋体" w:cs="宋体"/>
          <w:sz w:val="24"/>
          <w:szCs w:val="24"/>
        </w:rPr>
        <w:t>C、</w:t>
      </w:r>
      <w:r>
        <w:rPr>
          <w:rFonts w:hint="eastAsia" w:ascii="宋体" w:hAnsi="宋体" w:cs="宋体"/>
          <w:sz w:val="24"/>
          <w:szCs w:val="24"/>
          <w:lang w:val="en-US" w:eastAsia="zh-CN"/>
        </w:rPr>
        <w:t>安防主管：1人，</w:t>
      </w:r>
      <w:r>
        <w:rPr>
          <w:rFonts w:hint="eastAsia" w:ascii="宋体" w:hAnsi="宋体" w:cs="宋体"/>
          <w:sz w:val="24"/>
          <w:szCs w:val="24"/>
        </w:rPr>
        <w:t xml:space="preserve">保安员: </w:t>
      </w:r>
      <w:r>
        <w:rPr>
          <w:rFonts w:hint="eastAsia" w:ascii="宋体" w:hAnsi="宋体" w:cs="宋体"/>
          <w:sz w:val="24"/>
          <w:szCs w:val="24"/>
          <w:lang w:val="en-US" w:eastAsia="zh-CN"/>
        </w:rPr>
        <w:t>3</w:t>
      </w:r>
      <w:r>
        <w:rPr>
          <w:rFonts w:hint="eastAsia" w:ascii="宋体" w:hAnsi="宋体" w:cs="宋体"/>
          <w:sz w:val="24"/>
          <w:szCs w:val="24"/>
        </w:rPr>
        <w:t>人。</w:t>
      </w:r>
    </w:p>
    <w:p>
      <w:pPr>
        <w:spacing w:line="400" w:lineRule="exact"/>
        <w:ind w:firstLine="475" w:firstLineChars="198"/>
        <w:rPr>
          <w:rFonts w:ascii="宋体" w:hAnsi="宋体" w:cs="宋体"/>
          <w:sz w:val="24"/>
          <w:szCs w:val="24"/>
        </w:rPr>
      </w:pPr>
      <w:r>
        <w:rPr>
          <w:rFonts w:hint="eastAsia" w:ascii="宋体" w:hAnsi="宋体" w:cs="宋体"/>
          <w:sz w:val="24"/>
          <w:szCs w:val="24"/>
        </w:rPr>
        <w:t>D、</w:t>
      </w:r>
      <w:r>
        <w:rPr>
          <w:rFonts w:hint="eastAsia" w:ascii="宋体" w:hAnsi="宋体" w:cs="宋体"/>
          <w:sz w:val="24"/>
          <w:szCs w:val="24"/>
          <w:lang w:val="en-US" w:eastAsia="zh-CN"/>
        </w:rPr>
        <w:t>会务领班：1人，</w:t>
      </w:r>
      <w:r>
        <w:rPr>
          <w:rFonts w:hint="eastAsia" w:ascii="宋体" w:hAnsi="宋体" w:cs="宋体"/>
          <w:sz w:val="24"/>
          <w:szCs w:val="24"/>
        </w:rPr>
        <w:t>会务员：</w:t>
      </w:r>
      <w:r>
        <w:rPr>
          <w:rFonts w:hint="eastAsia" w:ascii="宋体" w:hAnsi="宋体" w:cs="宋体"/>
          <w:sz w:val="24"/>
          <w:szCs w:val="24"/>
          <w:lang w:val="en-US" w:eastAsia="zh-CN"/>
        </w:rPr>
        <w:t>1</w:t>
      </w:r>
      <w:r>
        <w:rPr>
          <w:rFonts w:hint="eastAsia" w:ascii="宋体" w:hAnsi="宋体" w:cs="宋体"/>
          <w:sz w:val="24"/>
          <w:szCs w:val="24"/>
        </w:rPr>
        <w:t>人。</w:t>
      </w:r>
    </w:p>
    <w:p>
      <w:pPr>
        <w:spacing w:line="400" w:lineRule="exact"/>
        <w:ind w:firstLine="475" w:firstLineChars="198"/>
        <w:rPr>
          <w:rFonts w:ascii="宋体" w:hAnsi="宋体" w:cs="宋体"/>
          <w:sz w:val="24"/>
          <w:szCs w:val="24"/>
        </w:rPr>
      </w:pPr>
      <w:r>
        <w:rPr>
          <w:rFonts w:hint="eastAsia" w:ascii="宋体" w:hAnsi="宋体" w:cs="宋体"/>
          <w:sz w:val="24"/>
          <w:szCs w:val="24"/>
        </w:rPr>
        <w:t>2.2物业服务人员的要求</w:t>
      </w:r>
    </w:p>
    <w:p>
      <w:pPr>
        <w:spacing w:line="400" w:lineRule="exact"/>
        <w:ind w:firstLine="475" w:firstLineChars="198"/>
        <w:rPr>
          <w:rFonts w:ascii="宋体" w:hAnsi="宋体" w:cs="宋体"/>
          <w:sz w:val="24"/>
          <w:szCs w:val="24"/>
        </w:rPr>
      </w:pPr>
      <w:r>
        <w:rPr>
          <w:rFonts w:hint="eastAsia" w:ascii="宋体" w:hAnsi="宋体" w:cs="宋体"/>
          <w:sz w:val="24"/>
          <w:szCs w:val="24"/>
        </w:rPr>
        <w:t>A、所有物业服务从业人员凡需获得相关主管部门认证的，均需持证上岗。从业人员要求政治上可靠，身体素质好，无不良行为记录。重要岗位人员必须经采购人审核，政治审查通过方可录用。</w:t>
      </w:r>
    </w:p>
    <w:p>
      <w:pPr>
        <w:spacing w:line="400" w:lineRule="exact"/>
        <w:ind w:firstLine="475" w:firstLineChars="198"/>
        <w:rPr>
          <w:rFonts w:ascii="宋体" w:hAnsi="宋体" w:cs="宋体"/>
          <w:color w:val="000000" w:themeColor="text1"/>
          <w:sz w:val="24"/>
          <w:szCs w:val="24"/>
          <w:lang w:val="zh-CN"/>
          <w14:textFill>
            <w14:solidFill>
              <w14:schemeClr w14:val="tx1"/>
            </w14:solidFill>
          </w14:textFill>
        </w:rPr>
      </w:pPr>
      <w:r>
        <w:rPr>
          <w:rFonts w:hint="eastAsia" w:ascii="宋体" w:hAnsi="宋体" w:cs="宋体"/>
          <w:sz w:val="24"/>
          <w:szCs w:val="24"/>
        </w:rPr>
        <w:t>B、物业管理项目负责人必须具有从事相关物业管理的经验</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zh-CN"/>
          <w14:textFill>
            <w14:solidFill>
              <w14:schemeClr w14:val="tx1"/>
            </w14:solidFill>
          </w14:textFill>
        </w:rPr>
        <w:t>龄35－</w:t>
      </w:r>
      <w:r>
        <w:rPr>
          <w:rFonts w:hint="eastAsia" w:ascii="宋体" w:hAnsi="宋体" w:cs="宋体"/>
          <w:color w:val="000000" w:themeColor="text1"/>
          <w:sz w:val="24"/>
          <w:szCs w:val="24"/>
          <w:lang w:val="en-US" w:eastAsia="zh-CN"/>
          <w14:textFill>
            <w14:solidFill>
              <w14:schemeClr w14:val="tx1"/>
            </w14:solidFill>
          </w14:textFill>
        </w:rPr>
        <w:t>55</w:t>
      </w:r>
      <w:r>
        <w:rPr>
          <w:rFonts w:hint="eastAsia" w:ascii="宋体" w:hAnsi="宋体" w:cs="宋体"/>
          <w:color w:val="000000" w:themeColor="text1"/>
          <w:sz w:val="24"/>
          <w:szCs w:val="24"/>
          <w:lang w:val="zh-CN"/>
          <w14:textFill>
            <w14:solidFill>
              <w14:schemeClr w14:val="tx1"/>
            </w14:solidFill>
          </w14:textFill>
        </w:rPr>
        <w:t>周岁。</w:t>
      </w:r>
    </w:p>
    <w:p>
      <w:pPr>
        <w:spacing w:line="400" w:lineRule="exact"/>
        <w:ind w:firstLine="475" w:firstLineChars="198"/>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C、服务人员应每年一次体检，体检合格方可上岗。</w:t>
      </w:r>
    </w:p>
    <w:p>
      <w:pPr>
        <w:spacing w:line="400" w:lineRule="exact"/>
        <w:ind w:firstLine="477" w:firstLineChars="199"/>
        <w:rPr>
          <w:rFonts w:hint="eastAsia" w:ascii="宋体" w:hAnsi="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D、</w:t>
      </w:r>
      <w:r>
        <w:rPr>
          <w:rFonts w:hint="eastAsia" w:ascii="宋体" w:hAnsi="宋体" w:cs="宋体"/>
          <w:color w:val="000000" w:themeColor="text1"/>
          <w:sz w:val="24"/>
          <w:szCs w:val="24"/>
          <w:lang w:val="en-US" w:eastAsia="zh-CN"/>
          <w14:textFill>
            <w14:solidFill>
              <w14:schemeClr w14:val="tx1"/>
            </w14:solidFill>
          </w14:textFill>
        </w:rPr>
        <w:t>安防主管：全面负责温州市司法局日常运行的秩序维护、日常巡查、值班等管理工作，具有担任类似安保主管的工作经验。</w:t>
      </w:r>
    </w:p>
    <w:p>
      <w:pPr>
        <w:spacing w:line="400" w:lineRule="exact"/>
        <w:ind w:firstLine="477" w:firstLineChars="199"/>
        <w:rPr>
          <w:rFonts w:ascii="宋体" w:hAnsi="宋体" w:cs="宋体"/>
          <w:sz w:val="24"/>
          <w:szCs w:val="24"/>
          <w:lang w:val="zh-CN"/>
        </w:rPr>
      </w:pPr>
      <w:r>
        <w:rPr>
          <w:rFonts w:hint="eastAsia" w:ascii="宋体" w:hAnsi="宋体" w:cs="宋体"/>
          <w:color w:val="000000" w:themeColor="text1"/>
          <w:sz w:val="24"/>
          <w:szCs w:val="24"/>
          <w:lang w:val="zh-CN"/>
          <w14:textFill>
            <w14:solidFill>
              <w14:schemeClr w14:val="tx1"/>
            </w14:solidFill>
          </w14:textFill>
        </w:rPr>
        <w:t>保安</w:t>
      </w:r>
      <w:r>
        <w:rPr>
          <w:rFonts w:hint="eastAsia" w:ascii="宋体" w:hAnsi="宋体" w:cs="宋体"/>
          <w:color w:val="000000" w:themeColor="text1"/>
          <w:sz w:val="24"/>
          <w:szCs w:val="24"/>
          <w14:textFill>
            <w14:solidFill>
              <w14:schemeClr w14:val="tx1"/>
            </w14:solidFill>
          </w14:textFill>
        </w:rPr>
        <w:t>员</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主要负责安全保卫工作，</w:t>
      </w:r>
      <w:r>
        <w:rPr>
          <w:rFonts w:hint="eastAsia" w:ascii="宋体" w:hAnsi="宋体" w:cs="宋体"/>
          <w:color w:val="000000" w:themeColor="text1"/>
          <w:sz w:val="24"/>
          <w:szCs w:val="24"/>
          <w:lang w:val="zh-CN"/>
          <w14:textFill>
            <w14:solidFill>
              <w14:schemeClr w14:val="tx1"/>
            </w14:solidFill>
          </w14:textFill>
        </w:rPr>
        <w:t>所有人员男性身高要求</w:t>
      </w:r>
      <w:r>
        <w:rPr>
          <w:rFonts w:hint="eastAsia" w:ascii="宋体" w:hAnsi="宋体" w:cs="宋体"/>
          <w:color w:val="000000" w:themeColor="text1"/>
          <w:sz w:val="24"/>
          <w:szCs w:val="24"/>
          <w:lang w:val="en-US" w:eastAsia="zh-CN"/>
          <w14:textFill>
            <w14:solidFill>
              <w14:schemeClr w14:val="tx1"/>
            </w14:solidFill>
          </w14:textFill>
        </w:rPr>
        <w:t>168</w:t>
      </w:r>
      <w:r>
        <w:rPr>
          <w:rFonts w:hint="eastAsia" w:ascii="宋体" w:hAnsi="宋体" w:cs="宋体"/>
          <w:color w:val="000000" w:themeColor="text1"/>
          <w:sz w:val="24"/>
          <w:szCs w:val="24"/>
          <w:lang w:val="zh-CN"/>
          <w14:textFill>
            <w14:solidFill>
              <w14:schemeClr w14:val="tx1"/>
            </w14:solidFill>
          </w14:textFill>
        </w:rPr>
        <w:t>CM及以上，</w:t>
      </w:r>
      <w:r>
        <w:rPr>
          <w:rFonts w:hint="eastAsia" w:ascii="宋体" w:hAnsi="宋体" w:cs="宋体"/>
          <w:sz w:val="24"/>
          <w:szCs w:val="24"/>
          <w:lang w:val="zh-CN"/>
        </w:rPr>
        <w:t>女性158CM米以上，学历要求初中及以上，年龄要求18岁-</w:t>
      </w:r>
      <w:r>
        <w:rPr>
          <w:rFonts w:hint="eastAsia" w:ascii="宋体" w:hAnsi="宋体" w:cs="宋体"/>
          <w:sz w:val="24"/>
          <w:szCs w:val="24"/>
          <w:lang w:val="en-US" w:eastAsia="zh-CN"/>
        </w:rPr>
        <w:t>55</w:t>
      </w:r>
      <w:r>
        <w:rPr>
          <w:rFonts w:hint="eastAsia" w:ascii="宋体" w:hAnsi="宋体" w:cs="宋体"/>
          <w:sz w:val="24"/>
          <w:szCs w:val="24"/>
          <w:lang w:val="zh-CN"/>
        </w:rPr>
        <w:t>岁之间。复员军人、行业立功人员、管理人员可适当放宽条件。</w:t>
      </w:r>
    </w:p>
    <w:p>
      <w:pPr>
        <w:keepNext w:val="0"/>
        <w:keepLines w:val="0"/>
        <w:pageBreakBefore w:val="0"/>
        <w:widowControl w:val="0"/>
        <w:tabs>
          <w:tab w:val="left" w:pos="540"/>
        </w:tabs>
        <w:kinsoku/>
        <w:wordWrap/>
        <w:overflowPunct/>
        <w:topLinePunct w:val="0"/>
        <w:autoSpaceDE/>
        <w:autoSpaceDN/>
        <w:bidi w:val="0"/>
        <w:adjustRightInd w:val="0"/>
        <w:spacing w:line="440" w:lineRule="exact"/>
        <w:ind w:left="-44" w:leftChars="-21" w:firstLine="506" w:firstLineChars="211"/>
        <w:textAlignment w:val="auto"/>
        <w:rPr>
          <w:rFonts w:hint="eastAsia" w:ascii="宋体" w:hAnsi="宋体" w:eastAsia="宋体" w:cs="宋体"/>
          <w:color w:val="auto"/>
          <w:sz w:val="24"/>
          <w:szCs w:val="24"/>
          <w:lang w:eastAsia="zh-CN"/>
        </w:rPr>
      </w:pPr>
      <w:r>
        <w:rPr>
          <w:rFonts w:hint="eastAsia" w:ascii="宋体" w:hAnsi="宋体" w:cs="宋体"/>
          <w:sz w:val="24"/>
          <w:szCs w:val="24"/>
          <w:lang w:val="zh-CN"/>
        </w:rPr>
        <w:t>E</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保洁主管：全面负责司法局的环境管理工作，具有类似担任保洁主管的工作经验。</w:t>
      </w:r>
    </w:p>
    <w:p>
      <w:pPr>
        <w:tabs>
          <w:tab w:val="left" w:pos="540"/>
        </w:tabs>
        <w:spacing w:line="440" w:lineRule="exact"/>
        <w:ind w:firstLine="480" w:firstLineChars="200"/>
        <w:rPr>
          <w:rFonts w:ascii="宋体" w:hAnsi="宋体" w:cs="宋体"/>
          <w:sz w:val="24"/>
          <w:szCs w:val="24"/>
        </w:rPr>
      </w:pPr>
      <w:r>
        <w:rPr>
          <w:rFonts w:hint="eastAsia" w:ascii="宋体" w:hAnsi="宋体" w:cs="宋体"/>
          <w:sz w:val="24"/>
          <w:szCs w:val="24"/>
          <w:lang w:val="zh-CN"/>
        </w:rPr>
        <w:t>保洁员：</w:t>
      </w:r>
      <w:r>
        <w:rPr>
          <w:rFonts w:hint="eastAsia" w:ascii="宋体" w:hAnsi="宋体" w:cs="宋体"/>
          <w:sz w:val="24"/>
          <w:szCs w:val="24"/>
        </w:rPr>
        <w:t>主要负责卫生保洁工作，</w:t>
      </w:r>
      <w:r>
        <w:rPr>
          <w:rFonts w:hint="eastAsia" w:ascii="宋体" w:hAnsi="宋体" w:cs="宋体"/>
          <w:sz w:val="24"/>
          <w:szCs w:val="24"/>
          <w:lang w:val="zh-CN"/>
        </w:rPr>
        <w:t>要求身体健康，年龄55周岁以下。</w:t>
      </w:r>
      <w:r>
        <w:rPr>
          <w:rFonts w:hint="eastAsia" w:ascii="宋体" w:hAnsi="宋体" w:cs="宋体"/>
          <w:sz w:val="24"/>
          <w:szCs w:val="24"/>
        </w:rPr>
        <w:t>身体健康（经医院体检合格），体貌端正、无残疾、会普通话、行动灵活、遵纪守法、品行良好。</w:t>
      </w:r>
    </w:p>
    <w:p>
      <w:pPr>
        <w:spacing w:line="400" w:lineRule="exact"/>
        <w:ind w:firstLine="475" w:firstLineChars="198"/>
        <w:rPr>
          <w:rFonts w:ascii="宋体" w:hAnsi="宋体" w:cs="宋体"/>
          <w:sz w:val="24"/>
          <w:szCs w:val="24"/>
          <w:lang w:val="zh-CN"/>
        </w:rPr>
      </w:pPr>
      <w:r>
        <w:rPr>
          <w:rFonts w:hint="eastAsia" w:ascii="宋体" w:hAnsi="宋体" w:cs="宋体"/>
          <w:sz w:val="24"/>
          <w:szCs w:val="24"/>
          <w:lang w:val="zh-CN"/>
        </w:rPr>
        <w:t>F、会务</w:t>
      </w:r>
      <w:r>
        <w:rPr>
          <w:rFonts w:hint="eastAsia" w:ascii="宋体" w:hAnsi="宋体" w:cs="宋体"/>
          <w:color w:val="000000" w:themeColor="text1"/>
          <w:sz w:val="24"/>
          <w:szCs w:val="24"/>
          <w:lang w:val="en-US" w:eastAsia="zh-CN"/>
          <w14:textFill>
            <w14:solidFill>
              <w14:schemeClr w14:val="tx1"/>
            </w14:solidFill>
          </w14:textFill>
        </w:rPr>
        <w:t>领班</w:t>
      </w:r>
      <w:r>
        <w:rPr>
          <w:rFonts w:hint="eastAsia" w:ascii="宋体" w:hAnsi="宋体" w:cs="宋体"/>
          <w:sz w:val="24"/>
          <w:szCs w:val="24"/>
          <w:lang w:val="zh-CN"/>
        </w:rPr>
        <w:t>：主要负责会议服务工作,要求身高1.60米以上，</w:t>
      </w:r>
      <w:r>
        <w:rPr>
          <w:rFonts w:hint="eastAsia" w:ascii="宋体" w:hAnsi="宋体" w:cs="宋体"/>
          <w:color w:val="000000" w:themeColor="text1"/>
          <w:sz w:val="24"/>
          <w:szCs w:val="24"/>
          <w:lang w:val="zh-CN"/>
          <w14:textFill>
            <w14:solidFill>
              <w14:schemeClr w14:val="tx1"/>
            </w14:solidFill>
          </w14:textFill>
        </w:rPr>
        <w:t>年龄35岁以下，</w:t>
      </w:r>
      <w:r>
        <w:rPr>
          <w:rFonts w:hint="eastAsia" w:ascii="宋体" w:hAnsi="宋体" w:cs="宋体"/>
          <w:sz w:val="24"/>
          <w:szCs w:val="24"/>
          <w:lang w:val="zh-CN"/>
        </w:rPr>
        <w:t>女性，高中及以上学历，形象气质佳。</w:t>
      </w:r>
    </w:p>
    <w:p>
      <w:pPr>
        <w:spacing w:line="400" w:lineRule="exact"/>
        <w:ind w:firstLine="480" w:firstLineChars="200"/>
        <w:rPr>
          <w:rFonts w:ascii="宋体" w:hAnsi="宋体" w:cs="宋体"/>
          <w:strike/>
          <w:sz w:val="24"/>
          <w:szCs w:val="24"/>
          <w:lang w:val="zh-CN"/>
        </w:rPr>
      </w:pPr>
      <w:r>
        <w:rPr>
          <w:rFonts w:hint="eastAsia" w:ascii="宋体" w:hAnsi="宋体" w:cs="宋体"/>
          <w:sz w:val="24"/>
          <w:szCs w:val="24"/>
          <w:lang w:val="zh-CN"/>
        </w:rPr>
        <w:t>会务员:主要负责后勤服务工作，要求身高1.60米以上，</w:t>
      </w:r>
      <w:r>
        <w:rPr>
          <w:rFonts w:hint="eastAsia" w:ascii="宋体" w:hAnsi="宋体" w:cs="宋体"/>
          <w:color w:val="000000" w:themeColor="text1"/>
          <w:sz w:val="24"/>
          <w:szCs w:val="24"/>
          <w:lang w:val="zh-CN"/>
          <w14:textFill>
            <w14:solidFill>
              <w14:schemeClr w14:val="tx1"/>
            </w14:solidFill>
          </w14:textFill>
        </w:rPr>
        <w:t>年龄45岁以下，</w:t>
      </w:r>
      <w:r>
        <w:rPr>
          <w:rFonts w:hint="eastAsia" w:ascii="宋体" w:hAnsi="宋体" w:cs="宋体"/>
          <w:sz w:val="24"/>
          <w:szCs w:val="24"/>
          <w:lang w:val="zh-CN"/>
        </w:rPr>
        <w:t>女性，初高中及以上学历，勤劳苦干。</w:t>
      </w:r>
    </w:p>
    <w:p>
      <w:pPr>
        <w:spacing w:line="400" w:lineRule="exact"/>
        <w:ind w:firstLine="435" w:firstLineChars="197"/>
        <w:rPr>
          <w:rFonts w:ascii="宋体" w:hAnsi="宋体" w:cs="宋体"/>
          <w:b/>
          <w:sz w:val="22"/>
          <w:szCs w:val="22"/>
          <w:lang w:val="zh-CN"/>
        </w:rPr>
      </w:pPr>
      <w:r>
        <w:rPr>
          <w:rFonts w:hint="eastAsia" w:ascii="宋体" w:hAnsi="宋体" w:cs="宋体"/>
          <w:b/>
          <w:sz w:val="22"/>
          <w:szCs w:val="22"/>
          <w:lang w:val="zh-CN"/>
        </w:rPr>
        <w:t>3、各项服务要求</w:t>
      </w:r>
    </w:p>
    <w:p>
      <w:pPr>
        <w:spacing w:line="400" w:lineRule="exact"/>
        <w:ind w:firstLine="442" w:firstLineChars="200"/>
        <w:rPr>
          <w:rFonts w:ascii="黑体" w:hAnsi="黑体" w:eastAsia="黑体" w:cs="黑体"/>
          <w:b/>
          <w:sz w:val="22"/>
          <w:szCs w:val="22"/>
        </w:rPr>
      </w:pPr>
      <w:r>
        <w:rPr>
          <w:rFonts w:hint="eastAsia" w:ascii="黑体" w:hAnsi="黑体" w:eastAsia="黑体" w:cs="黑体"/>
          <w:b/>
          <w:sz w:val="22"/>
          <w:szCs w:val="22"/>
        </w:rPr>
        <w:t>3.1安全保卫</w:t>
      </w:r>
    </w:p>
    <w:p>
      <w:pPr>
        <w:spacing w:line="400" w:lineRule="exact"/>
        <w:ind w:firstLine="442" w:firstLineChars="200"/>
        <w:rPr>
          <w:rFonts w:ascii="宋体" w:hAnsi="宋体" w:cs="宋体"/>
          <w:b/>
          <w:sz w:val="22"/>
          <w:szCs w:val="22"/>
        </w:rPr>
      </w:pPr>
      <w:r>
        <w:rPr>
          <w:rFonts w:hint="eastAsia" w:ascii="宋体" w:hAnsi="宋体" w:cs="宋体"/>
          <w:b/>
          <w:sz w:val="22"/>
          <w:szCs w:val="22"/>
        </w:rPr>
        <w:t>A.治安</w:t>
      </w:r>
    </w:p>
    <w:p>
      <w:pPr>
        <w:spacing w:line="400" w:lineRule="exact"/>
        <w:ind w:firstLine="440" w:firstLineChars="200"/>
        <w:rPr>
          <w:rFonts w:ascii="宋体" w:hAnsi="宋体" w:cs="宋体"/>
          <w:sz w:val="22"/>
          <w:szCs w:val="22"/>
        </w:rPr>
      </w:pPr>
      <w:r>
        <w:rPr>
          <w:rFonts w:hint="eastAsia" w:ascii="宋体" w:hAnsi="宋体" w:cs="宋体"/>
          <w:sz w:val="22"/>
          <w:szCs w:val="22"/>
        </w:rPr>
        <w:t>a.在温州市司法局出入口24小时设岗值班。上班高峰期大门岗亭要始终保持2个人。上下班期间指定时间段可实行立岗服务。</w:t>
      </w:r>
    </w:p>
    <w:p>
      <w:pPr>
        <w:spacing w:line="400" w:lineRule="exact"/>
        <w:ind w:firstLine="440" w:firstLineChars="200"/>
        <w:rPr>
          <w:rFonts w:ascii="宋体" w:hAnsi="宋体" w:cs="宋体"/>
          <w:sz w:val="22"/>
          <w:szCs w:val="22"/>
        </w:rPr>
      </w:pPr>
      <w:r>
        <w:rPr>
          <w:rFonts w:hint="eastAsia" w:ascii="宋体" w:hAnsi="宋体" w:cs="宋体"/>
          <w:sz w:val="22"/>
          <w:szCs w:val="22"/>
        </w:rPr>
        <w:t>b.对进入温州市司法局的来访客人进行来访登记，杜绝各类推销闲杂人员进入办公区域，使办公区域内有一个安静严谨的办公环境。</w:t>
      </w:r>
    </w:p>
    <w:p>
      <w:pPr>
        <w:spacing w:line="400" w:lineRule="exact"/>
        <w:ind w:firstLine="440" w:firstLineChars="200"/>
        <w:rPr>
          <w:rFonts w:ascii="宋体" w:hAnsi="宋体" w:cs="宋体"/>
          <w:sz w:val="22"/>
          <w:szCs w:val="22"/>
        </w:rPr>
      </w:pPr>
      <w:r>
        <w:rPr>
          <w:rFonts w:hint="eastAsia" w:ascii="宋体" w:hAnsi="宋体" w:cs="宋体"/>
          <w:sz w:val="22"/>
          <w:szCs w:val="22"/>
        </w:rPr>
        <w:t>c.按时收发各类文件、报刊、邮件，上下午各送一次，重要特快随到随送，做到准确及时不延误、不丢失，贵重物品交相关部门联络人签收并加盖印章。</w:t>
      </w:r>
    </w:p>
    <w:p>
      <w:pPr>
        <w:spacing w:line="400" w:lineRule="exact"/>
        <w:ind w:firstLine="440" w:firstLineChars="200"/>
        <w:rPr>
          <w:rFonts w:ascii="宋体" w:hAnsi="宋体" w:cs="宋体"/>
          <w:sz w:val="22"/>
          <w:szCs w:val="22"/>
        </w:rPr>
      </w:pPr>
      <w:r>
        <w:rPr>
          <w:rFonts w:hint="eastAsia" w:ascii="宋体" w:hAnsi="宋体" w:cs="宋体"/>
          <w:sz w:val="22"/>
          <w:szCs w:val="22"/>
        </w:rPr>
        <w:t>d.严格履行物品搬运管理，凡搬出物品由所在部门领导签字盖章后到管理处办理放行单方可放行。</w:t>
      </w:r>
    </w:p>
    <w:p>
      <w:pPr>
        <w:spacing w:line="400" w:lineRule="exact"/>
        <w:ind w:firstLine="440" w:firstLineChars="200"/>
        <w:rPr>
          <w:rFonts w:ascii="宋体" w:hAnsi="宋体" w:cs="宋体"/>
          <w:sz w:val="22"/>
          <w:szCs w:val="22"/>
        </w:rPr>
      </w:pPr>
      <w:r>
        <w:rPr>
          <w:rFonts w:hint="eastAsia" w:ascii="宋体" w:hAnsi="宋体" w:cs="宋体"/>
          <w:sz w:val="22"/>
          <w:szCs w:val="22"/>
        </w:rPr>
        <w:t>e.凡18：00以后因工作需要加班的工作人员，由所在部门提前通知，当班保安做好登记工作。</w:t>
      </w:r>
    </w:p>
    <w:p>
      <w:pPr>
        <w:spacing w:line="400" w:lineRule="exact"/>
        <w:ind w:firstLine="442" w:firstLineChars="200"/>
        <w:rPr>
          <w:rFonts w:ascii="宋体" w:hAnsi="宋体" w:cs="宋体"/>
          <w:b/>
          <w:sz w:val="22"/>
          <w:szCs w:val="22"/>
        </w:rPr>
      </w:pPr>
      <w:r>
        <w:rPr>
          <w:rFonts w:hint="eastAsia" w:ascii="宋体" w:hAnsi="宋体" w:cs="宋体"/>
          <w:b/>
          <w:sz w:val="22"/>
          <w:szCs w:val="22"/>
        </w:rPr>
        <w:t>B.巡逻</w:t>
      </w:r>
    </w:p>
    <w:p>
      <w:pPr>
        <w:spacing w:line="400" w:lineRule="exact"/>
        <w:ind w:firstLine="475" w:firstLineChars="216"/>
        <w:rPr>
          <w:rFonts w:ascii="宋体" w:hAnsi="宋体" w:cs="宋体"/>
          <w:sz w:val="22"/>
          <w:szCs w:val="22"/>
        </w:rPr>
      </w:pPr>
      <w:r>
        <w:rPr>
          <w:rFonts w:hint="eastAsia" w:ascii="宋体" w:hAnsi="宋体" w:cs="宋体"/>
          <w:sz w:val="22"/>
          <w:szCs w:val="22"/>
        </w:rPr>
        <w:t>a.对温州市司法局进行定时、不定时，对可疑人员和公共设备设施进行巡查，重点部位如财务室等每小时不定时巡逻不少于1次，不留死角，发现异常情况及时处理。</w:t>
      </w:r>
    </w:p>
    <w:p>
      <w:pPr>
        <w:spacing w:line="400" w:lineRule="exact"/>
        <w:ind w:firstLine="440" w:firstLineChars="200"/>
        <w:rPr>
          <w:rFonts w:ascii="宋体" w:hAnsi="宋体" w:cs="宋体"/>
          <w:sz w:val="22"/>
          <w:szCs w:val="22"/>
        </w:rPr>
      </w:pPr>
      <w:r>
        <w:rPr>
          <w:rFonts w:hint="eastAsia" w:ascii="宋体" w:hAnsi="宋体" w:cs="宋体"/>
          <w:sz w:val="22"/>
          <w:szCs w:val="22"/>
        </w:rPr>
        <w:t>b.晚上下班以后保安对温州市司法局进行一次地毯式巡查，当班负责人做好巡查记录。</w:t>
      </w:r>
    </w:p>
    <w:p>
      <w:pPr>
        <w:spacing w:line="400" w:lineRule="exact"/>
        <w:ind w:firstLine="440" w:firstLineChars="200"/>
        <w:rPr>
          <w:rFonts w:ascii="宋体" w:hAnsi="宋体" w:cs="宋体"/>
          <w:sz w:val="22"/>
          <w:szCs w:val="22"/>
        </w:rPr>
      </w:pPr>
      <w:r>
        <w:rPr>
          <w:rFonts w:hint="eastAsia" w:ascii="宋体" w:hAnsi="宋体" w:cs="宋体"/>
          <w:sz w:val="22"/>
          <w:szCs w:val="22"/>
        </w:rPr>
        <w:t>c.在巡逻时看到小纸屑、烟头等及时捡拾投入垃圾箱内，发现灯熄灭、水管及阀门漏水等及时通知设备维修人员维修，充分体现全员参与的团队精神。</w:t>
      </w:r>
    </w:p>
    <w:p>
      <w:pPr>
        <w:spacing w:line="400" w:lineRule="exact"/>
        <w:ind w:firstLine="440" w:firstLineChars="200"/>
        <w:rPr>
          <w:rFonts w:ascii="宋体" w:hAnsi="宋体" w:cs="宋体"/>
          <w:sz w:val="22"/>
          <w:szCs w:val="22"/>
        </w:rPr>
      </w:pPr>
      <w:r>
        <w:rPr>
          <w:rFonts w:hint="eastAsia" w:ascii="宋体" w:hAnsi="宋体" w:cs="宋体"/>
          <w:sz w:val="22"/>
          <w:szCs w:val="22"/>
        </w:rPr>
        <w:t>d.大楼内夜间19：00</w:t>
      </w:r>
      <w:r>
        <w:rPr>
          <w:rFonts w:hint="eastAsia" w:ascii="宋体" w:hAnsi="宋体" w:cs="宋体"/>
          <w:sz w:val="22"/>
          <w:szCs w:val="22"/>
        </w:rPr>
        <w:softHyphen/>
      </w:r>
      <w:r>
        <w:rPr>
          <w:rFonts w:hint="eastAsia" w:ascii="宋体" w:hAnsi="宋体" w:cs="宋体"/>
          <w:sz w:val="22"/>
          <w:szCs w:val="22"/>
        </w:rPr>
        <w:t>——次日7：00巡逻一次/两小时，保障大楼财物安全和消防安全。</w:t>
      </w:r>
    </w:p>
    <w:p>
      <w:pPr>
        <w:spacing w:line="400" w:lineRule="exact"/>
        <w:ind w:firstLine="440" w:firstLineChars="200"/>
        <w:rPr>
          <w:rFonts w:ascii="宋体" w:hAnsi="宋体" w:cs="宋体"/>
          <w:sz w:val="22"/>
          <w:szCs w:val="22"/>
        </w:rPr>
      </w:pPr>
      <w:r>
        <w:rPr>
          <w:rFonts w:hint="eastAsia" w:ascii="宋体" w:hAnsi="宋体" w:cs="宋体"/>
          <w:sz w:val="22"/>
          <w:szCs w:val="22"/>
        </w:rPr>
        <w:t>e.保安遇可疑情况及时与监控联系，协调处理各类可能发生的事件。</w:t>
      </w:r>
    </w:p>
    <w:p>
      <w:pPr>
        <w:spacing w:line="400" w:lineRule="exact"/>
        <w:ind w:firstLine="442" w:firstLineChars="200"/>
        <w:rPr>
          <w:rFonts w:ascii="宋体" w:hAnsi="宋体" w:cs="宋体"/>
          <w:b/>
          <w:sz w:val="22"/>
          <w:szCs w:val="22"/>
        </w:rPr>
      </w:pPr>
      <w:r>
        <w:rPr>
          <w:rFonts w:hint="eastAsia" w:ascii="宋体" w:hAnsi="宋体" w:cs="宋体"/>
          <w:b/>
          <w:sz w:val="22"/>
          <w:szCs w:val="22"/>
        </w:rPr>
        <w:t>C.车辆管理</w:t>
      </w:r>
    </w:p>
    <w:p>
      <w:pPr>
        <w:spacing w:line="400" w:lineRule="exact"/>
        <w:ind w:firstLine="440" w:firstLineChars="200"/>
        <w:rPr>
          <w:rFonts w:ascii="宋体" w:hAnsi="宋体" w:cs="宋体"/>
          <w:sz w:val="22"/>
          <w:szCs w:val="22"/>
        </w:rPr>
      </w:pPr>
      <w:r>
        <w:rPr>
          <w:rFonts w:hint="eastAsia" w:ascii="宋体" w:hAnsi="宋体" w:cs="宋体"/>
          <w:sz w:val="22"/>
          <w:szCs w:val="22"/>
        </w:rPr>
        <w:t>a.对进出的车辆进行管理，引导车辆出入有序停放。</w:t>
      </w:r>
    </w:p>
    <w:p>
      <w:pPr>
        <w:spacing w:line="400" w:lineRule="exact"/>
        <w:ind w:firstLine="440" w:firstLineChars="200"/>
        <w:rPr>
          <w:rFonts w:ascii="宋体" w:hAnsi="宋体" w:cs="宋体"/>
          <w:sz w:val="22"/>
          <w:szCs w:val="22"/>
        </w:rPr>
      </w:pPr>
      <w:r>
        <w:rPr>
          <w:rFonts w:hint="eastAsia" w:ascii="宋体" w:hAnsi="宋体" w:cs="宋体"/>
          <w:sz w:val="22"/>
          <w:szCs w:val="22"/>
        </w:rPr>
        <w:t>b.巡查车辆停放状况，防止违章停车，占用消防通道等，维护交通秩序畅通。</w:t>
      </w:r>
    </w:p>
    <w:p>
      <w:pPr>
        <w:spacing w:line="400" w:lineRule="exact"/>
        <w:ind w:firstLine="442" w:firstLineChars="200"/>
        <w:rPr>
          <w:rFonts w:ascii="宋体" w:hAnsi="宋体" w:cs="宋体"/>
          <w:b/>
          <w:sz w:val="22"/>
          <w:szCs w:val="22"/>
        </w:rPr>
      </w:pPr>
      <w:r>
        <w:rPr>
          <w:rFonts w:hint="eastAsia" w:ascii="宋体" w:hAnsi="宋体" w:cs="宋体"/>
          <w:b/>
          <w:sz w:val="22"/>
          <w:szCs w:val="22"/>
        </w:rPr>
        <w:t>D.消防安全</w:t>
      </w:r>
    </w:p>
    <w:p>
      <w:pPr>
        <w:spacing w:line="400" w:lineRule="exact"/>
        <w:ind w:firstLine="440" w:firstLineChars="200"/>
        <w:rPr>
          <w:rFonts w:ascii="宋体" w:hAnsi="宋体" w:cs="宋体"/>
          <w:sz w:val="22"/>
          <w:szCs w:val="22"/>
        </w:rPr>
      </w:pPr>
      <w:r>
        <w:rPr>
          <w:rFonts w:hint="eastAsia" w:ascii="宋体" w:hAnsi="宋体" w:cs="宋体"/>
          <w:sz w:val="22"/>
          <w:szCs w:val="22"/>
        </w:rPr>
        <w:t>a.消防安全应贯彻“预防为主，防消结合”的方针，做到三个落实即“队伍落实、制度落实、器材落实”。组建义务消防队，我们每位员工都是义务消防员、义务消防救护人员，24小时都有义务消防员值班服务。</w:t>
      </w:r>
    </w:p>
    <w:p>
      <w:pPr>
        <w:spacing w:line="400" w:lineRule="exact"/>
        <w:ind w:firstLine="440" w:firstLineChars="200"/>
        <w:rPr>
          <w:rFonts w:ascii="宋体" w:hAnsi="宋体" w:cs="宋体"/>
          <w:sz w:val="22"/>
          <w:szCs w:val="22"/>
        </w:rPr>
      </w:pPr>
      <w:r>
        <w:rPr>
          <w:rFonts w:hint="eastAsia" w:ascii="宋体" w:hAnsi="宋体" w:cs="宋体"/>
          <w:sz w:val="22"/>
          <w:szCs w:val="22"/>
        </w:rPr>
        <w:t>b.定期、不定期方式相结合，对温州市司法局的消防设备设施、安全通道等进行检查，落实消防制度和消防规定，使温州市司法局设备设施完好，随时启用，消防通道畅通。</w:t>
      </w:r>
    </w:p>
    <w:p>
      <w:pPr>
        <w:spacing w:line="400" w:lineRule="exact"/>
        <w:ind w:firstLine="440" w:firstLineChars="200"/>
        <w:rPr>
          <w:rFonts w:ascii="宋体" w:hAnsi="宋体" w:cs="宋体"/>
          <w:sz w:val="22"/>
          <w:szCs w:val="22"/>
        </w:rPr>
      </w:pPr>
      <w:r>
        <w:rPr>
          <w:rFonts w:hint="eastAsia" w:ascii="宋体" w:hAnsi="宋体" w:cs="宋体"/>
          <w:sz w:val="22"/>
          <w:szCs w:val="22"/>
        </w:rPr>
        <w:t>c.开展宣传消防知识及消防法规学习，增强大家的消防意识和平安意识，，加大消防宣传力度，提高消防意识，消除火灾隐患。</w:t>
      </w:r>
    </w:p>
    <w:p>
      <w:pPr>
        <w:spacing w:line="400" w:lineRule="exact"/>
        <w:ind w:firstLine="440" w:firstLineChars="200"/>
        <w:rPr>
          <w:rFonts w:ascii="宋体" w:hAnsi="宋体" w:cs="宋体"/>
          <w:sz w:val="22"/>
          <w:szCs w:val="22"/>
        </w:rPr>
      </w:pPr>
      <w:r>
        <w:rPr>
          <w:rFonts w:hint="eastAsia" w:ascii="宋体" w:hAnsi="宋体" w:cs="宋体"/>
          <w:sz w:val="22"/>
          <w:szCs w:val="22"/>
        </w:rPr>
        <w:t>d.每半年进行一次消防演习，增强对火灾事故的应变处理能力。</w:t>
      </w:r>
    </w:p>
    <w:p>
      <w:pPr>
        <w:spacing w:line="400" w:lineRule="exact"/>
        <w:ind w:firstLine="440" w:firstLineChars="200"/>
        <w:rPr>
          <w:rFonts w:ascii="宋体" w:hAnsi="宋体" w:cs="宋体"/>
          <w:sz w:val="22"/>
          <w:szCs w:val="22"/>
        </w:rPr>
      </w:pPr>
      <w:r>
        <w:rPr>
          <w:rFonts w:hint="eastAsia" w:ascii="宋体" w:hAnsi="宋体" w:cs="宋体"/>
          <w:sz w:val="22"/>
          <w:szCs w:val="22"/>
        </w:rPr>
        <w:t>e.监控室24小时值班。</w:t>
      </w:r>
    </w:p>
    <w:p>
      <w:pPr>
        <w:spacing w:line="400" w:lineRule="exact"/>
        <w:ind w:firstLine="442" w:firstLineChars="200"/>
        <w:rPr>
          <w:rFonts w:ascii="宋体" w:hAnsi="宋体" w:cs="宋体"/>
          <w:b/>
          <w:sz w:val="22"/>
          <w:szCs w:val="22"/>
        </w:rPr>
      </w:pPr>
      <w:r>
        <w:rPr>
          <w:rFonts w:hint="eastAsia" w:ascii="宋体" w:hAnsi="宋体" w:cs="宋体"/>
          <w:b/>
          <w:sz w:val="22"/>
          <w:szCs w:val="22"/>
        </w:rPr>
        <w:t>E.安全防范</w:t>
      </w:r>
    </w:p>
    <w:p>
      <w:pPr>
        <w:spacing w:line="400" w:lineRule="exact"/>
        <w:ind w:firstLine="440" w:firstLineChars="200"/>
        <w:rPr>
          <w:rFonts w:ascii="宋体" w:hAnsi="宋体" w:cs="宋体"/>
          <w:sz w:val="22"/>
          <w:szCs w:val="22"/>
        </w:rPr>
      </w:pPr>
      <w:r>
        <w:rPr>
          <w:rFonts w:hint="eastAsia" w:ascii="宋体" w:hAnsi="宋体" w:cs="宋体"/>
          <w:sz w:val="22"/>
          <w:szCs w:val="22"/>
        </w:rPr>
        <w:t>a.对易危及人身安全设备设施设置明显警示标识和温馨提示等安全防范措施。</w:t>
      </w:r>
    </w:p>
    <w:p>
      <w:pPr>
        <w:spacing w:line="400" w:lineRule="exact"/>
        <w:ind w:firstLine="440" w:firstLineChars="200"/>
        <w:rPr>
          <w:rFonts w:ascii="宋体" w:hAnsi="宋体" w:cs="宋体"/>
          <w:sz w:val="22"/>
          <w:szCs w:val="22"/>
        </w:rPr>
      </w:pPr>
      <w:r>
        <w:rPr>
          <w:rFonts w:hint="eastAsia" w:ascii="宋体" w:hAnsi="宋体" w:cs="宋体"/>
          <w:sz w:val="22"/>
          <w:szCs w:val="22"/>
        </w:rPr>
        <w:t>b.对保安要求每季不少于1次突发事件演练，邀请公安部门在业务上作指导，增强对突发事件的处理能力。</w:t>
      </w:r>
    </w:p>
    <w:p>
      <w:pPr>
        <w:spacing w:line="400" w:lineRule="exact"/>
        <w:ind w:firstLine="442" w:firstLineChars="200"/>
        <w:rPr>
          <w:rFonts w:ascii="黑体" w:hAnsi="黑体" w:eastAsia="黑体" w:cs="黑体"/>
          <w:b/>
          <w:sz w:val="22"/>
          <w:szCs w:val="22"/>
        </w:rPr>
      </w:pPr>
      <w:r>
        <w:rPr>
          <w:rFonts w:hint="eastAsia" w:ascii="黑体" w:hAnsi="黑体" w:eastAsia="黑体" w:cs="黑体"/>
          <w:b/>
          <w:sz w:val="22"/>
          <w:szCs w:val="22"/>
        </w:rPr>
        <w:t>3.2卫生保洁</w:t>
      </w:r>
    </w:p>
    <w:p>
      <w:pPr>
        <w:spacing w:line="400" w:lineRule="exact"/>
        <w:rPr>
          <w:rFonts w:ascii="宋体" w:hAnsi="宋体" w:cs="宋体"/>
          <w:color w:val="000000" w:themeColor="text1"/>
          <w:sz w:val="22"/>
          <w:szCs w:val="22"/>
          <w14:textFill>
            <w14:solidFill>
              <w14:schemeClr w14:val="tx1"/>
            </w14:solidFill>
          </w14:textFill>
        </w:rPr>
      </w:pPr>
      <w:r>
        <w:rPr>
          <w:rFonts w:hint="eastAsia" w:ascii="宋体" w:hAnsi="宋体" w:cs="宋体"/>
          <w:sz w:val="22"/>
          <w:szCs w:val="22"/>
        </w:rPr>
        <w:t xml:space="preserve">    环境卫生是物业管理服务的重点，严格要求保洁人员按清洁卫生工作标准，认真完成任务。</w:t>
      </w:r>
      <w:r>
        <w:rPr>
          <w:rFonts w:hint="eastAsia" w:ascii="宋体" w:hAnsi="宋体" w:cs="宋体"/>
          <w:color w:val="000000" w:themeColor="text1"/>
          <w:sz w:val="22"/>
          <w:szCs w:val="22"/>
          <w14:textFill>
            <w14:solidFill>
              <w14:schemeClr w14:val="tx1"/>
            </w14:solidFill>
          </w14:textFill>
        </w:rPr>
        <w:t>清洁卫生所用的消耗品由甲方提供。</w:t>
      </w:r>
    </w:p>
    <w:p>
      <w:pPr>
        <w:spacing w:line="400" w:lineRule="exact"/>
        <w:ind w:firstLine="442" w:firstLineChars="200"/>
        <w:rPr>
          <w:rFonts w:ascii="宋体" w:hAnsi="宋体" w:cs="宋体"/>
          <w:b/>
          <w:sz w:val="22"/>
          <w:szCs w:val="22"/>
        </w:rPr>
      </w:pPr>
      <w:r>
        <w:rPr>
          <w:rFonts w:hint="eastAsia" w:ascii="宋体" w:hAnsi="宋体" w:cs="宋体"/>
          <w:b/>
          <w:sz w:val="22"/>
          <w:szCs w:val="22"/>
        </w:rPr>
        <w:t>A.楼层地面的保洁</w:t>
      </w:r>
    </w:p>
    <w:p>
      <w:pPr>
        <w:spacing w:line="400" w:lineRule="exact"/>
        <w:ind w:firstLine="440" w:firstLineChars="200"/>
        <w:rPr>
          <w:rFonts w:ascii="宋体" w:hAnsi="宋体" w:cs="宋体"/>
          <w:sz w:val="22"/>
          <w:szCs w:val="22"/>
        </w:rPr>
      </w:pPr>
      <w:r>
        <w:rPr>
          <w:rFonts w:hint="eastAsia" w:ascii="宋体" w:hAnsi="宋体" w:cs="宋体"/>
          <w:sz w:val="22"/>
          <w:szCs w:val="22"/>
        </w:rPr>
        <w:t>a.每天早上8:00前用地拖把每层楼地面（包括地下车库）拖洗干净；</w:t>
      </w:r>
    </w:p>
    <w:p>
      <w:pPr>
        <w:spacing w:line="400" w:lineRule="exact"/>
        <w:ind w:firstLine="440" w:firstLineChars="200"/>
        <w:rPr>
          <w:rFonts w:ascii="宋体" w:hAnsi="宋体" w:cs="宋体"/>
          <w:sz w:val="22"/>
          <w:szCs w:val="22"/>
        </w:rPr>
      </w:pPr>
      <w:r>
        <w:rPr>
          <w:rFonts w:hint="eastAsia" w:ascii="宋体" w:hAnsi="宋体" w:cs="宋体"/>
          <w:sz w:val="22"/>
          <w:szCs w:val="22"/>
        </w:rPr>
        <w:t>b.用尘推将地面推尘，每天数次视客流量而定；</w:t>
      </w:r>
    </w:p>
    <w:p>
      <w:pPr>
        <w:spacing w:line="400" w:lineRule="exact"/>
        <w:ind w:firstLine="440" w:firstLineChars="200"/>
        <w:rPr>
          <w:rFonts w:ascii="宋体" w:hAnsi="宋体" w:cs="宋体"/>
          <w:sz w:val="22"/>
          <w:szCs w:val="22"/>
        </w:rPr>
      </w:pPr>
      <w:r>
        <w:rPr>
          <w:rFonts w:hint="eastAsia" w:ascii="宋体" w:hAnsi="宋体" w:cs="宋体"/>
          <w:sz w:val="22"/>
          <w:szCs w:val="22"/>
        </w:rPr>
        <w:t>c.擦拭茶几、台面及摆设、椅子、灯座及指示牌等公共设施；</w:t>
      </w:r>
    </w:p>
    <w:p>
      <w:pPr>
        <w:spacing w:line="400" w:lineRule="exact"/>
        <w:ind w:firstLine="440" w:firstLineChars="200"/>
        <w:rPr>
          <w:rFonts w:ascii="宋体" w:hAnsi="宋体" w:cs="宋体"/>
          <w:sz w:val="22"/>
          <w:szCs w:val="22"/>
        </w:rPr>
      </w:pPr>
      <w:r>
        <w:rPr>
          <w:rFonts w:hint="eastAsia" w:ascii="宋体" w:hAnsi="宋体" w:cs="宋体"/>
          <w:sz w:val="22"/>
          <w:szCs w:val="22"/>
        </w:rPr>
        <w:t>d.下雨天门口要放防滑告示牌和增加拖擦次数；</w:t>
      </w:r>
    </w:p>
    <w:p>
      <w:pPr>
        <w:spacing w:line="400" w:lineRule="exact"/>
        <w:ind w:firstLine="440" w:firstLineChars="200"/>
        <w:rPr>
          <w:rFonts w:ascii="宋体" w:hAnsi="宋体" w:cs="宋体"/>
          <w:sz w:val="22"/>
          <w:szCs w:val="22"/>
        </w:rPr>
      </w:pPr>
      <w:r>
        <w:rPr>
          <w:rFonts w:hint="eastAsia" w:ascii="宋体" w:hAnsi="宋体" w:cs="宋体"/>
          <w:sz w:val="22"/>
          <w:szCs w:val="22"/>
        </w:rPr>
        <w:t>e.下班前应把垃圾清倒干净；</w:t>
      </w:r>
    </w:p>
    <w:p>
      <w:pPr>
        <w:spacing w:line="400" w:lineRule="exact"/>
        <w:ind w:firstLine="440" w:firstLineChars="200"/>
        <w:rPr>
          <w:rFonts w:ascii="宋体" w:hAnsi="宋体" w:cs="宋体"/>
          <w:sz w:val="22"/>
          <w:szCs w:val="22"/>
        </w:rPr>
      </w:pPr>
      <w:r>
        <w:rPr>
          <w:rFonts w:hint="eastAsia" w:ascii="宋体" w:hAnsi="宋体" w:cs="宋体"/>
          <w:sz w:val="22"/>
          <w:szCs w:val="22"/>
        </w:rPr>
        <w:t>f.每周擦墙面一次；</w:t>
      </w:r>
    </w:p>
    <w:p>
      <w:pPr>
        <w:spacing w:line="400" w:lineRule="exact"/>
        <w:ind w:firstLine="440" w:firstLineChars="200"/>
        <w:rPr>
          <w:rFonts w:ascii="宋体" w:hAnsi="宋体" w:cs="宋体"/>
          <w:sz w:val="22"/>
          <w:szCs w:val="22"/>
        </w:rPr>
      </w:pPr>
      <w:r>
        <w:rPr>
          <w:rFonts w:hint="eastAsia" w:ascii="宋体" w:hAnsi="宋体" w:cs="宋体"/>
          <w:sz w:val="22"/>
          <w:szCs w:val="22"/>
        </w:rPr>
        <w:t>g.每周定时对局各办公室内区域地面拖洗一次；</w:t>
      </w:r>
    </w:p>
    <w:p>
      <w:pPr>
        <w:spacing w:line="400" w:lineRule="exact"/>
        <w:ind w:firstLine="440" w:firstLineChars="200"/>
        <w:rPr>
          <w:rFonts w:ascii="宋体" w:hAnsi="宋体" w:cs="宋体"/>
          <w:sz w:val="22"/>
          <w:szCs w:val="22"/>
        </w:rPr>
      </w:pPr>
      <w:r>
        <w:rPr>
          <w:rFonts w:hint="eastAsia" w:ascii="宋体" w:hAnsi="宋体" w:cs="宋体"/>
          <w:sz w:val="22"/>
          <w:szCs w:val="22"/>
        </w:rPr>
        <w:t>9.每月对大楼玻璃窗进行一次擦洗。</w:t>
      </w:r>
    </w:p>
    <w:p>
      <w:pPr>
        <w:spacing w:line="400" w:lineRule="exact"/>
        <w:ind w:firstLine="442" w:firstLineChars="200"/>
        <w:rPr>
          <w:rFonts w:ascii="宋体" w:hAnsi="宋体" w:cs="宋体"/>
          <w:b/>
          <w:sz w:val="22"/>
          <w:szCs w:val="22"/>
        </w:rPr>
      </w:pPr>
      <w:r>
        <w:rPr>
          <w:rFonts w:hint="eastAsia" w:ascii="宋体" w:hAnsi="宋体" w:cs="宋体"/>
          <w:b/>
          <w:sz w:val="22"/>
          <w:szCs w:val="22"/>
        </w:rPr>
        <w:t>B.楼梯间通道的保洁</w:t>
      </w:r>
    </w:p>
    <w:p>
      <w:pPr>
        <w:spacing w:line="400" w:lineRule="exact"/>
        <w:ind w:firstLine="440" w:firstLineChars="200"/>
        <w:rPr>
          <w:rFonts w:ascii="宋体" w:hAnsi="宋体" w:cs="宋体"/>
          <w:sz w:val="22"/>
          <w:szCs w:val="22"/>
        </w:rPr>
      </w:pPr>
      <w:r>
        <w:rPr>
          <w:rFonts w:hint="eastAsia" w:ascii="宋体" w:hAnsi="宋体" w:cs="宋体"/>
          <w:sz w:val="22"/>
          <w:szCs w:val="22"/>
        </w:rPr>
        <w:t>a.每天清扫一次各楼层通道和楼梯台阶并拖洗干净；</w:t>
      </w:r>
    </w:p>
    <w:p>
      <w:pPr>
        <w:spacing w:line="400" w:lineRule="exact"/>
        <w:ind w:firstLine="440" w:firstLineChars="200"/>
        <w:rPr>
          <w:rFonts w:ascii="宋体" w:hAnsi="宋体" w:cs="宋体"/>
          <w:sz w:val="22"/>
          <w:szCs w:val="22"/>
        </w:rPr>
      </w:pPr>
      <w:r>
        <w:rPr>
          <w:rFonts w:hint="eastAsia" w:ascii="宋体" w:hAnsi="宋体" w:cs="宋体"/>
          <w:sz w:val="22"/>
          <w:szCs w:val="22"/>
        </w:rPr>
        <w:t>b.对垃圾进行分类整理，并将垃圾收集运到楼下垃圾房；</w:t>
      </w:r>
    </w:p>
    <w:p>
      <w:pPr>
        <w:spacing w:line="400" w:lineRule="exact"/>
        <w:ind w:firstLine="440" w:firstLineChars="200"/>
        <w:rPr>
          <w:rFonts w:ascii="宋体" w:hAnsi="宋体" w:cs="宋体"/>
          <w:sz w:val="22"/>
          <w:szCs w:val="22"/>
        </w:rPr>
      </w:pPr>
      <w:r>
        <w:rPr>
          <w:rFonts w:hint="eastAsia" w:ascii="宋体" w:hAnsi="宋体" w:cs="宋体"/>
          <w:sz w:val="22"/>
          <w:szCs w:val="22"/>
        </w:rPr>
        <w:t>c.用干净的毛巾擦抹各层的通道的防火门、电梯门、消防栓柜、玻璃窗内侧、灯具、楼梯扶手、护栏、墙面、墙根部分地脚线、指示牌等公共设施，应保证每周循环保洁一次；</w:t>
      </w:r>
    </w:p>
    <w:p>
      <w:pPr>
        <w:spacing w:line="400" w:lineRule="exact"/>
        <w:ind w:firstLine="440" w:firstLineChars="200"/>
        <w:rPr>
          <w:rFonts w:ascii="宋体" w:hAnsi="宋体" w:cs="宋体"/>
          <w:sz w:val="22"/>
          <w:szCs w:val="22"/>
        </w:rPr>
      </w:pPr>
      <w:r>
        <w:rPr>
          <w:rFonts w:hint="eastAsia" w:ascii="宋体" w:hAnsi="宋体" w:cs="宋体"/>
          <w:sz w:val="22"/>
          <w:szCs w:val="22"/>
        </w:rPr>
        <w:t>d.清理通道吸烟区摆放的烟灰缸内的垃圾和烟灰，保持整洁有序；</w:t>
      </w:r>
    </w:p>
    <w:p>
      <w:pPr>
        <w:spacing w:line="400" w:lineRule="exact"/>
        <w:ind w:firstLine="440" w:firstLineChars="200"/>
        <w:rPr>
          <w:rFonts w:ascii="宋体" w:hAnsi="宋体" w:cs="宋体"/>
          <w:sz w:val="22"/>
          <w:szCs w:val="22"/>
        </w:rPr>
      </w:pPr>
      <w:r>
        <w:rPr>
          <w:rFonts w:hint="eastAsia" w:ascii="宋体" w:hAnsi="宋体" w:cs="宋体"/>
          <w:sz w:val="22"/>
          <w:szCs w:val="22"/>
        </w:rPr>
        <w:t>e.各梯间、通道的壁面、天花板应每月进行一次除尘。</w:t>
      </w:r>
    </w:p>
    <w:p>
      <w:pPr>
        <w:spacing w:line="400" w:lineRule="exact"/>
        <w:ind w:firstLine="440" w:firstLineChars="200"/>
        <w:rPr>
          <w:rFonts w:ascii="宋体" w:hAnsi="宋体" w:cs="宋体"/>
          <w:sz w:val="22"/>
          <w:szCs w:val="22"/>
        </w:rPr>
      </w:pPr>
      <w:r>
        <w:rPr>
          <w:rFonts w:hint="eastAsia" w:ascii="宋体" w:hAnsi="宋体" w:cs="宋体"/>
          <w:sz w:val="22"/>
          <w:szCs w:val="22"/>
        </w:rPr>
        <w:t>注意事项：清洁工具不能放在梯间通道。</w:t>
      </w:r>
    </w:p>
    <w:p>
      <w:pPr>
        <w:spacing w:line="400" w:lineRule="exact"/>
        <w:ind w:firstLine="442" w:firstLineChars="200"/>
        <w:rPr>
          <w:rFonts w:ascii="宋体" w:hAnsi="宋体" w:cs="宋体"/>
          <w:b/>
          <w:sz w:val="22"/>
          <w:szCs w:val="22"/>
        </w:rPr>
      </w:pPr>
      <w:r>
        <w:rPr>
          <w:rFonts w:hint="eastAsia" w:ascii="宋体" w:hAnsi="宋体" w:cs="宋体"/>
          <w:b/>
          <w:sz w:val="22"/>
          <w:szCs w:val="22"/>
        </w:rPr>
        <w:t>C.卫生间的保洁</w:t>
      </w:r>
    </w:p>
    <w:p>
      <w:pPr>
        <w:spacing w:line="400" w:lineRule="exact"/>
        <w:ind w:firstLine="440" w:firstLineChars="200"/>
        <w:rPr>
          <w:rFonts w:ascii="宋体" w:hAnsi="宋体" w:cs="宋体"/>
          <w:sz w:val="22"/>
          <w:szCs w:val="22"/>
        </w:rPr>
      </w:pPr>
      <w:r>
        <w:rPr>
          <w:rFonts w:hint="eastAsia" w:ascii="宋体" w:hAnsi="宋体" w:cs="宋体"/>
          <w:sz w:val="22"/>
          <w:szCs w:val="22"/>
        </w:rPr>
        <w:t>备注：每日上下班对公用卫生间进行不断保洁。</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a.敲门询问是否有人，确认无人后方可操作。</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b.竖立警示牌。</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c.打开门窗通风，用水冲洗大小便器，洗干净烟灰缸。</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d.清扫地面垃圾、清倒垃圾篓垃圾、换新的垃圾袋后放回原处。</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e.用洗洁精均匀喷洒在洗手盆及大、小便器上，用毛球洗刷大、小便器（如是座厕注意清洁两块盖板及底座卫生），用快洁布擦洗洗手盆，然后用清水冲洗干净。</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f.用毛巾从门开始顺时针方向依次将墙面、台面、开关、门窗标牌等抹一遍。</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g.先用湿布擦窗玻璃和镜，然后用干毛巾擦干净。</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h.补充卷纸、擦手纸和芳香球、洗手液。</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i.用拖把拖干净地面。</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j.适量喷洒香水或空气清新剂。</w:t>
      </w:r>
    </w:p>
    <w:p>
      <w:pPr>
        <w:spacing w:line="400" w:lineRule="exact"/>
        <w:ind w:firstLine="442" w:firstLineChars="200"/>
        <w:rPr>
          <w:rFonts w:ascii="宋体" w:hAnsi="宋体" w:cs="宋体"/>
          <w:b/>
          <w:sz w:val="22"/>
          <w:szCs w:val="22"/>
        </w:rPr>
      </w:pPr>
      <w:r>
        <w:rPr>
          <w:rFonts w:hint="eastAsia" w:ascii="宋体" w:hAnsi="宋体" w:cs="宋体"/>
          <w:b/>
          <w:sz w:val="22"/>
          <w:szCs w:val="22"/>
        </w:rPr>
        <w:t>D.保洁规定</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a.应每小时保洁一次，清洁地面垃圾，抹干净面水迹；</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b.早上保洁后用消毒水对洗手盆及大小便器、地板进行消毒；</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c.每天一次用玻璃清洁工具清洁洗手间的玻璃镜。</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d.每周一次用毛巾擦灯具、清扫天花板；</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e.每周一次对洗手间进行杀菌工作。</w:t>
      </w:r>
    </w:p>
    <w:p>
      <w:pPr>
        <w:suppressAutoHyphens/>
        <w:spacing w:line="400" w:lineRule="exact"/>
        <w:ind w:firstLine="440" w:firstLineChars="200"/>
        <w:jc w:val="left"/>
        <w:rPr>
          <w:rFonts w:ascii="宋体" w:hAnsi="宋体" w:cs="宋体"/>
          <w:sz w:val="22"/>
          <w:szCs w:val="22"/>
        </w:rPr>
      </w:pPr>
      <w:r>
        <w:rPr>
          <w:rFonts w:hint="eastAsia" w:ascii="宋体" w:hAnsi="宋体" w:cs="宋体"/>
          <w:sz w:val="22"/>
          <w:szCs w:val="22"/>
        </w:rPr>
        <w:t>f.发现墙壁有字或不干净的地方应及时清洁。</w:t>
      </w:r>
    </w:p>
    <w:p>
      <w:pPr>
        <w:spacing w:line="400" w:lineRule="exact"/>
        <w:ind w:firstLine="440" w:firstLineChars="200"/>
        <w:rPr>
          <w:rFonts w:ascii="宋体" w:hAnsi="宋体" w:cs="宋体"/>
          <w:sz w:val="22"/>
          <w:szCs w:val="22"/>
        </w:rPr>
      </w:pPr>
      <w:r>
        <w:rPr>
          <w:rFonts w:hint="eastAsia" w:ascii="宋体" w:hAnsi="宋体" w:cs="宋体"/>
          <w:sz w:val="22"/>
          <w:szCs w:val="22"/>
        </w:rPr>
        <w:t>注意事项：</w:t>
      </w:r>
    </w:p>
    <w:p>
      <w:pPr>
        <w:numPr>
          <w:ilvl w:val="0"/>
          <w:numId w:val="4"/>
        </w:numPr>
        <w:suppressAutoHyphens/>
        <w:spacing w:line="400" w:lineRule="exact"/>
        <w:ind w:firstLine="46"/>
        <w:jc w:val="left"/>
        <w:rPr>
          <w:rFonts w:ascii="宋体" w:hAnsi="宋体" w:cs="宋体"/>
          <w:sz w:val="22"/>
          <w:szCs w:val="22"/>
        </w:rPr>
      </w:pPr>
      <w:r>
        <w:rPr>
          <w:rFonts w:hint="eastAsia" w:ascii="宋体" w:hAnsi="宋体" w:cs="宋体"/>
          <w:sz w:val="22"/>
          <w:szCs w:val="22"/>
        </w:rPr>
        <w:t>禁止使用强酸、强碱清洁剂，以免损伤瓷面；</w:t>
      </w:r>
    </w:p>
    <w:p>
      <w:pPr>
        <w:numPr>
          <w:ilvl w:val="0"/>
          <w:numId w:val="4"/>
        </w:numPr>
        <w:suppressAutoHyphens/>
        <w:spacing w:line="400" w:lineRule="exact"/>
        <w:ind w:firstLine="32"/>
        <w:jc w:val="left"/>
        <w:rPr>
          <w:rFonts w:ascii="宋体" w:hAnsi="宋体" w:cs="宋体"/>
          <w:sz w:val="22"/>
          <w:szCs w:val="22"/>
        </w:rPr>
      </w:pPr>
      <w:r>
        <w:rPr>
          <w:rFonts w:hint="eastAsia" w:ascii="宋体" w:hAnsi="宋体" w:cs="宋体"/>
          <w:sz w:val="22"/>
          <w:szCs w:val="22"/>
        </w:rPr>
        <w:t>下水如果有堵塞现象，应及时疏通。</w:t>
      </w:r>
    </w:p>
    <w:p>
      <w:pPr>
        <w:spacing w:line="400" w:lineRule="exact"/>
        <w:ind w:firstLine="442" w:firstLineChars="200"/>
        <w:rPr>
          <w:rFonts w:ascii="宋体" w:hAnsi="宋体" w:cs="宋体"/>
          <w:b/>
          <w:sz w:val="22"/>
          <w:szCs w:val="22"/>
        </w:rPr>
      </w:pPr>
      <w:r>
        <w:rPr>
          <w:rFonts w:hint="eastAsia" w:ascii="宋体" w:hAnsi="宋体" w:cs="宋体"/>
          <w:b/>
          <w:sz w:val="22"/>
          <w:szCs w:val="22"/>
        </w:rPr>
        <w:t>E.办公室的保洁</w:t>
      </w:r>
    </w:p>
    <w:p>
      <w:pPr>
        <w:spacing w:line="400" w:lineRule="exact"/>
        <w:ind w:firstLine="440" w:firstLineChars="200"/>
        <w:rPr>
          <w:rFonts w:ascii="宋体" w:hAnsi="宋体" w:cs="宋体"/>
          <w:sz w:val="22"/>
          <w:szCs w:val="22"/>
        </w:rPr>
      </w:pPr>
      <w:r>
        <w:rPr>
          <w:rFonts w:hint="eastAsia" w:ascii="宋体" w:hAnsi="宋体" w:cs="宋体"/>
          <w:sz w:val="22"/>
          <w:szCs w:val="22"/>
        </w:rPr>
        <w:t>a.办公室、卫生间的保洁由专人负责，保证每星期清洁2次；</w:t>
      </w:r>
    </w:p>
    <w:p>
      <w:pPr>
        <w:spacing w:line="400" w:lineRule="exact"/>
        <w:ind w:firstLine="440" w:firstLineChars="200"/>
        <w:rPr>
          <w:rFonts w:ascii="宋体" w:hAnsi="宋体" w:cs="宋体"/>
          <w:sz w:val="22"/>
          <w:szCs w:val="22"/>
        </w:rPr>
      </w:pPr>
      <w:r>
        <w:rPr>
          <w:rFonts w:hint="eastAsia" w:ascii="宋体" w:hAnsi="宋体" w:cs="宋体"/>
          <w:sz w:val="22"/>
          <w:szCs w:val="22"/>
        </w:rPr>
        <w:t>b.整理好台面文件，用微湿布擦拭台面后再用干布抹干；</w:t>
      </w:r>
    </w:p>
    <w:p>
      <w:pPr>
        <w:spacing w:line="400" w:lineRule="exact"/>
        <w:ind w:firstLine="440" w:firstLineChars="200"/>
        <w:rPr>
          <w:rFonts w:ascii="宋体" w:hAnsi="宋体" w:cs="宋体"/>
          <w:sz w:val="22"/>
          <w:szCs w:val="22"/>
        </w:rPr>
      </w:pPr>
      <w:r>
        <w:rPr>
          <w:rFonts w:hint="eastAsia" w:ascii="宋体" w:hAnsi="宋体" w:cs="宋体"/>
          <w:sz w:val="22"/>
          <w:szCs w:val="22"/>
        </w:rPr>
        <w:t>c.清理室内垃圾；</w:t>
      </w:r>
    </w:p>
    <w:p>
      <w:pPr>
        <w:spacing w:line="400" w:lineRule="exact"/>
        <w:ind w:firstLine="440" w:firstLineChars="200"/>
        <w:rPr>
          <w:rFonts w:ascii="宋体" w:hAnsi="宋体" w:cs="宋体"/>
          <w:sz w:val="22"/>
          <w:szCs w:val="22"/>
        </w:rPr>
      </w:pPr>
      <w:r>
        <w:rPr>
          <w:rFonts w:hint="eastAsia" w:ascii="宋体" w:hAnsi="宋体" w:cs="宋体"/>
          <w:sz w:val="22"/>
          <w:szCs w:val="22"/>
        </w:rPr>
        <w:t>d.擦拭门、椅、柜等室内设施和室内装饰物品；</w:t>
      </w:r>
    </w:p>
    <w:p>
      <w:pPr>
        <w:spacing w:line="400" w:lineRule="exact"/>
        <w:ind w:firstLine="440" w:firstLineChars="200"/>
        <w:rPr>
          <w:rFonts w:ascii="宋体" w:hAnsi="宋体" w:cs="宋体"/>
          <w:sz w:val="22"/>
          <w:szCs w:val="22"/>
        </w:rPr>
      </w:pPr>
      <w:r>
        <w:rPr>
          <w:rFonts w:hint="eastAsia" w:ascii="宋体" w:hAnsi="宋体" w:cs="宋体"/>
          <w:sz w:val="22"/>
          <w:szCs w:val="22"/>
        </w:rPr>
        <w:t>e.清洁地面，将各类物品摆回原位并摆放整齐；</w:t>
      </w:r>
    </w:p>
    <w:p>
      <w:pPr>
        <w:spacing w:line="400" w:lineRule="exact"/>
        <w:ind w:firstLine="440" w:firstLineChars="200"/>
        <w:rPr>
          <w:rFonts w:ascii="宋体" w:hAnsi="宋体" w:cs="宋体"/>
          <w:sz w:val="22"/>
          <w:szCs w:val="22"/>
        </w:rPr>
      </w:pPr>
      <w:r>
        <w:rPr>
          <w:rFonts w:hint="eastAsia" w:ascii="宋体" w:hAnsi="宋体" w:cs="宋体"/>
          <w:sz w:val="22"/>
          <w:szCs w:val="22"/>
        </w:rPr>
        <w:t>f.办公室消杀工作应每季进行两次。</w:t>
      </w:r>
    </w:p>
    <w:p>
      <w:pPr>
        <w:spacing w:line="400" w:lineRule="exact"/>
        <w:ind w:firstLine="440" w:firstLineChars="200"/>
        <w:rPr>
          <w:rFonts w:ascii="宋体" w:hAnsi="宋体" w:cs="宋体"/>
          <w:sz w:val="22"/>
          <w:szCs w:val="22"/>
        </w:rPr>
      </w:pPr>
      <w:r>
        <w:rPr>
          <w:rFonts w:hint="eastAsia" w:ascii="宋体" w:hAnsi="宋体" w:cs="宋体"/>
          <w:sz w:val="22"/>
          <w:szCs w:val="22"/>
        </w:rPr>
        <w:t>注意事项：</w:t>
      </w:r>
    </w:p>
    <w:p>
      <w:pPr>
        <w:numPr>
          <w:ilvl w:val="0"/>
          <w:numId w:val="5"/>
        </w:numPr>
        <w:tabs>
          <w:tab w:val="left" w:pos="360"/>
          <w:tab w:val="left" w:pos="700"/>
        </w:tabs>
        <w:suppressAutoHyphens/>
        <w:spacing w:line="400" w:lineRule="exact"/>
        <w:ind w:left="360" w:firstLine="60"/>
        <w:jc w:val="left"/>
        <w:rPr>
          <w:rFonts w:ascii="宋体" w:hAnsi="宋体" w:cs="宋体"/>
          <w:sz w:val="22"/>
          <w:szCs w:val="22"/>
        </w:rPr>
      </w:pPr>
      <w:r>
        <w:rPr>
          <w:rFonts w:hint="eastAsia" w:ascii="宋体" w:hAnsi="宋体" w:cs="宋体"/>
          <w:sz w:val="22"/>
          <w:szCs w:val="22"/>
        </w:rPr>
        <w:t xml:space="preserve"> 不得翻动办公室内所有物品、文件，办公用品应轻拿轻放；</w:t>
      </w:r>
    </w:p>
    <w:p>
      <w:pPr>
        <w:numPr>
          <w:ilvl w:val="0"/>
          <w:numId w:val="5"/>
        </w:numPr>
        <w:tabs>
          <w:tab w:val="left" w:pos="360"/>
          <w:tab w:val="left" w:pos="700"/>
        </w:tabs>
        <w:suppressAutoHyphens/>
        <w:spacing w:line="400" w:lineRule="exact"/>
        <w:ind w:left="360" w:firstLine="60"/>
        <w:jc w:val="left"/>
        <w:rPr>
          <w:rFonts w:ascii="宋体" w:hAnsi="宋体" w:cs="宋体"/>
          <w:sz w:val="22"/>
          <w:szCs w:val="22"/>
        </w:rPr>
      </w:pPr>
      <w:r>
        <w:rPr>
          <w:rFonts w:hint="eastAsia" w:ascii="宋体" w:hAnsi="宋体" w:cs="宋体"/>
          <w:sz w:val="22"/>
          <w:szCs w:val="22"/>
        </w:rPr>
        <w:t xml:space="preserve"> 不得扔掉有记录的纸张；</w:t>
      </w:r>
    </w:p>
    <w:p>
      <w:pPr>
        <w:numPr>
          <w:ilvl w:val="0"/>
          <w:numId w:val="5"/>
        </w:numPr>
        <w:tabs>
          <w:tab w:val="left" w:pos="360"/>
          <w:tab w:val="left" w:pos="700"/>
        </w:tabs>
        <w:suppressAutoHyphens/>
        <w:spacing w:line="400" w:lineRule="exact"/>
        <w:ind w:left="360" w:firstLine="60"/>
        <w:jc w:val="left"/>
        <w:rPr>
          <w:rFonts w:ascii="宋体" w:hAnsi="宋体" w:cs="宋体"/>
          <w:sz w:val="22"/>
          <w:szCs w:val="22"/>
        </w:rPr>
      </w:pPr>
      <w:r>
        <w:rPr>
          <w:rFonts w:hint="eastAsia" w:ascii="宋体" w:hAnsi="宋体" w:cs="宋体"/>
          <w:sz w:val="22"/>
          <w:szCs w:val="22"/>
        </w:rPr>
        <w:t xml:space="preserve"> 吸尘时不准动电脑插座，擦抹电器时间须用干毛巾。</w:t>
      </w:r>
    </w:p>
    <w:p>
      <w:pPr>
        <w:tabs>
          <w:tab w:val="left" w:pos="700"/>
        </w:tabs>
        <w:spacing w:line="400" w:lineRule="exact"/>
        <w:ind w:firstLine="440" w:firstLineChars="200"/>
        <w:rPr>
          <w:rFonts w:ascii="宋体" w:hAnsi="宋体" w:cs="宋体"/>
          <w:sz w:val="22"/>
          <w:szCs w:val="22"/>
        </w:rPr>
      </w:pPr>
      <w:r>
        <w:rPr>
          <w:rFonts w:hint="eastAsia" w:ascii="宋体" w:hAnsi="宋体" w:cs="宋体"/>
          <w:sz w:val="22"/>
          <w:szCs w:val="22"/>
        </w:rPr>
        <w:t>保洁标准：</w:t>
      </w:r>
    </w:p>
    <w:p>
      <w:pPr>
        <w:numPr>
          <w:ilvl w:val="0"/>
          <w:numId w:val="6"/>
        </w:numPr>
        <w:tabs>
          <w:tab w:val="left" w:pos="709"/>
        </w:tabs>
        <w:suppressAutoHyphens/>
        <w:spacing w:line="400" w:lineRule="exact"/>
        <w:ind w:firstLine="60"/>
        <w:jc w:val="left"/>
        <w:rPr>
          <w:rFonts w:ascii="宋体" w:hAnsi="宋体" w:cs="宋体"/>
          <w:sz w:val="22"/>
          <w:szCs w:val="22"/>
        </w:rPr>
      </w:pPr>
      <w:r>
        <w:rPr>
          <w:rFonts w:hint="eastAsia" w:ascii="宋体" w:hAnsi="宋体" w:cs="宋体"/>
          <w:sz w:val="22"/>
          <w:szCs w:val="22"/>
        </w:rPr>
        <w:t>玻璃门窗目视无明显污渍、手印；</w:t>
      </w:r>
    </w:p>
    <w:p>
      <w:pPr>
        <w:numPr>
          <w:ilvl w:val="0"/>
          <w:numId w:val="6"/>
        </w:numPr>
        <w:tabs>
          <w:tab w:val="left" w:pos="709"/>
        </w:tabs>
        <w:suppressAutoHyphens/>
        <w:spacing w:line="400" w:lineRule="exact"/>
        <w:ind w:firstLine="60"/>
        <w:jc w:val="left"/>
        <w:rPr>
          <w:rFonts w:ascii="宋体" w:hAnsi="宋体" w:cs="宋体"/>
          <w:sz w:val="22"/>
          <w:szCs w:val="22"/>
        </w:rPr>
      </w:pPr>
      <w:r>
        <w:rPr>
          <w:rFonts w:hint="eastAsia" w:ascii="宋体" w:hAnsi="宋体" w:cs="宋体"/>
          <w:sz w:val="22"/>
          <w:szCs w:val="22"/>
        </w:rPr>
        <w:t>地面干净无污渍、无垃圾；</w:t>
      </w:r>
    </w:p>
    <w:p>
      <w:pPr>
        <w:numPr>
          <w:ilvl w:val="0"/>
          <w:numId w:val="6"/>
        </w:numPr>
        <w:tabs>
          <w:tab w:val="left" w:pos="709"/>
        </w:tabs>
        <w:suppressAutoHyphens/>
        <w:spacing w:line="400" w:lineRule="exact"/>
        <w:ind w:firstLine="60"/>
        <w:jc w:val="left"/>
        <w:rPr>
          <w:rFonts w:ascii="宋体" w:hAnsi="宋体" w:cs="宋体"/>
          <w:sz w:val="22"/>
          <w:szCs w:val="22"/>
        </w:rPr>
      </w:pPr>
      <w:r>
        <w:rPr>
          <w:rFonts w:hint="eastAsia" w:ascii="宋体" w:hAnsi="宋体" w:cs="宋体"/>
          <w:sz w:val="22"/>
          <w:szCs w:val="22"/>
        </w:rPr>
        <w:t>灯具摆设品用纸巾擦拭无明显灰尘、污迹；</w:t>
      </w:r>
    </w:p>
    <w:p>
      <w:pPr>
        <w:spacing w:line="400" w:lineRule="exact"/>
        <w:ind w:firstLine="442" w:firstLineChars="200"/>
        <w:rPr>
          <w:rFonts w:ascii="宋体" w:hAnsi="宋体" w:cs="宋体"/>
          <w:b/>
          <w:sz w:val="22"/>
          <w:szCs w:val="22"/>
        </w:rPr>
      </w:pPr>
      <w:r>
        <w:rPr>
          <w:rFonts w:hint="eastAsia" w:ascii="宋体" w:hAnsi="宋体" w:cs="宋体"/>
          <w:b/>
          <w:sz w:val="22"/>
          <w:szCs w:val="22"/>
        </w:rPr>
        <w:t>F.会议室的保洁</w:t>
      </w:r>
    </w:p>
    <w:p>
      <w:pPr>
        <w:spacing w:line="400" w:lineRule="exact"/>
        <w:ind w:firstLine="424" w:firstLineChars="193"/>
        <w:rPr>
          <w:rFonts w:ascii="宋体" w:hAnsi="宋体" w:cs="宋体"/>
          <w:sz w:val="22"/>
          <w:szCs w:val="22"/>
        </w:rPr>
      </w:pPr>
      <w:r>
        <w:rPr>
          <w:rFonts w:hint="eastAsia" w:ascii="宋体" w:hAnsi="宋体" w:cs="宋体"/>
          <w:sz w:val="22"/>
          <w:szCs w:val="22"/>
        </w:rPr>
        <w:t>1）每天对会议室应彻底清洁一次；</w:t>
      </w:r>
    </w:p>
    <w:p>
      <w:pPr>
        <w:spacing w:line="400" w:lineRule="exact"/>
        <w:ind w:firstLine="424" w:firstLineChars="193"/>
        <w:rPr>
          <w:rFonts w:ascii="宋体" w:hAnsi="宋体" w:cs="宋体"/>
          <w:sz w:val="22"/>
          <w:szCs w:val="22"/>
        </w:rPr>
      </w:pPr>
      <w:r>
        <w:rPr>
          <w:rFonts w:hint="eastAsia" w:ascii="宋体" w:hAnsi="宋体" w:cs="宋体"/>
          <w:sz w:val="22"/>
          <w:szCs w:val="22"/>
        </w:rPr>
        <w:t>2）将有地板的地方用全能水（稀释量依照《清洁剂使用标准作业规定》）拖洗干净；</w:t>
      </w:r>
    </w:p>
    <w:p>
      <w:pPr>
        <w:spacing w:line="400" w:lineRule="exact"/>
        <w:ind w:firstLine="424" w:firstLineChars="193"/>
        <w:rPr>
          <w:rFonts w:ascii="宋体" w:hAnsi="宋体" w:cs="宋体"/>
          <w:sz w:val="22"/>
          <w:szCs w:val="22"/>
        </w:rPr>
      </w:pPr>
      <w:r>
        <w:rPr>
          <w:rFonts w:hint="eastAsia" w:ascii="宋体" w:hAnsi="宋体" w:cs="宋体"/>
          <w:sz w:val="22"/>
          <w:szCs w:val="22"/>
        </w:rPr>
        <w:t>3）用清洁玻璃工具清洁会议室的所有玻璃；</w:t>
      </w:r>
    </w:p>
    <w:p>
      <w:pPr>
        <w:spacing w:line="400" w:lineRule="exact"/>
        <w:ind w:firstLine="424" w:firstLineChars="193"/>
        <w:rPr>
          <w:rFonts w:ascii="宋体" w:hAnsi="宋体" w:cs="宋体"/>
          <w:sz w:val="22"/>
          <w:szCs w:val="22"/>
        </w:rPr>
      </w:pPr>
      <w:r>
        <w:rPr>
          <w:rFonts w:hint="eastAsia" w:ascii="宋体" w:hAnsi="宋体" w:cs="宋体"/>
          <w:sz w:val="22"/>
          <w:szCs w:val="22"/>
        </w:rPr>
        <w:t>4）用半湿的抹布擦拭会议室的门、装饰摆设品、地脚线、消防栓、柜、台椅等以及公共娱乐配套设备、设施；</w:t>
      </w:r>
    </w:p>
    <w:p>
      <w:pPr>
        <w:spacing w:line="400" w:lineRule="exact"/>
        <w:ind w:firstLine="424" w:firstLineChars="193"/>
        <w:rPr>
          <w:rFonts w:ascii="宋体" w:hAnsi="宋体" w:cs="宋体"/>
          <w:sz w:val="22"/>
          <w:szCs w:val="22"/>
        </w:rPr>
      </w:pPr>
      <w:r>
        <w:rPr>
          <w:rFonts w:hint="eastAsia" w:ascii="宋体" w:hAnsi="宋体" w:cs="宋体"/>
          <w:sz w:val="22"/>
          <w:szCs w:val="22"/>
        </w:rPr>
        <w:t>5）下班前清倒垃圾；</w:t>
      </w:r>
    </w:p>
    <w:p>
      <w:pPr>
        <w:spacing w:line="400" w:lineRule="exact"/>
        <w:ind w:firstLine="424" w:firstLineChars="193"/>
        <w:rPr>
          <w:rFonts w:ascii="宋体" w:hAnsi="宋体" w:cs="宋体"/>
          <w:sz w:val="22"/>
          <w:szCs w:val="22"/>
        </w:rPr>
      </w:pPr>
      <w:r>
        <w:rPr>
          <w:rFonts w:hint="eastAsia" w:ascii="宋体" w:hAnsi="宋体" w:cs="宋体"/>
          <w:sz w:val="22"/>
          <w:szCs w:val="22"/>
        </w:rPr>
        <w:t>6）循环保洁会议室卫生；</w:t>
      </w:r>
    </w:p>
    <w:p>
      <w:pPr>
        <w:spacing w:line="400" w:lineRule="exact"/>
        <w:ind w:firstLine="424" w:firstLineChars="193"/>
        <w:rPr>
          <w:rFonts w:ascii="宋体" w:hAnsi="宋体" w:cs="宋体"/>
          <w:sz w:val="22"/>
          <w:szCs w:val="22"/>
        </w:rPr>
      </w:pPr>
      <w:r>
        <w:rPr>
          <w:rFonts w:hint="eastAsia" w:ascii="宋体" w:hAnsi="宋体" w:cs="宋体"/>
          <w:sz w:val="22"/>
          <w:szCs w:val="22"/>
        </w:rPr>
        <w:t>7）及时清理烟灰缸的烟头、垃圾；</w:t>
      </w:r>
    </w:p>
    <w:p>
      <w:pPr>
        <w:spacing w:line="400" w:lineRule="exact"/>
        <w:ind w:firstLine="424" w:firstLineChars="193"/>
        <w:rPr>
          <w:rFonts w:ascii="宋体" w:hAnsi="宋体" w:cs="宋体"/>
          <w:sz w:val="22"/>
          <w:szCs w:val="22"/>
        </w:rPr>
      </w:pPr>
      <w:r>
        <w:rPr>
          <w:rFonts w:hint="eastAsia" w:ascii="宋体" w:hAnsi="宋体" w:cs="宋体"/>
          <w:sz w:val="22"/>
          <w:szCs w:val="22"/>
        </w:rPr>
        <w:t>8）擦拭玻璃门的手印；</w:t>
      </w:r>
    </w:p>
    <w:p>
      <w:pPr>
        <w:spacing w:line="400" w:lineRule="exact"/>
        <w:ind w:firstLine="424" w:firstLineChars="193"/>
        <w:rPr>
          <w:rFonts w:ascii="宋体" w:hAnsi="宋体" w:cs="宋体"/>
          <w:sz w:val="22"/>
          <w:szCs w:val="22"/>
        </w:rPr>
      </w:pPr>
      <w:r>
        <w:rPr>
          <w:rFonts w:hint="eastAsia" w:ascii="宋体" w:hAnsi="宋体" w:cs="宋体"/>
          <w:sz w:val="22"/>
          <w:szCs w:val="22"/>
        </w:rPr>
        <w:t>9）地板推尘；</w:t>
      </w:r>
    </w:p>
    <w:p>
      <w:pPr>
        <w:spacing w:line="400" w:lineRule="exact"/>
        <w:ind w:firstLine="424" w:firstLineChars="193"/>
        <w:rPr>
          <w:rFonts w:ascii="宋体" w:hAnsi="宋体" w:cs="宋体"/>
          <w:sz w:val="22"/>
          <w:szCs w:val="22"/>
        </w:rPr>
      </w:pPr>
      <w:r>
        <w:rPr>
          <w:rFonts w:hint="eastAsia" w:ascii="宋体" w:hAnsi="宋体" w:cs="宋体"/>
          <w:sz w:val="22"/>
          <w:szCs w:val="22"/>
        </w:rPr>
        <w:t>10）大厅消杀工作应每月进行一次；</w:t>
      </w:r>
    </w:p>
    <w:p>
      <w:pPr>
        <w:spacing w:line="400" w:lineRule="exact"/>
        <w:ind w:firstLine="424" w:firstLineChars="193"/>
        <w:rPr>
          <w:rFonts w:ascii="宋体" w:hAnsi="宋体" w:cs="宋体"/>
          <w:sz w:val="22"/>
          <w:szCs w:val="22"/>
        </w:rPr>
      </w:pPr>
      <w:r>
        <w:rPr>
          <w:rFonts w:hint="eastAsia" w:ascii="宋体" w:hAnsi="宋体" w:cs="宋体"/>
          <w:sz w:val="22"/>
          <w:szCs w:val="22"/>
        </w:rPr>
        <w:t>11）清洁配套设施用品。</w:t>
      </w:r>
    </w:p>
    <w:p>
      <w:pPr>
        <w:spacing w:line="400" w:lineRule="exact"/>
        <w:ind w:firstLine="442" w:firstLineChars="200"/>
        <w:rPr>
          <w:rFonts w:ascii="宋体" w:hAnsi="宋体" w:cs="宋体"/>
          <w:b/>
          <w:sz w:val="22"/>
          <w:szCs w:val="22"/>
        </w:rPr>
      </w:pPr>
      <w:r>
        <w:rPr>
          <w:rFonts w:hint="eastAsia" w:ascii="宋体" w:hAnsi="宋体" w:cs="宋体"/>
          <w:b/>
          <w:sz w:val="22"/>
          <w:szCs w:val="22"/>
        </w:rPr>
        <w:t>G.玻璃清洁</w:t>
      </w:r>
    </w:p>
    <w:p>
      <w:pPr>
        <w:spacing w:line="400" w:lineRule="exact"/>
        <w:ind w:firstLine="433" w:firstLineChars="197"/>
        <w:rPr>
          <w:rFonts w:ascii="宋体" w:hAnsi="宋体" w:cs="宋体"/>
          <w:sz w:val="22"/>
          <w:szCs w:val="22"/>
        </w:rPr>
      </w:pPr>
      <w:r>
        <w:rPr>
          <w:rFonts w:hint="eastAsia" w:ascii="宋体" w:hAnsi="宋体" w:cs="宋体"/>
          <w:sz w:val="22"/>
          <w:szCs w:val="22"/>
        </w:rPr>
        <w:t>1）先用铲刀铲除玻璃上的污迹及边缘上的污垢；</w:t>
      </w:r>
    </w:p>
    <w:p>
      <w:pPr>
        <w:spacing w:line="400" w:lineRule="exact"/>
        <w:ind w:firstLine="433" w:firstLineChars="197"/>
        <w:rPr>
          <w:rFonts w:ascii="宋体" w:hAnsi="宋体" w:cs="宋体"/>
          <w:sz w:val="22"/>
          <w:szCs w:val="22"/>
        </w:rPr>
      </w:pPr>
      <w:r>
        <w:rPr>
          <w:rFonts w:hint="eastAsia" w:ascii="宋体" w:hAnsi="宋体" w:cs="宋体"/>
          <w:sz w:val="22"/>
          <w:szCs w:val="22"/>
        </w:rPr>
        <w:t>2）将毛头侵入在玻璃水中；</w:t>
      </w:r>
    </w:p>
    <w:p>
      <w:pPr>
        <w:spacing w:line="400" w:lineRule="exact"/>
        <w:ind w:firstLine="433" w:firstLineChars="197"/>
        <w:rPr>
          <w:rFonts w:ascii="宋体" w:hAnsi="宋体" w:cs="宋体"/>
          <w:sz w:val="22"/>
          <w:szCs w:val="22"/>
        </w:rPr>
      </w:pPr>
      <w:r>
        <w:rPr>
          <w:rFonts w:hint="eastAsia" w:ascii="宋体" w:hAnsi="宋体" w:cs="宋体"/>
          <w:sz w:val="22"/>
          <w:szCs w:val="22"/>
        </w:rPr>
        <w:t>3）把毛头按在玻璃上并上下洗抹；</w:t>
      </w:r>
    </w:p>
    <w:p>
      <w:pPr>
        <w:spacing w:line="400" w:lineRule="exact"/>
        <w:ind w:firstLine="433" w:firstLineChars="197"/>
        <w:rPr>
          <w:rFonts w:ascii="宋体" w:hAnsi="宋体" w:cs="宋体"/>
          <w:sz w:val="22"/>
          <w:szCs w:val="22"/>
        </w:rPr>
      </w:pPr>
      <w:r>
        <w:rPr>
          <w:rFonts w:hint="eastAsia" w:ascii="宋体" w:hAnsi="宋体" w:cs="宋体"/>
          <w:sz w:val="22"/>
          <w:szCs w:val="22"/>
        </w:rPr>
        <w:t>4）用玻璃刮刮去玻璃上的水分，玻璃刮和玻璃平面应保持一定的角度；</w:t>
      </w:r>
    </w:p>
    <w:p>
      <w:pPr>
        <w:spacing w:line="400" w:lineRule="exact"/>
        <w:ind w:firstLine="433" w:firstLineChars="197"/>
        <w:rPr>
          <w:rFonts w:ascii="宋体" w:hAnsi="宋体" w:cs="宋体"/>
          <w:sz w:val="22"/>
          <w:szCs w:val="22"/>
        </w:rPr>
      </w:pPr>
      <w:r>
        <w:rPr>
          <w:rFonts w:hint="eastAsia" w:ascii="宋体" w:hAnsi="宋体" w:cs="宋体"/>
          <w:sz w:val="22"/>
          <w:szCs w:val="22"/>
        </w:rPr>
        <w:t>5）当玻璃的位置和地面较接近时，应把毛头或玻璃刮用横向移动；</w:t>
      </w:r>
    </w:p>
    <w:p>
      <w:pPr>
        <w:spacing w:line="400" w:lineRule="exact"/>
        <w:ind w:firstLine="433" w:firstLineChars="197"/>
        <w:rPr>
          <w:rFonts w:ascii="宋体" w:hAnsi="宋体" w:cs="宋体"/>
          <w:sz w:val="22"/>
          <w:szCs w:val="22"/>
        </w:rPr>
      </w:pPr>
      <w:r>
        <w:rPr>
          <w:rFonts w:hint="eastAsia" w:ascii="宋体" w:hAnsi="宋体" w:cs="宋体"/>
          <w:sz w:val="22"/>
          <w:szCs w:val="22"/>
        </w:rPr>
        <w:t>6）用干毛巾抹去玻璃框上的水珠，然后用拖把抹净地面上的污水。</w:t>
      </w:r>
    </w:p>
    <w:p>
      <w:pPr>
        <w:spacing w:line="400" w:lineRule="exact"/>
        <w:ind w:firstLine="433" w:firstLineChars="197"/>
        <w:rPr>
          <w:rFonts w:ascii="宋体" w:hAnsi="宋体" w:cs="宋体"/>
          <w:sz w:val="22"/>
          <w:szCs w:val="22"/>
        </w:rPr>
      </w:pPr>
      <w:r>
        <w:rPr>
          <w:rFonts w:hint="eastAsia" w:ascii="宋体" w:hAnsi="宋体" w:cs="宋体"/>
          <w:sz w:val="22"/>
          <w:szCs w:val="22"/>
        </w:rPr>
        <w:t>7）清洁高处玻璃时应把玻璃刮或毛头套在伸缩杆上；</w:t>
      </w:r>
    </w:p>
    <w:p>
      <w:pPr>
        <w:spacing w:line="400" w:lineRule="exact"/>
        <w:ind w:firstLine="433" w:firstLineChars="197"/>
        <w:rPr>
          <w:rFonts w:ascii="宋体" w:hAnsi="宋体" w:cs="宋体"/>
          <w:sz w:val="22"/>
          <w:szCs w:val="22"/>
        </w:rPr>
      </w:pPr>
      <w:r>
        <w:rPr>
          <w:rFonts w:hint="eastAsia" w:ascii="宋体" w:hAnsi="宋体" w:cs="宋体"/>
          <w:sz w:val="22"/>
          <w:szCs w:val="22"/>
        </w:rPr>
        <w:t>8）操纵时应注意防止玻璃刮的金属部分刮花玻璃。</w:t>
      </w:r>
    </w:p>
    <w:p>
      <w:pPr>
        <w:spacing w:line="400" w:lineRule="exact"/>
        <w:ind w:firstLine="442" w:firstLineChars="200"/>
        <w:rPr>
          <w:rFonts w:ascii="宋体" w:hAnsi="宋体" w:cs="宋体"/>
          <w:b/>
          <w:sz w:val="22"/>
          <w:szCs w:val="22"/>
        </w:rPr>
      </w:pPr>
      <w:r>
        <w:rPr>
          <w:rFonts w:hint="eastAsia" w:ascii="宋体" w:hAnsi="宋体" w:cs="宋体"/>
          <w:b/>
          <w:sz w:val="22"/>
          <w:szCs w:val="22"/>
        </w:rPr>
        <w:t>H.环境卫生消杀</w:t>
      </w:r>
    </w:p>
    <w:p>
      <w:pPr>
        <w:spacing w:line="400" w:lineRule="exact"/>
        <w:ind w:firstLine="440" w:firstLineChars="200"/>
        <w:rPr>
          <w:rFonts w:ascii="宋体" w:hAnsi="宋体" w:cs="宋体"/>
          <w:sz w:val="22"/>
          <w:szCs w:val="22"/>
        </w:rPr>
      </w:pPr>
      <w:r>
        <w:rPr>
          <w:rFonts w:hint="eastAsia" w:ascii="宋体" w:hAnsi="宋体" w:cs="宋体"/>
          <w:sz w:val="22"/>
          <w:szCs w:val="22"/>
        </w:rPr>
        <w:t>保洁组应该根据季节的变化制定出卫生消杀工作计划。</w:t>
      </w:r>
    </w:p>
    <w:p>
      <w:pPr>
        <w:spacing w:line="400" w:lineRule="exact"/>
        <w:ind w:firstLine="440" w:firstLineChars="200"/>
        <w:rPr>
          <w:rFonts w:ascii="宋体" w:hAnsi="宋体" w:cs="宋体"/>
          <w:sz w:val="22"/>
          <w:szCs w:val="22"/>
        </w:rPr>
      </w:pPr>
      <w:r>
        <w:rPr>
          <w:rFonts w:hint="eastAsia" w:ascii="宋体" w:hAnsi="宋体" w:cs="宋体"/>
          <w:sz w:val="22"/>
          <w:szCs w:val="22"/>
        </w:rPr>
        <w:t>消杀区域：</w:t>
      </w:r>
    </w:p>
    <w:p>
      <w:pPr>
        <w:pStyle w:val="257"/>
        <w:numPr>
          <w:ilvl w:val="0"/>
          <w:numId w:val="7"/>
        </w:numPr>
        <w:suppressAutoHyphens/>
        <w:spacing w:line="400" w:lineRule="exact"/>
        <w:ind w:firstLine="116"/>
        <w:rPr>
          <w:rFonts w:ascii="宋体" w:hAnsi="宋体" w:eastAsia="宋体" w:cs="宋体"/>
        </w:rPr>
      </w:pPr>
      <w:r>
        <w:rPr>
          <w:rFonts w:hint="eastAsia" w:ascii="宋体" w:hAnsi="宋体" w:eastAsia="宋体" w:cs="宋体"/>
        </w:rPr>
        <w:t>各楼宇的梯口、梯间及楼宇周围；</w:t>
      </w:r>
    </w:p>
    <w:p>
      <w:pPr>
        <w:pStyle w:val="257"/>
        <w:numPr>
          <w:ilvl w:val="0"/>
          <w:numId w:val="7"/>
        </w:numPr>
        <w:suppressAutoHyphens/>
        <w:spacing w:line="400" w:lineRule="exact"/>
        <w:ind w:firstLine="116"/>
        <w:rPr>
          <w:rFonts w:ascii="宋体" w:hAnsi="宋体" w:eastAsia="宋体" w:cs="宋体"/>
        </w:rPr>
      </w:pPr>
      <w:r>
        <w:rPr>
          <w:rFonts w:hint="eastAsia" w:ascii="宋体" w:hAnsi="宋体" w:eastAsia="宋体" w:cs="宋体"/>
        </w:rPr>
        <w:t>大厅及配套的场；</w:t>
      </w:r>
    </w:p>
    <w:p>
      <w:pPr>
        <w:pStyle w:val="257"/>
        <w:numPr>
          <w:ilvl w:val="0"/>
          <w:numId w:val="7"/>
        </w:numPr>
        <w:suppressAutoHyphens/>
        <w:spacing w:line="400" w:lineRule="exact"/>
        <w:ind w:firstLine="116"/>
        <w:rPr>
          <w:rFonts w:ascii="宋体" w:hAnsi="宋体" w:eastAsia="宋体" w:cs="宋体"/>
        </w:rPr>
      </w:pPr>
      <w:r>
        <w:rPr>
          <w:rFonts w:hint="eastAsia" w:ascii="宋体" w:hAnsi="宋体" w:eastAsia="宋体" w:cs="宋体"/>
        </w:rPr>
        <w:t>各部门办公室；</w:t>
      </w:r>
    </w:p>
    <w:p>
      <w:pPr>
        <w:suppressAutoHyphens/>
        <w:spacing w:line="400" w:lineRule="exact"/>
        <w:ind w:firstLine="475" w:firstLineChars="216"/>
        <w:jc w:val="left"/>
        <w:rPr>
          <w:rFonts w:ascii="宋体" w:hAnsi="宋体" w:cs="宋体"/>
          <w:sz w:val="22"/>
          <w:szCs w:val="22"/>
        </w:rPr>
      </w:pPr>
      <w:r>
        <w:rPr>
          <w:rFonts w:hint="eastAsia" w:ascii="宋体" w:hAnsi="宋体" w:cs="宋体"/>
          <w:sz w:val="22"/>
          <w:szCs w:val="22"/>
        </w:rPr>
        <w:t>4）公厕、沙井、化粪池、垃圾箱、垃圾周转箱等室外公共区域。</w:t>
      </w:r>
    </w:p>
    <w:p>
      <w:pPr>
        <w:spacing w:line="400" w:lineRule="exact"/>
        <w:ind w:firstLine="440" w:firstLineChars="200"/>
        <w:rPr>
          <w:rFonts w:ascii="宋体" w:hAnsi="宋体" w:cs="宋体"/>
          <w:sz w:val="22"/>
          <w:szCs w:val="22"/>
        </w:rPr>
      </w:pPr>
      <w:r>
        <w:rPr>
          <w:rFonts w:hint="eastAsia" w:ascii="宋体" w:hAnsi="宋体" w:cs="宋体"/>
          <w:sz w:val="22"/>
          <w:szCs w:val="22"/>
        </w:rPr>
        <w:t>消杀药物一般用敌敌畏、灭害灵、敌百虫、鞠脂类药喷洒剂等。消杀方式以以喷药触杀为主。</w:t>
      </w:r>
    </w:p>
    <w:p>
      <w:pPr>
        <w:spacing w:line="400" w:lineRule="exact"/>
        <w:ind w:firstLine="440" w:firstLineChars="200"/>
        <w:rPr>
          <w:rFonts w:ascii="宋体" w:hAnsi="宋体" w:cs="宋体"/>
          <w:sz w:val="22"/>
          <w:szCs w:val="22"/>
        </w:rPr>
      </w:pPr>
      <w:r>
        <w:rPr>
          <w:rFonts w:hint="eastAsia" w:ascii="宋体" w:hAnsi="宋体" w:cs="宋体"/>
          <w:sz w:val="22"/>
          <w:szCs w:val="22"/>
        </w:rPr>
        <w:t>注意事项：</w:t>
      </w:r>
    </w:p>
    <w:p>
      <w:pPr>
        <w:spacing w:line="400" w:lineRule="exact"/>
        <w:ind w:firstLine="446" w:firstLineChars="203"/>
        <w:rPr>
          <w:rFonts w:ascii="宋体" w:hAnsi="宋体" w:cs="宋体"/>
          <w:sz w:val="22"/>
          <w:szCs w:val="22"/>
        </w:rPr>
      </w:pPr>
      <w:r>
        <w:rPr>
          <w:rFonts w:hint="eastAsia" w:ascii="宋体" w:hAnsi="宋体" w:cs="宋体"/>
          <w:sz w:val="22"/>
          <w:szCs w:val="22"/>
        </w:rPr>
        <w:t>1）应穿戴好防护衣帽；</w:t>
      </w:r>
    </w:p>
    <w:p>
      <w:pPr>
        <w:spacing w:line="400" w:lineRule="exact"/>
        <w:ind w:firstLine="446" w:firstLineChars="203"/>
        <w:rPr>
          <w:rFonts w:ascii="宋体" w:hAnsi="宋体" w:cs="宋体"/>
          <w:sz w:val="22"/>
          <w:szCs w:val="22"/>
        </w:rPr>
      </w:pPr>
      <w:r>
        <w:rPr>
          <w:rFonts w:hint="eastAsia" w:ascii="宋体" w:hAnsi="宋体" w:cs="宋体"/>
          <w:sz w:val="22"/>
          <w:szCs w:val="22"/>
        </w:rPr>
        <w:t>2）梯间喷杀时不要将药液喷在扶手或门面上；</w:t>
      </w:r>
    </w:p>
    <w:p>
      <w:pPr>
        <w:spacing w:line="400" w:lineRule="exact"/>
        <w:ind w:firstLine="446" w:firstLineChars="203"/>
        <w:rPr>
          <w:rFonts w:ascii="宋体" w:hAnsi="宋体" w:cs="宋体"/>
          <w:sz w:val="22"/>
          <w:szCs w:val="22"/>
        </w:rPr>
      </w:pPr>
      <w:r>
        <w:rPr>
          <w:rFonts w:hint="eastAsia" w:ascii="宋体" w:hAnsi="宋体" w:cs="宋体"/>
          <w:sz w:val="22"/>
          <w:szCs w:val="22"/>
        </w:rPr>
        <w:t>3）不要在人流出入高峰期喷药；</w:t>
      </w:r>
    </w:p>
    <w:p>
      <w:pPr>
        <w:spacing w:line="400" w:lineRule="exact"/>
        <w:ind w:firstLine="446" w:firstLineChars="203"/>
        <w:rPr>
          <w:rFonts w:ascii="宋体" w:hAnsi="宋体" w:cs="宋体"/>
          <w:sz w:val="22"/>
          <w:szCs w:val="22"/>
        </w:rPr>
      </w:pPr>
      <w:r>
        <w:rPr>
          <w:rFonts w:hint="eastAsia" w:ascii="宋体" w:hAnsi="宋体" w:cs="宋体"/>
          <w:sz w:val="22"/>
          <w:szCs w:val="22"/>
        </w:rPr>
        <w:t>4）办公室配套设施应在下班后进行，并注意关闭门窗；将药液喷在墙角、桌下或壁面上，禁止喷在桌面、食品和器具上。</w:t>
      </w:r>
    </w:p>
    <w:p>
      <w:pPr>
        <w:spacing w:line="400" w:lineRule="exact"/>
        <w:ind w:firstLine="448" w:firstLineChars="203"/>
        <w:rPr>
          <w:rFonts w:ascii="黑体" w:hAnsi="黑体" w:eastAsia="黑体" w:cs="黑体"/>
          <w:b/>
          <w:sz w:val="22"/>
          <w:szCs w:val="22"/>
        </w:rPr>
      </w:pPr>
      <w:r>
        <w:rPr>
          <w:rFonts w:hint="eastAsia" w:ascii="黑体" w:hAnsi="黑体" w:eastAsia="黑体" w:cs="黑体"/>
          <w:b/>
          <w:sz w:val="22"/>
          <w:szCs w:val="22"/>
        </w:rPr>
        <w:t>3.3会务后勤</w:t>
      </w:r>
    </w:p>
    <w:p>
      <w:pPr>
        <w:spacing w:line="400" w:lineRule="exact"/>
        <w:ind w:firstLine="473" w:firstLineChars="215"/>
        <w:rPr>
          <w:rFonts w:ascii="宋体" w:hAnsi="宋体" w:cs="宋体"/>
          <w:sz w:val="22"/>
          <w:szCs w:val="22"/>
        </w:rPr>
      </w:pPr>
      <w:r>
        <w:rPr>
          <w:rFonts w:hint="eastAsia" w:ascii="宋体" w:hAnsi="宋体" w:cs="宋体"/>
          <w:sz w:val="22"/>
          <w:szCs w:val="22"/>
        </w:rPr>
        <w:t>负责司法局会务准备、会务期间服务、会务结束整理工作。</w:t>
      </w:r>
    </w:p>
    <w:p>
      <w:pPr>
        <w:spacing w:line="400" w:lineRule="exact"/>
        <w:ind w:firstLine="475" w:firstLineChars="215"/>
        <w:rPr>
          <w:rFonts w:ascii="宋体" w:hAnsi="宋体" w:cs="宋体"/>
          <w:b/>
          <w:sz w:val="22"/>
          <w:szCs w:val="22"/>
        </w:rPr>
      </w:pPr>
      <w:r>
        <w:rPr>
          <w:rFonts w:hint="eastAsia" w:ascii="宋体" w:hAnsi="宋体" w:cs="宋体"/>
          <w:b/>
          <w:sz w:val="22"/>
          <w:szCs w:val="22"/>
        </w:rPr>
        <w:t>A.会议的服务保障</w:t>
      </w:r>
    </w:p>
    <w:p>
      <w:pPr>
        <w:spacing w:line="400" w:lineRule="exact"/>
        <w:ind w:firstLine="473" w:firstLineChars="215"/>
        <w:rPr>
          <w:rFonts w:ascii="宋体" w:hAnsi="宋体" w:cs="宋体"/>
          <w:sz w:val="22"/>
          <w:szCs w:val="22"/>
        </w:rPr>
      </w:pPr>
      <w:r>
        <w:rPr>
          <w:rFonts w:hint="eastAsia" w:ascii="宋体" w:hAnsi="宋体" w:cs="宋体"/>
          <w:sz w:val="22"/>
          <w:szCs w:val="22"/>
        </w:rPr>
        <w:t>按各级会议提供相应的会务服务，保障会议及相关事宜的平稳有序进行。</w:t>
      </w:r>
    </w:p>
    <w:p>
      <w:pPr>
        <w:spacing w:line="400" w:lineRule="exact"/>
        <w:ind w:firstLine="473" w:firstLineChars="215"/>
        <w:rPr>
          <w:rFonts w:ascii="宋体" w:hAnsi="宋体" w:cs="宋体"/>
          <w:sz w:val="22"/>
          <w:szCs w:val="22"/>
        </w:rPr>
      </w:pPr>
      <w:r>
        <w:rPr>
          <w:rFonts w:hint="eastAsia" w:ascii="宋体" w:hAnsi="宋体" w:cs="宋体"/>
          <w:sz w:val="22"/>
          <w:szCs w:val="22"/>
        </w:rPr>
        <w:t>流程：确认会议需求----会前准备----会中服务----会后清理</w:t>
      </w:r>
    </w:p>
    <w:p>
      <w:pPr>
        <w:pStyle w:val="257"/>
        <w:numPr>
          <w:ilvl w:val="0"/>
          <w:numId w:val="8"/>
        </w:numPr>
        <w:tabs>
          <w:tab w:val="left" w:pos="630"/>
          <w:tab w:val="left" w:pos="686"/>
          <w:tab w:val="left" w:pos="770"/>
        </w:tabs>
        <w:spacing w:line="400" w:lineRule="exact"/>
        <w:ind w:left="0" w:firstLine="518" w:firstLineChars="216"/>
        <w:rPr>
          <w:rFonts w:ascii="宋体" w:hAnsi="宋体" w:eastAsia="宋体" w:cs="宋体"/>
        </w:rPr>
      </w:pPr>
      <w:r>
        <w:rPr>
          <w:rFonts w:hint="eastAsia" w:ascii="宋体" w:hAnsi="宋体" w:eastAsia="宋体" w:cs="宋体"/>
        </w:rPr>
        <w:t>会议确认（时间、会议室、参会人员及其他会议需求等）。</w:t>
      </w:r>
    </w:p>
    <w:p>
      <w:pPr>
        <w:pStyle w:val="257"/>
        <w:numPr>
          <w:ilvl w:val="0"/>
          <w:numId w:val="8"/>
        </w:numPr>
        <w:tabs>
          <w:tab w:val="left" w:pos="630"/>
          <w:tab w:val="left" w:pos="686"/>
          <w:tab w:val="left" w:pos="770"/>
        </w:tabs>
        <w:spacing w:line="400" w:lineRule="exact"/>
        <w:ind w:left="0" w:firstLine="518" w:firstLineChars="216"/>
        <w:rPr>
          <w:rFonts w:ascii="宋体" w:hAnsi="宋体" w:eastAsia="宋体" w:cs="宋体"/>
        </w:rPr>
      </w:pPr>
      <w:r>
        <w:rPr>
          <w:rFonts w:hint="eastAsia" w:ascii="宋体" w:hAnsi="宋体" w:eastAsia="宋体" w:cs="宋体"/>
        </w:rPr>
        <w:t>会场布置（协调会议准备及茶水准备、座签摆放等）、会场入口迎宾。</w:t>
      </w:r>
    </w:p>
    <w:p>
      <w:pPr>
        <w:pStyle w:val="257"/>
        <w:numPr>
          <w:ilvl w:val="0"/>
          <w:numId w:val="8"/>
        </w:numPr>
        <w:tabs>
          <w:tab w:val="left" w:pos="630"/>
          <w:tab w:val="left" w:pos="686"/>
          <w:tab w:val="left" w:pos="770"/>
        </w:tabs>
        <w:spacing w:line="400" w:lineRule="exact"/>
        <w:ind w:left="0" w:firstLine="518" w:firstLineChars="216"/>
        <w:rPr>
          <w:rFonts w:ascii="宋体" w:hAnsi="宋体" w:eastAsia="宋体" w:cs="宋体"/>
        </w:rPr>
      </w:pPr>
      <w:r>
        <w:rPr>
          <w:rFonts w:hint="eastAsia" w:ascii="宋体" w:hAnsi="宋体" w:eastAsia="宋体" w:cs="宋体"/>
        </w:rPr>
        <w:t>会中服务（引领入座、倒茶水、续水等杂物清理，门外留守、应对会中突发状况）。</w:t>
      </w:r>
    </w:p>
    <w:p>
      <w:pPr>
        <w:pStyle w:val="257"/>
        <w:numPr>
          <w:ilvl w:val="0"/>
          <w:numId w:val="8"/>
        </w:numPr>
        <w:tabs>
          <w:tab w:val="left" w:pos="630"/>
          <w:tab w:val="left" w:pos="686"/>
          <w:tab w:val="left" w:pos="770"/>
        </w:tabs>
        <w:spacing w:line="400" w:lineRule="exact"/>
        <w:ind w:left="0" w:firstLine="518" w:firstLineChars="216"/>
        <w:rPr>
          <w:rFonts w:ascii="宋体" w:hAnsi="宋体" w:eastAsia="宋体" w:cs="宋体"/>
        </w:rPr>
      </w:pPr>
      <w:r>
        <w:rPr>
          <w:rFonts w:hint="eastAsia" w:ascii="宋体" w:hAnsi="宋体" w:eastAsia="宋体" w:cs="宋体"/>
        </w:rPr>
        <w:t>会后清理：散会后会场检查、垃圾清理、协调多媒体操作员及时关闭会场多煤体设备并归整、会议室清洁等。</w:t>
      </w:r>
    </w:p>
    <w:p>
      <w:pPr>
        <w:spacing w:line="400" w:lineRule="exact"/>
        <w:ind w:left="524" w:leftChars="240" w:hanging="20" w:hangingChars="9"/>
        <w:rPr>
          <w:rFonts w:ascii="宋体" w:hAnsi="宋体" w:cs="宋体"/>
          <w:b/>
          <w:sz w:val="22"/>
          <w:szCs w:val="22"/>
        </w:rPr>
      </w:pPr>
      <w:r>
        <w:rPr>
          <w:rFonts w:hint="eastAsia" w:ascii="宋体" w:hAnsi="宋体" w:cs="宋体"/>
          <w:b/>
          <w:sz w:val="22"/>
          <w:szCs w:val="22"/>
        </w:rPr>
        <w:t>B.办公室的日常卫生清洁保障</w:t>
      </w:r>
    </w:p>
    <w:p>
      <w:pPr>
        <w:spacing w:line="400" w:lineRule="exact"/>
        <w:ind w:firstLine="473" w:firstLineChars="215"/>
        <w:rPr>
          <w:rFonts w:ascii="宋体" w:hAnsi="宋体" w:cs="宋体"/>
          <w:sz w:val="22"/>
          <w:szCs w:val="22"/>
        </w:rPr>
      </w:pPr>
      <w:r>
        <w:rPr>
          <w:rFonts w:hint="eastAsia" w:ascii="宋体" w:hAnsi="宋体" w:cs="宋体"/>
          <w:sz w:val="22"/>
          <w:szCs w:val="22"/>
        </w:rPr>
        <w:t>要求：每周对办公室进行标准清洁</w:t>
      </w:r>
    </w:p>
    <w:p>
      <w:pPr>
        <w:spacing w:line="400" w:lineRule="exact"/>
        <w:ind w:firstLine="473" w:firstLineChars="215"/>
        <w:rPr>
          <w:rFonts w:ascii="宋体" w:hAnsi="宋体" w:cs="宋体"/>
          <w:sz w:val="22"/>
          <w:szCs w:val="22"/>
        </w:rPr>
      </w:pPr>
      <w:r>
        <w:rPr>
          <w:rFonts w:hint="eastAsia" w:ascii="宋体" w:hAnsi="宋体" w:cs="宋体"/>
          <w:sz w:val="22"/>
          <w:szCs w:val="22"/>
        </w:rPr>
        <w:t>主要工作内容：办公室卫生清洁、垃圾清理、报纸清运等。</w:t>
      </w:r>
    </w:p>
    <w:p>
      <w:pPr>
        <w:spacing w:line="400" w:lineRule="exact"/>
        <w:ind w:firstLine="475" w:firstLineChars="215"/>
        <w:rPr>
          <w:rFonts w:ascii="黑体" w:hAnsi="黑体" w:eastAsia="黑体" w:cs="黑体"/>
          <w:b/>
          <w:color w:val="000000" w:themeColor="text1"/>
          <w:sz w:val="22"/>
          <w:szCs w:val="22"/>
          <w14:textFill>
            <w14:solidFill>
              <w14:schemeClr w14:val="tx1"/>
            </w14:solidFill>
          </w14:textFill>
        </w:rPr>
      </w:pPr>
      <w:r>
        <w:rPr>
          <w:rFonts w:hint="eastAsia" w:ascii="黑体" w:hAnsi="黑体" w:eastAsia="黑体" w:cs="黑体"/>
          <w:b/>
          <w:color w:val="000000" w:themeColor="text1"/>
          <w:sz w:val="22"/>
          <w:szCs w:val="22"/>
          <w14:textFill>
            <w14:solidFill>
              <w14:schemeClr w14:val="tx1"/>
            </w14:solidFill>
          </w14:textFill>
        </w:rPr>
        <w:t>3.4绿化养护</w:t>
      </w:r>
    </w:p>
    <w:p>
      <w:pPr>
        <w:spacing w:line="400" w:lineRule="exact"/>
        <w:ind w:firstLine="473" w:firstLineChars="215"/>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负责局大楼及外围的绿化养护工作。</w:t>
      </w:r>
    </w:p>
    <w:p>
      <w:pPr>
        <w:spacing w:line="400" w:lineRule="exact"/>
        <w:ind w:firstLine="473" w:firstLineChars="215"/>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根据局大楼配置的绿化和盆栽，统一安排专业的人员进行养护，确保花木长势良好，室内室外养护每周一至两次（包括浇水、叶面盆面清理、修剪黄叶枯叶等）。如植物因养护失去美化作用，应立即开始补救或更换，尽早恢复绿化的观赏性。</w:t>
      </w:r>
    </w:p>
    <w:p>
      <w:pPr>
        <w:spacing w:line="400" w:lineRule="exact"/>
        <w:ind w:firstLine="525" w:firstLineChars="239"/>
        <w:rPr>
          <w:rFonts w:ascii="宋体" w:hAnsi="宋体" w:cs="宋体"/>
          <w:bCs/>
          <w:sz w:val="22"/>
          <w:szCs w:val="22"/>
        </w:rPr>
      </w:pPr>
    </w:p>
    <w:p>
      <w:pPr>
        <w:pStyle w:val="257"/>
        <w:spacing w:line="400" w:lineRule="exact"/>
        <w:ind w:left="0" w:leftChars="0" w:firstLine="0" w:firstLineChars="0"/>
        <w:rPr>
          <w:rFonts w:ascii="宋体" w:hAnsi="宋体" w:eastAsia="宋体" w:cs="宋体"/>
          <w:lang w:val="en-US"/>
        </w:rPr>
      </w:pPr>
    </w:p>
    <w:tbl>
      <w:tblPr>
        <w:tblStyle w:val="64"/>
        <w:tblW w:w="9369" w:type="dxa"/>
        <w:jc w:val="center"/>
        <w:tblLayout w:type="fixed"/>
        <w:tblCellMar>
          <w:top w:w="0" w:type="dxa"/>
          <w:left w:w="108" w:type="dxa"/>
          <w:bottom w:w="0" w:type="dxa"/>
          <w:right w:w="108" w:type="dxa"/>
        </w:tblCellMar>
      </w:tblPr>
      <w:tblGrid>
        <w:gridCol w:w="988"/>
        <w:gridCol w:w="4716"/>
        <w:gridCol w:w="1037"/>
        <w:gridCol w:w="879"/>
        <w:gridCol w:w="850"/>
        <w:gridCol w:w="899"/>
      </w:tblGrid>
      <w:tr>
        <w:tblPrEx>
          <w:tblCellMar>
            <w:top w:w="0" w:type="dxa"/>
            <w:left w:w="108" w:type="dxa"/>
            <w:bottom w:w="0" w:type="dxa"/>
            <w:right w:w="108" w:type="dxa"/>
          </w:tblCellMar>
        </w:tblPrEx>
        <w:trPr>
          <w:trHeight w:val="519" w:hRule="atLeast"/>
          <w:jc w:val="center"/>
        </w:trPr>
        <w:tc>
          <w:tcPr>
            <w:tcW w:w="9369" w:type="dxa"/>
            <w:gridSpan w:val="6"/>
            <w:tcBorders>
              <w:top w:val="nil"/>
              <w:left w:val="nil"/>
              <w:bottom w:val="nil"/>
              <w:right w:val="nil"/>
            </w:tcBorders>
            <w:vAlign w:val="center"/>
          </w:tcPr>
          <w:p>
            <w:pPr>
              <w:widowControl/>
              <w:ind w:firstLine="720"/>
            </w:pPr>
            <w:r>
              <w:rPr>
                <w:rFonts w:hint="eastAsia" w:ascii="宋体" w:hAnsi="宋体" w:cs="宋体"/>
                <w:b/>
                <w:bCs/>
                <w:color w:val="000000"/>
                <w:kern w:val="0"/>
                <w:sz w:val="36"/>
                <w:szCs w:val="36"/>
              </w:rPr>
              <w:t xml:space="preserve">           </w:t>
            </w:r>
            <w:r>
              <w:rPr>
                <w:rFonts w:hint="eastAsia" w:ascii="宋体" w:hAnsi="宋体" w:cs="宋体"/>
                <w:color w:val="000000"/>
                <w:kern w:val="0"/>
                <w:sz w:val="28"/>
                <w:szCs w:val="28"/>
              </w:rPr>
              <w:t xml:space="preserve">   </w:t>
            </w:r>
            <w:r>
              <w:rPr>
                <w:rFonts w:hint="eastAsia" w:ascii="黑体" w:hAnsi="黑体" w:eastAsia="黑体" w:cs="宋体"/>
                <w:color w:val="000000"/>
                <w:kern w:val="0"/>
                <w:sz w:val="28"/>
                <w:szCs w:val="28"/>
              </w:rPr>
              <w:t>考核评分细则（一）</w:t>
            </w:r>
          </w:p>
        </w:tc>
      </w:tr>
      <w:tr>
        <w:tblPrEx>
          <w:tblCellMar>
            <w:top w:w="0" w:type="dxa"/>
            <w:left w:w="108" w:type="dxa"/>
            <w:bottom w:w="0" w:type="dxa"/>
            <w:right w:w="108" w:type="dxa"/>
          </w:tblCellMar>
        </w:tblPrEx>
        <w:trPr>
          <w:trHeight w:val="338" w:hRule="atLeast"/>
          <w:jc w:val="center"/>
        </w:trPr>
        <w:tc>
          <w:tcPr>
            <w:tcW w:w="9369" w:type="dxa"/>
            <w:gridSpan w:val="6"/>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　　　　年　　月　　日</w:t>
            </w:r>
          </w:p>
        </w:tc>
      </w:tr>
      <w:tr>
        <w:tblPrEx>
          <w:tblCellMar>
            <w:top w:w="0" w:type="dxa"/>
            <w:left w:w="108" w:type="dxa"/>
            <w:bottom w:w="0" w:type="dxa"/>
            <w:right w:w="108" w:type="dxa"/>
          </w:tblCellMar>
        </w:tblPrEx>
        <w:trPr>
          <w:trHeight w:val="452" w:hRule="atLeast"/>
          <w:jc w:val="center"/>
        </w:trPr>
        <w:tc>
          <w:tcPr>
            <w:tcW w:w="988"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项目</w:t>
            </w:r>
          </w:p>
        </w:tc>
        <w:tc>
          <w:tcPr>
            <w:tcW w:w="4716"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目   标   要   求</w:t>
            </w:r>
          </w:p>
        </w:tc>
        <w:tc>
          <w:tcPr>
            <w:tcW w:w="1037"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 xml:space="preserve">考评  </w:t>
            </w:r>
          </w:p>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标准</w:t>
            </w:r>
          </w:p>
        </w:tc>
        <w:tc>
          <w:tcPr>
            <w:tcW w:w="879"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基本分</w:t>
            </w:r>
          </w:p>
        </w:tc>
        <w:tc>
          <w:tcPr>
            <w:tcW w:w="850"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考核分</w:t>
            </w:r>
          </w:p>
        </w:tc>
        <w:tc>
          <w:tcPr>
            <w:tcW w:w="899"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备注</w:t>
            </w:r>
          </w:p>
        </w:tc>
      </w:tr>
      <w:tr>
        <w:tblPrEx>
          <w:tblCellMar>
            <w:top w:w="0" w:type="dxa"/>
            <w:left w:w="108" w:type="dxa"/>
            <w:bottom w:w="0" w:type="dxa"/>
            <w:right w:w="108" w:type="dxa"/>
          </w:tblCellMar>
        </w:tblPrEx>
        <w:trPr>
          <w:trHeight w:val="523" w:hRule="atLeast"/>
          <w:jc w:val="center"/>
        </w:trPr>
        <w:tc>
          <w:tcPr>
            <w:tcW w:w="9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楼层</w:t>
            </w:r>
          </w:p>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保洁</w:t>
            </w:r>
          </w:p>
        </w:tc>
        <w:tc>
          <w:tcPr>
            <w:tcW w:w="471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地面无污迹、无烟蒂、纸屑、果皮等杂物；地面、墙面干净有光泽</w:t>
            </w:r>
          </w:p>
        </w:tc>
        <w:tc>
          <w:tcPr>
            <w:tcW w:w="103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不符合</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要求</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扣2分</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9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8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1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不锈钢表面有光亮,表面无污迹；玻璃门无水迹、手印、灰尘</w:t>
            </w:r>
          </w:p>
        </w:tc>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65"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1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顶面、风口目视无污迹、灰尘、无蜘蛛网；公共设施表面用纸巾擦拭无明显积尘</w:t>
            </w:r>
          </w:p>
        </w:tc>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2" w:hRule="atLeast"/>
          <w:jc w:val="center"/>
        </w:trPr>
        <w:tc>
          <w:tcPr>
            <w:tcW w:w="9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通道</w:t>
            </w:r>
          </w:p>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保洁</w:t>
            </w:r>
          </w:p>
        </w:tc>
        <w:tc>
          <w:tcPr>
            <w:tcW w:w="471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地面目视干净，无污迹，有光泽；花、墙角、灯具目视无积尘、无蜘蛛网</w:t>
            </w:r>
            <w:r>
              <w:rPr>
                <w:rFonts w:ascii="宋体" w:hAnsi="宋体" w:cs="宋体"/>
                <w:color w:val="000000"/>
                <w:kern w:val="0"/>
                <w:sz w:val="20"/>
                <w:szCs w:val="20"/>
              </w:rPr>
              <w:t xml:space="preserve"> </w:t>
            </w:r>
          </w:p>
        </w:tc>
        <w:tc>
          <w:tcPr>
            <w:tcW w:w="103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不符合</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要求</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扣2分</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9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86"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1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通道防火门、电梯门、消防栓、楼梯扶手等无明显灰尘</w:t>
            </w:r>
          </w:p>
        </w:tc>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24" w:hRule="atLeast"/>
          <w:jc w:val="center"/>
        </w:trPr>
        <w:tc>
          <w:tcPr>
            <w:tcW w:w="988" w:type="dxa"/>
            <w:vMerge w:val="restart"/>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cs="宋体"/>
                <w:color w:val="000000"/>
                <w:kern w:val="0"/>
                <w:sz w:val="20"/>
                <w:szCs w:val="20"/>
              </w:rPr>
            </w:pPr>
          </w:p>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卫生间</w:t>
            </w:r>
          </w:p>
          <w:p>
            <w:pPr>
              <w:widowControl/>
              <w:spacing w:line="240" w:lineRule="exact"/>
              <w:jc w:val="center"/>
              <w:rPr>
                <w:rFonts w:ascii="宋体" w:hAnsi="宋体" w:cs="宋体"/>
                <w:color w:val="000000"/>
                <w:kern w:val="0"/>
                <w:sz w:val="20"/>
                <w:szCs w:val="20"/>
              </w:rPr>
            </w:pPr>
            <w:r>
              <w:rPr>
                <w:rFonts w:hint="eastAsia" w:ascii="宋体" w:hAnsi="宋体" w:cs="宋体"/>
                <w:b/>
                <w:bCs/>
                <w:color w:val="000000"/>
                <w:kern w:val="0"/>
                <w:sz w:val="20"/>
                <w:szCs w:val="20"/>
              </w:rPr>
              <w:t>保洁</w:t>
            </w:r>
          </w:p>
        </w:tc>
        <w:tc>
          <w:tcPr>
            <w:tcW w:w="4716"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目视便器洁净无黄迹；厕位无明显臭味</w:t>
            </w:r>
          </w:p>
        </w:tc>
        <w:tc>
          <w:tcPr>
            <w:tcW w:w="103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不符合</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要求</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扣2分</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9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87"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16"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台面无水渍，无茶叶残渣，垃圾桶无异味</w:t>
            </w:r>
          </w:p>
        </w:tc>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82"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16"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地面无烟蒂，纸屑、果皮等杂物</w:t>
            </w:r>
          </w:p>
        </w:tc>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3" w:hRule="atLeast"/>
          <w:jc w:val="center"/>
        </w:trPr>
        <w:tc>
          <w:tcPr>
            <w:tcW w:w="9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会议室保洁</w:t>
            </w:r>
          </w:p>
        </w:tc>
        <w:tc>
          <w:tcPr>
            <w:tcW w:w="4716"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指定的会议室每日开窗通风，无明显灰尘</w:t>
            </w:r>
          </w:p>
        </w:tc>
        <w:tc>
          <w:tcPr>
            <w:tcW w:w="103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不符合</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要求</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扣2分</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9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93"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16"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灯具内无蚊虫，灯盖、灯罩干净、明亮</w:t>
            </w:r>
            <w:r>
              <w:rPr>
                <w:rFonts w:ascii="宋体" w:hAnsi="宋体" w:cs="宋体"/>
                <w:color w:val="000000"/>
                <w:kern w:val="0"/>
                <w:sz w:val="20"/>
                <w:szCs w:val="20"/>
              </w:rPr>
              <w:t xml:space="preserve"> </w:t>
            </w:r>
          </w:p>
        </w:tc>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8"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16"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会议室、办公用具无积尘、无明显污迹</w:t>
            </w:r>
          </w:p>
        </w:tc>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22" w:hRule="atLeast"/>
          <w:jc w:val="center"/>
        </w:trPr>
        <w:tc>
          <w:tcPr>
            <w:tcW w:w="9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办公室</w:t>
            </w:r>
          </w:p>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保洁</w:t>
            </w:r>
          </w:p>
        </w:tc>
        <w:tc>
          <w:tcPr>
            <w:tcW w:w="4716"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指定的办公室、每日开窗通风，无明显灰尘</w:t>
            </w:r>
          </w:p>
        </w:tc>
        <w:tc>
          <w:tcPr>
            <w:tcW w:w="103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不符合</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要求</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扣2分</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9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15"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16"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办公室保证每周清洁2次</w:t>
            </w:r>
          </w:p>
        </w:tc>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21"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16"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清洁地面，各类物品摆放整齐</w:t>
            </w:r>
          </w:p>
        </w:tc>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01"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16"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玻璃门窗目视无明显污渍、印渍</w:t>
            </w:r>
          </w:p>
        </w:tc>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8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环境</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卫生</w:t>
            </w:r>
          </w:p>
        </w:tc>
        <w:tc>
          <w:tcPr>
            <w:tcW w:w="4716" w:type="dxa"/>
            <w:tcBorders>
              <w:top w:val="single" w:color="auto" w:sz="4" w:space="0"/>
              <w:left w:val="single" w:color="auto" w:sz="4" w:space="0"/>
              <w:bottom w:val="single" w:color="auto" w:sz="4" w:space="0"/>
              <w:right w:val="single" w:color="auto" w:sz="4" w:space="0"/>
            </w:tcBorders>
            <w:vAlign w:val="center"/>
          </w:tcPr>
          <w:p>
            <w:pPr>
              <w:pStyle w:val="257"/>
              <w:suppressAutoHyphens/>
              <w:ind w:left="0" w:firstLine="0"/>
              <w:rPr>
                <w:rFonts w:ascii="宋体" w:hAnsi="宋体" w:eastAsia="宋体" w:cs="宋体"/>
                <w:color w:val="000000"/>
                <w:sz w:val="20"/>
                <w:szCs w:val="20"/>
              </w:rPr>
            </w:pPr>
            <w:r>
              <w:rPr>
                <w:rFonts w:hint="eastAsia" w:ascii="宋体" w:hAnsi="宋体" w:eastAsia="宋体" w:cs="宋体"/>
                <w:color w:val="000000"/>
                <w:sz w:val="20"/>
                <w:szCs w:val="20"/>
              </w:rPr>
              <w:t>各类垃圾及时收集，公共区域、垃圾周转处及外围花坛各处卫生环境保持清洁，不留死角</w:t>
            </w:r>
          </w:p>
        </w:tc>
        <w:tc>
          <w:tcPr>
            <w:tcW w:w="10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不符合</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要求</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扣2分</w:t>
            </w:r>
          </w:p>
        </w:tc>
        <w:tc>
          <w:tcPr>
            <w:tcW w:w="879" w:type="dxa"/>
            <w:tcBorders>
              <w:top w:val="nil"/>
              <w:left w:val="single" w:color="auto" w:sz="4" w:space="0"/>
              <w:bottom w:val="single" w:color="auto" w:sz="4" w:space="0"/>
              <w:right w:val="single" w:color="auto" w:sz="4" w:space="0"/>
            </w:tcBorders>
            <w:vAlign w:val="center"/>
          </w:tcPr>
          <w:p>
            <w:pPr>
              <w:widowControl/>
              <w:jc w:val="center"/>
              <w:rPr>
                <w:sz w:val="20"/>
                <w:szCs w:val="20"/>
              </w:rPr>
            </w:pPr>
            <w:r>
              <w:rPr>
                <w:rFonts w:hint="eastAsia" w:ascii="宋体" w:hAnsi="宋体" w:cs="宋体"/>
                <w:color w:val="000000"/>
                <w:kern w:val="0"/>
                <w:sz w:val="20"/>
                <w:szCs w:val="20"/>
              </w:rPr>
              <w:t>10</w:t>
            </w:r>
          </w:p>
        </w:tc>
        <w:tc>
          <w:tcPr>
            <w:tcW w:w="85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99"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05" w:hRule="atLeast"/>
          <w:jc w:val="center"/>
        </w:trPr>
        <w:tc>
          <w:tcPr>
            <w:tcW w:w="5704" w:type="dxa"/>
            <w:gridSpan w:val="2"/>
            <w:tcBorders>
              <w:top w:val="single" w:color="auto" w:sz="4" w:space="0"/>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p>
            <w:pPr>
              <w:widowControl/>
              <w:jc w:val="left"/>
              <w:rPr>
                <w:rFonts w:ascii="宋体" w:hAnsi="宋体" w:cs="宋体"/>
                <w:color w:val="000000"/>
                <w:kern w:val="0"/>
                <w:sz w:val="20"/>
                <w:szCs w:val="20"/>
              </w:rPr>
            </w:pPr>
          </w:p>
          <w:p>
            <w:pPr>
              <w:widowControl/>
              <w:ind w:firstLine="1200" w:firstLineChars="600"/>
              <w:jc w:val="left"/>
              <w:rPr>
                <w:rFonts w:ascii="宋体" w:hAnsi="宋体" w:cs="宋体"/>
                <w:color w:val="000000"/>
                <w:kern w:val="0"/>
                <w:sz w:val="20"/>
                <w:szCs w:val="20"/>
              </w:rPr>
            </w:pPr>
            <w:r>
              <w:rPr>
                <w:rFonts w:hint="eastAsia" w:ascii="宋体" w:hAnsi="宋体" w:cs="宋体"/>
                <w:color w:val="000000"/>
                <w:kern w:val="0"/>
                <w:sz w:val="20"/>
                <w:szCs w:val="20"/>
              </w:rPr>
              <w:t>考核人员：</w:t>
            </w:r>
          </w:p>
        </w:tc>
        <w:tc>
          <w:tcPr>
            <w:tcW w:w="3665" w:type="dxa"/>
            <w:gridSpan w:val="4"/>
            <w:tcBorders>
              <w:top w:val="nil"/>
              <w:left w:val="nil"/>
              <w:bottom w:val="nil"/>
              <w:right w:val="nil"/>
            </w:tcBorders>
            <w:vAlign w:val="center"/>
          </w:tcPr>
          <w:p>
            <w:pPr>
              <w:widowControl/>
              <w:ind w:firstLine="600" w:firstLineChars="300"/>
              <w:rPr>
                <w:rFonts w:ascii="宋体" w:hAnsi="宋体" w:cs="宋体"/>
                <w:color w:val="000000"/>
                <w:kern w:val="0"/>
                <w:sz w:val="20"/>
                <w:szCs w:val="20"/>
              </w:rPr>
            </w:pPr>
          </w:p>
          <w:p>
            <w:pPr>
              <w:widowControl/>
              <w:ind w:firstLine="600" w:firstLineChars="300"/>
              <w:rPr>
                <w:rFonts w:ascii="宋体" w:hAnsi="宋体" w:cs="宋体"/>
                <w:color w:val="000000"/>
                <w:kern w:val="0"/>
                <w:sz w:val="20"/>
                <w:szCs w:val="20"/>
              </w:rPr>
            </w:pPr>
          </w:p>
          <w:p>
            <w:pPr>
              <w:widowControl/>
              <w:ind w:firstLine="600" w:firstLineChars="300"/>
              <w:rPr>
                <w:rFonts w:ascii="宋体" w:hAnsi="宋体" w:cs="宋体"/>
                <w:kern w:val="0"/>
                <w:sz w:val="20"/>
                <w:szCs w:val="20"/>
              </w:rPr>
            </w:pPr>
            <w:r>
              <w:rPr>
                <w:rFonts w:hint="eastAsia" w:ascii="宋体" w:hAnsi="宋体" w:cs="宋体"/>
                <w:color w:val="000000"/>
                <w:kern w:val="0"/>
                <w:sz w:val="20"/>
                <w:szCs w:val="20"/>
              </w:rPr>
              <w:t>考核负责人：</w:t>
            </w:r>
          </w:p>
        </w:tc>
      </w:tr>
    </w:tbl>
    <w:p>
      <w:pPr>
        <w:rPr>
          <w:rFonts w:ascii="宋体" w:hAnsi="宋体" w:cs="宋体"/>
          <w:sz w:val="22"/>
          <w:szCs w:val="22"/>
        </w:rPr>
      </w:pPr>
      <w:r>
        <w:rPr>
          <w:rFonts w:hint="eastAsia" w:ascii="宋体" w:hAnsi="宋体" w:cs="宋体"/>
          <w:sz w:val="22"/>
          <w:szCs w:val="22"/>
        </w:rPr>
        <w:br w:type="page"/>
      </w:r>
    </w:p>
    <w:tbl>
      <w:tblPr>
        <w:tblStyle w:val="64"/>
        <w:tblW w:w="9214" w:type="dxa"/>
        <w:jc w:val="center"/>
        <w:tblLayout w:type="fixed"/>
        <w:tblCellMar>
          <w:top w:w="0" w:type="dxa"/>
          <w:left w:w="108" w:type="dxa"/>
          <w:bottom w:w="0" w:type="dxa"/>
          <w:right w:w="108" w:type="dxa"/>
        </w:tblCellMar>
      </w:tblPr>
      <w:tblGrid>
        <w:gridCol w:w="795"/>
        <w:gridCol w:w="4705"/>
        <w:gridCol w:w="1021"/>
        <w:gridCol w:w="879"/>
        <w:gridCol w:w="851"/>
        <w:gridCol w:w="963"/>
      </w:tblGrid>
      <w:tr>
        <w:tblPrEx>
          <w:tblCellMar>
            <w:top w:w="0" w:type="dxa"/>
            <w:left w:w="108" w:type="dxa"/>
            <w:bottom w:w="0" w:type="dxa"/>
            <w:right w:w="108" w:type="dxa"/>
          </w:tblCellMar>
        </w:tblPrEx>
        <w:trPr>
          <w:trHeight w:val="608" w:hRule="atLeast"/>
          <w:jc w:val="center"/>
        </w:trPr>
        <w:tc>
          <w:tcPr>
            <w:tcW w:w="9214" w:type="dxa"/>
            <w:gridSpan w:val="6"/>
            <w:tcBorders>
              <w:top w:val="nil"/>
              <w:left w:val="nil"/>
              <w:bottom w:val="nil"/>
              <w:right w:val="nil"/>
            </w:tcBorders>
            <w:vAlign w:val="center"/>
          </w:tcPr>
          <w:p>
            <w:pPr>
              <w:widowControl/>
              <w:ind w:firstLine="735"/>
              <w:jc w:val="center"/>
              <w:rPr>
                <w:rFonts w:ascii="黑体" w:hAnsi="黑体" w:eastAsia="黑体" w:cs="宋体"/>
                <w:sz w:val="28"/>
                <w:szCs w:val="28"/>
              </w:rPr>
            </w:pPr>
            <w:r>
              <w:rPr>
                <w:rFonts w:hint="eastAsia" w:ascii="黑体" w:hAnsi="黑体" w:eastAsia="黑体" w:cs="宋体"/>
                <w:color w:val="000000"/>
                <w:kern w:val="0"/>
                <w:sz w:val="28"/>
                <w:szCs w:val="28"/>
              </w:rPr>
              <w:t>考核评分细则（二、综合考核）</w:t>
            </w:r>
          </w:p>
        </w:tc>
      </w:tr>
      <w:tr>
        <w:tblPrEx>
          <w:tblCellMar>
            <w:top w:w="0" w:type="dxa"/>
            <w:left w:w="108" w:type="dxa"/>
            <w:bottom w:w="0" w:type="dxa"/>
            <w:right w:w="108" w:type="dxa"/>
          </w:tblCellMar>
        </w:tblPrEx>
        <w:trPr>
          <w:trHeight w:val="417" w:hRule="atLeast"/>
          <w:jc w:val="center"/>
        </w:trPr>
        <w:tc>
          <w:tcPr>
            <w:tcW w:w="9214" w:type="dxa"/>
            <w:gridSpan w:val="6"/>
            <w:tcBorders>
              <w:top w:val="nil"/>
              <w:left w:val="nil"/>
              <w:bottom w:val="nil"/>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　　年　　月　　日</w:t>
            </w:r>
          </w:p>
        </w:tc>
      </w:tr>
      <w:tr>
        <w:tblPrEx>
          <w:tblCellMar>
            <w:top w:w="0" w:type="dxa"/>
            <w:left w:w="108" w:type="dxa"/>
            <w:bottom w:w="0" w:type="dxa"/>
            <w:right w:w="108" w:type="dxa"/>
          </w:tblCellMar>
        </w:tblPrEx>
        <w:trPr>
          <w:trHeight w:val="477"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项目</w:t>
            </w:r>
          </w:p>
        </w:tc>
        <w:tc>
          <w:tcPr>
            <w:tcW w:w="470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目   标   要   求</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考评</w:t>
            </w:r>
          </w:p>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标准</w:t>
            </w:r>
          </w:p>
        </w:tc>
        <w:tc>
          <w:tcPr>
            <w:tcW w:w="87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基本分</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考核分</w:t>
            </w:r>
          </w:p>
        </w:tc>
        <w:tc>
          <w:tcPr>
            <w:tcW w:w="96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备注</w:t>
            </w:r>
          </w:p>
        </w:tc>
      </w:tr>
      <w:tr>
        <w:tblPrEx>
          <w:tblCellMar>
            <w:top w:w="0" w:type="dxa"/>
            <w:left w:w="108" w:type="dxa"/>
            <w:bottom w:w="0" w:type="dxa"/>
            <w:right w:w="108" w:type="dxa"/>
          </w:tblCellMar>
        </w:tblPrEx>
        <w:trPr>
          <w:trHeight w:val="429" w:hRule="atLeast"/>
          <w:jc w:val="center"/>
        </w:trPr>
        <w:tc>
          <w:tcPr>
            <w:tcW w:w="79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管理</w:t>
            </w:r>
          </w:p>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制度</w:t>
            </w:r>
          </w:p>
        </w:tc>
        <w:tc>
          <w:tcPr>
            <w:tcW w:w="470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不按规定佩带胸牌，上班时未穿工作服或服饰不整</w:t>
            </w:r>
          </w:p>
        </w:tc>
        <w:tc>
          <w:tcPr>
            <w:tcW w:w="10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违反</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该项规定</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每条</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扣2分</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6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上班无故迟到，早退，串岗，醉岗，无请假外出的</w:t>
            </w:r>
          </w:p>
        </w:tc>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当班时行为不检点，如嘻皮笑脸，大声喧哗，追逐打闹，勾肩搭背等</w:t>
            </w:r>
          </w:p>
        </w:tc>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故意消极怠工；工作中经常拖拖拉拉，出工不出力</w:t>
            </w:r>
          </w:p>
        </w:tc>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有巡逻记录，未记录的，不做好节能节耗，故意浪费能源的</w:t>
            </w:r>
          </w:p>
        </w:tc>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日常</w:t>
            </w:r>
          </w:p>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管理</w:t>
            </w:r>
          </w:p>
        </w:tc>
        <w:tc>
          <w:tcPr>
            <w:tcW w:w="4705" w:type="dxa"/>
            <w:tcBorders>
              <w:top w:val="nil"/>
              <w:left w:val="nil"/>
              <w:bottom w:val="single" w:color="auto" w:sz="4" w:space="0"/>
              <w:right w:val="single" w:color="auto" w:sz="4" w:space="0"/>
            </w:tcBorders>
            <w:vAlign w:val="center"/>
          </w:tcPr>
          <w:p>
            <w:pPr>
              <w:widowControl/>
              <w:spacing w:line="280" w:lineRule="exact"/>
              <w:rPr>
                <w:rFonts w:ascii="宋体" w:hAnsi="宋体" w:cs="宋体"/>
                <w:color w:val="000000"/>
                <w:kern w:val="0"/>
                <w:sz w:val="20"/>
                <w:szCs w:val="20"/>
              </w:rPr>
            </w:pPr>
            <w:r>
              <w:rPr>
                <w:rFonts w:hint="eastAsia" w:ascii="宋体" w:hAnsi="宋体" w:cs="宋体"/>
                <w:color w:val="000000"/>
                <w:kern w:val="0"/>
                <w:sz w:val="20"/>
                <w:szCs w:val="20"/>
              </w:rPr>
              <w:t>在禁止吸烟区域吸烟或使用明火；违反操作规程，造成轻微损失；</w:t>
            </w:r>
          </w:p>
        </w:tc>
        <w:tc>
          <w:tcPr>
            <w:tcW w:w="10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违反</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该项规定</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每条</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扣2分</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6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spacing w:line="280" w:lineRule="exact"/>
              <w:rPr>
                <w:rFonts w:ascii="宋体" w:hAnsi="宋体" w:cs="宋体"/>
                <w:color w:val="000000"/>
                <w:kern w:val="0"/>
                <w:sz w:val="20"/>
                <w:szCs w:val="20"/>
              </w:rPr>
            </w:pPr>
            <w:r>
              <w:rPr>
                <w:rFonts w:hint="eastAsia" w:ascii="宋体" w:hAnsi="宋体" w:cs="宋体"/>
                <w:color w:val="000000"/>
                <w:kern w:val="0"/>
                <w:sz w:val="20"/>
                <w:szCs w:val="20"/>
              </w:rPr>
              <w:t>使用不文明的语言对待同事和客人；服务态度差，造成投诉，经核实后，确为事实的</w:t>
            </w:r>
          </w:p>
        </w:tc>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不按规定填写日常工作记录、交接班记录</w:t>
            </w:r>
          </w:p>
        </w:tc>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spacing w:line="280" w:lineRule="exact"/>
              <w:rPr>
                <w:rFonts w:ascii="宋体" w:hAnsi="宋体" w:cs="宋体"/>
                <w:color w:val="000000"/>
                <w:kern w:val="0"/>
                <w:sz w:val="20"/>
                <w:szCs w:val="20"/>
              </w:rPr>
            </w:pPr>
            <w:r>
              <w:rPr>
                <w:rFonts w:hint="eastAsia" w:ascii="宋体" w:hAnsi="宋体" w:cs="宋体"/>
                <w:color w:val="000000"/>
                <w:kern w:val="0"/>
                <w:sz w:val="20"/>
                <w:szCs w:val="20"/>
              </w:rPr>
              <w:t>不服从上级指令，甚至拒绝或有意不完成指派给其的工作，紧急情况下不完成指定的工作</w:t>
            </w:r>
          </w:p>
        </w:tc>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会务后勤</w:t>
            </w:r>
          </w:p>
        </w:tc>
        <w:tc>
          <w:tcPr>
            <w:tcW w:w="470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会议服务保障不到位</w:t>
            </w:r>
          </w:p>
        </w:tc>
        <w:tc>
          <w:tcPr>
            <w:tcW w:w="102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违反</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该项规定</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每条</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扣2分</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p>
        </w:tc>
        <w:tc>
          <w:tcPr>
            <w:tcW w:w="96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未按会议要求进行会务服务</w:t>
            </w:r>
          </w:p>
        </w:tc>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00" w:hRule="atLeast"/>
          <w:jc w:val="center"/>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w w:val="90"/>
                <w:kern w:val="0"/>
                <w:sz w:val="20"/>
                <w:szCs w:val="20"/>
              </w:rPr>
            </w:pPr>
            <w:r>
              <w:rPr>
                <w:rFonts w:hint="eastAsia" w:ascii="宋体" w:hAnsi="宋体" w:cs="宋体"/>
                <w:color w:val="000000"/>
                <w:w w:val="90"/>
                <w:kern w:val="0"/>
                <w:sz w:val="20"/>
                <w:szCs w:val="20"/>
              </w:rPr>
              <w:t>会议室卫生清理不到位，物品未归整等</w:t>
            </w:r>
          </w:p>
        </w:tc>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安全保卫</w:t>
            </w:r>
          </w:p>
        </w:tc>
        <w:tc>
          <w:tcPr>
            <w:tcW w:w="470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sz w:val="20"/>
                <w:szCs w:val="20"/>
              </w:rPr>
              <w:t>未按要求保证出入口24小时设岗值班</w:t>
            </w:r>
          </w:p>
        </w:tc>
        <w:tc>
          <w:tcPr>
            <w:tcW w:w="1021"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违反</w:t>
            </w: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该项规定</w:t>
            </w: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每条</w:t>
            </w: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扣2分</w:t>
            </w:r>
          </w:p>
        </w:tc>
        <w:tc>
          <w:tcPr>
            <w:tcW w:w="879"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1"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63"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spacing w:line="280" w:lineRule="exact"/>
              <w:rPr>
                <w:rFonts w:ascii="宋体" w:hAnsi="宋体" w:cs="宋体"/>
                <w:color w:val="000000"/>
                <w:w w:val="90"/>
                <w:kern w:val="0"/>
                <w:sz w:val="20"/>
                <w:szCs w:val="20"/>
              </w:rPr>
            </w:pPr>
            <w:r>
              <w:rPr>
                <w:rFonts w:hint="eastAsia" w:ascii="宋体" w:hAnsi="宋体" w:cs="宋体"/>
                <w:color w:val="000000"/>
                <w:w w:val="90"/>
                <w:kern w:val="0"/>
                <w:sz w:val="20"/>
                <w:szCs w:val="20"/>
              </w:rPr>
              <w:t>未按规定要求进行全面巡逻</w:t>
            </w:r>
          </w:p>
        </w:tc>
        <w:tc>
          <w:tcPr>
            <w:tcW w:w="102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spacing w:line="280" w:lineRule="exact"/>
              <w:rPr>
                <w:rFonts w:ascii="宋体" w:hAnsi="宋体" w:cs="宋体"/>
                <w:color w:val="000000"/>
                <w:kern w:val="0"/>
                <w:sz w:val="20"/>
                <w:szCs w:val="20"/>
              </w:rPr>
            </w:pPr>
            <w:r>
              <w:rPr>
                <w:rFonts w:hint="eastAsia" w:ascii="宋体" w:hAnsi="宋体" w:cs="宋体"/>
                <w:color w:val="000000"/>
                <w:kern w:val="0"/>
                <w:sz w:val="20"/>
                <w:szCs w:val="20"/>
              </w:rPr>
              <w:t>未严格对车辆进行管理</w:t>
            </w:r>
          </w:p>
        </w:tc>
        <w:tc>
          <w:tcPr>
            <w:tcW w:w="102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spacing w:line="280" w:lineRule="exact"/>
              <w:rPr>
                <w:rFonts w:ascii="宋体" w:hAnsi="宋体" w:cs="宋体"/>
                <w:color w:val="000000"/>
                <w:kern w:val="0"/>
                <w:sz w:val="20"/>
                <w:szCs w:val="20"/>
              </w:rPr>
            </w:pPr>
            <w:r>
              <w:rPr>
                <w:rFonts w:hint="eastAsia" w:ascii="宋体" w:hAnsi="宋体" w:cs="宋体"/>
                <w:color w:val="000000"/>
                <w:kern w:val="0"/>
                <w:sz w:val="20"/>
                <w:szCs w:val="20"/>
              </w:rPr>
              <w:t>未按要求落实消防制度和规定等</w:t>
            </w:r>
          </w:p>
        </w:tc>
        <w:tc>
          <w:tcPr>
            <w:tcW w:w="102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加分</w:t>
            </w:r>
          </w:p>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项目</w:t>
            </w:r>
          </w:p>
        </w:tc>
        <w:tc>
          <w:tcPr>
            <w:tcW w:w="470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创品牌，树形象，出佳绩</w:t>
            </w:r>
          </w:p>
        </w:tc>
        <w:tc>
          <w:tcPr>
            <w:tcW w:w="102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酌情</w:t>
            </w: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给予</w:t>
            </w:r>
          </w:p>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加1-3分</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0"/>
              </w:rPr>
            </w:pPr>
            <w:r>
              <w:rPr>
                <w:rFonts w:hint="eastAsia" w:ascii="宋体" w:hAnsi="宋体" w:cs="宋体"/>
                <w:color w:val="000000"/>
                <w:kern w:val="0"/>
                <w:sz w:val="24"/>
                <w:szCs w:val="20"/>
              </w:rPr>
              <w:t>/</w:t>
            </w:r>
          </w:p>
        </w:tc>
        <w:tc>
          <w:tcPr>
            <w:tcW w:w="85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p>
        </w:tc>
        <w:tc>
          <w:tcPr>
            <w:tcW w:w="96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70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应急事件处理合理，高效</w:t>
            </w:r>
          </w:p>
        </w:tc>
        <w:tc>
          <w:tcPr>
            <w:tcW w:w="10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96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9" w:hRule="atLeast"/>
          <w:jc w:val="center"/>
        </w:trPr>
        <w:tc>
          <w:tcPr>
            <w:tcW w:w="652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                            计</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63"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704" w:hRule="atLeast"/>
          <w:jc w:val="center"/>
        </w:trPr>
        <w:tc>
          <w:tcPr>
            <w:tcW w:w="9214" w:type="dxa"/>
            <w:gridSpan w:val="6"/>
            <w:tcBorders>
              <w:top w:val="single" w:color="auto" w:sz="4" w:space="0"/>
              <w:left w:val="nil"/>
              <w:bottom w:val="nil"/>
              <w:right w:val="nil"/>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备注：考核小组采取定时或抽查形式进行考核，如发现考核表所列情况，对物业公司进行相应的扣分。起评分为100分，95分为优良，达标分为90（含）分，低于90分为不达标。</w:t>
            </w:r>
          </w:p>
        </w:tc>
      </w:tr>
      <w:tr>
        <w:tblPrEx>
          <w:tblCellMar>
            <w:top w:w="0" w:type="dxa"/>
            <w:left w:w="108" w:type="dxa"/>
            <w:bottom w:w="0" w:type="dxa"/>
            <w:right w:w="108" w:type="dxa"/>
          </w:tblCellMar>
        </w:tblPrEx>
        <w:trPr>
          <w:trHeight w:val="470" w:hRule="atLeast"/>
          <w:jc w:val="center"/>
        </w:trPr>
        <w:tc>
          <w:tcPr>
            <w:tcW w:w="5500" w:type="dxa"/>
            <w:gridSpan w:val="2"/>
            <w:tcBorders>
              <w:top w:val="nil"/>
              <w:left w:val="nil"/>
              <w:bottom w:val="nil"/>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考核人员:</w:t>
            </w:r>
          </w:p>
        </w:tc>
        <w:tc>
          <w:tcPr>
            <w:tcW w:w="3714" w:type="dxa"/>
            <w:gridSpan w:val="4"/>
            <w:tcBorders>
              <w:top w:val="nil"/>
              <w:left w:val="nil"/>
              <w:bottom w:val="nil"/>
              <w:right w:val="nil"/>
            </w:tcBorders>
            <w:vAlign w:val="center"/>
          </w:tcPr>
          <w:p>
            <w:pPr>
              <w:widowControl/>
              <w:rPr>
                <w:rFonts w:ascii="宋体" w:hAnsi="宋体" w:cs="宋体"/>
                <w:color w:val="000000"/>
                <w:kern w:val="0"/>
                <w:sz w:val="20"/>
                <w:szCs w:val="20"/>
              </w:rPr>
            </w:pPr>
          </w:p>
          <w:p>
            <w:pPr>
              <w:widowControl/>
              <w:rPr>
                <w:rFonts w:ascii="宋体" w:hAnsi="宋体" w:cs="宋体"/>
                <w:kern w:val="0"/>
                <w:sz w:val="20"/>
                <w:szCs w:val="20"/>
              </w:rPr>
            </w:pPr>
            <w:r>
              <w:rPr>
                <w:rFonts w:hint="eastAsia" w:ascii="宋体" w:hAnsi="宋体" w:cs="宋体"/>
                <w:color w:val="000000"/>
                <w:kern w:val="0"/>
                <w:sz w:val="20"/>
                <w:szCs w:val="20"/>
              </w:rPr>
              <w:t>考核负责人：</w:t>
            </w:r>
          </w:p>
        </w:tc>
      </w:tr>
    </w:tbl>
    <w:p>
      <w:pPr>
        <w:pStyle w:val="257"/>
        <w:spacing w:line="400" w:lineRule="exact"/>
        <w:ind w:left="0" w:firstLine="480" w:firstLineChars="200"/>
        <w:rPr>
          <w:rFonts w:ascii="宋体" w:hAnsi="宋体" w:eastAsia="宋体" w:cs="宋体"/>
          <w:lang w:val="en-US"/>
        </w:rPr>
      </w:pPr>
    </w:p>
    <w:p>
      <w:pPr>
        <w:pStyle w:val="257"/>
        <w:spacing w:line="400" w:lineRule="exact"/>
        <w:ind w:left="0" w:firstLine="480" w:firstLineChars="200"/>
        <w:rPr>
          <w:rFonts w:ascii="宋体" w:hAnsi="宋体" w:eastAsia="宋体" w:cs="宋体"/>
          <w:lang w:val="en-US"/>
        </w:rPr>
      </w:pPr>
    </w:p>
    <w:p>
      <w:pPr>
        <w:pStyle w:val="257"/>
        <w:spacing w:line="400" w:lineRule="exact"/>
        <w:ind w:left="0" w:firstLine="480" w:firstLineChars="200"/>
        <w:rPr>
          <w:rFonts w:ascii="宋体" w:hAnsi="宋体" w:eastAsia="宋体" w:cs="宋体"/>
          <w:lang w:val="en-US"/>
        </w:rPr>
      </w:pPr>
    </w:p>
    <w:p>
      <w:pPr>
        <w:pStyle w:val="257"/>
        <w:spacing w:line="400" w:lineRule="exact"/>
        <w:ind w:left="0" w:firstLine="480" w:firstLineChars="200"/>
        <w:rPr>
          <w:rFonts w:ascii="宋体" w:hAnsi="宋体" w:eastAsia="宋体" w:cs="宋体"/>
          <w:lang w:val="en-US"/>
        </w:rPr>
      </w:pPr>
    </w:p>
    <w:p>
      <w:pPr>
        <w:pStyle w:val="257"/>
        <w:spacing w:line="400" w:lineRule="exact"/>
        <w:ind w:left="0" w:firstLine="480" w:firstLineChars="200"/>
        <w:rPr>
          <w:rFonts w:ascii="宋体" w:hAnsi="宋体" w:eastAsia="宋体" w:cs="宋体"/>
          <w:lang w:val="en-US"/>
        </w:rPr>
      </w:pPr>
    </w:p>
    <w:p>
      <w:pPr>
        <w:numPr>
          <w:ilvl w:val="0"/>
          <w:numId w:val="0"/>
        </w:numPr>
        <w:spacing w:line="360" w:lineRule="auto"/>
        <w:ind w:leftChars="0"/>
        <w:jc w:val="center"/>
        <w:outlineLvl w:val="0"/>
        <w:rPr>
          <w:rFonts w:hint="eastAsia" w:ascii="宋体" w:hAnsi="宋体" w:cs="宋体"/>
          <w:b/>
          <w:sz w:val="36"/>
          <w:szCs w:val="36"/>
          <w:lang w:val="en-US" w:eastAsia="zh-CN"/>
        </w:rPr>
      </w:pPr>
    </w:p>
    <w:p>
      <w:pPr>
        <w:numPr>
          <w:ilvl w:val="0"/>
          <w:numId w:val="0"/>
        </w:numPr>
        <w:spacing w:line="360" w:lineRule="auto"/>
        <w:ind w:leftChars="0"/>
        <w:jc w:val="center"/>
        <w:outlineLvl w:val="0"/>
        <w:rPr>
          <w:rFonts w:hint="eastAsia" w:ascii="宋体" w:hAnsi="宋体" w:cs="宋体"/>
          <w:b/>
          <w:color w:val="auto"/>
          <w:sz w:val="36"/>
          <w:szCs w:val="36"/>
          <w:lang w:val="en-US" w:eastAsia="zh-CN"/>
        </w:rPr>
      </w:pPr>
      <w:r>
        <w:rPr>
          <w:rFonts w:hint="eastAsia" w:ascii="宋体" w:hAnsi="宋体" w:cs="宋体"/>
          <w:b/>
          <w:sz w:val="36"/>
          <w:szCs w:val="36"/>
          <w:lang w:val="en-US" w:eastAsia="zh-CN"/>
        </w:rPr>
        <w:t xml:space="preserve">第四部分 </w:t>
      </w:r>
      <w:r>
        <w:rPr>
          <w:rFonts w:hint="eastAsia" w:ascii="宋体" w:hAnsi="宋体" w:cs="宋体"/>
          <w:b/>
          <w:sz w:val="36"/>
          <w:szCs w:val="36"/>
        </w:rPr>
        <w:t xml:space="preserve">  评标办法</w:t>
      </w:r>
    </w:p>
    <w:p>
      <w:pPr>
        <w:numPr>
          <w:ilvl w:val="0"/>
          <w:numId w:val="0"/>
        </w:numPr>
        <w:spacing w:line="360" w:lineRule="auto"/>
        <w:ind w:leftChars="0"/>
        <w:jc w:val="center"/>
        <w:outlineLvl w:val="0"/>
        <w:rPr>
          <w:rFonts w:ascii="宋体" w:hAnsi="宋体" w:cs="宋体"/>
          <w:b/>
          <w:color w:val="auto"/>
          <w:sz w:val="32"/>
          <w:szCs w:val="20"/>
        </w:rPr>
      </w:pPr>
      <w:r>
        <w:rPr>
          <w:rFonts w:hint="eastAsia" w:ascii="宋体" w:hAnsi="宋体" w:cs="宋体"/>
          <w:b/>
          <w:color w:val="auto"/>
          <w:sz w:val="32"/>
          <w:szCs w:val="20"/>
        </w:rPr>
        <w:t>评标办法前附表</w:t>
      </w:r>
    </w:p>
    <w:tbl>
      <w:tblPr>
        <w:tblStyle w:val="65"/>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5295"/>
        <w:gridCol w:w="750"/>
        <w:gridCol w:w="115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序号</w:t>
            </w:r>
          </w:p>
        </w:tc>
        <w:tc>
          <w:tcPr>
            <w:tcW w:w="5295" w:type="dxa"/>
            <w:vAlign w:val="center"/>
          </w:tcPr>
          <w:p>
            <w:pPr>
              <w:snapToGrid w:val="0"/>
              <w:spacing w:line="360" w:lineRule="auto"/>
              <w:jc w:val="center"/>
              <w:rPr>
                <w:rFonts w:ascii="宋体" w:hAnsi="宋体" w:cs="宋体"/>
                <w:sz w:val="24"/>
              </w:rPr>
            </w:pPr>
            <w:r>
              <w:rPr>
                <w:rFonts w:hint="eastAsia" w:ascii="宋体" w:hAnsi="宋体" w:cs="宋体"/>
                <w:sz w:val="24"/>
              </w:rPr>
              <w:t>评标标准</w:t>
            </w:r>
          </w:p>
        </w:tc>
        <w:tc>
          <w:tcPr>
            <w:tcW w:w="750" w:type="dxa"/>
            <w:vAlign w:val="center"/>
          </w:tcPr>
          <w:p>
            <w:pPr>
              <w:snapToGrid w:val="0"/>
              <w:spacing w:line="360" w:lineRule="auto"/>
              <w:jc w:val="center"/>
              <w:rPr>
                <w:rFonts w:ascii="宋体" w:hAnsi="宋体" w:cs="宋体"/>
                <w:sz w:val="24"/>
              </w:rPr>
            </w:pPr>
            <w:r>
              <w:rPr>
                <w:rFonts w:hint="eastAsia" w:ascii="宋体" w:hAnsi="宋体" w:cs="宋体"/>
                <w:sz w:val="24"/>
              </w:rPr>
              <w:t>权重</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主观分/客观分属性</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5295" w:type="dxa"/>
            <w:vAlign w:val="center"/>
          </w:tcPr>
          <w:p>
            <w:pPr>
              <w:pStyle w:val="319"/>
              <w:snapToGrid w:val="0"/>
              <w:spacing w:line="360" w:lineRule="auto"/>
              <w:rPr>
                <w:rFonts w:hAnsi="宋体" w:cs="宋体"/>
                <w:sz w:val="24"/>
                <w:szCs w:val="24"/>
              </w:rPr>
            </w:pPr>
            <w:r>
              <w:rPr>
                <w:rFonts w:hint="eastAsia" w:hAnsi="宋体" w:cs="宋体"/>
                <w:sz w:val="24"/>
                <w:szCs w:val="24"/>
              </w:rPr>
              <w:t>1.投</w:t>
            </w:r>
            <w:r>
              <w:rPr>
                <w:rFonts w:hint="eastAsia" w:hAnsi="宋体" w:cs="宋体"/>
                <w:kern w:val="2"/>
                <w:sz w:val="24"/>
                <w:szCs w:val="24"/>
              </w:rPr>
              <w:t>标人具有ISO9001或</w:t>
            </w:r>
            <w:r>
              <w:rPr>
                <w:rFonts w:hint="eastAsia" w:hAnsi="宋体" w:cs="宋体"/>
                <w:sz w:val="24"/>
                <w:szCs w:val="24"/>
              </w:rPr>
              <w:t>GB/T19001</w:t>
            </w:r>
            <w:r>
              <w:rPr>
                <w:rFonts w:hint="eastAsia" w:hAnsi="宋体" w:cs="宋体"/>
                <w:kern w:val="2"/>
                <w:sz w:val="24"/>
                <w:szCs w:val="24"/>
              </w:rPr>
              <w:t>质量管理体系认证有效证书的得1分</w:t>
            </w:r>
          </w:p>
          <w:p>
            <w:pPr>
              <w:pStyle w:val="319"/>
              <w:snapToGrid w:val="0"/>
              <w:spacing w:line="360" w:lineRule="auto"/>
              <w:rPr>
                <w:rFonts w:hAnsi="宋体" w:cs="宋体"/>
                <w:sz w:val="24"/>
                <w:szCs w:val="24"/>
              </w:rPr>
            </w:pPr>
            <w:r>
              <w:rPr>
                <w:rFonts w:hint="eastAsia" w:hAnsi="宋体" w:cs="宋体"/>
                <w:kern w:val="2"/>
                <w:sz w:val="24"/>
                <w:szCs w:val="24"/>
              </w:rPr>
              <w:t>2.投标人具有ISO14001或</w:t>
            </w:r>
            <w:r>
              <w:rPr>
                <w:rFonts w:hint="eastAsia" w:hAnsi="宋体" w:cs="宋体"/>
                <w:sz w:val="24"/>
                <w:szCs w:val="24"/>
              </w:rPr>
              <w:t>GB/T24001</w:t>
            </w:r>
            <w:r>
              <w:rPr>
                <w:rFonts w:hint="eastAsia" w:hAnsi="宋体" w:cs="宋体"/>
                <w:kern w:val="2"/>
                <w:sz w:val="24"/>
                <w:szCs w:val="24"/>
              </w:rPr>
              <w:t>环境管理体系认证有效证书的得1分</w:t>
            </w:r>
          </w:p>
          <w:p>
            <w:pPr>
              <w:spacing w:line="360" w:lineRule="auto"/>
              <w:jc w:val="left"/>
              <w:rPr>
                <w:rFonts w:ascii="宋体" w:hAnsi="宋体" w:cs="宋体"/>
                <w:sz w:val="24"/>
              </w:rPr>
            </w:pPr>
            <w:r>
              <w:rPr>
                <w:rFonts w:hint="eastAsia" w:ascii="宋体" w:hAnsi="宋体" w:cs="宋体"/>
                <w:sz w:val="24"/>
              </w:rPr>
              <w:t>3.具有OHSAS18001或ISO45001或GB/T45001-2020职业健康安全管理体系认证有效证书的得1分。</w:t>
            </w:r>
          </w:p>
          <w:p>
            <w:pPr>
              <w:pStyle w:val="319"/>
              <w:snapToGrid w:val="0"/>
              <w:spacing w:line="360" w:lineRule="auto"/>
              <w:rPr>
                <w:rFonts w:hAnsi="宋体" w:cs="宋体"/>
                <w:sz w:val="24"/>
                <w:szCs w:val="24"/>
              </w:rPr>
            </w:pPr>
            <w:r>
              <w:rPr>
                <w:rFonts w:hint="eastAsia" w:hAnsi="宋体" w:cs="宋体"/>
                <w:kern w:val="2"/>
                <w:sz w:val="24"/>
                <w:szCs w:val="24"/>
              </w:rPr>
              <w:t>4.</w:t>
            </w:r>
            <w:r>
              <w:rPr>
                <w:rFonts w:hint="eastAsia" w:hAnsi="宋体" w:cs="宋体"/>
                <w:color w:val="000000"/>
                <w:kern w:val="2"/>
                <w:sz w:val="24"/>
                <w:szCs w:val="24"/>
              </w:rPr>
              <w:t>具有GB/T 23331或ISO 50001能源管理体系认证有效证书的得1分。</w:t>
            </w:r>
          </w:p>
        </w:tc>
        <w:tc>
          <w:tcPr>
            <w:tcW w:w="750" w:type="dxa"/>
            <w:vAlign w:val="center"/>
          </w:tcPr>
          <w:p>
            <w:pPr>
              <w:snapToGrid w:val="0"/>
              <w:spacing w:line="360" w:lineRule="auto"/>
              <w:jc w:val="center"/>
              <w:rPr>
                <w:rFonts w:ascii="宋体" w:hAnsi="宋体" w:cs="宋体"/>
                <w:sz w:val="24"/>
              </w:rPr>
            </w:pPr>
            <w:r>
              <w:rPr>
                <w:rFonts w:hint="eastAsia" w:ascii="宋体" w:hAnsi="宋体" w:cs="宋体"/>
                <w:sz w:val="24"/>
              </w:rPr>
              <w:t>4分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客观分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5295" w:type="dxa"/>
            <w:vAlign w:val="center"/>
          </w:tcPr>
          <w:p>
            <w:pPr>
              <w:pStyle w:val="319"/>
              <w:snapToGrid w:val="0"/>
              <w:spacing w:line="360" w:lineRule="auto"/>
              <w:rPr>
                <w:rFonts w:hAnsi="宋体" w:cs="宋体"/>
                <w:sz w:val="24"/>
                <w:szCs w:val="24"/>
              </w:rPr>
            </w:pPr>
            <w:r>
              <w:rPr>
                <w:rFonts w:hint="eastAsia" w:hAnsi="宋体" w:cs="宋体"/>
                <w:kern w:val="2"/>
                <w:sz w:val="24"/>
                <w:szCs w:val="24"/>
              </w:rPr>
              <w:t>根据投标人202</w:t>
            </w:r>
            <w:r>
              <w:rPr>
                <w:rFonts w:hint="eastAsia" w:hAnsi="宋体" w:cs="宋体"/>
                <w:color w:val="000000" w:themeColor="text1"/>
                <w:kern w:val="2"/>
                <w:sz w:val="24"/>
                <w:szCs w:val="24"/>
                <w:lang w:val="en-US" w:eastAsia="zh-CN"/>
                <w14:textFill>
                  <w14:solidFill>
                    <w14:schemeClr w14:val="tx1"/>
                  </w14:solidFill>
                </w14:textFill>
              </w:rPr>
              <w:t>1</w:t>
            </w:r>
            <w:r>
              <w:rPr>
                <w:rFonts w:hint="eastAsia" w:hAnsi="宋体" w:cs="宋体"/>
                <w:kern w:val="2"/>
                <w:sz w:val="24"/>
                <w:szCs w:val="24"/>
              </w:rPr>
              <w:t>年</w:t>
            </w:r>
            <w:r>
              <w:rPr>
                <w:rFonts w:hint="eastAsia" w:hAnsi="宋体" w:cs="宋体"/>
                <w:kern w:val="2"/>
                <w:sz w:val="24"/>
                <w:szCs w:val="24"/>
                <w:lang w:val="en-US" w:eastAsia="zh-CN"/>
              </w:rPr>
              <w:t>1</w:t>
            </w:r>
            <w:r>
              <w:rPr>
                <w:rFonts w:hint="eastAsia" w:hAnsi="宋体" w:cs="宋体"/>
                <w:kern w:val="2"/>
                <w:sz w:val="24"/>
                <w:szCs w:val="24"/>
              </w:rPr>
              <w:t>月1日至今（以合同签订时间为准）签订的,每具有一个综合物业管理项目业绩可得0.5分，最多可得1分。</w:t>
            </w:r>
          </w:p>
          <w:p>
            <w:pPr>
              <w:pStyle w:val="319"/>
              <w:snapToGrid w:val="0"/>
              <w:spacing w:line="360" w:lineRule="auto"/>
              <w:rPr>
                <w:rFonts w:hAnsi="宋体" w:cs="宋体"/>
                <w:sz w:val="24"/>
                <w:szCs w:val="24"/>
              </w:rPr>
            </w:pPr>
            <w:r>
              <w:rPr>
                <w:rFonts w:hint="eastAsia" w:hAnsi="宋体" w:cs="宋体"/>
                <w:kern w:val="2"/>
                <w:sz w:val="24"/>
                <w:szCs w:val="24"/>
              </w:rPr>
              <w:t>备注：</w:t>
            </w:r>
          </w:p>
          <w:p>
            <w:pPr>
              <w:pStyle w:val="319"/>
              <w:snapToGrid w:val="0"/>
              <w:spacing w:line="360" w:lineRule="auto"/>
              <w:rPr>
                <w:rFonts w:hAnsi="宋体" w:cs="宋体"/>
                <w:sz w:val="24"/>
                <w:szCs w:val="24"/>
              </w:rPr>
            </w:pPr>
            <w:r>
              <w:rPr>
                <w:rFonts w:hint="eastAsia" w:hAnsi="宋体" w:cs="宋体"/>
                <w:kern w:val="2"/>
                <w:sz w:val="24"/>
                <w:szCs w:val="24"/>
              </w:rPr>
              <w:t>①合同内容至少包含保洁、设备运维、安保</w:t>
            </w:r>
            <w:r>
              <w:rPr>
                <w:rFonts w:hint="eastAsia" w:hAnsi="宋体" w:cs="宋体"/>
                <w:color w:val="0D0D0D" w:themeColor="text1" w:themeTint="F2"/>
                <w:kern w:val="2"/>
                <w:sz w:val="24"/>
                <w:szCs w:val="24"/>
                <w14:textFill>
                  <w14:solidFill>
                    <w14:schemeClr w14:val="tx1">
                      <w14:lumMod w14:val="95000"/>
                      <w14:lumOff w14:val="5000"/>
                    </w14:schemeClr>
                  </w14:solidFill>
                </w14:textFill>
              </w:rPr>
              <w:t>、</w:t>
            </w:r>
            <w:r>
              <w:rPr>
                <w:rFonts w:hint="eastAsia" w:hAnsi="宋体" w:cs="宋体"/>
                <w:color w:val="0D0D0D" w:themeColor="text1" w:themeTint="F2"/>
                <w:kern w:val="2"/>
                <w:sz w:val="24"/>
                <w:szCs w:val="24"/>
                <w:lang w:val="en-US" w:eastAsia="zh-CN"/>
                <w14:textFill>
                  <w14:solidFill>
                    <w14:schemeClr w14:val="tx1">
                      <w14:lumMod w14:val="95000"/>
                      <w14:lumOff w14:val="5000"/>
                    </w14:schemeClr>
                  </w14:solidFill>
                </w14:textFill>
              </w:rPr>
              <w:t>会务</w:t>
            </w:r>
            <w:r>
              <w:rPr>
                <w:rFonts w:hint="eastAsia" w:hAnsi="宋体" w:cs="宋体"/>
                <w:color w:val="0D0D0D" w:themeColor="text1" w:themeTint="F2"/>
                <w:kern w:val="2"/>
                <w:sz w:val="24"/>
                <w:szCs w:val="24"/>
                <w14:textFill>
                  <w14:solidFill>
                    <w14:schemeClr w14:val="tx1">
                      <w14:lumMod w14:val="95000"/>
                      <w14:lumOff w14:val="5000"/>
                    </w14:schemeClr>
                  </w14:solidFill>
                </w14:textFill>
              </w:rPr>
              <w:t>服务、绿化等五项基本服务内容中四项，</w:t>
            </w:r>
            <w:r>
              <w:rPr>
                <w:rFonts w:hint="eastAsia" w:hAnsi="宋体" w:cs="宋体"/>
                <w:kern w:val="2"/>
                <w:sz w:val="24"/>
                <w:szCs w:val="24"/>
              </w:rPr>
              <w:t>否则不得分；</w:t>
            </w:r>
          </w:p>
          <w:p>
            <w:pPr>
              <w:pStyle w:val="319"/>
              <w:snapToGrid w:val="0"/>
              <w:spacing w:line="360" w:lineRule="auto"/>
              <w:rPr>
                <w:rFonts w:hAnsi="宋体" w:cs="宋体"/>
                <w:sz w:val="24"/>
                <w:szCs w:val="24"/>
              </w:rPr>
            </w:pPr>
            <w:r>
              <w:rPr>
                <w:rFonts w:hint="eastAsia" w:hAnsi="宋体" w:cs="宋体"/>
                <w:kern w:val="2"/>
                <w:sz w:val="24"/>
                <w:szCs w:val="24"/>
              </w:rPr>
              <w:t>②续签的合同按一份合同认定。</w:t>
            </w:r>
          </w:p>
          <w:p>
            <w:pPr>
              <w:pStyle w:val="319"/>
              <w:snapToGrid w:val="0"/>
              <w:spacing w:line="360" w:lineRule="auto"/>
              <w:rPr>
                <w:rFonts w:hAnsi="宋体" w:cs="宋体"/>
                <w:sz w:val="24"/>
                <w:szCs w:val="24"/>
              </w:rPr>
            </w:pPr>
            <w:r>
              <w:rPr>
                <w:rFonts w:hint="eastAsia" w:hAnsi="宋体" w:cs="宋体"/>
                <w:kern w:val="2"/>
                <w:sz w:val="24"/>
                <w:szCs w:val="24"/>
              </w:rPr>
              <w:t>③提供合同及客户满意证明材料，缺一不可, 否则不得分。</w:t>
            </w:r>
          </w:p>
        </w:tc>
        <w:tc>
          <w:tcPr>
            <w:tcW w:w="750" w:type="dxa"/>
            <w:vAlign w:val="center"/>
          </w:tcPr>
          <w:p>
            <w:pPr>
              <w:snapToGrid w:val="0"/>
              <w:spacing w:line="360" w:lineRule="auto"/>
              <w:jc w:val="center"/>
              <w:rPr>
                <w:rFonts w:ascii="宋体" w:hAnsi="宋体" w:cs="宋体"/>
                <w:sz w:val="24"/>
              </w:rPr>
            </w:pPr>
            <w:r>
              <w:rPr>
                <w:rFonts w:hint="eastAsia" w:ascii="宋体" w:hAnsi="宋体" w:cs="宋体"/>
                <w:sz w:val="24"/>
              </w:rPr>
              <w:t>1分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客观分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投标人202</w:t>
            </w:r>
            <w:r>
              <w:rPr>
                <w:rFonts w:hint="eastAsia" w:ascii="宋体" w:hAnsi="宋体" w:cs="宋体"/>
                <w:sz w:val="24"/>
                <w:lang w:val="en-US" w:eastAsia="zh-CN"/>
              </w:rPr>
              <w:t>1</w:t>
            </w:r>
            <w:r>
              <w:rPr>
                <w:rFonts w:hint="eastAsia" w:ascii="宋体" w:hAnsi="宋体" w:cs="宋体"/>
                <w:sz w:val="24"/>
              </w:rPr>
              <w:t>年至今同类项目业绩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5295" w:type="dxa"/>
            <w:vAlign w:val="center"/>
          </w:tcPr>
          <w:p>
            <w:pPr>
              <w:pStyle w:val="319"/>
              <w:numPr>
                <w:ilvl w:val="0"/>
                <w:numId w:val="0"/>
              </w:numPr>
              <w:tabs>
                <w:tab w:val="left" w:pos="4141"/>
              </w:tabs>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拟派项目负责人具有专科学历得1分；具有本科及以上学历的得2分，最多得2分；</w:t>
            </w:r>
          </w:p>
          <w:p>
            <w:pPr>
              <w:widowControl/>
              <w:spacing w:line="360" w:lineRule="auto"/>
              <w:ind w:right="29" w:rightChars="14"/>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t>2.拟派项目负责人具有3年及以上担任同类物业服务项目负责人的工作经验，得1分；具有5年及以上担任同类物业服务项目负责人的工作经验，得2分。</w:t>
            </w:r>
            <w:r>
              <w:rPr>
                <w:rFonts w:hint="eastAsia" w:ascii="宋体" w:hAnsi="宋体" w:eastAsia="宋体" w:cs="宋体"/>
                <w:color w:val="000000" w:themeColor="text1"/>
                <w:sz w:val="24"/>
                <w14:textFill>
                  <w14:solidFill>
                    <w14:schemeClr w14:val="tx1"/>
                  </w14:solidFill>
                </w14:textFill>
              </w:rPr>
              <w:t>需提供项目业绩合同（如项目业绩合同不能体现人员业绩年限、工作岗位等信息的，还需同时提供业主证明，合同服务期须和业主证明时间一致，否则不得分）</w:t>
            </w:r>
          </w:p>
          <w:p>
            <w:pPr>
              <w:widowControl/>
              <w:spacing w:line="360" w:lineRule="auto"/>
              <w:ind w:right="29" w:rightChars="14"/>
              <w:jc w:val="left"/>
              <w:textAlignment w:val="center"/>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拟派项目负责人截止投标截止时间</w:t>
            </w:r>
            <w:r>
              <w:rPr>
                <w:rFonts w:hint="eastAsia" w:ascii="宋体" w:hAnsi="宋体" w:eastAsia="宋体" w:cs="宋体"/>
                <w:color w:val="000000" w:themeColor="text1"/>
                <w:kern w:val="2"/>
                <w:sz w:val="24"/>
                <w:szCs w:val="24"/>
                <w:highlight w:val="none"/>
                <w14:textFill>
                  <w14:solidFill>
                    <w14:schemeClr w14:val="tx1"/>
                  </w14:solidFill>
                </w14:textFill>
              </w:rPr>
              <w:t>年龄</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在</w:t>
            </w:r>
            <w:r>
              <w:rPr>
                <w:rFonts w:hint="eastAsia" w:ascii="宋体" w:hAnsi="宋体" w:cs="宋体"/>
                <w:color w:val="000000" w:themeColor="text1"/>
                <w:kern w:val="2"/>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kern w:val="2"/>
                <w:sz w:val="24"/>
                <w:szCs w:val="24"/>
                <w:highlight w:val="none"/>
                <w14:textFill>
                  <w14:solidFill>
                    <w14:schemeClr w14:val="tx1"/>
                  </w14:solidFill>
                </w14:textFill>
              </w:rPr>
              <w:t>周岁（含）以下，满足得1分；拟派项目负责人截止投标截止时间年龄</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在</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cs="宋体"/>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2"/>
                <w:sz w:val="24"/>
                <w:szCs w:val="24"/>
                <w:highlight w:val="none"/>
                <w14:textFill>
                  <w14:solidFill>
                    <w14:schemeClr w14:val="tx1"/>
                  </w14:solidFill>
                </w14:textFill>
              </w:rPr>
              <w:t>周岁（含）以下，满足得2分。</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备注：上述须提供相应证明材料，拟派项目负责人须提供在本单位2024年</w:t>
            </w: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月1日至今任意一月的社保证明，否则不得分。</w:t>
            </w:r>
            <w:r>
              <w:rPr>
                <w:rFonts w:hint="eastAsia" w:ascii="宋体" w:hAnsi="宋体" w:cs="宋体"/>
                <w:color w:val="000000" w:themeColor="text1"/>
                <w:sz w:val="24"/>
                <w14:textFill>
                  <w14:solidFill>
                    <w14:schemeClr w14:val="tx1"/>
                  </w14:solidFill>
                </w14:textFill>
              </w:rPr>
              <w:t xml:space="preserve"> </w:t>
            </w:r>
          </w:p>
        </w:tc>
        <w:tc>
          <w:tcPr>
            <w:tcW w:w="75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客观分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拟派项目负责人（经理）相关情况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5295" w:type="dxa"/>
            <w:vAlign w:val="center"/>
          </w:tcPr>
          <w:p>
            <w:pPr>
              <w:pStyle w:val="319"/>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1.拟派保洁主管相关情况（3分）：</w:t>
            </w:r>
          </w:p>
          <w:p>
            <w:pPr>
              <w:pStyle w:val="319"/>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具有专科及以上学历的得1分，不符合要求不得分。</w:t>
            </w:r>
          </w:p>
          <w:p>
            <w:pPr>
              <w:pStyle w:val="319"/>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(2)具有3年及以上担任物业服务保洁主管的工作经验得1分，具有5年及以上担任物业服务保洁主管的工作经验得2分。</w:t>
            </w:r>
            <w:r>
              <w:rPr>
                <w:rFonts w:hint="eastAsia" w:ascii="宋体" w:hAnsi="宋体" w:eastAsia="宋体" w:cs="宋体"/>
                <w:color w:val="000000" w:themeColor="text1"/>
                <w:sz w:val="24"/>
                <w14:textFill>
                  <w14:solidFill>
                    <w14:schemeClr w14:val="tx1"/>
                  </w14:solidFill>
                </w14:textFill>
              </w:rPr>
              <w:t>需提供项目业绩合同（如项目业绩合同不能体现人员业绩年限、工作岗位等信息的，还需同时提供业主证明，合同服务期须和业主证明时间一致，否则不得分）</w:t>
            </w:r>
          </w:p>
          <w:p>
            <w:pPr>
              <w:pStyle w:val="319"/>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2.拟派安防主管相关情况（</w:t>
            </w:r>
            <w:r>
              <w:rPr>
                <w:rFonts w:hint="eastAsia" w:hAnsi="宋体" w:cs="宋体"/>
                <w:color w:val="000000" w:themeColor="text1"/>
                <w:sz w:val="24"/>
                <w:szCs w:val="24"/>
                <w:lang w:val="en-US" w:eastAsia="zh-CN"/>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分）</w:t>
            </w:r>
          </w:p>
          <w:p>
            <w:pPr>
              <w:pStyle w:val="319"/>
              <w:snapToGrid w:val="0"/>
              <w:spacing w:line="360" w:lineRule="auto"/>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具有专科及以上学历的得1分。</w:t>
            </w:r>
          </w:p>
          <w:p>
            <w:pPr>
              <w:pStyle w:val="319"/>
              <w:snapToGrid w:val="0"/>
              <w:spacing w:line="360" w:lineRule="auto"/>
              <w:rPr>
                <w:rFonts w:hint="eastAsia" w:hAnsi="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（2）拟派</w:t>
            </w:r>
            <w:r>
              <w:rPr>
                <w:rFonts w:hint="eastAsia" w:hAnsi="宋体" w:cs="宋体"/>
                <w:color w:val="000000" w:themeColor="text1"/>
                <w:sz w:val="24"/>
                <w:szCs w:val="24"/>
                <w14:textFill>
                  <w14:solidFill>
                    <w14:schemeClr w14:val="tx1"/>
                  </w14:solidFill>
                </w14:textFill>
              </w:rPr>
              <w:t>安防主管</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截止投标截止时间</w:t>
            </w:r>
            <w:r>
              <w:rPr>
                <w:rFonts w:hint="eastAsia" w:ascii="宋体" w:hAnsi="宋体" w:eastAsia="宋体" w:cs="宋体"/>
                <w:color w:val="000000" w:themeColor="text1"/>
                <w:kern w:val="2"/>
                <w:sz w:val="24"/>
                <w:szCs w:val="24"/>
                <w:highlight w:val="none"/>
                <w14:textFill>
                  <w14:solidFill>
                    <w14:schemeClr w14:val="tx1"/>
                  </w14:solidFill>
                </w14:textFill>
              </w:rPr>
              <w:t>年龄</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在</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kern w:val="2"/>
                <w:sz w:val="24"/>
                <w:szCs w:val="24"/>
                <w:highlight w:val="none"/>
                <w14:textFill>
                  <w14:solidFill>
                    <w14:schemeClr w14:val="tx1"/>
                  </w14:solidFill>
                </w14:textFill>
              </w:rPr>
              <w:t>周岁（含）以下，满足得1分。</w:t>
            </w:r>
          </w:p>
          <w:p>
            <w:pPr>
              <w:pStyle w:val="319"/>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kern w:val="2"/>
                <w:sz w:val="24"/>
                <w:szCs w:val="24"/>
                <w:lang w:bidi="ar"/>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）拟派安防主管为退伍军人并持有退伍证或退伍军人优待证的得1分。</w:t>
            </w:r>
          </w:p>
          <w:p>
            <w:pPr>
              <w:pStyle w:val="319"/>
              <w:snapToGrid w:val="0"/>
              <w:spacing w:line="360" w:lineRule="auto"/>
              <w:rPr>
                <w:rFonts w:hAnsi="宋体" w:cs="宋体"/>
                <w:color w:val="000000" w:themeColor="text1"/>
                <w:szCs w:val="21"/>
                <w14:textFill>
                  <w14:solidFill>
                    <w14:schemeClr w14:val="tx1"/>
                  </w14:solidFill>
                </w14:textFill>
              </w:rPr>
            </w:pPr>
            <w:r>
              <w:rPr>
                <w:rFonts w:hint="eastAsia" w:hAnsi="宋体" w:cs="宋体"/>
                <w:color w:val="000000" w:themeColor="text1"/>
                <w:kern w:val="2"/>
                <w:sz w:val="24"/>
                <w:szCs w:val="24"/>
                <w:lang w:bidi="ar"/>
                <w14:textFill>
                  <w14:solidFill>
                    <w14:schemeClr w14:val="tx1"/>
                  </w14:solidFill>
                </w14:textFill>
              </w:rPr>
              <w:t>（4）</w:t>
            </w:r>
            <w:r>
              <w:rPr>
                <w:rFonts w:hint="eastAsia" w:hAnsi="宋体" w:cs="宋体"/>
                <w:color w:val="000000" w:themeColor="text1"/>
                <w:kern w:val="2"/>
                <w:sz w:val="24"/>
                <w:szCs w:val="24"/>
                <w14:textFill>
                  <w14:solidFill>
                    <w14:schemeClr w14:val="tx1"/>
                  </w14:solidFill>
                </w14:textFill>
              </w:rPr>
              <w:t>具有3年及以上担任安防主管工作经验的得1分</w:t>
            </w:r>
            <w:r>
              <w:rPr>
                <w:rFonts w:hint="eastAsia" w:hAnsi="宋体" w:cs="宋体"/>
                <w:color w:val="000000" w:themeColor="text1"/>
                <w:kern w:val="2"/>
                <w:sz w:val="24"/>
                <w:szCs w:val="24"/>
                <w:lang w:eastAsia="zh-CN"/>
                <w14:textFill>
                  <w14:solidFill>
                    <w14:schemeClr w14:val="tx1"/>
                  </w14:solidFill>
                </w14:textFill>
              </w:rPr>
              <w:t>；</w:t>
            </w:r>
            <w:r>
              <w:rPr>
                <w:rFonts w:hint="eastAsia" w:hAnsi="宋体" w:cs="宋体"/>
                <w:color w:val="000000" w:themeColor="text1"/>
                <w:kern w:val="2"/>
                <w:sz w:val="24"/>
                <w:szCs w:val="24"/>
                <w:lang w:val="en-US" w:eastAsia="zh-CN"/>
                <w14:textFill>
                  <w14:solidFill>
                    <w14:schemeClr w14:val="tx1"/>
                  </w14:solidFill>
                </w14:textFill>
              </w:rPr>
              <w:t>具有5</w:t>
            </w:r>
            <w:r>
              <w:rPr>
                <w:rFonts w:hint="eastAsia" w:hAnsi="宋体" w:cs="宋体"/>
                <w:color w:val="000000" w:themeColor="text1"/>
                <w:kern w:val="2"/>
                <w:sz w:val="24"/>
                <w:szCs w:val="24"/>
                <w14:textFill>
                  <w14:solidFill>
                    <w14:schemeClr w14:val="tx1"/>
                  </w14:solidFill>
                </w14:textFill>
              </w:rPr>
              <w:t>年及以上担任安防主管工作经验的得</w:t>
            </w:r>
            <w:r>
              <w:rPr>
                <w:rFonts w:hint="eastAsia" w:hAnsi="宋体" w:cs="宋体"/>
                <w:color w:val="000000" w:themeColor="text1"/>
                <w:kern w:val="2"/>
                <w:sz w:val="24"/>
                <w:szCs w:val="24"/>
                <w:lang w:val="en-US" w:eastAsia="zh-CN"/>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分。</w:t>
            </w:r>
            <w:r>
              <w:rPr>
                <w:rFonts w:hint="eastAsia" w:ascii="宋体" w:hAnsi="宋体" w:eastAsia="宋体" w:cs="宋体"/>
                <w:color w:val="000000" w:themeColor="text1"/>
                <w:sz w:val="24"/>
                <w14:textFill>
                  <w14:solidFill>
                    <w14:schemeClr w14:val="tx1"/>
                  </w14:solidFill>
                </w14:textFill>
              </w:rPr>
              <w:t>需提供项目业绩合同（如项目业绩合同不能体现人员业绩年限、工作岗位等信息的，还需同时提供业主证明，合同服务期须和业主证明时间一致，否则不得分）</w:t>
            </w:r>
          </w:p>
          <w:p>
            <w:pPr>
              <w:pStyle w:val="949"/>
              <w:snapToGrid w:val="0"/>
              <w:spacing w:line="360" w:lineRule="auto"/>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3.拟派会务领班相关情况（</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分）</w:t>
            </w:r>
          </w:p>
          <w:p>
            <w:pPr>
              <w:pStyle w:val="949"/>
              <w:snapToGrid w:val="0"/>
              <w:spacing w:line="360" w:lineRule="auto"/>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（1）具有专科学历的得1分，本科及以上学历得2分，最多2分；</w:t>
            </w:r>
          </w:p>
          <w:p>
            <w:pPr>
              <w:pStyle w:val="949"/>
              <w:snapToGrid w:val="0"/>
              <w:spacing w:line="360" w:lineRule="auto"/>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（2）具有3年及以上担任会务领班工作经验的得1分。</w:t>
            </w:r>
            <w:r>
              <w:rPr>
                <w:rFonts w:hint="eastAsia" w:ascii="宋体" w:hAnsi="宋体" w:eastAsia="宋体" w:cs="宋体"/>
                <w:color w:val="000000" w:themeColor="text1"/>
                <w:sz w:val="24"/>
                <w14:textFill>
                  <w14:solidFill>
                    <w14:schemeClr w14:val="tx1"/>
                  </w14:solidFill>
                </w14:textFill>
              </w:rPr>
              <w:t>需提供项目业绩合同（如项目业绩合同不能体现人员业绩年限、工作岗位等信息的，还需同时提供业主证明，合同服务期须和业主证明时间一致，否则不得分）</w:t>
            </w:r>
          </w:p>
          <w:p>
            <w:pPr>
              <w:pStyle w:val="319"/>
              <w:snapToGrid w:val="0"/>
              <w:spacing w:line="360" w:lineRule="auto"/>
              <w:rPr>
                <w:rFonts w:hAnsi="宋体" w:cs="宋体"/>
                <w:b/>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备注：</w:t>
            </w:r>
            <w:r>
              <w:rPr>
                <w:rFonts w:hint="eastAsia" w:hAnsi="宋体" w:cs="宋体"/>
                <w:b/>
                <w:bCs/>
                <w:color w:val="000000" w:themeColor="text1"/>
                <w:sz w:val="24"/>
                <w:szCs w:val="24"/>
                <w14:textFill>
                  <w14:solidFill>
                    <w14:schemeClr w14:val="tx1"/>
                  </w14:solidFill>
                </w14:textFill>
              </w:rPr>
              <w:t>上述业绩和证书（有效期内）须提供相应证明材料，否则不得分。</w:t>
            </w:r>
          </w:p>
          <w:p>
            <w:pPr>
              <w:pStyle w:val="319"/>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以上人员须提供在本单位2024年</w:t>
            </w:r>
            <w:r>
              <w:rPr>
                <w:rFonts w:hint="eastAsia" w:hAnsi="宋体" w:cs="宋体"/>
                <w:b/>
                <w:bCs/>
                <w:color w:val="000000" w:themeColor="text1"/>
                <w:sz w:val="24"/>
                <w:szCs w:val="24"/>
                <w:lang w:val="en-US" w:eastAsia="zh-CN"/>
                <w14:textFill>
                  <w14:solidFill>
                    <w14:schemeClr w14:val="tx1"/>
                  </w14:solidFill>
                </w14:textFill>
              </w:rPr>
              <w:t>3</w:t>
            </w:r>
            <w:r>
              <w:rPr>
                <w:rFonts w:hint="eastAsia" w:hAnsi="宋体" w:cs="宋体"/>
                <w:b/>
                <w:bCs/>
                <w:color w:val="000000" w:themeColor="text1"/>
                <w:sz w:val="24"/>
                <w:szCs w:val="24"/>
                <w14:textFill>
                  <w14:solidFill>
                    <w14:schemeClr w14:val="tx1"/>
                  </w14:solidFill>
                </w14:textFill>
              </w:rPr>
              <w:t>月1日至今任意一月的社保证明，否则不得分</w:t>
            </w:r>
            <w:r>
              <w:rPr>
                <w:rFonts w:hint="eastAsia" w:hAnsi="宋体" w:cs="宋体"/>
                <w:color w:val="000000" w:themeColor="text1"/>
                <w:sz w:val="24"/>
                <w:szCs w:val="24"/>
                <w14:textFill>
                  <w14:solidFill>
                    <w14:schemeClr w14:val="tx1"/>
                  </w14:solidFill>
                </w14:textFill>
              </w:rPr>
              <w:t>。</w:t>
            </w:r>
          </w:p>
        </w:tc>
        <w:tc>
          <w:tcPr>
            <w:tcW w:w="750" w:type="dxa"/>
            <w:vAlign w:val="center"/>
          </w:tcPr>
          <w:p>
            <w:pPr>
              <w:pStyle w:val="319"/>
              <w:snapToGrid w:val="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客观分</w:t>
            </w:r>
          </w:p>
        </w:tc>
        <w:tc>
          <w:tcPr>
            <w:tcW w:w="2025" w:type="dxa"/>
            <w:vAlign w:val="center"/>
          </w:tcPr>
          <w:p>
            <w:pPr>
              <w:snapToGrid w:val="0"/>
              <w:spacing w:line="360" w:lineRule="auto"/>
              <w:jc w:val="center"/>
              <w:rPr>
                <w:rFonts w:ascii="宋体" w:hAnsi="宋体" w:cs="宋体"/>
                <w:sz w:val="24"/>
              </w:rPr>
            </w:pPr>
            <w:r>
              <w:rPr>
                <w:rFonts w:hint="eastAsia" w:ascii="宋体" w:hAnsi="宋体" w:eastAsia="宋体" w:cs="宋体"/>
                <w:color w:val="000000" w:themeColor="text1"/>
                <w:sz w:val="24"/>
                <w:szCs w:val="24"/>
                <w14:textFill>
                  <w14:solidFill>
                    <w14:schemeClr w14:val="tx1"/>
                  </w14:solidFill>
                </w14:textFill>
              </w:rPr>
              <w:t>拟派驻场主管或服务人员相关情况（提供相应证明材料）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5295" w:type="dxa"/>
            <w:vAlign w:val="center"/>
          </w:tcPr>
          <w:p>
            <w:pPr>
              <w:pStyle w:val="319"/>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319"/>
              <w:numPr>
                <w:ilvl w:val="0"/>
                <w:numId w:val="9"/>
              </w:numPr>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总体服务方案（5分）：</w:t>
            </w:r>
            <w:r>
              <w:rPr>
                <w:rFonts w:hint="eastAsia" w:hAnsi="宋体" w:cs="宋体"/>
                <w:color w:val="000000" w:themeColor="text1"/>
                <w:sz w:val="24"/>
                <w:szCs w:val="24"/>
                <w14:textFill>
                  <w14:solidFill>
                    <w14:schemeClr w14:val="tx1"/>
                  </w14:solidFill>
                </w14:textFill>
              </w:rPr>
              <w:t xml:space="preserve">应答详尽、明晰，内容完整齐全、表述准确、条理清晰，内容无前后矛盾，符合招标文件要求，分析本项目的特点针对性强的5分； </w:t>
            </w:r>
            <w:r>
              <w:rPr>
                <w:rFonts w:hint="eastAsia" w:hAnsi="宋体" w:cs="宋体"/>
                <w:color w:val="000000" w:themeColor="text1"/>
                <w:sz w:val="24"/>
                <w:szCs w:val="24"/>
                <w:lang w:val="en-US" w:eastAsia="zh-CN"/>
                <w14:textFill>
                  <w14:solidFill>
                    <w14:schemeClr w14:val="tx1"/>
                  </w14:solidFill>
                </w14:textFill>
              </w:rPr>
              <w:t>方案较好基本可行</w:t>
            </w:r>
            <w:r>
              <w:rPr>
                <w:rFonts w:hint="eastAsia" w:hAnsi="宋体" w:cs="宋体"/>
                <w:color w:val="000000" w:themeColor="text1"/>
                <w:sz w:val="24"/>
                <w:szCs w:val="24"/>
                <w14:textFill>
                  <w14:solidFill>
                    <w14:schemeClr w14:val="tx1"/>
                  </w14:solidFill>
                </w14:textFill>
              </w:rPr>
              <w:t>的</w:t>
            </w:r>
            <w:r>
              <w:rPr>
                <w:rFonts w:hint="eastAsia" w:hAnsi="宋体" w:cs="宋体"/>
                <w:color w:val="000000" w:themeColor="text1"/>
                <w:sz w:val="24"/>
                <w:szCs w:val="24"/>
                <w:lang w:val="en-US" w:eastAsia="zh-CN"/>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分；方案存在一定欠缺</w:t>
            </w:r>
            <w:r>
              <w:rPr>
                <w:rFonts w:hint="eastAsia" w:hAnsi="宋体" w:cs="宋体"/>
                <w:color w:val="000000" w:themeColor="text1"/>
                <w:sz w:val="24"/>
                <w:szCs w:val="24"/>
                <w14:textFill>
                  <w14:solidFill>
                    <w14:schemeClr w14:val="tx1"/>
                  </w14:solidFill>
                </w14:textFill>
              </w:rPr>
              <w:t>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w:t>
            </w:r>
            <w:r>
              <w:rPr>
                <w:rFonts w:hint="eastAsia" w:hAnsi="宋体" w:cs="宋体"/>
                <w:color w:val="000000" w:themeColor="text1"/>
                <w:sz w:val="24"/>
                <w:szCs w:val="24"/>
                <w14:textFill>
                  <w14:solidFill>
                    <w14:schemeClr w14:val="tx1"/>
                  </w14:solidFill>
                </w14:textFill>
              </w:rPr>
              <w:t>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bookmarkStart w:id="518" w:name="_GoBack"/>
            <w:bookmarkEnd w:id="518"/>
          </w:p>
          <w:p>
            <w:pPr>
              <w:pStyle w:val="319"/>
              <w:numPr>
                <w:ilvl w:val="0"/>
                <w:numId w:val="9"/>
              </w:numPr>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安保服务方案（</w:t>
            </w:r>
            <w:r>
              <w:rPr>
                <w:rFonts w:hint="eastAsia" w:hAnsi="宋体" w:cs="宋体"/>
                <w:color w:val="000000" w:themeColor="text1"/>
                <w:kern w:val="2"/>
                <w:sz w:val="24"/>
                <w:szCs w:val="24"/>
                <w:lang w:val="en-US" w:eastAsia="zh-CN"/>
                <w14:textFill>
                  <w14:solidFill>
                    <w14:schemeClr w14:val="tx1"/>
                  </w14:solidFill>
                </w14:textFill>
              </w:rPr>
              <w:t>4</w:t>
            </w:r>
            <w:r>
              <w:rPr>
                <w:rFonts w:hint="eastAsia" w:hAnsi="宋体" w:cs="宋体"/>
                <w:color w:val="000000" w:themeColor="text1"/>
                <w:kern w:val="2"/>
                <w:sz w:val="24"/>
                <w:szCs w:val="24"/>
                <w14:textFill>
                  <w14:solidFill>
                    <w14:schemeClr w14:val="tx1"/>
                  </w14:solidFill>
                </w14:textFill>
              </w:rPr>
              <w:t>分）：</w:t>
            </w:r>
            <w:r>
              <w:rPr>
                <w:rFonts w:hint="eastAsia" w:hAnsi="宋体" w:cs="宋体"/>
                <w:color w:val="000000" w:themeColor="text1"/>
                <w:sz w:val="24"/>
                <w:szCs w:val="24"/>
                <w14:textFill>
                  <w14:solidFill>
                    <w14:schemeClr w14:val="tx1"/>
                  </w14:solidFill>
                </w14:textFill>
              </w:rPr>
              <w:t xml:space="preserve">应答详尽、明晰，内容完整齐全、表述准确、条理清晰，内容无前后矛盾，符合招标文件要求，分析本项目的特点针对性强的4分； </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hAnsi="宋体" w:cs="宋体"/>
                <w:color w:val="000000" w:themeColor="text1"/>
                <w:sz w:val="24"/>
                <w:szCs w:val="24"/>
                <w14:textFill>
                  <w14:solidFill>
                    <w14:schemeClr w14:val="tx1"/>
                  </w14:solidFill>
                </w14:textFill>
              </w:rPr>
              <w:t>3分；方案存在一定欠缺的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p>
            <w:pPr>
              <w:pStyle w:val="319"/>
              <w:numPr>
                <w:ilvl w:val="0"/>
                <w:numId w:val="9"/>
              </w:numPr>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保洁服务方案（</w:t>
            </w:r>
            <w:r>
              <w:rPr>
                <w:rFonts w:hint="eastAsia" w:hAnsi="宋体" w:cs="宋体"/>
                <w:color w:val="000000" w:themeColor="text1"/>
                <w:kern w:val="2"/>
                <w:sz w:val="24"/>
                <w:szCs w:val="24"/>
                <w:lang w:val="en-US" w:eastAsia="zh-CN"/>
                <w14:textFill>
                  <w14:solidFill>
                    <w14:schemeClr w14:val="tx1"/>
                  </w14:solidFill>
                </w14:textFill>
              </w:rPr>
              <w:t>4</w:t>
            </w:r>
            <w:r>
              <w:rPr>
                <w:rFonts w:hint="eastAsia" w:hAnsi="宋体" w:cs="宋体"/>
                <w:color w:val="000000" w:themeColor="text1"/>
                <w:kern w:val="2"/>
                <w:sz w:val="24"/>
                <w:szCs w:val="24"/>
                <w14:textFill>
                  <w14:solidFill>
                    <w14:schemeClr w14:val="tx1"/>
                  </w14:solidFill>
                </w14:textFill>
              </w:rPr>
              <w:t xml:space="preserve">分）： </w:t>
            </w:r>
            <w:r>
              <w:rPr>
                <w:rFonts w:hint="eastAsia" w:hAnsi="宋体" w:cs="宋体"/>
                <w:color w:val="000000" w:themeColor="text1"/>
                <w:sz w:val="24"/>
                <w:szCs w:val="24"/>
                <w14:textFill>
                  <w14:solidFill>
                    <w14:schemeClr w14:val="tx1"/>
                  </w14:solidFill>
                </w14:textFill>
              </w:rPr>
              <w:t>应答详尽、明晰，内容完整齐全、表述准确、条理清晰，内容无前后矛盾，符合招标文件要求，分析本项目的特点针对性强的4分；</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hAnsi="宋体" w:cs="宋体"/>
                <w:color w:val="000000" w:themeColor="text1"/>
                <w:sz w:val="24"/>
                <w:szCs w:val="24"/>
                <w14:textFill>
                  <w14:solidFill>
                    <w14:schemeClr w14:val="tx1"/>
                  </w14:solidFill>
                </w14:textFill>
              </w:rPr>
              <w:t>3分；方案存在一定欠缺的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p>
            <w:pPr>
              <w:pStyle w:val="319"/>
              <w:numPr>
                <w:ilvl w:val="0"/>
                <w:numId w:val="9"/>
              </w:numPr>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绿化养护服务方案（</w:t>
            </w:r>
            <w:r>
              <w:rPr>
                <w:rFonts w:hint="eastAsia" w:hAnsi="宋体" w:cs="宋体"/>
                <w:color w:val="000000" w:themeColor="text1"/>
                <w:kern w:val="2"/>
                <w:sz w:val="24"/>
                <w:szCs w:val="24"/>
                <w:lang w:val="en-US" w:eastAsia="zh-CN"/>
                <w14:textFill>
                  <w14:solidFill>
                    <w14:schemeClr w14:val="tx1"/>
                  </w14:solidFill>
                </w14:textFill>
              </w:rPr>
              <w:t>4</w:t>
            </w:r>
            <w:r>
              <w:rPr>
                <w:rFonts w:hint="eastAsia" w:hAnsi="宋体" w:cs="宋体"/>
                <w:color w:val="000000" w:themeColor="text1"/>
                <w:kern w:val="2"/>
                <w:sz w:val="24"/>
                <w:szCs w:val="24"/>
                <w14:textFill>
                  <w14:solidFill>
                    <w14:schemeClr w14:val="tx1"/>
                  </w14:solidFill>
                </w14:textFill>
              </w:rPr>
              <w:t>分）：</w:t>
            </w:r>
            <w:r>
              <w:rPr>
                <w:rFonts w:hint="eastAsia" w:hAnsi="宋体" w:cs="宋体"/>
                <w:color w:val="000000" w:themeColor="text1"/>
                <w:sz w:val="24"/>
                <w:szCs w:val="24"/>
                <w14:textFill>
                  <w14:solidFill>
                    <w14:schemeClr w14:val="tx1"/>
                  </w14:solidFill>
                </w14:textFill>
              </w:rPr>
              <w:t>应答详尽、明晰，内容完整齐全、表述准确、条理清晰，内容无前后矛盾，符合招标文件要求，分析本项目的特点针对性强的4分；</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hAnsi="宋体" w:cs="宋体"/>
                <w:color w:val="000000" w:themeColor="text1"/>
                <w:sz w:val="24"/>
                <w:szCs w:val="24"/>
                <w14:textFill>
                  <w14:solidFill>
                    <w14:schemeClr w14:val="tx1"/>
                  </w14:solidFill>
                </w14:textFill>
              </w:rPr>
              <w:t>3分；方案存在一定欠缺的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p>
            <w:pPr>
              <w:pStyle w:val="319"/>
              <w:numPr>
                <w:ilvl w:val="0"/>
                <w:numId w:val="10"/>
              </w:numPr>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会议服务管理方案（</w:t>
            </w:r>
            <w:r>
              <w:rPr>
                <w:rFonts w:hint="eastAsia" w:hAnsi="宋体" w:cs="宋体"/>
                <w:color w:val="000000" w:themeColor="text1"/>
                <w:sz w:val="24"/>
                <w:szCs w:val="24"/>
                <w:lang w:val="en-US" w:eastAsia="zh-CN"/>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分） 应答详尽、明晰，内容完整齐全、表述准确、条理清晰，内容无前后矛盾，符合招标文件要求，分析本项目的特点针对性强的4分；</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hAnsi="宋体" w:cs="宋体"/>
                <w:color w:val="000000" w:themeColor="text1"/>
                <w:sz w:val="24"/>
                <w:szCs w:val="24"/>
                <w14:textFill>
                  <w14:solidFill>
                    <w14:schemeClr w14:val="tx1"/>
                  </w14:solidFill>
                </w14:textFill>
              </w:rPr>
              <w:t>3分；方案存在一定欠缺的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p>
            <w:pPr>
              <w:pStyle w:val="319"/>
              <w:numPr>
                <w:ilvl w:val="0"/>
                <w:numId w:val="10"/>
              </w:numPr>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与目前在管理的单位的交接过渡管理服务方案 ：（</w:t>
            </w:r>
            <w:r>
              <w:rPr>
                <w:rFonts w:hint="eastAsia" w:hAnsi="宋体" w:cs="宋体"/>
                <w:color w:val="000000" w:themeColor="text1"/>
                <w:kern w:val="2"/>
                <w:sz w:val="24"/>
                <w:szCs w:val="24"/>
                <w:lang w:val="en-US" w:eastAsia="zh-CN"/>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分）与目前在管理的单位的交接过渡管理服务方案流程清晰、内容详尽、合理、规范、具有操作性强的得</w:t>
            </w:r>
            <w:r>
              <w:rPr>
                <w:rFonts w:hint="eastAsia" w:hAnsi="宋体" w:cs="宋体"/>
                <w:color w:val="000000" w:themeColor="text1"/>
                <w:kern w:val="2"/>
                <w:sz w:val="24"/>
                <w:szCs w:val="24"/>
                <w:lang w:val="en-US" w:eastAsia="zh-CN"/>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分；</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hAnsi="宋体" w:cs="宋体"/>
                <w:color w:val="000000" w:themeColor="text1"/>
                <w:sz w:val="24"/>
                <w:szCs w:val="24"/>
                <w14:textFill>
                  <w14:solidFill>
                    <w14:schemeClr w14:val="tx1"/>
                  </w14:solidFill>
                </w14:textFill>
              </w:rPr>
              <w:t>1分；未提供方案的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tc>
        <w:tc>
          <w:tcPr>
            <w:tcW w:w="75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5295" w:type="dxa"/>
            <w:vAlign w:val="center"/>
          </w:tcPr>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管理服务组织机构设置（附组织机构图）、运作流程（附运作流程图）、激励机制、监督机制、自我约束机制和信息反馈渠道及处理机制、岗位职责等是否科学、合理、高效评分:项目管理科学、合理、高效性强的4分；</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ascii="宋体" w:hAnsi="宋体" w:cs="宋体"/>
                <w:color w:val="000000" w:themeColor="text1"/>
                <w:sz w:val="24"/>
                <w14:textFill>
                  <w14:solidFill>
                    <w14:schemeClr w14:val="tx1"/>
                  </w14:solidFill>
                </w14:textFill>
              </w:rPr>
              <w:t>3分；</w:t>
            </w:r>
            <w:r>
              <w:rPr>
                <w:rFonts w:hint="eastAsia" w:hAnsi="宋体" w:cs="宋体"/>
                <w:color w:val="000000" w:themeColor="text1"/>
                <w:sz w:val="24"/>
                <w:szCs w:val="24"/>
                <w14:textFill>
                  <w14:solidFill>
                    <w14:schemeClr w14:val="tx1"/>
                  </w14:solidFill>
                </w14:textFill>
              </w:rPr>
              <w:t>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tc>
        <w:tc>
          <w:tcPr>
            <w:tcW w:w="75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5295" w:type="dxa"/>
            <w:vAlign w:val="center"/>
          </w:tcPr>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根据针对本项目日常物业服务管理特点和难点进行：分析准确，提出解决问题的措施实施性强的</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ascii="宋体" w:hAnsi="宋体" w:cs="宋体"/>
                <w:color w:val="000000" w:themeColor="text1"/>
                <w:sz w:val="24"/>
                <w14:textFill>
                  <w14:solidFill>
                    <w14:schemeClr w14:val="tx1"/>
                  </w14:solidFill>
                </w14:textFill>
              </w:rPr>
              <w:t>3分；分析一般，提出解决问题的措施实施性一般的1分；较差的0分。</w:t>
            </w:r>
          </w:p>
        </w:tc>
        <w:tc>
          <w:tcPr>
            <w:tcW w:w="75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特点和难点分析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5295" w:type="dxa"/>
            <w:vAlign w:val="center"/>
          </w:tcPr>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根据质量管理保证措施及承诺的合理性、有效性评分：措施及承诺的合理性、有效性强的4分；</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ascii="宋体" w:hAnsi="宋体" w:cs="宋体"/>
                <w:color w:val="000000" w:themeColor="text1"/>
                <w:sz w:val="24"/>
                <w14:textFill>
                  <w14:solidFill>
                    <w14:schemeClr w14:val="tx1"/>
                  </w14:solidFill>
                </w14:textFill>
              </w:rPr>
              <w:t>3分；</w:t>
            </w:r>
            <w:r>
              <w:rPr>
                <w:rFonts w:hint="eastAsia" w:hAnsi="宋体" w:cs="宋体"/>
                <w:color w:val="000000" w:themeColor="text1"/>
                <w:sz w:val="24"/>
                <w:szCs w:val="24"/>
                <w14:textFill>
                  <w14:solidFill>
                    <w14:schemeClr w14:val="tx1"/>
                  </w14:solidFill>
                </w14:textFill>
              </w:rPr>
              <w:t>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tc>
        <w:tc>
          <w:tcPr>
            <w:tcW w:w="75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5295" w:type="dxa"/>
            <w:vAlign w:val="center"/>
          </w:tcPr>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根据各岗位培训计划的详细程度及培训方案的系统性、可操作评分：</w:t>
            </w:r>
            <w:r>
              <w:rPr>
                <w:rFonts w:hint="eastAsia" w:ascii="宋体" w:hAnsi="宋体" w:cs="宋体"/>
                <w:color w:val="000000" w:themeColor="text1"/>
                <w:kern w:val="0"/>
                <w:sz w:val="24"/>
                <w14:textFill>
                  <w14:solidFill>
                    <w14:schemeClr w14:val="tx1"/>
                  </w14:solidFill>
                </w14:textFill>
              </w:rPr>
              <w:t>各岗位培训计划详细，培训方案的系统性、可操作强的4分；</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ascii="宋体" w:hAnsi="宋体" w:cs="宋体"/>
                <w:color w:val="000000" w:themeColor="text1"/>
                <w:kern w:val="0"/>
                <w:sz w:val="24"/>
                <w14:textFill>
                  <w14:solidFill>
                    <w14:schemeClr w14:val="tx1"/>
                  </w14:solidFill>
                </w14:textFill>
              </w:rPr>
              <w:t xml:space="preserve">3分； </w:t>
            </w:r>
            <w:r>
              <w:rPr>
                <w:rFonts w:hint="eastAsia" w:hAnsi="宋体" w:cs="宋体"/>
                <w:color w:val="000000" w:themeColor="text1"/>
                <w:sz w:val="24"/>
                <w:szCs w:val="24"/>
                <w14:textFill>
                  <w14:solidFill>
                    <w14:schemeClr w14:val="tx1"/>
                  </w14:solidFill>
                </w14:textFill>
              </w:rPr>
              <w:t>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tc>
        <w:tc>
          <w:tcPr>
            <w:tcW w:w="75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5295" w:type="dxa"/>
            <w:vAlign w:val="center"/>
          </w:tcPr>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针对各类检查和突发性事件等任务的应急方案及措施的全面性、针对性评分：</w:t>
            </w:r>
            <w:r>
              <w:rPr>
                <w:rFonts w:hint="eastAsia" w:ascii="宋体" w:hAnsi="宋体" w:cs="宋体"/>
                <w:color w:val="000000" w:themeColor="text1"/>
                <w:kern w:val="0"/>
                <w:sz w:val="24"/>
                <w14:textFill>
                  <w14:solidFill>
                    <w14:schemeClr w14:val="tx1"/>
                  </w14:solidFill>
                </w14:textFill>
              </w:rPr>
              <w:t>应急方案及措施的全面性、针对性强的</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分；</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ascii="宋体" w:hAnsi="宋体" w:cs="宋体"/>
                <w:color w:val="000000" w:themeColor="text1"/>
                <w:kern w:val="0"/>
                <w:sz w:val="24"/>
                <w14:textFill>
                  <w14:solidFill>
                    <w14:schemeClr w14:val="tx1"/>
                  </w14:solidFill>
                </w14:textFill>
              </w:rPr>
              <w:t>3分；</w:t>
            </w:r>
            <w:r>
              <w:rPr>
                <w:rFonts w:hint="eastAsia" w:hAnsi="宋体" w:cs="宋体"/>
                <w:color w:val="000000" w:themeColor="text1"/>
                <w:sz w:val="24"/>
                <w:szCs w:val="24"/>
                <w14:textFill>
                  <w14:solidFill>
                    <w14:schemeClr w14:val="tx1"/>
                  </w14:solidFill>
                </w14:textFill>
              </w:rPr>
              <w:t>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tc>
        <w:tc>
          <w:tcPr>
            <w:tcW w:w="75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529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根据本项目所能提供的相关机械设备、工具配备情况优劣评分：配备合理、针对性强的4分；</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ascii="宋体" w:hAnsi="宋体" w:cs="宋体"/>
                <w:color w:val="000000" w:themeColor="text1"/>
                <w:kern w:val="0"/>
                <w:sz w:val="24"/>
                <w14:textFill>
                  <w14:solidFill>
                    <w14:schemeClr w14:val="tx1"/>
                  </w14:solidFill>
                </w14:textFill>
              </w:rPr>
              <w:t>3分；</w:t>
            </w:r>
            <w:r>
              <w:rPr>
                <w:rFonts w:hint="eastAsia" w:hAnsi="宋体" w:cs="宋体"/>
                <w:color w:val="000000" w:themeColor="text1"/>
                <w:sz w:val="24"/>
                <w:szCs w:val="24"/>
                <w14:textFill>
                  <w14:solidFill>
                    <w14:schemeClr w14:val="tx1"/>
                  </w14:solidFill>
                </w14:textFill>
              </w:rPr>
              <w:t>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备注：提供设备、工具及工程维修材料（设备含型号规格、数量 ，工具及工程维修材料含品牌型号 ），否则不得分。</w:t>
            </w:r>
          </w:p>
        </w:tc>
        <w:tc>
          <w:tcPr>
            <w:tcW w:w="75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拟投入本项目设备工具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5295" w:type="dxa"/>
            <w:vAlign w:val="center"/>
          </w:tcPr>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根据提出有利于本项目的建议、措施的适用性、科学性评分：建议、措施的适用性、科学性</w:t>
            </w:r>
            <w:r>
              <w:rPr>
                <w:rFonts w:hint="eastAsia" w:ascii="宋体" w:hAnsi="宋体" w:cs="宋体"/>
                <w:color w:val="000000" w:themeColor="text1"/>
                <w:kern w:val="0"/>
                <w:sz w:val="24"/>
                <w14:textFill>
                  <w14:solidFill>
                    <w14:schemeClr w14:val="tx1"/>
                  </w14:solidFill>
                </w14:textFill>
              </w:rPr>
              <w:t>强的4分；</w:t>
            </w:r>
            <w:r>
              <w:rPr>
                <w:rFonts w:hint="eastAsia" w:ascii="宋体" w:hAnsi="宋体" w:cs="宋体"/>
                <w:color w:val="000000" w:themeColor="text1"/>
                <w:sz w:val="24"/>
                <w14:textFill>
                  <w14:solidFill>
                    <w14:schemeClr w14:val="tx1"/>
                  </w14:solidFill>
                </w14:textFill>
              </w:rPr>
              <w:t xml:space="preserve"> </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ascii="宋体" w:hAnsi="宋体" w:cs="宋体"/>
                <w:color w:val="000000" w:themeColor="text1"/>
                <w:kern w:val="0"/>
                <w:sz w:val="24"/>
                <w14:textFill>
                  <w14:solidFill>
                    <w14:schemeClr w14:val="tx1"/>
                  </w14:solidFill>
                </w14:textFill>
              </w:rPr>
              <w:t>3分；</w:t>
            </w:r>
            <w:r>
              <w:rPr>
                <w:rFonts w:hint="eastAsia" w:hAnsi="宋体" w:cs="宋体"/>
                <w:color w:val="000000" w:themeColor="text1"/>
                <w:sz w:val="24"/>
                <w:szCs w:val="24"/>
                <w14:textFill>
                  <w14:solidFill>
                    <w14:schemeClr w14:val="tx1"/>
                  </w14:solidFill>
                </w14:textFill>
              </w:rPr>
              <w:t>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tc>
        <w:tc>
          <w:tcPr>
            <w:tcW w:w="75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有效的改进措施和合理化建议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5295" w:type="dxa"/>
            <w:vAlign w:val="center"/>
          </w:tcPr>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节能减排的方案及措施及文明建设的内容（文明建设：如物业的文明服务，节假日协助业主单位做好形象布置等）评分：内容适用性、科学性</w:t>
            </w:r>
            <w:r>
              <w:rPr>
                <w:rFonts w:hint="eastAsia" w:ascii="宋体" w:hAnsi="宋体" w:cs="宋体"/>
                <w:color w:val="000000" w:themeColor="text1"/>
                <w:kern w:val="0"/>
                <w:sz w:val="24"/>
                <w14:textFill>
                  <w14:solidFill>
                    <w14:schemeClr w14:val="tx1"/>
                  </w14:solidFill>
                </w14:textFill>
              </w:rPr>
              <w:t>强的4分；</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ascii="宋体" w:hAnsi="宋体" w:cs="宋体"/>
                <w:color w:val="000000" w:themeColor="text1"/>
                <w:kern w:val="0"/>
                <w:sz w:val="24"/>
                <w14:textFill>
                  <w14:solidFill>
                    <w14:schemeClr w14:val="tx1"/>
                  </w14:solidFill>
                </w14:textFill>
              </w:rPr>
              <w:t>3分；</w:t>
            </w:r>
            <w:r>
              <w:rPr>
                <w:rFonts w:hint="eastAsia" w:hAnsi="宋体" w:cs="宋体"/>
                <w:color w:val="000000" w:themeColor="text1"/>
                <w:sz w:val="24"/>
                <w:szCs w:val="24"/>
                <w14:textFill>
                  <w14:solidFill>
                    <w14:schemeClr w14:val="tx1"/>
                  </w14:solidFill>
                </w14:textFill>
              </w:rPr>
              <w:t>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p>
        </w:tc>
        <w:tc>
          <w:tcPr>
            <w:tcW w:w="75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节能减排及文明建设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5295" w:type="dxa"/>
            <w:vAlign w:val="center"/>
          </w:tcPr>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按项目服务人员配置情况、年龄结构人员等方面进行打分：</w:t>
            </w:r>
          </w:p>
          <w:p>
            <w:pPr>
              <w:numPr>
                <w:ilvl w:val="0"/>
                <w:numId w:val="11"/>
              </w:num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方案科学、人员配置非常合理得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w:t>
            </w:r>
          </w:p>
          <w:p>
            <w:pPr>
              <w:numPr>
                <w:ilvl w:val="0"/>
                <w:numId w:val="11"/>
              </w:num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方案</w:t>
            </w:r>
            <w:r>
              <w:rPr>
                <w:rFonts w:hint="eastAsia" w:hAnsi="宋体" w:cs="宋体"/>
                <w:color w:val="000000" w:themeColor="text1"/>
                <w:sz w:val="24"/>
                <w:szCs w:val="24"/>
                <w:lang w:val="en-US" w:eastAsia="zh-CN"/>
                <w14:textFill>
                  <w14:solidFill>
                    <w14:schemeClr w14:val="tx1"/>
                  </w14:solidFill>
                </w14:textFill>
              </w:rPr>
              <w:t>方案较好基本可行的</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w:t>
            </w:r>
          </w:p>
          <w:p>
            <w:pPr>
              <w:numPr>
                <w:ilvl w:val="0"/>
                <w:numId w:val="11"/>
              </w:num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方案存在一定欠缺的</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分；</w:t>
            </w:r>
          </w:p>
          <w:p>
            <w:pPr>
              <w:numPr>
                <w:ilvl w:val="0"/>
                <w:numId w:val="11"/>
              </w:num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未提供方案的</w:t>
            </w:r>
            <w:r>
              <w:rPr>
                <w:rFonts w:hint="eastAsia" w:hAnsi="宋体" w:cs="宋体"/>
                <w:color w:val="000000" w:themeColor="text1"/>
                <w:sz w:val="24"/>
                <w:szCs w:val="24"/>
                <w:lang w:val="en-US" w:eastAsia="zh-CN"/>
                <w14:textFill>
                  <w14:solidFill>
                    <w14:schemeClr w14:val="tx1"/>
                  </w14:solidFill>
                </w14:textFill>
              </w:rPr>
              <w:t>0</w:t>
            </w:r>
            <w:r>
              <w:rPr>
                <w:rFonts w:hint="eastAsia" w:hAnsi="宋体" w:cs="宋体"/>
                <w:color w:val="000000" w:themeColor="text1"/>
                <w:sz w:val="24"/>
                <w:szCs w:val="24"/>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w:t>
            </w:r>
          </w:p>
        </w:tc>
        <w:tc>
          <w:tcPr>
            <w:tcW w:w="75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w:t>
            </w:r>
          </w:p>
        </w:tc>
        <w:tc>
          <w:tcPr>
            <w:tcW w:w="1150" w:type="dxa"/>
            <w:vAlign w:val="center"/>
          </w:tcPr>
          <w:p>
            <w:pPr>
              <w:snapToGrid w:val="0"/>
              <w:spacing w:line="360" w:lineRule="auto"/>
              <w:jc w:val="center"/>
              <w:rPr>
                <w:rFonts w:ascii="宋体" w:hAnsi="宋体" w:cs="宋体"/>
                <w:sz w:val="24"/>
              </w:rPr>
            </w:pPr>
            <w:r>
              <w:rPr>
                <w:rFonts w:hint="eastAsia" w:ascii="宋体" w:hAnsi="宋体" w:cs="宋体"/>
                <w:sz w:val="24"/>
              </w:rPr>
              <w:t>主观分</w:t>
            </w:r>
          </w:p>
        </w:tc>
        <w:tc>
          <w:tcPr>
            <w:tcW w:w="2025" w:type="dxa"/>
            <w:vAlign w:val="center"/>
          </w:tcPr>
          <w:p>
            <w:pPr>
              <w:snapToGrid w:val="0"/>
              <w:spacing w:line="360" w:lineRule="auto"/>
              <w:jc w:val="center"/>
              <w:rPr>
                <w:rFonts w:ascii="宋体" w:hAnsi="宋体" w:cs="宋体"/>
                <w:sz w:val="24"/>
              </w:rPr>
            </w:pPr>
            <w:r>
              <w:rPr>
                <w:rFonts w:hint="eastAsia" w:ascii="宋体" w:hAnsi="宋体" w:cs="宋体"/>
                <w:sz w:val="24"/>
              </w:rPr>
              <w:t>员工配置方案</w:t>
            </w:r>
          </w:p>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snapToGrid w:val="0"/>
              <w:spacing w:line="360" w:lineRule="auto"/>
              <w:jc w:val="center"/>
              <w:rPr>
                <w:rFonts w:ascii="宋体" w:hAnsi="宋体" w:cs="宋体"/>
                <w:sz w:val="24"/>
              </w:rPr>
            </w:pPr>
          </w:p>
        </w:tc>
        <w:tc>
          <w:tcPr>
            <w:tcW w:w="5295" w:type="dxa"/>
            <w:vAlign w:val="center"/>
          </w:tcPr>
          <w:p>
            <w:pPr>
              <w:spacing w:line="360" w:lineRule="auto"/>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有效投标报价的最低价作为评标基准价，其最低报价为满分；按［投标报价得分=（评标基准价/投标报价）*权重］的计算公式计算。</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评标过程中，不得去掉报价中的最高报价和最低报价。</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50" w:type="dxa"/>
            <w:vAlign w:val="center"/>
          </w:tcPr>
          <w:p>
            <w:pPr>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分</w:t>
            </w:r>
          </w:p>
        </w:tc>
        <w:tc>
          <w:tcPr>
            <w:tcW w:w="1150" w:type="dxa"/>
            <w:vAlign w:val="center"/>
          </w:tcPr>
          <w:p>
            <w:pPr>
              <w:spacing w:line="360" w:lineRule="auto"/>
              <w:rPr>
                <w:rFonts w:ascii="宋体" w:hAnsi="宋体" w:cs="宋体"/>
                <w:sz w:val="24"/>
              </w:rPr>
            </w:pPr>
          </w:p>
        </w:tc>
        <w:tc>
          <w:tcPr>
            <w:tcW w:w="2025" w:type="dxa"/>
            <w:vAlign w:val="center"/>
          </w:tcPr>
          <w:p>
            <w:pPr>
              <w:spacing w:line="360" w:lineRule="auto"/>
              <w:outlineLvl w:val="0"/>
              <w:rPr>
                <w:rFonts w:ascii="宋体" w:hAnsi="宋体" w:cs="宋体"/>
                <w:sz w:val="24"/>
              </w:rPr>
            </w:pPr>
            <w:r>
              <w:rPr>
                <w:rFonts w:hint="eastAsia" w:ascii="宋体" w:hAnsi="宋体" w:cs="宋体"/>
                <w:sz w:val="24"/>
              </w:rPr>
              <w:t>/</w:t>
            </w:r>
          </w:p>
        </w:tc>
      </w:tr>
    </w:tbl>
    <w:p>
      <w:pPr>
        <w:rPr>
          <w:b w:val="0"/>
          <w:bCs w:val="0"/>
          <w:color w:val="auto"/>
          <w:highlight w:val="none"/>
        </w:rPr>
      </w:pPr>
    </w:p>
    <w:p>
      <w:pPr>
        <w:snapToGrid w:val="0"/>
        <w:spacing w:line="360" w:lineRule="auto"/>
        <w:rPr>
          <w:rFonts w:ascii="宋体" w:hAnsi="宋体" w:cs="宋体"/>
          <w:b/>
          <w:sz w:val="24"/>
        </w:rPr>
      </w:pPr>
      <w:bookmarkStart w:id="27" w:name="_Toc184308036"/>
      <w:bookmarkEnd w:id="27"/>
      <w:bookmarkStart w:id="28" w:name="_Toc184308105"/>
      <w:bookmarkEnd w:id="28"/>
      <w:bookmarkStart w:id="29" w:name="_Toc184314475"/>
      <w:bookmarkEnd w:id="29"/>
      <w:bookmarkStart w:id="30" w:name="_Toc184312130"/>
      <w:bookmarkEnd w:id="30"/>
      <w:bookmarkStart w:id="31" w:name="_Toc184314421"/>
      <w:bookmarkEnd w:id="31"/>
      <w:bookmarkStart w:id="32" w:name="_Toc184310277"/>
      <w:bookmarkEnd w:id="32"/>
      <w:bookmarkStart w:id="33" w:name="_Toc184308089"/>
      <w:bookmarkEnd w:id="33"/>
      <w:bookmarkStart w:id="34" w:name="_Toc184314479"/>
      <w:bookmarkEnd w:id="34"/>
      <w:bookmarkStart w:id="35" w:name="_Toc184308052"/>
      <w:bookmarkEnd w:id="35"/>
      <w:bookmarkStart w:id="36" w:name="_Toc184314472"/>
      <w:bookmarkEnd w:id="36"/>
      <w:bookmarkStart w:id="37" w:name="_Toc184313265"/>
      <w:bookmarkEnd w:id="37"/>
      <w:bookmarkStart w:id="38" w:name="_Toc184314470"/>
      <w:bookmarkEnd w:id="38"/>
      <w:bookmarkStart w:id="39" w:name="_Toc184312084"/>
      <w:bookmarkEnd w:id="39"/>
      <w:bookmarkStart w:id="40" w:name="_Toc184312112"/>
      <w:bookmarkEnd w:id="40"/>
      <w:bookmarkStart w:id="41" w:name="_Toc184314440"/>
      <w:bookmarkEnd w:id="41"/>
      <w:bookmarkStart w:id="42" w:name="_Toc184314478"/>
      <w:bookmarkEnd w:id="42"/>
      <w:bookmarkStart w:id="43" w:name="_Toc184308057"/>
      <w:bookmarkEnd w:id="43"/>
      <w:bookmarkStart w:id="44" w:name="_Toc184313292"/>
      <w:bookmarkEnd w:id="44"/>
      <w:bookmarkStart w:id="45" w:name="_Toc184314477"/>
      <w:bookmarkEnd w:id="45"/>
      <w:bookmarkStart w:id="46" w:name="_Toc184310284"/>
      <w:bookmarkEnd w:id="46"/>
      <w:bookmarkStart w:id="47" w:name="_Toc184310272"/>
      <w:bookmarkEnd w:id="47"/>
      <w:bookmarkStart w:id="48" w:name="_Toc184312127"/>
      <w:bookmarkEnd w:id="48"/>
      <w:bookmarkStart w:id="49" w:name="_Toc184310283"/>
      <w:bookmarkEnd w:id="49"/>
      <w:bookmarkStart w:id="50" w:name="_Toc184308053"/>
      <w:bookmarkEnd w:id="50"/>
      <w:bookmarkStart w:id="51" w:name="_Toc184312137"/>
      <w:bookmarkEnd w:id="51"/>
      <w:bookmarkStart w:id="52" w:name="_Toc184312121"/>
      <w:bookmarkEnd w:id="52"/>
      <w:bookmarkStart w:id="53" w:name="_Toc184313257"/>
      <w:bookmarkEnd w:id="53"/>
      <w:bookmarkStart w:id="54" w:name="_Toc184312110"/>
      <w:bookmarkEnd w:id="54"/>
      <w:bookmarkStart w:id="55" w:name="_Toc184308090"/>
      <w:bookmarkEnd w:id="55"/>
      <w:bookmarkStart w:id="56" w:name="_Toc184310330"/>
      <w:bookmarkEnd w:id="56"/>
      <w:bookmarkStart w:id="57" w:name="_Toc184312114"/>
      <w:bookmarkEnd w:id="57"/>
      <w:bookmarkStart w:id="58" w:name="_Toc184312070"/>
      <w:bookmarkEnd w:id="58"/>
      <w:bookmarkStart w:id="59" w:name="_Toc184313271"/>
      <w:bookmarkEnd w:id="59"/>
      <w:bookmarkStart w:id="60" w:name="_Toc184310306"/>
      <w:bookmarkEnd w:id="60"/>
      <w:bookmarkStart w:id="61" w:name="_Toc184308041"/>
      <w:bookmarkEnd w:id="61"/>
      <w:bookmarkStart w:id="62" w:name="_Toc184313263"/>
      <w:bookmarkEnd w:id="62"/>
      <w:bookmarkStart w:id="63" w:name="_Toc184310322"/>
      <w:bookmarkEnd w:id="63"/>
      <w:bookmarkStart w:id="64" w:name="_Toc184308077"/>
      <w:bookmarkEnd w:id="64"/>
      <w:bookmarkStart w:id="65" w:name="_Toc184310325"/>
      <w:bookmarkEnd w:id="65"/>
      <w:bookmarkStart w:id="66" w:name="_Toc184314442"/>
      <w:bookmarkEnd w:id="66"/>
      <w:bookmarkStart w:id="67" w:name="_Toc184314467"/>
      <w:bookmarkEnd w:id="67"/>
      <w:bookmarkStart w:id="68" w:name="_Toc184312116"/>
      <w:bookmarkEnd w:id="68"/>
      <w:bookmarkStart w:id="69" w:name="_Toc184313272"/>
      <w:bookmarkEnd w:id="69"/>
      <w:bookmarkStart w:id="70" w:name="_Toc184312082"/>
      <w:bookmarkEnd w:id="70"/>
      <w:bookmarkStart w:id="71" w:name="_Toc184310305"/>
      <w:bookmarkEnd w:id="71"/>
      <w:bookmarkStart w:id="72" w:name="_Toc184308080"/>
      <w:bookmarkEnd w:id="72"/>
      <w:bookmarkStart w:id="73" w:name="_Toc184308071"/>
      <w:bookmarkEnd w:id="73"/>
      <w:bookmarkStart w:id="74" w:name="_Toc184308096"/>
      <w:bookmarkEnd w:id="74"/>
      <w:bookmarkStart w:id="75" w:name="_Toc184312131"/>
      <w:bookmarkEnd w:id="75"/>
      <w:bookmarkStart w:id="76" w:name="_Toc184314443"/>
      <w:bookmarkEnd w:id="76"/>
      <w:bookmarkStart w:id="77" w:name="_Toc184310317"/>
      <w:bookmarkEnd w:id="77"/>
      <w:bookmarkStart w:id="78" w:name="_Toc184314429"/>
      <w:bookmarkEnd w:id="78"/>
      <w:bookmarkStart w:id="79" w:name="_Toc184312107"/>
      <w:bookmarkEnd w:id="79"/>
      <w:bookmarkStart w:id="80" w:name="_Toc184310318"/>
      <w:bookmarkEnd w:id="80"/>
      <w:bookmarkStart w:id="81" w:name="_Toc184310299"/>
      <w:bookmarkEnd w:id="81"/>
      <w:bookmarkStart w:id="82" w:name="_Toc184314444"/>
      <w:bookmarkEnd w:id="82"/>
      <w:bookmarkStart w:id="83" w:name="_Toc184310319"/>
      <w:bookmarkEnd w:id="83"/>
      <w:bookmarkStart w:id="84" w:name="_Toc184314427"/>
      <w:bookmarkEnd w:id="84"/>
      <w:bookmarkStart w:id="85" w:name="_Toc184310280"/>
      <w:bookmarkEnd w:id="85"/>
      <w:bookmarkStart w:id="86" w:name="_Toc184312108"/>
      <w:bookmarkEnd w:id="86"/>
      <w:bookmarkStart w:id="87" w:name="_Toc184308064"/>
      <w:bookmarkEnd w:id="87"/>
      <w:bookmarkStart w:id="88" w:name="_Toc184312118"/>
      <w:bookmarkEnd w:id="88"/>
      <w:bookmarkStart w:id="89" w:name="_Toc184310290"/>
      <w:bookmarkEnd w:id="89"/>
      <w:bookmarkStart w:id="90" w:name="_Toc184308079"/>
      <w:bookmarkEnd w:id="90"/>
      <w:bookmarkStart w:id="91" w:name="_Toc184310313"/>
      <w:bookmarkEnd w:id="91"/>
      <w:bookmarkStart w:id="92" w:name="_Toc184312076"/>
      <w:bookmarkEnd w:id="92"/>
      <w:bookmarkStart w:id="93" w:name="_Toc184310314"/>
      <w:bookmarkEnd w:id="93"/>
      <w:bookmarkStart w:id="94" w:name="_Toc184313303"/>
      <w:bookmarkEnd w:id="94"/>
      <w:bookmarkStart w:id="95" w:name="_Toc184313309"/>
      <w:bookmarkEnd w:id="95"/>
      <w:bookmarkStart w:id="96" w:name="_Toc184313304"/>
      <w:bookmarkEnd w:id="96"/>
      <w:bookmarkStart w:id="97" w:name="_Toc184313248"/>
      <w:bookmarkEnd w:id="97"/>
      <w:bookmarkStart w:id="98" w:name="_Toc184308092"/>
      <w:bookmarkEnd w:id="98"/>
      <w:bookmarkStart w:id="99" w:name="_Toc184313281"/>
      <w:bookmarkEnd w:id="99"/>
      <w:bookmarkStart w:id="100" w:name="_Toc184310329"/>
      <w:bookmarkEnd w:id="100"/>
      <w:bookmarkStart w:id="101" w:name="_Toc184308088"/>
      <w:bookmarkEnd w:id="101"/>
      <w:bookmarkStart w:id="102" w:name="_Toc184314461"/>
      <w:bookmarkEnd w:id="102"/>
      <w:bookmarkStart w:id="103" w:name="_Toc184308056"/>
      <w:bookmarkEnd w:id="103"/>
      <w:bookmarkStart w:id="104" w:name="_Toc184312087"/>
      <w:bookmarkEnd w:id="104"/>
      <w:bookmarkStart w:id="105" w:name="_Toc184312103"/>
      <w:bookmarkEnd w:id="105"/>
      <w:bookmarkStart w:id="106" w:name="_Toc184308072"/>
      <w:bookmarkEnd w:id="106"/>
      <w:bookmarkStart w:id="107" w:name="_Toc184308093"/>
      <w:bookmarkEnd w:id="107"/>
      <w:bookmarkStart w:id="108" w:name="_Toc184310324"/>
      <w:bookmarkEnd w:id="108"/>
      <w:bookmarkStart w:id="109" w:name="_Toc184314414"/>
      <w:bookmarkEnd w:id="109"/>
      <w:bookmarkStart w:id="110" w:name="_Toc184308054"/>
      <w:bookmarkEnd w:id="110"/>
      <w:bookmarkStart w:id="111" w:name="_Toc184312104"/>
      <w:bookmarkEnd w:id="111"/>
      <w:bookmarkStart w:id="112" w:name="_Toc184313310"/>
      <w:bookmarkEnd w:id="112"/>
      <w:bookmarkStart w:id="113" w:name="_Toc184308107"/>
      <w:bookmarkEnd w:id="113"/>
      <w:bookmarkStart w:id="114" w:name="_Toc184310326"/>
      <w:bookmarkEnd w:id="114"/>
      <w:bookmarkStart w:id="115" w:name="_Toc184308050"/>
      <w:bookmarkEnd w:id="115"/>
      <w:bookmarkStart w:id="116" w:name="_Toc184310291"/>
      <w:bookmarkEnd w:id="116"/>
      <w:bookmarkStart w:id="117" w:name="_Toc184312094"/>
      <w:bookmarkEnd w:id="117"/>
      <w:bookmarkStart w:id="118" w:name="_Toc184314431"/>
      <w:bookmarkEnd w:id="118"/>
      <w:bookmarkStart w:id="119" w:name="_Toc184308059"/>
      <w:bookmarkEnd w:id="119"/>
      <w:bookmarkStart w:id="120" w:name="_Toc184310303"/>
      <w:bookmarkEnd w:id="120"/>
      <w:bookmarkStart w:id="121" w:name="_Toc184312119"/>
      <w:bookmarkEnd w:id="121"/>
      <w:bookmarkStart w:id="122" w:name="_Toc184313296"/>
      <w:bookmarkEnd w:id="122"/>
      <w:bookmarkStart w:id="123" w:name="_Toc184314480"/>
      <w:bookmarkEnd w:id="123"/>
      <w:bookmarkStart w:id="124" w:name="_Toc184314426"/>
      <w:bookmarkEnd w:id="124"/>
      <w:bookmarkStart w:id="125" w:name="_Toc184312129"/>
      <w:bookmarkEnd w:id="125"/>
      <w:bookmarkStart w:id="126" w:name="_Toc184308103"/>
      <w:bookmarkEnd w:id="126"/>
      <w:bookmarkStart w:id="127" w:name="_Toc184314437"/>
      <w:bookmarkEnd w:id="127"/>
      <w:bookmarkStart w:id="128" w:name="_Toc184314474"/>
      <w:bookmarkEnd w:id="128"/>
      <w:bookmarkStart w:id="129" w:name="_Toc184308066"/>
      <w:bookmarkEnd w:id="129"/>
      <w:bookmarkStart w:id="130" w:name="_Toc184312105"/>
      <w:bookmarkEnd w:id="130"/>
      <w:bookmarkStart w:id="131" w:name="_Toc184308055"/>
      <w:bookmarkEnd w:id="131"/>
      <w:bookmarkStart w:id="132" w:name="_Toc184313294"/>
      <w:bookmarkEnd w:id="132"/>
      <w:bookmarkStart w:id="133" w:name="_Toc184313238"/>
      <w:bookmarkEnd w:id="133"/>
      <w:bookmarkStart w:id="134" w:name="_Toc184310323"/>
      <w:bookmarkEnd w:id="134"/>
      <w:bookmarkStart w:id="135" w:name="_Toc184313275"/>
      <w:bookmarkEnd w:id="135"/>
      <w:bookmarkStart w:id="136" w:name="_Toc184314449"/>
      <w:bookmarkEnd w:id="136"/>
      <w:bookmarkStart w:id="137" w:name="_Toc184310287"/>
      <w:bookmarkEnd w:id="137"/>
      <w:bookmarkStart w:id="138" w:name="_Toc184313298"/>
      <w:bookmarkEnd w:id="138"/>
      <w:bookmarkStart w:id="139" w:name="_Toc184314469"/>
      <w:bookmarkEnd w:id="139"/>
      <w:bookmarkStart w:id="140" w:name="_Toc184314435"/>
      <w:bookmarkEnd w:id="140"/>
      <w:bookmarkStart w:id="141" w:name="_Toc184312099"/>
      <w:bookmarkEnd w:id="141"/>
      <w:bookmarkStart w:id="142" w:name="_Toc184313278"/>
      <w:bookmarkEnd w:id="142"/>
      <w:bookmarkStart w:id="143" w:name="_Toc184314447"/>
      <w:bookmarkEnd w:id="143"/>
      <w:bookmarkStart w:id="144" w:name="_Toc184308085"/>
      <w:bookmarkEnd w:id="144"/>
      <w:bookmarkStart w:id="145" w:name="_Toc184310295"/>
      <w:bookmarkEnd w:id="145"/>
      <w:bookmarkStart w:id="146" w:name="_Toc184308095"/>
      <w:bookmarkEnd w:id="146"/>
      <w:bookmarkStart w:id="147" w:name="_Toc184312111"/>
      <w:bookmarkEnd w:id="147"/>
      <w:bookmarkStart w:id="148" w:name="_Toc184310315"/>
      <w:bookmarkEnd w:id="148"/>
      <w:bookmarkStart w:id="149" w:name="_Toc184314458"/>
      <w:bookmarkEnd w:id="149"/>
      <w:bookmarkStart w:id="150" w:name="_Toc184310300"/>
      <w:bookmarkEnd w:id="150"/>
      <w:bookmarkStart w:id="151" w:name="_Toc184308073"/>
      <w:bookmarkEnd w:id="151"/>
      <w:bookmarkStart w:id="152" w:name="_Toc184308067"/>
      <w:bookmarkEnd w:id="152"/>
      <w:bookmarkStart w:id="153" w:name="_Toc184313286"/>
      <w:bookmarkEnd w:id="153"/>
      <w:bookmarkStart w:id="154" w:name="_Toc184312072"/>
      <w:bookmarkEnd w:id="154"/>
      <w:bookmarkStart w:id="155" w:name="_Toc184314430"/>
      <w:bookmarkEnd w:id="155"/>
      <w:bookmarkStart w:id="156" w:name="_Toc184312073"/>
      <w:bookmarkEnd w:id="156"/>
      <w:bookmarkStart w:id="157" w:name="_Toc184308058"/>
      <w:bookmarkEnd w:id="157"/>
      <w:bookmarkStart w:id="158" w:name="_Toc184313253"/>
      <w:bookmarkEnd w:id="158"/>
      <w:bookmarkStart w:id="159" w:name="_Toc184308104"/>
      <w:bookmarkEnd w:id="159"/>
      <w:bookmarkStart w:id="160" w:name="_Toc184308070"/>
      <w:bookmarkEnd w:id="160"/>
      <w:bookmarkStart w:id="161" w:name="_Toc184314420"/>
      <w:bookmarkEnd w:id="161"/>
      <w:bookmarkStart w:id="162" w:name="_Toc184312133"/>
      <w:bookmarkEnd w:id="162"/>
      <w:bookmarkStart w:id="163" w:name="_Toc184310298"/>
      <w:bookmarkEnd w:id="163"/>
      <w:bookmarkStart w:id="164" w:name="_Toc184313255"/>
      <w:bookmarkEnd w:id="164"/>
      <w:bookmarkStart w:id="165" w:name="_Toc184312092"/>
      <w:bookmarkEnd w:id="165"/>
      <w:bookmarkStart w:id="166" w:name="_Toc184314466"/>
      <w:bookmarkEnd w:id="166"/>
      <w:bookmarkStart w:id="167" w:name="_Toc184312083"/>
      <w:bookmarkEnd w:id="167"/>
      <w:bookmarkStart w:id="168" w:name="_Toc184313273"/>
      <w:bookmarkEnd w:id="168"/>
      <w:bookmarkStart w:id="169" w:name="_Toc184308045"/>
      <w:bookmarkEnd w:id="169"/>
      <w:bookmarkStart w:id="170" w:name="_Toc184314448"/>
      <w:bookmarkEnd w:id="170"/>
      <w:bookmarkStart w:id="171" w:name="_Toc184313261"/>
      <w:bookmarkEnd w:id="171"/>
      <w:bookmarkStart w:id="172" w:name="_Toc184312096"/>
      <w:bookmarkEnd w:id="172"/>
      <w:bookmarkStart w:id="173" w:name="_Toc184313295"/>
      <w:bookmarkEnd w:id="173"/>
      <w:bookmarkStart w:id="174" w:name="_Toc184310312"/>
      <w:bookmarkEnd w:id="174"/>
      <w:bookmarkStart w:id="175" w:name="_Toc184310340"/>
      <w:bookmarkEnd w:id="175"/>
      <w:bookmarkStart w:id="176" w:name="_Toc184314410"/>
      <w:bookmarkEnd w:id="176"/>
      <w:bookmarkStart w:id="177" w:name="_Toc184314434"/>
      <w:bookmarkEnd w:id="177"/>
      <w:bookmarkStart w:id="178" w:name="_Toc184313266"/>
      <w:bookmarkEnd w:id="178"/>
      <w:bookmarkStart w:id="179" w:name="_Toc184314411"/>
      <w:bookmarkEnd w:id="179"/>
      <w:bookmarkStart w:id="180" w:name="_Toc184312115"/>
      <w:bookmarkEnd w:id="180"/>
      <w:bookmarkStart w:id="181" w:name="_Toc184313297"/>
      <w:bookmarkEnd w:id="181"/>
      <w:bookmarkStart w:id="182" w:name="_Toc184314433"/>
      <w:bookmarkEnd w:id="182"/>
      <w:bookmarkStart w:id="183" w:name="_Toc184308061"/>
      <w:bookmarkEnd w:id="183"/>
      <w:bookmarkStart w:id="184" w:name="_Toc184313245"/>
      <w:bookmarkEnd w:id="184"/>
      <w:bookmarkStart w:id="185" w:name="_Toc184312098"/>
      <w:bookmarkEnd w:id="185"/>
      <w:bookmarkStart w:id="186" w:name="_Toc184313307"/>
      <w:bookmarkEnd w:id="186"/>
      <w:bookmarkStart w:id="187" w:name="_Toc184314416"/>
      <w:bookmarkEnd w:id="187"/>
      <w:bookmarkStart w:id="188" w:name="_Toc184312090"/>
      <w:bookmarkEnd w:id="188"/>
      <w:bookmarkStart w:id="189" w:name="_Toc184313276"/>
      <w:bookmarkEnd w:id="189"/>
      <w:bookmarkStart w:id="190" w:name="_Toc184313287"/>
      <w:bookmarkEnd w:id="190"/>
      <w:bookmarkStart w:id="191" w:name="_Toc184314473"/>
      <w:bookmarkEnd w:id="191"/>
      <w:bookmarkStart w:id="192" w:name="_Toc184310296"/>
      <w:bookmarkEnd w:id="192"/>
      <w:bookmarkStart w:id="193" w:name="_Toc184313240"/>
      <w:bookmarkEnd w:id="193"/>
      <w:bookmarkStart w:id="194" w:name="_Toc184308074"/>
      <w:bookmarkEnd w:id="194"/>
      <w:bookmarkStart w:id="195" w:name="_Toc184313277"/>
      <w:bookmarkEnd w:id="195"/>
      <w:bookmarkStart w:id="196" w:name="_Toc184314476"/>
      <w:bookmarkEnd w:id="196"/>
      <w:bookmarkStart w:id="197" w:name="_Toc184308086"/>
      <w:bookmarkEnd w:id="197"/>
      <w:bookmarkStart w:id="198" w:name="_Toc184308046"/>
      <w:bookmarkEnd w:id="198"/>
      <w:bookmarkStart w:id="199" w:name="_Toc184308065"/>
      <w:bookmarkEnd w:id="199"/>
      <w:bookmarkStart w:id="200" w:name="_Toc184312138"/>
      <w:bookmarkEnd w:id="200"/>
      <w:bookmarkStart w:id="201" w:name="_Toc184314446"/>
      <w:bookmarkEnd w:id="201"/>
      <w:bookmarkStart w:id="202" w:name="_Toc184308062"/>
      <w:bookmarkEnd w:id="202"/>
      <w:bookmarkStart w:id="203" w:name="_Toc184312106"/>
      <w:bookmarkEnd w:id="203"/>
      <w:bookmarkStart w:id="204" w:name="_Toc184312089"/>
      <w:bookmarkEnd w:id="204"/>
      <w:bookmarkStart w:id="205" w:name="_Toc184312117"/>
      <w:bookmarkEnd w:id="205"/>
      <w:bookmarkStart w:id="206" w:name="_Toc184308097"/>
      <w:bookmarkEnd w:id="206"/>
      <w:bookmarkStart w:id="207" w:name="_Toc184308048"/>
      <w:bookmarkEnd w:id="207"/>
      <w:bookmarkStart w:id="208" w:name="_Toc184314457"/>
      <w:bookmarkEnd w:id="208"/>
      <w:bookmarkStart w:id="209" w:name="_Toc184314454"/>
      <w:bookmarkEnd w:id="209"/>
      <w:bookmarkStart w:id="210" w:name="_Toc184312100"/>
      <w:bookmarkEnd w:id="210"/>
      <w:bookmarkStart w:id="211" w:name="_Toc184308083"/>
      <w:bookmarkEnd w:id="211"/>
      <w:bookmarkStart w:id="212" w:name="_Toc184310333"/>
      <w:bookmarkEnd w:id="212"/>
      <w:bookmarkStart w:id="213" w:name="_Toc184310275"/>
      <w:bookmarkEnd w:id="213"/>
      <w:bookmarkStart w:id="214" w:name="_Toc184310279"/>
      <w:bookmarkEnd w:id="214"/>
      <w:bookmarkStart w:id="215" w:name="_Toc184310320"/>
      <w:bookmarkEnd w:id="215"/>
      <w:bookmarkStart w:id="216" w:name="_Toc184310309"/>
      <w:bookmarkEnd w:id="216"/>
      <w:bookmarkStart w:id="217" w:name="_Toc184314465"/>
      <w:bookmarkEnd w:id="217"/>
      <w:bookmarkStart w:id="218" w:name="_Toc184308049"/>
      <w:bookmarkEnd w:id="218"/>
      <w:bookmarkStart w:id="219" w:name="_Toc184310321"/>
      <w:bookmarkEnd w:id="219"/>
      <w:bookmarkStart w:id="220" w:name="_Toc184312097"/>
      <w:bookmarkEnd w:id="220"/>
      <w:bookmarkStart w:id="221" w:name="_Toc184308087"/>
      <w:bookmarkEnd w:id="221"/>
      <w:bookmarkStart w:id="222" w:name="_Toc184310278"/>
      <w:bookmarkEnd w:id="222"/>
      <w:bookmarkStart w:id="223" w:name="_Toc184313285"/>
      <w:bookmarkEnd w:id="223"/>
      <w:bookmarkStart w:id="224" w:name="_Toc184313250"/>
      <w:bookmarkEnd w:id="224"/>
      <w:bookmarkStart w:id="225" w:name="_Toc184313247"/>
      <w:bookmarkEnd w:id="225"/>
      <w:bookmarkStart w:id="226" w:name="_Toc184308101"/>
      <w:bookmarkEnd w:id="226"/>
      <w:bookmarkStart w:id="227" w:name="_Toc184310331"/>
      <w:bookmarkEnd w:id="227"/>
      <w:bookmarkStart w:id="228" w:name="_Toc184310276"/>
      <w:bookmarkEnd w:id="228"/>
      <w:bookmarkStart w:id="229" w:name="_Toc184314419"/>
      <w:bookmarkEnd w:id="229"/>
      <w:bookmarkStart w:id="230" w:name="_Toc184310308"/>
      <w:bookmarkEnd w:id="230"/>
      <w:bookmarkStart w:id="231" w:name="_Toc184308099"/>
      <w:bookmarkEnd w:id="231"/>
      <w:bookmarkStart w:id="232" w:name="_Toc184313259"/>
      <w:bookmarkEnd w:id="232"/>
      <w:bookmarkStart w:id="233" w:name="_Toc184312122"/>
      <w:bookmarkEnd w:id="233"/>
      <w:bookmarkStart w:id="234" w:name="_Toc184310302"/>
      <w:bookmarkEnd w:id="234"/>
      <w:bookmarkStart w:id="235" w:name="_Toc184313258"/>
      <w:bookmarkEnd w:id="235"/>
      <w:bookmarkStart w:id="236" w:name="_Toc184310294"/>
      <w:bookmarkEnd w:id="236"/>
      <w:bookmarkStart w:id="237" w:name="_Toc184314459"/>
      <w:bookmarkEnd w:id="237"/>
      <w:bookmarkStart w:id="238" w:name="_Toc184313302"/>
      <w:bookmarkEnd w:id="238"/>
      <w:bookmarkStart w:id="239" w:name="_Toc184312067"/>
      <w:bookmarkEnd w:id="239"/>
      <w:bookmarkStart w:id="240" w:name="_Toc184308091"/>
      <w:bookmarkEnd w:id="240"/>
      <w:bookmarkStart w:id="241" w:name="_Toc184314417"/>
      <w:bookmarkEnd w:id="241"/>
      <w:bookmarkStart w:id="242" w:name="_Toc184308043"/>
      <w:bookmarkEnd w:id="242"/>
      <w:bookmarkStart w:id="243" w:name="_Toc184312075"/>
      <w:bookmarkEnd w:id="243"/>
      <w:bookmarkStart w:id="244" w:name="_Toc184314463"/>
      <w:bookmarkEnd w:id="244"/>
      <w:bookmarkStart w:id="245" w:name="_Toc184308040"/>
      <w:bookmarkEnd w:id="245"/>
      <w:bookmarkStart w:id="246" w:name="_Toc184308084"/>
      <w:bookmarkEnd w:id="246"/>
      <w:bookmarkStart w:id="247" w:name="_Toc184314432"/>
      <w:bookmarkEnd w:id="247"/>
      <w:bookmarkStart w:id="248" w:name="_Toc184312109"/>
      <w:bookmarkEnd w:id="248"/>
      <w:bookmarkStart w:id="249" w:name="_Toc184310310"/>
      <w:bookmarkEnd w:id="249"/>
      <w:bookmarkStart w:id="250" w:name="_Toc184313289"/>
      <w:bookmarkEnd w:id="250"/>
      <w:bookmarkStart w:id="251" w:name="_Toc184313252"/>
      <w:bookmarkEnd w:id="251"/>
      <w:bookmarkStart w:id="252" w:name="_Toc184314438"/>
      <w:bookmarkEnd w:id="252"/>
      <w:bookmarkStart w:id="253" w:name="_Toc184310341"/>
      <w:bookmarkEnd w:id="253"/>
      <w:bookmarkStart w:id="254" w:name="_Toc184313254"/>
      <w:bookmarkEnd w:id="254"/>
      <w:bookmarkStart w:id="255" w:name="_Toc184313300"/>
      <w:bookmarkEnd w:id="255"/>
      <w:bookmarkStart w:id="256" w:name="_Toc184314452"/>
      <w:bookmarkEnd w:id="256"/>
      <w:bookmarkStart w:id="257" w:name="_Toc184310288"/>
      <w:bookmarkEnd w:id="257"/>
      <w:bookmarkStart w:id="258" w:name="_Toc184313301"/>
      <w:bookmarkEnd w:id="258"/>
      <w:bookmarkStart w:id="259" w:name="_Toc184314456"/>
      <w:bookmarkEnd w:id="259"/>
      <w:bookmarkStart w:id="260" w:name="_Toc184312134"/>
      <w:bookmarkEnd w:id="260"/>
      <w:bookmarkStart w:id="261" w:name="_Toc184313306"/>
      <w:bookmarkEnd w:id="261"/>
      <w:bookmarkStart w:id="262" w:name="_Toc184312102"/>
      <w:bookmarkEnd w:id="262"/>
      <w:bookmarkStart w:id="263" w:name="_Toc184310289"/>
      <w:bookmarkEnd w:id="263"/>
      <w:bookmarkStart w:id="264" w:name="_Toc184314441"/>
      <w:bookmarkEnd w:id="264"/>
      <w:bookmarkStart w:id="265" w:name="_Toc184314436"/>
      <w:bookmarkEnd w:id="265"/>
      <w:bookmarkStart w:id="266" w:name="_Toc184308081"/>
      <w:bookmarkEnd w:id="266"/>
      <w:bookmarkStart w:id="267" w:name="_Toc184312088"/>
      <w:bookmarkEnd w:id="267"/>
      <w:bookmarkStart w:id="268" w:name="_Toc184313239"/>
      <w:bookmarkEnd w:id="268"/>
      <w:bookmarkStart w:id="269" w:name="_Toc184312139"/>
      <w:bookmarkEnd w:id="269"/>
      <w:bookmarkStart w:id="270" w:name="_Toc184308100"/>
      <w:bookmarkEnd w:id="270"/>
      <w:bookmarkStart w:id="271" w:name="_Toc184310293"/>
      <w:bookmarkEnd w:id="271"/>
      <w:bookmarkStart w:id="272" w:name="_Toc184310332"/>
      <w:bookmarkEnd w:id="272"/>
      <w:bookmarkStart w:id="273" w:name="_Toc184312128"/>
      <w:bookmarkEnd w:id="273"/>
      <w:bookmarkStart w:id="274" w:name="_Toc184313256"/>
      <w:bookmarkEnd w:id="274"/>
      <w:bookmarkStart w:id="275" w:name="_Toc184308047"/>
      <w:bookmarkEnd w:id="275"/>
      <w:bookmarkStart w:id="276" w:name="_Toc184312071"/>
      <w:bookmarkEnd w:id="276"/>
      <w:bookmarkStart w:id="277" w:name="_Toc184310286"/>
      <w:bookmarkEnd w:id="277"/>
      <w:bookmarkStart w:id="278" w:name="_Toc184312113"/>
      <w:bookmarkEnd w:id="278"/>
      <w:bookmarkStart w:id="279" w:name="_Toc184308075"/>
      <w:bookmarkEnd w:id="279"/>
      <w:bookmarkStart w:id="280" w:name="_Toc184313244"/>
      <w:bookmarkEnd w:id="280"/>
      <w:bookmarkStart w:id="281" w:name="_Toc184313288"/>
      <w:bookmarkEnd w:id="281"/>
      <w:bookmarkStart w:id="282" w:name="_Toc184314471"/>
      <w:bookmarkEnd w:id="282"/>
      <w:bookmarkStart w:id="283" w:name="_Toc184314425"/>
      <w:bookmarkEnd w:id="283"/>
      <w:bookmarkStart w:id="284" w:name="_Toc184312086"/>
      <w:bookmarkEnd w:id="284"/>
      <w:bookmarkStart w:id="285" w:name="_Toc184308039"/>
      <w:bookmarkEnd w:id="285"/>
      <w:bookmarkStart w:id="286" w:name="_Toc184312136"/>
      <w:bookmarkEnd w:id="286"/>
      <w:bookmarkStart w:id="287" w:name="_Toc184308060"/>
      <w:bookmarkEnd w:id="287"/>
      <w:bookmarkStart w:id="288" w:name="_Toc184313291"/>
      <w:bookmarkEnd w:id="288"/>
      <w:bookmarkStart w:id="289" w:name="_Toc184312125"/>
      <w:bookmarkEnd w:id="289"/>
      <w:bookmarkStart w:id="290" w:name="_Toc184313241"/>
      <w:bookmarkEnd w:id="290"/>
      <w:bookmarkStart w:id="291" w:name="_Toc184310339"/>
      <w:bookmarkEnd w:id="291"/>
      <w:bookmarkStart w:id="292" w:name="_Toc184313283"/>
      <w:bookmarkEnd w:id="292"/>
      <w:bookmarkStart w:id="293" w:name="_Toc184310338"/>
      <w:bookmarkEnd w:id="293"/>
      <w:bookmarkStart w:id="294" w:name="_Toc184313267"/>
      <w:bookmarkEnd w:id="294"/>
      <w:bookmarkStart w:id="295" w:name="_Toc184310274"/>
      <w:bookmarkEnd w:id="295"/>
      <w:bookmarkStart w:id="296" w:name="_Toc184314451"/>
      <w:bookmarkEnd w:id="296"/>
      <w:bookmarkStart w:id="297" w:name="_Toc184310281"/>
      <w:bookmarkEnd w:id="297"/>
      <w:bookmarkStart w:id="298" w:name="_Toc184310285"/>
      <w:bookmarkEnd w:id="298"/>
      <w:bookmarkStart w:id="299" w:name="_Toc184313251"/>
      <w:bookmarkEnd w:id="299"/>
      <w:bookmarkStart w:id="300" w:name="_Toc184308051"/>
      <w:bookmarkEnd w:id="300"/>
      <w:bookmarkStart w:id="301" w:name="_Toc184313260"/>
      <w:bookmarkEnd w:id="301"/>
      <w:bookmarkStart w:id="302" w:name="_Toc184313269"/>
      <w:bookmarkEnd w:id="302"/>
      <w:bookmarkStart w:id="303" w:name="_Toc184314464"/>
      <w:bookmarkEnd w:id="303"/>
      <w:bookmarkStart w:id="304" w:name="_Toc184308094"/>
      <w:bookmarkEnd w:id="304"/>
      <w:bookmarkStart w:id="305" w:name="_Toc184308102"/>
      <w:bookmarkEnd w:id="305"/>
      <w:bookmarkStart w:id="306" w:name="_Toc184313280"/>
      <w:bookmarkEnd w:id="306"/>
      <w:bookmarkStart w:id="307" w:name="_Toc184314450"/>
      <w:bookmarkEnd w:id="307"/>
      <w:bookmarkStart w:id="308" w:name="_Toc184312077"/>
      <w:bookmarkEnd w:id="308"/>
      <w:bookmarkStart w:id="309" w:name="_Toc184308044"/>
      <w:bookmarkEnd w:id="309"/>
      <w:bookmarkStart w:id="310" w:name="_Toc184313282"/>
      <w:bookmarkEnd w:id="310"/>
      <w:bookmarkStart w:id="311" w:name="_Toc184314455"/>
      <w:bookmarkEnd w:id="311"/>
      <w:bookmarkStart w:id="312" w:name="_Toc184313290"/>
      <w:bookmarkEnd w:id="312"/>
      <w:bookmarkStart w:id="313" w:name="_Toc184310282"/>
      <w:bookmarkEnd w:id="313"/>
      <w:bookmarkStart w:id="314" w:name="_Toc184313268"/>
      <w:bookmarkEnd w:id="314"/>
      <w:bookmarkStart w:id="315" w:name="_Toc184310328"/>
      <w:bookmarkEnd w:id="315"/>
      <w:bookmarkStart w:id="316" w:name="_Toc184310301"/>
      <w:bookmarkEnd w:id="316"/>
      <w:bookmarkStart w:id="317" w:name="_Toc184308069"/>
      <w:bookmarkEnd w:id="317"/>
      <w:bookmarkStart w:id="318" w:name="_Toc184308068"/>
      <w:bookmarkEnd w:id="318"/>
      <w:bookmarkStart w:id="319" w:name="_Toc184312132"/>
      <w:bookmarkEnd w:id="319"/>
      <w:bookmarkStart w:id="320" w:name="_Toc184310327"/>
      <w:bookmarkEnd w:id="320"/>
      <w:bookmarkStart w:id="321" w:name="_Toc184312079"/>
      <w:bookmarkEnd w:id="321"/>
      <w:bookmarkStart w:id="322" w:name="_Toc184310337"/>
      <w:bookmarkEnd w:id="322"/>
      <w:bookmarkStart w:id="323" w:name="_Toc184313246"/>
      <w:bookmarkEnd w:id="323"/>
      <w:bookmarkStart w:id="324" w:name="_Toc184310344"/>
      <w:bookmarkEnd w:id="324"/>
      <w:bookmarkStart w:id="325" w:name="_Toc184310342"/>
      <w:bookmarkEnd w:id="325"/>
      <w:bookmarkStart w:id="326" w:name="_Toc184308098"/>
      <w:bookmarkEnd w:id="326"/>
      <w:bookmarkStart w:id="327" w:name="_Toc184314439"/>
      <w:bookmarkEnd w:id="327"/>
      <w:bookmarkStart w:id="328" w:name="_Toc184313308"/>
      <w:bookmarkEnd w:id="328"/>
      <w:bookmarkStart w:id="329" w:name="_Toc184308076"/>
      <w:bookmarkEnd w:id="329"/>
      <w:bookmarkStart w:id="330" w:name="_Toc184312068"/>
      <w:bookmarkEnd w:id="330"/>
      <w:bookmarkStart w:id="331" w:name="_Toc184314413"/>
      <w:bookmarkEnd w:id="331"/>
      <w:bookmarkStart w:id="332" w:name="_Toc184313279"/>
      <w:bookmarkEnd w:id="332"/>
      <w:bookmarkStart w:id="333" w:name="_Toc184314482"/>
      <w:bookmarkEnd w:id="333"/>
      <w:bookmarkStart w:id="334" w:name="_Toc184314415"/>
      <w:bookmarkEnd w:id="334"/>
      <w:bookmarkStart w:id="335" w:name="_Toc184312081"/>
      <w:bookmarkEnd w:id="335"/>
      <w:bookmarkStart w:id="336" w:name="_Toc184312135"/>
      <w:bookmarkEnd w:id="336"/>
      <w:bookmarkStart w:id="337" w:name="_Toc184310316"/>
      <w:bookmarkEnd w:id="337"/>
      <w:bookmarkStart w:id="338" w:name="_Toc184313262"/>
      <w:bookmarkEnd w:id="338"/>
      <w:bookmarkStart w:id="339" w:name="_Toc184312074"/>
      <w:bookmarkEnd w:id="339"/>
      <w:bookmarkStart w:id="340" w:name="_Toc184310335"/>
      <w:bookmarkEnd w:id="340"/>
      <w:bookmarkStart w:id="341" w:name="_Toc184312080"/>
      <w:bookmarkEnd w:id="341"/>
      <w:bookmarkStart w:id="342" w:name="_Toc184314418"/>
      <w:bookmarkEnd w:id="342"/>
      <w:bookmarkStart w:id="343" w:name="_Toc184312126"/>
      <w:bookmarkEnd w:id="343"/>
      <w:bookmarkStart w:id="344" w:name="_Toc184312124"/>
      <w:bookmarkEnd w:id="344"/>
      <w:bookmarkStart w:id="345" w:name="_Toc184313305"/>
      <w:bookmarkEnd w:id="345"/>
      <w:bookmarkStart w:id="346" w:name="_Toc184312120"/>
      <w:bookmarkEnd w:id="346"/>
      <w:bookmarkStart w:id="347" w:name="_Toc184308108"/>
      <w:bookmarkEnd w:id="347"/>
      <w:bookmarkStart w:id="348" w:name="_Toc184313264"/>
      <w:bookmarkEnd w:id="348"/>
      <w:bookmarkStart w:id="349" w:name="_Toc184312095"/>
      <w:bookmarkEnd w:id="349"/>
      <w:bookmarkStart w:id="350" w:name="_Toc184314424"/>
      <w:bookmarkEnd w:id="350"/>
      <w:bookmarkStart w:id="351" w:name="_Toc184314460"/>
      <w:bookmarkEnd w:id="351"/>
      <w:bookmarkStart w:id="352" w:name="_Toc184313293"/>
      <w:bookmarkEnd w:id="352"/>
      <w:bookmarkStart w:id="353" w:name="_Toc184310304"/>
      <w:bookmarkEnd w:id="353"/>
      <w:bookmarkStart w:id="354" w:name="_Toc184310311"/>
      <w:bookmarkEnd w:id="354"/>
      <w:bookmarkStart w:id="355" w:name="_Toc184314445"/>
      <w:bookmarkEnd w:id="355"/>
      <w:bookmarkStart w:id="356" w:name="_Toc184312078"/>
      <w:bookmarkEnd w:id="356"/>
      <w:bookmarkStart w:id="357" w:name="_Toc184314422"/>
      <w:bookmarkEnd w:id="357"/>
      <w:bookmarkStart w:id="358" w:name="_Toc184312101"/>
      <w:bookmarkEnd w:id="358"/>
      <w:bookmarkStart w:id="359" w:name="_Toc184308082"/>
      <w:bookmarkEnd w:id="359"/>
      <w:bookmarkStart w:id="360" w:name="_Toc184310273"/>
      <w:bookmarkEnd w:id="360"/>
      <w:bookmarkStart w:id="361" w:name="_Toc184313274"/>
      <w:bookmarkEnd w:id="361"/>
      <w:bookmarkStart w:id="362" w:name="_Toc184314468"/>
      <w:bookmarkEnd w:id="362"/>
      <w:bookmarkStart w:id="363" w:name="_Toc184312085"/>
      <w:bookmarkEnd w:id="363"/>
      <w:bookmarkStart w:id="364" w:name="_Toc184314453"/>
      <w:bookmarkEnd w:id="364"/>
      <w:bookmarkStart w:id="365" w:name="_Toc184312123"/>
      <w:bookmarkEnd w:id="365"/>
      <w:bookmarkStart w:id="366" w:name="_Toc184313242"/>
      <w:bookmarkEnd w:id="366"/>
      <w:bookmarkStart w:id="367" w:name="_Toc184310307"/>
      <w:bookmarkEnd w:id="367"/>
      <w:bookmarkStart w:id="368" w:name="_Toc184308063"/>
      <w:bookmarkEnd w:id="368"/>
      <w:bookmarkStart w:id="369" w:name="_Toc184308037"/>
      <w:bookmarkEnd w:id="369"/>
      <w:bookmarkStart w:id="370" w:name="_Toc184310336"/>
      <w:bookmarkEnd w:id="370"/>
      <w:bookmarkStart w:id="371" w:name="_Toc184314428"/>
      <w:bookmarkEnd w:id="371"/>
      <w:bookmarkStart w:id="372" w:name="_Toc184314423"/>
      <w:bookmarkEnd w:id="372"/>
      <w:bookmarkStart w:id="373" w:name="_Toc184312091"/>
      <w:bookmarkEnd w:id="373"/>
      <w:bookmarkStart w:id="374" w:name="_Toc184313299"/>
      <w:bookmarkEnd w:id="374"/>
      <w:bookmarkStart w:id="375" w:name="_Toc184310297"/>
      <w:bookmarkEnd w:id="375"/>
      <w:bookmarkStart w:id="376" w:name="_Toc184312093"/>
      <w:bookmarkEnd w:id="376"/>
      <w:bookmarkStart w:id="377" w:name="_Toc184314481"/>
      <w:bookmarkEnd w:id="377"/>
      <w:bookmarkStart w:id="378" w:name="_Toc184313243"/>
      <w:bookmarkEnd w:id="378"/>
      <w:bookmarkStart w:id="379" w:name="_Toc184308042"/>
      <w:bookmarkEnd w:id="379"/>
      <w:bookmarkStart w:id="380" w:name="_Toc184310343"/>
      <w:bookmarkEnd w:id="380"/>
      <w:bookmarkStart w:id="381" w:name="_Toc184314462"/>
      <w:bookmarkEnd w:id="381"/>
      <w:bookmarkStart w:id="382" w:name="_Toc184314412"/>
      <w:bookmarkEnd w:id="382"/>
      <w:bookmarkStart w:id="383" w:name="_Toc184312069"/>
      <w:bookmarkEnd w:id="383"/>
      <w:bookmarkStart w:id="384" w:name="_Toc184310292"/>
      <w:bookmarkEnd w:id="384"/>
      <w:bookmarkStart w:id="385" w:name="_Toc184313284"/>
      <w:bookmarkEnd w:id="385"/>
      <w:bookmarkStart w:id="386" w:name="_Toc184308038"/>
      <w:bookmarkEnd w:id="386"/>
      <w:bookmarkStart w:id="387" w:name="_Toc184310334"/>
      <w:bookmarkEnd w:id="387"/>
      <w:bookmarkStart w:id="388" w:name="_Toc184313249"/>
      <w:bookmarkEnd w:id="388"/>
      <w:bookmarkStart w:id="389" w:name="_Toc184308106"/>
      <w:bookmarkEnd w:id="389"/>
      <w:bookmarkStart w:id="390" w:name="_Toc184308078"/>
      <w:bookmarkEnd w:id="390"/>
      <w:bookmarkStart w:id="391" w:name="_Toc184313270"/>
      <w:bookmarkEnd w:id="391"/>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w:t>
      </w: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w:t>
      </w:r>
      <w:r>
        <w:rPr>
          <w:rFonts w:hint="eastAsia" w:ascii="宋体" w:hAnsi="宋体" w:cs="宋体"/>
          <w:kern w:val="0"/>
          <w:sz w:val="24"/>
          <w:lang w:eastAsia="zh-CN"/>
        </w:rPr>
        <w:t>，</w:t>
      </w:r>
      <w:r>
        <w:rPr>
          <w:rFonts w:hint="eastAsia" w:ascii="宋体" w:hAnsi="宋体" w:cs="宋体"/>
          <w:kern w:val="0"/>
          <w:sz w:val="24"/>
          <w:lang w:val="en-US" w:eastAsia="zh-CN"/>
        </w:rPr>
        <w:t>推荐2名中标候选人。</w:t>
      </w:r>
      <w:r>
        <w:rPr>
          <w:rFonts w:hint="eastAsia" w:ascii="宋体" w:hAnsi="宋体" w:cs="宋体"/>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auto"/>
          <w:kern w:val="0"/>
          <w:szCs w:val="24"/>
          <w:lang w:val="en-US" w:eastAsia="zh-CN"/>
        </w:rPr>
        <w:t>如果投标人拒绝或逾期回复，评标委员会将对其作出不利的评审。</w:t>
      </w:r>
      <w:r>
        <w:rPr>
          <w:rFonts w:hint="eastAsia" w:ascii="宋体" w:hAnsi="宋体" w:cs="宋体"/>
          <w:kern w:val="0"/>
          <w:szCs w:val="24"/>
        </w:rPr>
        <w:t>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rPr>
          <w:rFonts w:hint="eastAsia" w:cs="宋体"/>
        </w:rPr>
      </w:pPr>
    </w:p>
    <w:p>
      <w:pPr>
        <w:pStyle w:val="25"/>
        <w:snapToGrid w:val="0"/>
        <w:spacing w:line="360" w:lineRule="auto"/>
        <w:rPr>
          <w:rFonts w:hint="eastAsia" w:cs="宋体"/>
        </w:rPr>
      </w:pPr>
    </w:p>
    <w:p>
      <w:pPr>
        <w:pStyle w:val="25"/>
        <w:snapToGrid w:val="0"/>
        <w:spacing w:line="360" w:lineRule="auto"/>
        <w:rPr>
          <w:rFonts w:hint="eastAsia" w:cs="宋体"/>
        </w:rPr>
      </w:pPr>
    </w:p>
    <w:p>
      <w:pPr>
        <w:pStyle w:val="25"/>
        <w:snapToGrid w:val="0"/>
        <w:spacing w:line="360" w:lineRule="auto"/>
        <w:rPr>
          <w:rFonts w:hint="eastAsia" w:cs="宋体"/>
        </w:rPr>
      </w:pPr>
    </w:p>
    <w:bookmarkEnd w:id="26"/>
    <w:p>
      <w:pPr>
        <w:spacing w:line="360" w:lineRule="auto"/>
        <w:ind w:left="720" w:leftChars="343" w:firstLine="1084" w:firstLineChars="300"/>
        <w:outlineLvl w:val="0"/>
        <w:rPr>
          <w:rFonts w:hint="eastAsia" w:ascii="宋体" w:hAnsi="宋体" w:cs="宋体"/>
          <w:b/>
          <w:sz w:val="36"/>
          <w:szCs w:val="36"/>
        </w:rPr>
      </w:pPr>
      <w:bookmarkStart w:id="392" w:name="第五部分"/>
      <w:bookmarkStart w:id="393" w:name="_Toc86217003"/>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1"/>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sz w:val="24"/>
        </w:rPr>
      </w:pPr>
    </w:p>
    <w:p>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温州市司法局（温州市行政复议局）</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val="en" w:eastAsia="zh-CN"/>
        </w:rPr>
        <w:t>温州市司法局综合物业管理服务采购项目</w:t>
      </w:r>
      <w:r>
        <w:rPr>
          <w:rFonts w:hint="eastAsia" w:ascii="宋体" w:hAnsi="宋体"/>
          <w:color w:val="auto"/>
          <w:sz w:val="24"/>
        </w:rPr>
        <w:t>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w:t>
      </w:r>
      <w:r>
        <w:rPr>
          <w:rFonts w:hint="eastAsia" w:ascii="宋体" w:hAnsi="宋体"/>
          <w:color w:val="auto"/>
          <w:sz w:val="24"/>
          <w:lang w:val="en-US" w:eastAsia="zh-CN"/>
        </w:rPr>
        <w:t>30</w:t>
      </w:r>
      <w:r>
        <w:rPr>
          <w:rFonts w:hint="eastAsia" w:ascii="宋体" w:hAnsi="宋体"/>
          <w:color w:val="auto"/>
          <w:sz w:val="24"/>
        </w:rPr>
        <w:t>日内，按照采购文件确定的事项签订本合同。</w:t>
      </w:r>
    </w:p>
    <w:p>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温州市司法局（温州市行政复议局）</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lang w:val="en-US" w:eastAsia="zh-CN"/>
        </w:rPr>
        <w:t>标</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w:t>
      </w:r>
      <w:r>
        <w:rPr>
          <w:rFonts w:ascii="宋体" w:hAnsi="宋体"/>
          <w:sz w:val="24"/>
          <w:lang w:val="zh-CN"/>
        </w:rPr>
        <w:t>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4" w:name="_Toc15367"/>
      <w:bookmarkStart w:id="395" w:name="_Toc22967"/>
      <w:bookmarkStart w:id="396" w:name="_Toc19273"/>
      <w:bookmarkStart w:id="397" w:name="_Toc20421"/>
      <w:bookmarkStart w:id="398" w:name="_Toc28855"/>
      <w:r>
        <w:rPr>
          <w:rFonts w:ascii="宋体" w:hAnsi="宋体"/>
          <w:b/>
          <w:sz w:val="24"/>
        </w:rPr>
        <w:t xml:space="preserve">1.1 </w:t>
      </w:r>
      <w:r>
        <w:rPr>
          <w:rFonts w:hint="eastAsia" w:ascii="宋体" w:hAnsi="宋体"/>
          <w:b/>
          <w:sz w:val="24"/>
        </w:rPr>
        <w:t>合同组成部分</w:t>
      </w:r>
      <w:bookmarkEnd w:id="394"/>
      <w:bookmarkEnd w:id="395"/>
      <w:bookmarkEnd w:id="396"/>
      <w:bookmarkEnd w:id="397"/>
      <w:bookmarkEnd w:id="398"/>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399" w:name="_Toc22185"/>
      <w:bookmarkStart w:id="400" w:name="_Toc2918"/>
      <w:bookmarkStart w:id="401" w:name="_Toc18585"/>
      <w:bookmarkStart w:id="402" w:name="_Toc6311"/>
      <w:bookmarkStart w:id="403" w:name="_Toc6773"/>
      <w:r>
        <w:rPr>
          <w:rFonts w:ascii="宋体" w:hAnsi="宋体"/>
          <w:b/>
          <w:sz w:val="24"/>
        </w:rPr>
        <w:t xml:space="preserve">1.2 </w:t>
      </w:r>
      <w:r>
        <w:rPr>
          <w:rFonts w:hint="eastAsia" w:ascii="宋体" w:hAnsi="宋体"/>
          <w:b/>
          <w:sz w:val="24"/>
        </w:rPr>
        <w:t>标的</w:t>
      </w:r>
      <w:bookmarkEnd w:id="399"/>
      <w:bookmarkEnd w:id="400"/>
      <w:bookmarkEnd w:id="401"/>
      <w:bookmarkEnd w:id="402"/>
      <w:bookmarkEnd w:id="403"/>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4" w:name="_Toc5635"/>
      <w:bookmarkStart w:id="405" w:name="_Toc13918"/>
      <w:bookmarkStart w:id="406" w:name="_Toc1386"/>
      <w:bookmarkStart w:id="407" w:name="_Toc21124"/>
      <w:bookmarkStart w:id="408"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4"/>
      <w:bookmarkEnd w:id="405"/>
      <w:bookmarkEnd w:id="406"/>
      <w:bookmarkEnd w:id="407"/>
      <w:bookmarkEnd w:id="408"/>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sz w:val="24"/>
                <w:szCs w:val="24"/>
              </w:rPr>
            </w:pPr>
            <w:r>
              <w:rPr>
                <w:rFonts w:hAnsi="宋体"/>
                <w:sz w:val="24"/>
                <w:szCs w:val="24"/>
              </w:rPr>
              <w:t>序号</w:t>
            </w:r>
          </w:p>
        </w:tc>
        <w:tc>
          <w:tcPr>
            <w:tcW w:w="3402" w:type="dxa"/>
            <w:vAlign w:val="center"/>
          </w:tcPr>
          <w:p>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9"/>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19"/>
              <w:spacing w:line="560" w:lineRule="exact"/>
              <w:ind w:firstLine="200"/>
              <w:jc w:val="center"/>
              <w:rPr>
                <w:rFonts w:hAnsi="宋体"/>
                <w:sz w:val="24"/>
                <w:szCs w:val="24"/>
              </w:rPr>
            </w:pPr>
          </w:p>
        </w:tc>
        <w:tc>
          <w:tcPr>
            <w:tcW w:w="3402" w:type="dxa"/>
            <w:vAlign w:val="center"/>
          </w:tcPr>
          <w:p>
            <w:pPr>
              <w:pStyle w:val="319"/>
              <w:spacing w:line="560" w:lineRule="exact"/>
              <w:ind w:firstLine="200"/>
              <w:jc w:val="center"/>
              <w:rPr>
                <w:rFonts w:hAnsi="宋体"/>
                <w:sz w:val="24"/>
                <w:szCs w:val="24"/>
              </w:rPr>
            </w:pPr>
          </w:p>
        </w:tc>
        <w:tc>
          <w:tcPr>
            <w:tcW w:w="2552" w:type="dxa"/>
            <w:vAlign w:val="center"/>
          </w:tcPr>
          <w:p>
            <w:pPr>
              <w:pStyle w:val="31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9"/>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09" w:name="_Toc26916"/>
      <w:bookmarkStart w:id="410" w:name="_Toc30506"/>
      <w:bookmarkStart w:id="411" w:name="_Toc3654"/>
      <w:bookmarkStart w:id="412" w:name="_Toc14993"/>
      <w:bookmarkStart w:id="413"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9"/>
    <w:bookmarkEnd w:id="410"/>
    <w:bookmarkEnd w:id="411"/>
    <w:bookmarkEnd w:id="412"/>
    <w:bookmarkEnd w:id="413"/>
    <w:p>
      <w:pPr>
        <w:pStyle w:val="958"/>
        <w:spacing w:before="0" w:beforeAutospacing="0" w:after="0" w:afterAutospacing="0" w:line="360" w:lineRule="auto"/>
        <w:ind w:firstLine="480"/>
        <w:rPr>
          <w:b/>
        </w:rPr>
      </w:pPr>
      <w:bookmarkStart w:id="414" w:name="_Toc10340"/>
      <w:bookmarkStart w:id="415" w:name="_Toc22618"/>
      <w:bookmarkStart w:id="416" w:name="_Toc1814"/>
      <w:bookmarkStart w:id="417" w:name="_Toc3625"/>
      <w:bookmarkStart w:id="418" w:name="_Toc11108"/>
      <w:bookmarkStart w:id="419" w:name="_Toc8772"/>
      <w:bookmarkStart w:id="420" w:name="_Toc4760"/>
      <w:bookmarkStart w:id="421" w:name="_Toc31421"/>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4"/>
      <w:bookmarkEnd w:id="415"/>
      <w:bookmarkEnd w:id="416"/>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w:t>
      </w:r>
      <w:r>
        <w:rPr>
          <w:rFonts w:hint="eastAsia"/>
          <w:color w:val="auto"/>
          <w:lang w:val="en-US" w:eastAsia="zh-CN"/>
        </w:rPr>
        <w:t>7</w:t>
      </w:r>
      <w:r>
        <w:rPr>
          <w:rFonts w:hint="eastAsia"/>
          <w:color w:val="auto"/>
        </w:rPr>
        <w:t>个工作日</w:t>
      </w:r>
      <w:r>
        <w:rPr>
          <w:rFonts w:hint="eastAsia"/>
        </w:rPr>
        <w:t>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7"/>
      <w:bookmarkEnd w:id="418"/>
      <w:bookmarkEnd w:id="419"/>
      <w:bookmarkEnd w:id="420"/>
      <w:bookmarkEnd w:id="421"/>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2" w:name="_Toc5698"/>
      <w:bookmarkStart w:id="423" w:name="_Toc8586"/>
      <w:bookmarkStart w:id="424" w:name="_Toc2375"/>
      <w:bookmarkStart w:id="425" w:name="_Toc3079"/>
      <w:bookmarkStart w:id="426" w:name="_Toc24662"/>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2"/>
      <w:bookmarkEnd w:id="423"/>
      <w:bookmarkEnd w:id="424"/>
      <w:bookmarkEnd w:id="425"/>
      <w:bookmarkEnd w:id="426"/>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7" w:name="_Toc32454"/>
      <w:bookmarkStart w:id="428" w:name="_Toc9497"/>
      <w:bookmarkStart w:id="429" w:name="_Toc30329"/>
      <w:bookmarkStart w:id="430" w:name="_Toc18683"/>
      <w:bookmarkStart w:id="431"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7"/>
    <w:bookmarkEnd w:id="428"/>
    <w:bookmarkEnd w:id="429"/>
    <w:bookmarkEnd w:id="430"/>
    <w:bookmarkEnd w:id="431"/>
    <w:p>
      <w:pPr>
        <w:spacing w:line="560" w:lineRule="exact"/>
        <w:ind w:firstLine="482" w:firstLineChars="200"/>
        <w:outlineLvl w:val="0"/>
        <w:rPr>
          <w:rFonts w:ascii="宋体" w:hAnsi="宋体" w:cs="宋体"/>
          <w:b/>
          <w:sz w:val="24"/>
        </w:rPr>
      </w:pPr>
      <w:bookmarkStart w:id="432" w:name="_Toc28375"/>
      <w:bookmarkStart w:id="433" w:name="_Toc15583"/>
      <w:bookmarkStart w:id="434" w:name="_Toc16021"/>
      <w:r>
        <w:rPr>
          <w:rFonts w:hint="eastAsia" w:ascii="宋体" w:hAnsi="宋体" w:cs="宋体"/>
          <w:b/>
          <w:sz w:val="24"/>
        </w:rPr>
        <w:t>1.9合同争议的解决</w:t>
      </w:r>
      <w:bookmarkEnd w:id="432"/>
      <w:bookmarkEnd w:id="433"/>
      <w:bookmarkEnd w:id="43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5" w:name="_Toc11173"/>
      <w:bookmarkStart w:id="436" w:name="_Toc15322"/>
      <w:bookmarkStart w:id="437" w:name="_Toc7245"/>
      <w:r>
        <w:rPr>
          <w:rFonts w:hint="eastAsia" w:ascii="宋体" w:hAnsi="宋体" w:cs="宋体"/>
          <w:b/>
          <w:sz w:val="24"/>
        </w:rPr>
        <w:t>2.0 合同生效</w:t>
      </w:r>
      <w:bookmarkEnd w:id="435"/>
      <w:bookmarkEnd w:id="436"/>
      <w:bookmarkEnd w:id="437"/>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8" w:name="_Toc25079"/>
      <w:bookmarkStart w:id="439" w:name="_Toc14021"/>
      <w:bookmarkStart w:id="440" w:name="_Toc5228"/>
      <w:bookmarkStart w:id="441" w:name="_Toc19680"/>
      <w:bookmarkStart w:id="442" w:name="_Toc31297"/>
      <w:r>
        <w:rPr>
          <w:rFonts w:ascii="宋体" w:hAnsi="宋体"/>
          <w:b/>
          <w:sz w:val="24"/>
        </w:rPr>
        <w:t>2.1 定义</w:t>
      </w:r>
      <w:bookmarkEnd w:id="438"/>
      <w:bookmarkEnd w:id="439"/>
      <w:bookmarkEnd w:id="440"/>
      <w:bookmarkEnd w:id="441"/>
      <w:bookmarkEnd w:id="442"/>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3" w:name="_Toc3769"/>
      <w:bookmarkStart w:id="444" w:name="_Toc23289"/>
      <w:bookmarkStart w:id="445" w:name="_Toc31402"/>
      <w:bookmarkStart w:id="446" w:name="_Toc19539"/>
      <w:bookmarkStart w:id="447" w:name="_Toc16752"/>
      <w:r>
        <w:rPr>
          <w:rFonts w:ascii="宋体" w:hAnsi="宋体"/>
          <w:b/>
          <w:sz w:val="24"/>
        </w:rPr>
        <w:t>2.2 技术规范</w:t>
      </w:r>
      <w:bookmarkEnd w:id="443"/>
      <w:bookmarkEnd w:id="444"/>
      <w:bookmarkEnd w:id="445"/>
      <w:bookmarkEnd w:id="446"/>
      <w:bookmarkEnd w:id="447"/>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8" w:name="_Toc4133"/>
      <w:bookmarkStart w:id="449" w:name="_Toc9161"/>
      <w:bookmarkStart w:id="450" w:name="_Toc12412"/>
      <w:bookmarkStart w:id="451" w:name="_Toc13673"/>
      <w:bookmarkStart w:id="452" w:name="_Toc27945"/>
      <w:r>
        <w:rPr>
          <w:rFonts w:ascii="宋体" w:hAnsi="宋体"/>
          <w:b/>
          <w:sz w:val="24"/>
        </w:rPr>
        <w:t>2.3 知识产权</w:t>
      </w:r>
      <w:bookmarkEnd w:id="448"/>
      <w:bookmarkEnd w:id="449"/>
      <w:bookmarkEnd w:id="450"/>
      <w:bookmarkEnd w:id="451"/>
      <w:bookmarkEnd w:id="452"/>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3" w:name="_Toc15447"/>
      <w:bookmarkStart w:id="454" w:name="_Toc31233"/>
      <w:bookmarkStart w:id="455" w:name="_Toc32670"/>
      <w:bookmarkStart w:id="456" w:name="_Toc22011"/>
      <w:bookmarkStart w:id="457" w:name="_Toc26555"/>
      <w:r>
        <w:rPr>
          <w:rFonts w:ascii="宋体" w:hAnsi="宋体"/>
          <w:b/>
          <w:sz w:val="24"/>
        </w:rPr>
        <w:t>2.5 结算方式和付款条件</w:t>
      </w:r>
      <w:bookmarkEnd w:id="453"/>
      <w:bookmarkEnd w:id="454"/>
      <w:bookmarkEnd w:id="455"/>
      <w:bookmarkEnd w:id="456"/>
      <w:bookmarkEnd w:id="457"/>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8" w:name="_Toc13467"/>
      <w:bookmarkStart w:id="459" w:name="_Toc18990"/>
      <w:bookmarkStart w:id="460" w:name="_Toc13154"/>
      <w:bookmarkStart w:id="461" w:name="_Toc16163"/>
      <w:bookmarkStart w:id="462" w:name="_Toc30507"/>
      <w:r>
        <w:rPr>
          <w:rFonts w:ascii="宋体" w:hAnsi="宋体"/>
          <w:b/>
          <w:sz w:val="24"/>
        </w:rPr>
        <w:t>2.6 技术资料和保密义务</w:t>
      </w:r>
      <w:bookmarkEnd w:id="458"/>
      <w:bookmarkEnd w:id="459"/>
      <w:bookmarkEnd w:id="460"/>
      <w:bookmarkEnd w:id="461"/>
      <w:bookmarkEnd w:id="462"/>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3" w:name="_Toc19069"/>
      <w:r>
        <w:rPr>
          <w:rFonts w:ascii="宋体" w:hAnsi="宋体"/>
          <w:b/>
          <w:sz w:val="24"/>
        </w:rPr>
        <w:t xml:space="preserve">2.7 </w:t>
      </w:r>
      <w:r>
        <w:rPr>
          <w:rFonts w:hint="eastAsia" w:ascii="宋体" w:hAnsi="宋体"/>
          <w:b/>
          <w:sz w:val="24"/>
        </w:rPr>
        <w:t>质量保证</w:t>
      </w:r>
      <w:bookmarkEnd w:id="463"/>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4" w:name="_Toc22267"/>
      <w:r>
        <w:rPr>
          <w:rFonts w:ascii="宋体" w:hAnsi="宋体"/>
          <w:b/>
          <w:sz w:val="24"/>
        </w:rPr>
        <w:t xml:space="preserve">2.8 </w:t>
      </w:r>
      <w:r>
        <w:rPr>
          <w:rFonts w:hint="eastAsia" w:ascii="宋体" w:hAnsi="宋体"/>
          <w:b/>
          <w:sz w:val="24"/>
        </w:rPr>
        <w:t>延迟履行</w:t>
      </w:r>
      <w:bookmarkEnd w:id="464"/>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5" w:name="_Toc10611"/>
      <w:r>
        <w:rPr>
          <w:rFonts w:ascii="宋体" w:hAnsi="宋体"/>
          <w:b/>
          <w:sz w:val="24"/>
        </w:rPr>
        <w:t xml:space="preserve">2.9 </w:t>
      </w:r>
      <w:r>
        <w:rPr>
          <w:rFonts w:hint="eastAsia" w:ascii="宋体" w:hAnsi="宋体"/>
          <w:b/>
          <w:sz w:val="24"/>
        </w:rPr>
        <w:t>合同变更</w:t>
      </w:r>
      <w:bookmarkEnd w:id="465"/>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6" w:name="_Toc42"/>
      <w:bookmarkStart w:id="467" w:name="_Toc10663"/>
      <w:bookmarkStart w:id="468" w:name="_Toc21830"/>
      <w:bookmarkStart w:id="469" w:name="_Toc26689"/>
      <w:bookmarkStart w:id="470" w:name="_Toc23368"/>
      <w:r>
        <w:rPr>
          <w:rFonts w:ascii="宋体" w:hAnsi="宋体"/>
          <w:b/>
          <w:sz w:val="24"/>
        </w:rPr>
        <w:t>2.10 合同转让和分包</w:t>
      </w:r>
      <w:bookmarkEnd w:id="466"/>
      <w:bookmarkEnd w:id="467"/>
      <w:bookmarkEnd w:id="468"/>
      <w:bookmarkEnd w:id="469"/>
      <w:bookmarkEnd w:id="470"/>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1" w:name="_Toc26633"/>
      <w:bookmarkStart w:id="472" w:name="_Toc4720"/>
      <w:bookmarkStart w:id="473" w:name="_Toc25571"/>
      <w:bookmarkStart w:id="474" w:name="_Toc14371"/>
      <w:bookmarkStart w:id="475" w:name="_Toc32494"/>
      <w:r>
        <w:rPr>
          <w:rFonts w:ascii="宋体" w:hAnsi="宋体"/>
          <w:b/>
          <w:sz w:val="24"/>
        </w:rPr>
        <w:t>2.11 不可抗力</w:t>
      </w:r>
      <w:bookmarkEnd w:id="471"/>
      <w:bookmarkEnd w:id="472"/>
      <w:bookmarkEnd w:id="473"/>
      <w:bookmarkEnd w:id="474"/>
      <w:bookmarkEnd w:id="475"/>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6" w:name="_Toc23854"/>
      <w:bookmarkStart w:id="477" w:name="_Toc14115"/>
      <w:bookmarkStart w:id="478" w:name="_Toc3638"/>
      <w:bookmarkStart w:id="479" w:name="_Toc24465"/>
      <w:bookmarkStart w:id="480" w:name="_Toc25783"/>
      <w:r>
        <w:rPr>
          <w:rFonts w:ascii="宋体" w:hAnsi="宋体"/>
          <w:b/>
          <w:sz w:val="24"/>
        </w:rPr>
        <w:t>2.12 税费</w:t>
      </w:r>
      <w:bookmarkEnd w:id="476"/>
      <w:bookmarkEnd w:id="477"/>
      <w:bookmarkEnd w:id="478"/>
      <w:bookmarkEnd w:id="479"/>
      <w:bookmarkEnd w:id="480"/>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1" w:name="_Toc26883"/>
      <w:bookmarkStart w:id="482" w:name="_Toc14814"/>
      <w:bookmarkStart w:id="483" w:name="_Toc30105"/>
      <w:bookmarkStart w:id="484" w:name="_Toc25525"/>
      <w:bookmarkStart w:id="485" w:name="_Toc7315"/>
      <w:r>
        <w:rPr>
          <w:rFonts w:ascii="宋体" w:hAnsi="宋体"/>
          <w:b/>
          <w:sz w:val="24"/>
        </w:rPr>
        <w:t>2.13 乙方破产</w:t>
      </w:r>
      <w:bookmarkEnd w:id="481"/>
      <w:bookmarkEnd w:id="482"/>
      <w:bookmarkEnd w:id="483"/>
      <w:bookmarkEnd w:id="484"/>
      <w:bookmarkEnd w:id="485"/>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6" w:name="_Toc23323"/>
      <w:bookmarkStart w:id="487" w:name="_Toc2016"/>
      <w:bookmarkStart w:id="488" w:name="_Toc1123"/>
      <w:r>
        <w:rPr>
          <w:rFonts w:ascii="宋体" w:hAnsi="宋体"/>
          <w:b/>
          <w:sz w:val="24"/>
        </w:rPr>
        <w:t>2.14 合同中止、终止</w:t>
      </w:r>
      <w:bookmarkEnd w:id="486"/>
      <w:bookmarkEnd w:id="487"/>
      <w:bookmarkEnd w:id="488"/>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89" w:name="_Toc14525"/>
      <w:bookmarkStart w:id="490" w:name="_Toc1969"/>
      <w:bookmarkStart w:id="491" w:name="_Toc17363"/>
      <w:r>
        <w:rPr>
          <w:rFonts w:ascii="宋体" w:hAnsi="宋体"/>
          <w:b/>
          <w:sz w:val="24"/>
        </w:rPr>
        <w:t>2.15 检验和验收</w:t>
      </w:r>
      <w:bookmarkEnd w:id="489"/>
      <w:bookmarkEnd w:id="490"/>
      <w:bookmarkEnd w:id="491"/>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2" w:name="_Toc25198"/>
      <w:bookmarkStart w:id="493" w:name="_Toc2308"/>
      <w:bookmarkStart w:id="494" w:name="_Toc12666"/>
      <w:bookmarkStart w:id="495" w:name="_Toc31892"/>
      <w:bookmarkStart w:id="496" w:name="_Toc9808"/>
      <w:r>
        <w:rPr>
          <w:rFonts w:ascii="宋体" w:hAnsi="宋体"/>
          <w:b/>
          <w:sz w:val="24"/>
        </w:rPr>
        <w:t>2.16 通知和送达</w:t>
      </w:r>
      <w:bookmarkEnd w:id="492"/>
      <w:bookmarkEnd w:id="493"/>
      <w:bookmarkEnd w:id="494"/>
      <w:bookmarkEnd w:id="495"/>
      <w:bookmarkEnd w:id="496"/>
    </w:p>
    <w:p>
      <w:pPr>
        <w:spacing w:line="560" w:lineRule="exact"/>
        <w:ind w:firstLine="480" w:firstLineChars="200"/>
        <w:rPr>
          <w:rFonts w:ascii="宋体" w:hAnsi="宋体"/>
          <w:sz w:val="24"/>
        </w:rPr>
      </w:pPr>
      <w:bookmarkStart w:id="497" w:name="_Toc18401"/>
      <w:bookmarkStart w:id="498"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7"/>
      <w:bookmarkEnd w:id="498"/>
    </w:p>
    <w:p>
      <w:pPr>
        <w:spacing w:line="560" w:lineRule="exact"/>
        <w:ind w:firstLine="482" w:firstLineChars="200"/>
        <w:outlineLvl w:val="0"/>
        <w:rPr>
          <w:rFonts w:ascii="宋体" w:hAnsi="宋体"/>
          <w:b/>
          <w:sz w:val="24"/>
        </w:rPr>
      </w:pPr>
      <w:bookmarkStart w:id="499" w:name="_Toc5063"/>
      <w:bookmarkStart w:id="500" w:name="_Toc12254"/>
      <w:bookmarkStart w:id="501" w:name="_Toc27644"/>
      <w:bookmarkStart w:id="502" w:name="_Toc28906"/>
      <w:bookmarkStart w:id="503"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9"/>
      <w:bookmarkEnd w:id="500"/>
      <w:bookmarkEnd w:id="501"/>
      <w:bookmarkEnd w:id="502"/>
      <w:bookmarkEnd w:id="503"/>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4" w:name="_Toc30599"/>
      <w:bookmarkStart w:id="505" w:name="_Toc4355"/>
      <w:bookmarkStart w:id="506" w:name="_Toc18540"/>
      <w:r>
        <w:rPr>
          <w:rFonts w:hint="eastAsia" w:ascii="宋体" w:hAnsi="宋体" w:cs="宋体"/>
          <w:b/>
          <w:sz w:val="24"/>
        </w:rPr>
        <w:t>2.18 计量单位</w:t>
      </w:r>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kern w:val="0"/>
        </w:rPr>
        <w:br w:type="page"/>
      </w:r>
      <w:bookmarkStart w:id="507" w:name="_Toc331685784"/>
      <w:r>
        <w:rPr>
          <w:rFonts w:hint="eastAsia" w:ascii="宋体" w:hAnsi="宋体" w:cs="宋体"/>
          <w:b/>
          <w:color w:val="000000" w:themeColor="text1"/>
          <w:sz w:val="24"/>
          <w14:textFill>
            <w14:solidFill>
              <w14:schemeClr w14:val="tx1"/>
            </w14:solidFill>
          </w14:textFill>
        </w:rPr>
        <w:t xml:space="preserve"> </w:t>
      </w:r>
      <w:bookmarkEnd w:id="507"/>
      <w:r>
        <w:rPr>
          <w:rFonts w:hint="eastAsia" w:ascii="宋体" w:hAnsi="宋体" w:cs="宋体"/>
          <w:b/>
          <w:color w:val="000000" w:themeColor="text1"/>
          <w:sz w:val="24"/>
          <w14:textFill>
            <w14:solidFill>
              <w14:schemeClr w14:val="tx1"/>
            </w14:solidFill>
          </w14:textFill>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4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3"/>
        <w:gridCol w:w="8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3"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44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26" w:hRule="atLeast"/>
        </w:trPr>
        <w:tc>
          <w:tcPr>
            <w:tcW w:w="973"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440" w:type="dxa"/>
            <w:vAlign w:val="center"/>
          </w:tcPr>
          <w:p>
            <w:pPr>
              <w:spacing w:line="560" w:lineRule="exact"/>
              <w:jc w:val="both"/>
              <w:rPr>
                <w:rFonts w:ascii="宋体" w:hAnsi="宋体" w:cs="宋体"/>
                <w:color w:val="auto"/>
                <w:sz w:val="24"/>
                <w:highlight w:val="none"/>
              </w:rPr>
            </w:pPr>
            <w:r>
              <w:rPr>
                <w:rFonts w:hint="eastAsia" w:ascii="宋体" w:hAnsi="宋体" w:eastAsia="宋体" w:cs="宋体"/>
                <w:color w:val="0C0C0C"/>
                <w:sz w:val="24"/>
                <w:szCs w:val="24"/>
                <w:lang w:val="en-US" w:eastAsia="zh-CN"/>
              </w:rPr>
              <w:t>服务工作量的计量方式为12个月。</w:t>
            </w:r>
            <w:r>
              <w:rPr>
                <w:rFonts w:hint="eastAsia" w:ascii="宋体" w:hAnsi="宋体" w:cs="宋体"/>
                <w:color w:val="0C0C0C"/>
                <w:sz w:val="24"/>
                <w:szCs w:val="24"/>
                <w:lang w:val="en-US" w:eastAsia="zh-CN"/>
              </w:rPr>
              <w:t>服务</w:t>
            </w:r>
            <w:r>
              <w:rPr>
                <w:rFonts w:hint="eastAsia" w:ascii="宋体" w:hAnsi="宋体" w:eastAsia="宋体" w:cs="宋体"/>
                <w:color w:val="0C0C0C"/>
                <w:sz w:val="24"/>
                <w:szCs w:val="24"/>
                <w:lang w:val="en-US" w:eastAsia="zh-CN"/>
              </w:rPr>
              <w:t>期为合同签订之日起至2025年</w:t>
            </w:r>
            <w:r>
              <w:rPr>
                <w:rFonts w:hint="eastAsia" w:ascii="宋体" w:hAnsi="宋体" w:cs="宋体"/>
                <w:color w:val="0C0C0C"/>
                <w:sz w:val="24"/>
                <w:szCs w:val="24"/>
                <w:lang w:val="en-US" w:eastAsia="zh-CN"/>
              </w:rPr>
              <w:t>5</w:t>
            </w:r>
            <w:r>
              <w:rPr>
                <w:rFonts w:hint="eastAsia" w:ascii="宋体" w:hAnsi="宋体" w:eastAsia="宋体" w:cs="宋体"/>
                <w:color w:val="0C0C0C"/>
                <w:sz w:val="24"/>
                <w:szCs w:val="24"/>
                <w:lang w:val="en-US" w:eastAsia="zh-CN"/>
              </w:rPr>
              <w:t>月</w:t>
            </w:r>
            <w:r>
              <w:rPr>
                <w:rFonts w:hint="eastAsia" w:ascii="宋体" w:hAnsi="宋体" w:cs="宋体"/>
                <w:color w:val="0C0C0C"/>
                <w:sz w:val="24"/>
                <w:szCs w:val="24"/>
                <w:lang w:val="en-US" w:eastAsia="zh-CN"/>
              </w:rPr>
              <w:t>3</w:t>
            </w:r>
            <w:r>
              <w:rPr>
                <w:rFonts w:hint="eastAsia" w:ascii="宋体" w:hAnsi="宋体" w:eastAsia="宋体" w:cs="宋体"/>
                <w:color w:val="0C0C0C"/>
                <w:sz w:val="24"/>
                <w:szCs w:val="24"/>
                <w:lang w:val="en-US" w:eastAsia="zh-CN"/>
              </w:rPr>
              <w:t>1日止，如中标人不是原供应商，原供应商2024年</w:t>
            </w:r>
            <w:r>
              <w:rPr>
                <w:rFonts w:hint="eastAsia" w:ascii="宋体" w:hAnsi="宋体" w:cs="宋体"/>
                <w:color w:val="0C0C0C"/>
                <w:sz w:val="24"/>
                <w:szCs w:val="24"/>
                <w:lang w:val="en-US" w:eastAsia="zh-CN"/>
              </w:rPr>
              <w:t>6</w:t>
            </w:r>
            <w:r>
              <w:rPr>
                <w:rFonts w:hint="eastAsia" w:ascii="宋体" w:hAnsi="宋体" w:eastAsia="宋体" w:cs="宋体"/>
                <w:color w:val="0C0C0C"/>
                <w:sz w:val="24"/>
                <w:szCs w:val="24"/>
                <w:lang w:val="en-US" w:eastAsia="zh-CN"/>
              </w:rPr>
              <w:t>月1日至合同签订之日所产生的费用，由中标人支付，费用标准以本项目报价单日均价计算。所产生的一切责任及经济纠纷由采购人负责。本项目报价服务要求为2024年</w:t>
            </w:r>
            <w:r>
              <w:rPr>
                <w:rFonts w:hint="eastAsia" w:ascii="宋体" w:hAnsi="宋体" w:cs="宋体"/>
                <w:color w:val="0C0C0C"/>
                <w:sz w:val="24"/>
                <w:szCs w:val="24"/>
                <w:lang w:val="en-US" w:eastAsia="zh-CN"/>
              </w:rPr>
              <w:t>6</w:t>
            </w:r>
            <w:r>
              <w:rPr>
                <w:rFonts w:hint="eastAsia" w:ascii="宋体" w:hAnsi="宋体" w:eastAsia="宋体" w:cs="宋体"/>
                <w:color w:val="0C0C0C"/>
                <w:sz w:val="24"/>
                <w:szCs w:val="24"/>
                <w:lang w:val="en-US" w:eastAsia="zh-CN"/>
              </w:rPr>
              <w:t>月1日-2025年</w:t>
            </w:r>
            <w:r>
              <w:rPr>
                <w:rFonts w:hint="eastAsia" w:ascii="宋体" w:hAnsi="宋体" w:cs="宋体"/>
                <w:color w:val="0C0C0C"/>
                <w:sz w:val="24"/>
                <w:szCs w:val="24"/>
                <w:lang w:val="en-US" w:eastAsia="zh-CN"/>
              </w:rPr>
              <w:t>5</w:t>
            </w:r>
            <w:r>
              <w:rPr>
                <w:rFonts w:hint="eastAsia" w:ascii="宋体" w:hAnsi="宋体" w:eastAsia="宋体" w:cs="宋体"/>
                <w:color w:val="0C0C0C"/>
                <w:sz w:val="24"/>
                <w:szCs w:val="24"/>
                <w:lang w:val="en-US" w:eastAsia="zh-CN"/>
              </w:rPr>
              <w:t>月</w:t>
            </w:r>
            <w:r>
              <w:rPr>
                <w:rFonts w:hint="eastAsia" w:ascii="宋体" w:hAnsi="宋体" w:cs="宋体"/>
                <w:color w:val="0C0C0C"/>
                <w:sz w:val="24"/>
                <w:szCs w:val="24"/>
                <w:lang w:val="en-US" w:eastAsia="zh-CN"/>
              </w:rPr>
              <w:t>31</w:t>
            </w:r>
            <w:r>
              <w:rPr>
                <w:rFonts w:hint="eastAsia" w:ascii="宋体" w:hAnsi="宋体" w:eastAsia="宋体" w:cs="宋体"/>
                <w:color w:val="0C0C0C"/>
                <w:sz w:val="24"/>
                <w:szCs w:val="24"/>
                <w:lang w:val="en-US" w:eastAsia="zh-CN"/>
              </w:rPr>
              <w:t>日，共计12个月</w:t>
            </w:r>
            <w:r>
              <w:rPr>
                <w:rFonts w:hint="eastAsia" w:ascii="宋体" w:hAnsi="宋体" w:eastAsia="宋体" w:cs="宋体"/>
                <w:color w:val="0C0C0C"/>
                <w:sz w:val="24"/>
                <w:szCs w:val="24"/>
                <w:lang w:val="zh-TW" w:eastAsia="zh-TW"/>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8440" w:type="dxa"/>
            <w:vAlign w:val="center"/>
          </w:tcPr>
          <w:p>
            <w:pPr>
              <w:spacing w:line="360" w:lineRule="auto"/>
              <w:jc w:val="both"/>
              <w:rPr>
                <w:rFonts w:hint="eastAsia" w:ascii="宋体" w:hAnsi="宋体" w:cs="宋体"/>
                <w:color w:val="auto"/>
                <w:sz w:val="24"/>
                <w:highlight w:val="none"/>
                <w:lang w:val="en-US" w:eastAsia="zh-CN"/>
              </w:rPr>
            </w:pPr>
            <w:r>
              <w:rPr>
                <w:rFonts w:hint="eastAsia" w:ascii="宋体" w:hAnsi="宋体" w:eastAsia="宋体" w:cs="宋体"/>
                <w:color w:val="0C0C0C"/>
                <w:sz w:val="24"/>
                <w:szCs w:val="24"/>
                <w:lang w:val="en-US" w:eastAsia="zh-CN"/>
              </w:rPr>
              <w:t>中标人在</w:t>
            </w:r>
            <w:r>
              <w:rPr>
                <w:rFonts w:hint="eastAsia" w:ascii="宋体" w:hAnsi="宋体" w:cs="宋体"/>
                <w:color w:val="0C0C0C"/>
                <w:sz w:val="24"/>
                <w:szCs w:val="24"/>
                <w:lang w:val="en-US" w:eastAsia="zh-CN"/>
              </w:rPr>
              <w:t>签订合同</w:t>
            </w:r>
            <w:r>
              <w:rPr>
                <w:rFonts w:hint="eastAsia" w:ascii="宋体" w:hAnsi="宋体" w:eastAsia="宋体" w:cs="宋体"/>
                <w:color w:val="0C0C0C"/>
                <w:sz w:val="24"/>
                <w:szCs w:val="24"/>
                <w:lang w:val="en-US" w:eastAsia="zh-CN"/>
              </w:rPr>
              <w:t>后7个工作日内，需向采购人提供合同总价1％的履约保证金或者由银行或者保险公司出具的履约期内持续有效的保函。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1.5.1 </w:t>
            </w:r>
          </w:p>
        </w:tc>
        <w:tc>
          <w:tcPr>
            <w:tcW w:w="8440" w:type="dxa"/>
            <w:vAlign w:val="center"/>
          </w:tcPr>
          <w:p>
            <w:pPr>
              <w:spacing w:line="360" w:lineRule="auto"/>
              <w:jc w:val="both"/>
              <w:rPr>
                <w:rFonts w:hint="default" w:ascii="宋体" w:hAnsi="宋体" w:cs="宋体"/>
                <w:color w:val="auto"/>
                <w:sz w:val="24"/>
                <w:highlight w:val="none"/>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合同生效以及具备实施条件后7个工作日内，采购人向中标单位支付合同总额20%的预付款。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1.5.2</w:t>
            </w:r>
          </w:p>
        </w:tc>
        <w:tc>
          <w:tcPr>
            <w:tcW w:w="8440" w:type="dxa"/>
            <w:vAlign w:val="center"/>
          </w:tcPr>
          <w:p>
            <w:pPr>
              <w:spacing w:line="360" w:lineRule="auto"/>
              <w:jc w:val="both"/>
              <w:rPr>
                <w:rFonts w:hint="default" w:ascii="宋体" w:hAnsi="宋体" w:cs="宋体"/>
                <w:color w:val="auto"/>
                <w:sz w:val="24"/>
                <w:highlight w:val="none"/>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每期抵扣合同总额5%的服务费。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1.5.3 </w:t>
            </w:r>
          </w:p>
        </w:tc>
        <w:tc>
          <w:tcPr>
            <w:tcW w:w="8440" w:type="dxa"/>
            <w:vAlign w:val="center"/>
          </w:tcPr>
          <w:p>
            <w:pPr>
              <w:spacing w:line="360" w:lineRule="auto"/>
              <w:jc w:val="both"/>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8" w:hRule="atLeast"/>
        </w:trPr>
        <w:tc>
          <w:tcPr>
            <w:tcW w:w="973" w:type="dxa"/>
            <w:tcBorders>
              <w:left w:val="single" w:color="auto" w:sz="4" w:space="0"/>
            </w:tcBorders>
            <w:vAlign w:val="center"/>
          </w:tcPr>
          <w:p>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1.6.2</w:t>
            </w:r>
          </w:p>
        </w:tc>
        <w:tc>
          <w:tcPr>
            <w:tcW w:w="8440" w:type="dxa"/>
            <w:vAlign w:val="center"/>
          </w:tcPr>
          <w:p>
            <w:pPr>
              <w:spacing w:line="360" w:lineRule="auto"/>
              <w:jc w:val="both"/>
              <w:rPr>
                <w:rFonts w:hint="eastAsia" w:ascii="宋体" w:hAnsi="宋体" w:cs="宋体"/>
                <w:color w:val="auto"/>
                <w:sz w:val="24"/>
                <w:highlight w:val="none"/>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采购人在合同生效以及具备实施条件后7个工作日内，向</w:t>
            </w:r>
            <w:r>
              <w:rPr>
                <w:rFonts w:hint="eastAsia" w:ascii="宋体" w:hAnsi="宋体" w:cs="宋体"/>
                <w:b w:val="0"/>
                <w:bCs w:val="0"/>
                <w:color w:val="000000" w:themeColor="text1"/>
                <w:sz w:val="24"/>
                <w:szCs w:val="24"/>
                <w:lang w:val="en-US" w:eastAsia="zh-CN"/>
                <w14:textFill>
                  <w14:solidFill>
                    <w14:schemeClr w14:val="tx1"/>
                  </w14:solidFill>
                </w14:textFill>
              </w:rPr>
              <w:t>中标单位</w:t>
            </w:r>
            <w:r>
              <w:rPr>
                <w:rFonts w:hint="eastAsia" w:ascii="宋体" w:hAnsi="宋体" w:eastAsia="宋体" w:cs="宋体"/>
                <w:b w:val="0"/>
                <w:bCs w:val="0"/>
                <w:color w:val="000000" w:themeColor="text1"/>
                <w:sz w:val="24"/>
                <w:szCs w:val="24"/>
                <w:lang w:val="en-US" w:eastAsia="zh-CN"/>
                <w14:textFill>
                  <w14:solidFill>
                    <w14:schemeClr w14:val="tx1"/>
                  </w14:solidFill>
                </w14:textFill>
              </w:rPr>
              <w:t>支付合同总额20%的预付款。</w:t>
            </w:r>
            <w:r>
              <w:rPr>
                <w:rFonts w:hint="eastAsia" w:ascii="宋体" w:hAnsi="宋体" w:cs="宋体"/>
                <w:b w:val="0"/>
                <w:bCs w:val="0"/>
                <w:color w:val="000000" w:themeColor="text1"/>
                <w:sz w:val="24"/>
                <w:szCs w:val="24"/>
                <w:lang w:val="en-US" w:eastAsia="zh-CN"/>
                <w14:textFill>
                  <w14:solidFill>
                    <w14:schemeClr w14:val="tx1"/>
                  </w14:solidFill>
                </w14:textFill>
              </w:rPr>
              <w:t>按照先服务后支付的原则，合同总额剩余的80%由采购人每三个月结算并支付一次，</w:t>
            </w:r>
            <w:r>
              <w:rPr>
                <w:rFonts w:hint="eastAsia" w:ascii="宋体" w:hAnsi="宋体" w:eastAsia="宋体" w:cs="宋体"/>
                <w:sz w:val="24"/>
                <w:szCs w:val="24"/>
                <w:lang w:val="en-US" w:eastAsia="zh-CN"/>
              </w:rPr>
              <w:t>每次支付合同总金额的20%</w:t>
            </w:r>
            <w:r>
              <w:rPr>
                <w:rFonts w:hint="eastAsia" w:ascii="宋体" w:hAnsi="宋体" w:cs="宋体"/>
                <w:b w:val="0"/>
                <w:bCs w:val="0"/>
                <w:color w:val="000000" w:themeColor="text1"/>
                <w:sz w:val="24"/>
                <w:szCs w:val="24"/>
                <w:lang w:val="en-US" w:eastAsia="zh-CN"/>
                <w14:textFill>
                  <w14:solidFill>
                    <w14:schemeClr w14:val="tx1"/>
                  </w14:solidFill>
                </w14:textFill>
              </w:rPr>
              <w:t>，采购人在收到中标人开具的正式税务发票后7个工作日内支付前三个月的服务费，当期考核不合格项在当期合同金额中扣除。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1.7.1</w:t>
            </w:r>
          </w:p>
        </w:tc>
        <w:tc>
          <w:tcPr>
            <w:tcW w:w="8440" w:type="dxa"/>
            <w:vAlign w:val="center"/>
          </w:tcPr>
          <w:p>
            <w:pPr>
              <w:spacing w:line="360" w:lineRule="auto"/>
              <w:jc w:val="both"/>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2024年6月1日 至2025年5月 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1.7.2</w:t>
            </w:r>
          </w:p>
        </w:tc>
        <w:tc>
          <w:tcPr>
            <w:tcW w:w="8440" w:type="dxa"/>
            <w:vAlign w:val="center"/>
          </w:tcPr>
          <w:p>
            <w:pPr>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温州市鹿城区学院中路291号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1.7.3</w:t>
            </w:r>
          </w:p>
        </w:tc>
        <w:tc>
          <w:tcPr>
            <w:tcW w:w="8440" w:type="dxa"/>
            <w:vAlign w:val="center"/>
          </w:tcPr>
          <w:p>
            <w:pPr>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1.7.4.1</w:t>
            </w:r>
          </w:p>
        </w:tc>
        <w:tc>
          <w:tcPr>
            <w:tcW w:w="8440" w:type="dxa"/>
            <w:vAlign w:val="center"/>
          </w:tcPr>
          <w:p>
            <w:pPr>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2024年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1日</w:t>
            </w:r>
            <w:r>
              <w:rPr>
                <w:rFonts w:hint="eastAsia" w:ascii="宋体" w:hAnsi="宋体" w:eastAsia="宋体" w:cs="宋体"/>
                <w:color w:val="auto"/>
                <w:sz w:val="24"/>
                <w:highlight w:val="none"/>
                <w:lang w:val="en-US" w:eastAsia="zh-CN"/>
              </w:rPr>
              <w:t xml:space="preserve"> 至202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auto"/>
                <w:sz w:val="24"/>
                <w:highlight w:val="yellow"/>
              </w:rPr>
            </w:pPr>
            <w:r>
              <w:rPr>
                <w:rFonts w:hint="eastAsia" w:ascii="宋体" w:hAnsi="宋体" w:cs="宋体"/>
                <w:color w:val="auto"/>
                <w:sz w:val="24"/>
                <w:highlight w:val="none"/>
              </w:rPr>
              <w:t>1.7.4.2</w:t>
            </w:r>
          </w:p>
        </w:tc>
        <w:tc>
          <w:tcPr>
            <w:tcW w:w="8440" w:type="dxa"/>
            <w:vAlign w:val="center"/>
          </w:tcPr>
          <w:p>
            <w:pP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温州市鹿城区学院中路291号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4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13" w:hRule="atLeast"/>
        </w:trPr>
        <w:tc>
          <w:tcPr>
            <w:tcW w:w="973" w:type="dxa"/>
            <w:tcBorders>
              <w:left w:val="single" w:color="auto" w:sz="4" w:space="0"/>
            </w:tcBorders>
            <w:vAlign w:val="center"/>
          </w:tcPr>
          <w:p>
            <w:pPr>
              <w:spacing w:line="360" w:lineRule="auto"/>
              <w:rPr>
                <w:rFonts w:ascii="宋体" w:hAnsi="宋体" w:cs="宋体"/>
                <w:color w:val="auto"/>
                <w:sz w:val="24"/>
                <w:highlight w:val="yellow"/>
              </w:rPr>
            </w:pPr>
            <w:r>
              <w:rPr>
                <w:rFonts w:hint="eastAsia" w:ascii="宋体" w:hAnsi="宋体" w:cs="宋体"/>
                <w:color w:val="auto"/>
                <w:sz w:val="24"/>
                <w:highlight w:val="none"/>
              </w:rPr>
              <w:t>1.8.7</w:t>
            </w:r>
          </w:p>
        </w:tc>
        <w:tc>
          <w:tcPr>
            <w:tcW w:w="8440" w:type="dxa"/>
            <w:vAlign w:val="center"/>
          </w:tcPr>
          <w:p>
            <w:pPr>
              <w:spacing w:line="560" w:lineRule="exact"/>
              <w:ind w:firstLine="480" w:firstLineChars="200"/>
              <w:rPr>
                <w:rFonts w:ascii="宋体" w:hAnsi="宋体"/>
                <w:color w:val="auto"/>
                <w:sz w:val="24"/>
                <w:highlight w:val="none"/>
              </w:rPr>
            </w:pPr>
            <w:r>
              <w:rPr>
                <w:rFonts w:hint="default" w:ascii="Calibri" w:hAnsi="Calibri" w:cs="Calibri"/>
                <w:color w:val="auto"/>
                <w:sz w:val="24"/>
                <w:highlight w:val="none"/>
              </w:rPr>
              <w:t>①</w:t>
            </w:r>
            <w:r>
              <w:rPr>
                <w:rFonts w:ascii="宋体" w:hAnsi="宋体"/>
                <w:color w:val="auto"/>
                <w:sz w:val="24"/>
                <w:highlight w:val="none"/>
              </w:rPr>
              <w:t>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2" w:firstLineChars="200"/>
              <w:rPr>
                <w:rFonts w:ascii="宋体" w:hAnsi="宋体" w:eastAsia="宋体" w:cs="宋体"/>
                <w:b w:val="0"/>
                <w:bCs w:val="0"/>
                <w:color w:val="auto"/>
                <w:sz w:val="24"/>
                <w:szCs w:val="24"/>
                <w:highlight w:val="none"/>
                <w:lang w:val="en-US"/>
              </w:rPr>
            </w:pPr>
            <w:r>
              <w:rPr>
                <w:rFonts w:hint="default" w:ascii="Calibri" w:hAnsi="Calibri" w:cs="Calibri"/>
                <w:color w:val="auto"/>
                <w:sz w:val="24"/>
                <w:highlight w:val="none"/>
              </w:rPr>
              <w:t>②</w:t>
            </w:r>
            <w:r>
              <w:rPr>
                <w:rFonts w:hint="eastAsia" w:ascii="宋体" w:hAnsi="宋体" w:eastAsia="宋体" w:cs="宋体"/>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hint="default" w:ascii="Calibri" w:hAnsi="Calibri" w:cs="Calibri"/>
                <w:color w:val="auto"/>
                <w:sz w:val="24"/>
                <w:highlight w:val="none"/>
              </w:rPr>
              <w:t>③</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r>
              <w:rPr>
                <w:rFonts w:hint="default" w:ascii="Calibri" w:hAnsi="Calibri" w:cs="Calibri"/>
                <w:color w:val="auto"/>
                <w:sz w:val="24"/>
                <w:highlight w:val="none"/>
              </w:rPr>
              <w:t>④</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default" w:ascii="Calibri" w:hAnsi="Calibri" w:cs="Calibri"/>
                <w:color w:val="auto"/>
                <w:sz w:val="24"/>
                <w:highlight w:val="none"/>
              </w:rPr>
              <w:t>⑤</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yellow"/>
              </w:rPr>
            </w:pPr>
            <w:r>
              <w:rPr>
                <w:rFonts w:hint="default" w:ascii="Calibri" w:hAnsi="Calibri" w:cs="Calibri"/>
                <w:color w:val="auto"/>
                <w:sz w:val="24"/>
                <w:highlight w:val="none"/>
              </w:rPr>
              <w:t>⑥</w:t>
            </w:r>
            <w:r>
              <w:rPr>
                <w:rFonts w:hint="eastAsia" w:ascii="宋体" w:hAnsi="宋体" w:cs="宋体"/>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4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选择以下第2条款规定的方式解决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440"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44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向买方当地人民法院起诉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440"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5" w:hRule="atLeast"/>
        </w:trPr>
        <w:tc>
          <w:tcPr>
            <w:tcW w:w="973"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440" w:type="dxa"/>
            <w:vAlign w:val="center"/>
          </w:tcPr>
          <w:p>
            <w:pPr>
              <w:spacing w:line="360" w:lineRule="auto"/>
              <w:rPr>
                <w:color w:val="auto"/>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采购人在合同生效以及具备实施条件后7个工作日内，向中标单位支付合同总额20%的预付款。</w:t>
            </w:r>
            <w:r>
              <w:rPr>
                <w:rFonts w:hint="eastAsia" w:ascii="宋体" w:hAnsi="宋体" w:cs="宋体"/>
                <w:b w:val="0"/>
                <w:bCs w:val="0"/>
                <w:color w:val="000000" w:themeColor="text1"/>
                <w:sz w:val="24"/>
                <w:szCs w:val="24"/>
                <w:lang w:val="en-US" w:eastAsia="zh-CN"/>
                <w14:textFill>
                  <w14:solidFill>
                    <w14:schemeClr w14:val="tx1"/>
                  </w14:solidFill>
                </w14:textFill>
              </w:rPr>
              <w:t>按照先服务后支付的原则，合同总额剩余的80%由采购人每三个月结算并支付一次，</w:t>
            </w:r>
            <w:r>
              <w:rPr>
                <w:rFonts w:hint="eastAsia" w:ascii="宋体" w:hAnsi="宋体" w:eastAsia="宋体" w:cs="宋体"/>
                <w:sz w:val="24"/>
                <w:szCs w:val="24"/>
                <w:lang w:val="en-US" w:eastAsia="zh-CN"/>
              </w:rPr>
              <w:t>每次支付合同总金额的20%</w:t>
            </w:r>
            <w:r>
              <w:rPr>
                <w:rFonts w:hint="eastAsia" w:ascii="宋体" w:hAnsi="宋体" w:cs="宋体"/>
                <w:b w:val="0"/>
                <w:bCs w:val="0"/>
                <w:color w:val="000000" w:themeColor="text1"/>
                <w:sz w:val="24"/>
                <w:szCs w:val="24"/>
                <w:lang w:val="en-US" w:eastAsia="zh-CN"/>
                <w14:textFill>
                  <w14:solidFill>
                    <w14:schemeClr w14:val="tx1"/>
                  </w14:solidFill>
                </w14:textFill>
              </w:rPr>
              <w:t>，采购人在收到中标人开具的正式税务发票后7个工作日内支付前三个月的服务费，当期考核不合格项在当期合同金额中扣除。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440"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440" w:type="dxa"/>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一个月内、一个月内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440" w:type="dxa"/>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乙方按照本合同考核的约定，</w:t>
            </w:r>
            <w:r>
              <w:rPr>
                <w:rFonts w:ascii="宋体" w:hAnsi="宋体"/>
                <w:color w:val="auto"/>
                <w:sz w:val="24"/>
                <w:highlight w:val="none"/>
              </w:rPr>
              <w:t>定期提交服务报告</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甲方按照</w:t>
            </w:r>
            <w:r>
              <w:rPr>
                <w:rFonts w:hint="eastAsia" w:ascii="宋体" w:hAnsi="宋体" w:cs="宋体"/>
                <w:color w:val="auto"/>
                <w:sz w:val="24"/>
                <w:highlight w:val="none"/>
                <w:lang w:val="en-US" w:eastAsia="zh-CN"/>
              </w:rPr>
              <w:t>考核细侧及</w:t>
            </w:r>
            <w:r>
              <w:rPr>
                <w:rFonts w:hint="eastAsia" w:ascii="宋体" w:hAnsi="宋体"/>
                <w:color w:val="auto"/>
                <w:sz w:val="24"/>
                <w:highlight w:val="none"/>
              </w:rPr>
              <w:t>《温州市政府采购履约验收办法》</w:t>
            </w:r>
            <w:r>
              <w:rPr>
                <w:rFonts w:hint="eastAsia" w:ascii="宋体" w:hAnsi="宋体"/>
                <w:color w:val="auto"/>
                <w:sz w:val="24"/>
                <w:highlight w:val="none"/>
                <w:lang w:val="en-US" w:eastAsia="zh-CN"/>
              </w:rPr>
              <w:t>的约定进行服务履约中的定期考核及服务到期后验收。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3"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440"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详见考核细则及</w:t>
            </w:r>
            <w:r>
              <w:rPr>
                <w:rFonts w:hint="eastAsia" w:ascii="宋体" w:hAnsi="宋体"/>
                <w:color w:val="auto"/>
                <w:sz w:val="24"/>
                <w:highlight w:val="none"/>
              </w:rPr>
              <w:t>《温州市政府采购履约验收办法》</w:t>
            </w:r>
            <w:r>
              <w:rPr>
                <w:rFonts w:hint="eastAsia" w:ascii="宋体" w:hAnsi="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3"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440" w:type="dxa"/>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本合同一式陆份，甲方肆份，乙方贰份，每份均具有同等法律效力。</w:t>
            </w:r>
          </w:p>
        </w:tc>
      </w:tr>
    </w:tbl>
    <w:p>
      <w:pPr>
        <w:spacing w:line="360" w:lineRule="auto"/>
        <w:ind w:left="-420" w:leftChars="-200" w:right="-420" w:rightChars="-200" w:firstLine="480" w:firstLineChars="200"/>
        <w:rPr>
          <w:rFonts w:ascii="宋体" w:hAnsi="宋体" w:cs="宋体"/>
          <w:sz w:val="24"/>
        </w:rPr>
      </w:pPr>
    </w:p>
    <w:p>
      <w:pPr>
        <w:spacing w:line="360" w:lineRule="auto"/>
        <w:jc w:val="center"/>
        <w:outlineLvl w:val="0"/>
        <w:rPr>
          <w:rFonts w:ascii="宋体" w:hAnsi="宋体" w:cs="宋体"/>
          <w:b/>
          <w:sz w:val="24"/>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pStyle w:val="2"/>
        <w:rPr>
          <w:rFonts w:hint="eastAsia"/>
        </w:rPr>
      </w:pPr>
    </w:p>
    <w:p>
      <w:pPr>
        <w:rPr>
          <w:rFonts w:hint="eastAsia" w:ascii="宋体" w:hAnsi="宋体" w:cs="宋体"/>
          <w:b/>
          <w:sz w:val="36"/>
          <w:szCs w:val="20"/>
        </w:rPr>
      </w:pPr>
      <w:r>
        <w:rPr>
          <w:rFonts w:hint="eastAsia" w:ascii="宋体" w:hAnsi="宋体" w:cs="宋体"/>
          <w:b/>
          <w:sz w:val="36"/>
          <w:szCs w:val="20"/>
        </w:rPr>
        <w:br w:type="page"/>
      </w: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2"/>
      <w:r>
        <w:rPr>
          <w:rFonts w:hint="eastAsia" w:ascii="宋体" w:hAnsi="宋体" w:cs="宋体"/>
          <w:b/>
          <w:sz w:val="36"/>
          <w:szCs w:val="20"/>
        </w:rPr>
        <w:t xml:space="preserve"> </w:t>
      </w:r>
      <w:bookmarkEnd w:id="393"/>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u w:val="single"/>
          <w:lang w:eastAsia="zh-CN"/>
        </w:rPr>
        <w:t>温州市司法局（温州市行政复议局）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u w:val="single"/>
          <w:lang w:eastAsia="zh-CN"/>
        </w:rPr>
        <w:t>温州市司法局综合物业管理服务采购项目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Z-GB202405280006JJG</w:t>
      </w:r>
      <w:r>
        <w:rPr>
          <w:rFonts w:hint="eastAsia" w:ascii="宋体" w:hAnsi="宋体" w:cs="宋体"/>
          <w:color w:val="auto"/>
          <w:sz w:val="24"/>
        </w:rPr>
        <w:t>】政</w:t>
      </w:r>
      <w:r>
        <w:rPr>
          <w:rFonts w:hint="eastAsia" w:ascii="宋体" w:hAnsi="宋体" w:cs="宋体"/>
          <w:sz w:val="24"/>
        </w:rPr>
        <w:t>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二）符合《中华人民共和国政府采购法》第二十二条规定的供应商资格要求及项目特定资格要求（如有）</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三</w:t>
      </w:r>
      <w:r>
        <w:rPr>
          <w:rFonts w:hint="eastAsia" w:ascii="宋体" w:hAnsi="宋体" w:cs="宋体"/>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四</w:t>
      </w:r>
      <w:r>
        <w:rPr>
          <w:rFonts w:hint="eastAsia" w:ascii="宋体" w:hAnsi="宋体" w:cs="宋体"/>
          <w:sz w:val="24"/>
        </w:rPr>
        <w:t>）不存在以下情况：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
      <w:pPr>
        <w:snapToGrid w:val="0"/>
        <w:spacing w:line="360" w:lineRule="auto"/>
        <w:ind w:right="480" w:firstLine="360" w:firstLineChars="200"/>
        <w:jc w:val="left"/>
        <w:rPr>
          <w:rFonts w:ascii="宋体" w:hAnsi="宋体" w:cs="宋体"/>
          <w:b/>
          <w:color w:val="auto"/>
          <w:kern w:val="0"/>
          <w:sz w:val="18"/>
          <w:szCs w:val="18"/>
        </w:rPr>
      </w:pPr>
      <w:r>
        <w:rPr>
          <w:rFonts w:hint="eastAsia" w:cs="仿宋_GB2312" w:asciiTheme="minorEastAsia" w:hAnsiTheme="minorEastAsia" w:eastAsiaTheme="minorEastAsia"/>
          <w:color w:val="auto"/>
          <w:sz w:val="18"/>
          <w:szCs w:val="18"/>
        </w:rPr>
        <w:t>注：根据《</w:t>
      </w:r>
      <w:r>
        <w:rPr>
          <w:rFonts w:cs="仿宋_GB2312" w:asciiTheme="minorEastAsia" w:hAnsiTheme="minorEastAsia" w:eastAsiaTheme="minorEastAsia"/>
          <w:color w:val="auto"/>
          <w:sz w:val="18"/>
          <w:szCs w:val="18"/>
        </w:rPr>
        <w:t>关于规范政府采购供应商资格设定及资格审查的通知</w:t>
      </w:r>
      <w:r>
        <w:rPr>
          <w:rFonts w:hint="eastAsia" w:cs="仿宋_GB2312" w:asciiTheme="minorEastAsia" w:hAnsiTheme="minorEastAsia" w:eastAsiaTheme="minorEastAsia"/>
          <w:color w:val="auto"/>
          <w:sz w:val="18"/>
          <w:szCs w:val="18"/>
        </w:rPr>
        <w:t>》（</w:t>
      </w:r>
      <w:r>
        <w:rPr>
          <w:rFonts w:cs="仿宋_GB2312" w:asciiTheme="minorEastAsia" w:hAnsiTheme="minorEastAsia" w:eastAsiaTheme="minorEastAsia"/>
          <w:color w:val="auto"/>
          <w:sz w:val="18"/>
          <w:szCs w:val="18"/>
        </w:rPr>
        <w:t>浙财采监[2013]24号</w:t>
      </w:r>
      <w:r>
        <w:rPr>
          <w:rFonts w:hint="eastAsia" w:cs="仿宋_GB2312" w:asciiTheme="minorEastAsia" w:hAnsiTheme="minorEastAsia" w:eastAsiaTheme="minorEastAsia"/>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firstLine="480" w:firstLineChars="200"/>
        <w:rPr>
          <w:rFonts w:cs="仿宋" w:asciiTheme="minorEastAsia" w:hAnsiTheme="minorEastAsia"/>
          <w:color w:val="auto"/>
        </w:rPr>
      </w:pP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8</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认为需要的其他文件资料或说明</w:t>
      </w:r>
      <w:r>
        <w:rPr>
          <w:rFonts w:hint="eastAsia" w:cs="仿宋" w:asciiTheme="minorEastAsia" w:hAnsiTheme="minorEastAsia"/>
          <w:color w:val="auto"/>
          <w:sz w:val="24"/>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u w:val="single"/>
          <w:lang w:eastAsia="zh-CN"/>
        </w:rPr>
        <w:t>温州市司法局（温州市行政复议局）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温州市司法局综合物业管理服务采购项目</w:t>
      </w:r>
      <w:r>
        <w:rPr>
          <w:rFonts w:hint="eastAsia" w:ascii="宋体" w:hAnsi="宋体" w:cs="宋体"/>
          <w:color w:val="auto"/>
          <w:sz w:val="24"/>
        </w:rPr>
        <w:t>【</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Z-GB202405280006JJG</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90</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bookmarkEnd w:id="508"/>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auto"/>
          <w:sz w:val="24"/>
        </w:rPr>
        <w:t>（如果有)；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pStyle w:val="24"/>
        <w:ind w:firstLine="960" w:firstLineChars="400"/>
        <w:rPr>
          <w:rFonts w:hint="default" w:eastAsia="宋体"/>
          <w:lang w:val="en-US" w:eastAsia="zh-CN"/>
        </w:rPr>
      </w:pPr>
      <w:r>
        <w:rPr>
          <w:rFonts w:hint="eastAsia" w:hAnsi="宋体" w:cs="宋体"/>
          <w:color w:val="auto"/>
          <w:sz w:val="24"/>
          <w:lang w:val="en-US" w:eastAsia="zh-CN"/>
        </w:rPr>
        <w:t>2.2.8认为需要的其他文件资料或说明；</w:t>
      </w:r>
    </w:p>
    <w:p>
      <w:pPr>
        <w:snapToGrid w:val="0"/>
        <w:spacing w:line="360" w:lineRule="auto"/>
        <w:ind w:left="420" w:leftChars="200" w:firstLine="480" w:firstLineChars="200"/>
        <w:rPr>
          <w:rFonts w:hint="default" w:eastAsia="宋体"/>
          <w:lang w:val="en-US" w:eastAsia="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cs="宋体"/>
          <w:b/>
          <w:kern w:val="0"/>
          <w:sz w:val="32"/>
          <w:szCs w:val="32"/>
        </w:rPr>
      </w:pPr>
    </w:p>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温州市司法局（温州市行政复议局）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温州市司法局综合物业管理服务采购项目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Z-GB202405280006JJG</w:t>
      </w:r>
      <w:r>
        <w:rPr>
          <w:rFonts w:hint="eastAsia" w:ascii="宋体" w:hAnsi="宋体" w:cs="宋体"/>
          <w:color w:val="auto"/>
          <w:sz w:val="24"/>
          <w:u w:val="single"/>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温州市司法局（温州市行政复议局）</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温州市司法局综合物业管理服务采购项目</w:t>
      </w:r>
      <w:r>
        <w:rPr>
          <w:rFonts w:hint="eastAsia" w:ascii="宋体" w:hAnsi="宋体" w:cs="宋体"/>
          <w:color w:val="auto"/>
          <w:sz w:val="24"/>
        </w:rPr>
        <w:t>【招标编号：</w:t>
      </w:r>
      <w:r>
        <w:rPr>
          <w:rFonts w:hint="eastAsia" w:ascii="宋体" w:hAnsi="宋体" w:cs="宋体"/>
          <w:color w:val="auto"/>
          <w:sz w:val="24"/>
          <w:lang w:eastAsia="zh-CN"/>
        </w:rPr>
        <w:t>Z-GB202405280006JJG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65"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77"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65" w:type="dxa"/>
          </w:tcPr>
          <w:p>
            <w:pPr>
              <w:spacing w:line="360" w:lineRule="auto"/>
              <w:rPr>
                <w:rFonts w:ascii="宋体" w:hAnsi="宋体" w:cs="宋体"/>
                <w:sz w:val="24"/>
              </w:rPr>
            </w:pPr>
            <w:r>
              <w:rPr>
                <w:rFonts w:hint="eastAsia" w:ascii="宋体" w:hAnsi="宋体" w:cs="宋体"/>
                <w:sz w:val="24"/>
              </w:rPr>
              <w:t>投标文件按照招标文件要求需签署、盖章的（</w:t>
            </w:r>
            <w:r>
              <w:rPr>
                <w:rFonts w:hint="eastAsia" w:ascii="宋体" w:hAnsi="宋体" w:cs="宋体"/>
                <w:sz w:val="24"/>
                <w:lang w:val="en-US" w:eastAsia="zh-CN"/>
              </w:rPr>
              <w:t>如</w:t>
            </w:r>
            <w:r>
              <w:rPr>
                <w:rFonts w:hint="eastAsia" w:ascii="宋体" w:hAnsi="宋体" w:cs="宋体"/>
                <w:sz w:val="24"/>
              </w:rPr>
              <w:t>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w:t>
            </w:r>
            <w:r>
              <w:rPr>
                <w:rFonts w:hint="eastAsia" w:ascii="宋体" w:hAnsi="宋体" w:cs="宋体"/>
                <w:sz w:val="24"/>
                <w:lang w:val="en-US" w:eastAsia="zh-CN"/>
              </w:rPr>
              <w:t>等</w:t>
            </w:r>
            <w:r>
              <w:rPr>
                <w:rFonts w:hint="eastAsia" w:ascii="宋体" w:hAnsi="宋体" w:cs="宋体"/>
                <w:sz w:val="24"/>
              </w:rPr>
              <w:t>）</w:t>
            </w:r>
          </w:p>
        </w:tc>
        <w:tc>
          <w:tcPr>
            <w:tcW w:w="3677" w:type="dxa"/>
            <w:vAlign w:val="center"/>
          </w:tcPr>
          <w:p>
            <w:pPr>
              <w:rPr>
                <w:rFonts w:ascii="宋体" w:hAnsi="宋体" w:cs="宋体"/>
                <w:sz w:val="24"/>
              </w:rPr>
            </w:pPr>
            <w:r>
              <w:rPr>
                <w:rFonts w:hint="eastAsia" w:ascii="宋体" w:hAnsi="宋体" w:cs="宋体"/>
                <w:sz w:val="24"/>
              </w:rPr>
              <w:t>提供需要使用电子签名或者签字盖章的投标文件的组成部分（法人授权委托书、廉洁自律承诺书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投标标的清单等</w:t>
            </w:r>
            <w:r>
              <w:rPr>
                <w:rFonts w:hint="eastAsia" w:ascii="宋体" w:hAnsi="宋体" w:cs="宋体"/>
                <w:sz w:val="24"/>
              </w:rPr>
              <w:t>是否均已签署、盖章）</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3865"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77"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865" w:type="dxa"/>
          </w:tcPr>
          <w:p>
            <w:pPr>
              <w:spacing w:line="360" w:lineRule="auto"/>
              <w:rPr>
                <w:rFonts w:ascii="宋体" w:hAnsi="宋体" w:cs="宋体"/>
                <w:color w:val="auto"/>
                <w:sz w:val="24"/>
              </w:rPr>
            </w:pPr>
            <w:r>
              <w:rPr>
                <w:rFonts w:hint="eastAsia" w:ascii="宋体" w:hAnsi="宋体" w:cs="宋体"/>
                <w:color w:val="auto"/>
                <w:sz w:val="24"/>
              </w:rPr>
              <w:t>投标文件满足招标文件第三部分采购需求参数里的其它实质性要求（如有）。</w:t>
            </w:r>
          </w:p>
        </w:tc>
        <w:tc>
          <w:tcPr>
            <w:tcW w:w="3677" w:type="dxa"/>
            <w:vAlign w:val="center"/>
          </w:tcPr>
          <w:p>
            <w:pPr>
              <w:rPr>
                <w:rFonts w:ascii="宋体" w:hAnsi="宋体" w:cs="宋体"/>
                <w:color w:val="auto"/>
                <w:sz w:val="24"/>
              </w:rPr>
            </w:pPr>
            <w:r>
              <w:rPr>
                <w:rFonts w:hint="eastAsia" w:ascii="宋体" w:hAnsi="宋体" w:cs="宋体"/>
                <w:color w:val="auto"/>
                <w:kern w:val="0"/>
                <w:sz w:val="24"/>
              </w:rPr>
              <w:t>提供招标文件需求参数里的其它实质性要求相应的材料（“▲且加下线部分”系指实质性要求条款，招标文件无其它实质性要求的，无需提供）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lang w:val="en-US" w:eastAsia="zh-CN"/>
        </w:rPr>
      </w:pPr>
      <w:r>
        <w:rPr>
          <w:rFonts w:hint="eastAsia" w:ascii="宋体" w:hAnsi="宋体" w:cs="宋体"/>
          <w:b/>
          <w:sz w:val="24"/>
        </w:rPr>
        <w:t>（按招标文件第四部分评标办法前附表中“投标文件中评标标准相应的商务技术资料目录”提供资料。）</w:t>
      </w:r>
      <w:r>
        <w:rPr>
          <w:rFonts w:hint="eastAsia" w:ascii="宋体" w:hAnsi="宋体" w:cs="宋体"/>
          <w:b/>
          <w:color w:val="auto"/>
          <w:sz w:val="24"/>
          <w:lang w:eastAsia="zh-CN"/>
        </w:rPr>
        <w:t>【</w:t>
      </w:r>
      <w:r>
        <w:rPr>
          <w:rFonts w:hint="eastAsia" w:ascii="宋体" w:hAnsi="宋体" w:cs="宋体"/>
          <w:b/>
          <w:color w:val="auto"/>
          <w:sz w:val="24"/>
          <w:lang w:val="en-US" w:eastAsia="zh-CN"/>
        </w:rPr>
        <w:t>格式自拟</w:t>
      </w:r>
      <w:r>
        <w:rPr>
          <w:rFonts w:hint="eastAsia" w:ascii="宋体" w:hAnsi="宋体" w:cs="宋体"/>
          <w:b/>
          <w:color w:val="auto"/>
          <w:sz w:val="24"/>
          <w:lang w:eastAsia="zh-CN"/>
        </w:rPr>
        <w:t>】</w:t>
      </w:r>
      <w:r>
        <w:rPr>
          <w:rFonts w:hint="eastAsia" w:ascii="宋体" w:hAnsi="宋体" w:cs="宋体"/>
          <w:b/>
          <w:sz w:val="24"/>
          <w:lang w:val="en-US" w:eastAsia="zh-CN"/>
        </w:rPr>
        <w:t xml:space="preserve">  </w:t>
      </w:r>
    </w:p>
    <w:p>
      <w:pPr>
        <w:snapToGrid w:val="0"/>
        <w:spacing w:line="360" w:lineRule="auto"/>
        <w:jc w:val="left"/>
        <w:rPr>
          <w:rFonts w:hint="eastAsia" w:ascii="宋体" w:hAnsi="宋体" w:cs="宋体"/>
          <w:b/>
          <w:sz w:val="24"/>
          <w:lang w:val="en-US" w:eastAsia="zh-CN"/>
        </w:rPr>
      </w:pPr>
    </w:p>
    <w:p>
      <w:pPr>
        <w:snapToGrid w:val="0"/>
        <w:spacing w:line="360" w:lineRule="auto"/>
        <w:jc w:val="left"/>
        <w:rPr>
          <w:rFonts w:hint="eastAsia" w:ascii="宋体" w:hAnsi="宋体" w:cs="宋体"/>
          <w:b/>
          <w:sz w:val="24"/>
          <w:lang w:val="en-US" w:eastAsia="zh-CN"/>
        </w:rPr>
      </w:pPr>
      <w:r>
        <w:rPr>
          <w:rFonts w:hint="eastAsia" w:ascii="宋体" w:hAnsi="宋体" w:cs="宋体"/>
          <w:b/>
          <w:sz w:val="24"/>
          <w:lang w:val="en-US" w:eastAsia="zh-CN"/>
        </w:rPr>
        <w:t xml:space="preserve"> </w:t>
      </w:r>
    </w:p>
    <w:p>
      <w:pPr>
        <w:pStyle w:val="2"/>
        <w:rPr>
          <w:rFonts w:hint="eastAsia" w:ascii="宋体" w:hAnsi="宋体" w:cs="宋体"/>
          <w:b/>
          <w:sz w:val="24"/>
          <w:lang w:val="en-US" w:eastAsia="zh-CN"/>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4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人数</w:t>
            </w:r>
          </w:p>
          <w:p>
            <w:pPr>
              <w:spacing w:line="360" w:lineRule="auto"/>
              <w:jc w:val="center"/>
              <w:rPr>
                <w:rFonts w:ascii="宋体" w:hAnsi="宋体" w:cs="宋体"/>
                <w:b/>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firstLine="576"/>
        <w:jc w:val="center"/>
        <w:rPr>
          <w:rFonts w:hint="eastAsia" w:ascii="宋体" w:hAnsi="宋体" w:cs="宋体"/>
          <w:kern w:val="0"/>
          <w:sz w:val="24"/>
          <w:lang w:val="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jc w:val="center"/>
        <w:rPr>
          <w:rFonts w:ascii="宋体" w:hAnsi="宋体" w:cs="宋体"/>
          <w:b/>
          <w:kern w:val="0"/>
          <w:sz w:val="32"/>
          <w:szCs w:val="32"/>
        </w:rPr>
      </w:pPr>
    </w:p>
    <w:p>
      <w:pPr>
        <w:pStyle w:val="2"/>
        <w:rPr>
          <w:rFonts w:ascii="宋体" w:hAnsi="宋体" w:cs="宋体"/>
          <w:b/>
          <w:kern w:val="0"/>
          <w:sz w:val="32"/>
          <w:szCs w:val="32"/>
        </w:rPr>
      </w:pPr>
    </w:p>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numPr>
          <w:ilvl w:val="0"/>
          <w:numId w:val="12"/>
        </w:numPr>
        <w:spacing w:line="380" w:lineRule="exact"/>
        <w:rPr>
          <w:rFonts w:hint="eastAsia"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w:t>
      </w:r>
      <w:r>
        <w:rPr>
          <w:rFonts w:hint="eastAsia" w:ascii="楷体" w:hAnsi="楷体" w:eastAsia="楷体" w:cs="Arial"/>
          <w:color w:val="auto"/>
          <w:sz w:val="24"/>
          <w:u w:val="single"/>
          <w:lang w:eastAsia="zh-CN"/>
        </w:rPr>
        <w:t>（</w:t>
      </w:r>
      <w:r>
        <w:rPr>
          <w:rFonts w:hint="eastAsia" w:ascii="楷体" w:hAnsi="楷体" w:eastAsia="楷体" w:cs="Arial"/>
          <w:color w:val="auto"/>
          <w:sz w:val="24"/>
          <w:u w:val="single"/>
          <w:lang w:val="en-US" w:eastAsia="zh-CN"/>
        </w:rPr>
        <w:t>必须提供</w:t>
      </w:r>
      <w:r>
        <w:rPr>
          <w:rFonts w:hint="eastAsia" w:ascii="楷体" w:hAnsi="楷体" w:eastAsia="楷体" w:cs="Arial"/>
          <w:color w:val="auto"/>
          <w:sz w:val="24"/>
          <w:u w:val="single"/>
          <w:lang w:eastAsia="zh-CN"/>
        </w:rPr>
        <w:t>）</w:t>
      </w:r>
    </w:p>
    <w:p>
      <w:pPr>
        <w:numPr>
          <w:ilvl w:val="0"/>
          <w:numId w:val="12"/>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hAnsi="宋体" w:cs="宋体"/>
          <w:b/>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pPr>
        <w:ind w:firstLine="1911" w:firstLineChars="595"/>
        <w:rPr>
          <w:rFonts w:ascii="宋体" w:hAnsi="宋体" w:cs="宋体"/>
          <w:b/>
          <w:bCs/>
          <w:color w:val="auto"/>
          <w:sz w:val="32"/>
          <w:szCs w:val="32"/>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pStyle w:val="24"/>
        <w:rPr>
          <w:rFonts w:ascii="宋体" w:hAnsi="宋体" w:cs="宋体"/>
          <w:b/>
          <w:bCs/>
          <w:sz w:val="24"/>
        </w:rPr>
      </w:pPr>
    </w:p>
    <w:p>
      <w:pPr>
        <w:ind w:firstLine="1911" w:firstLineChars="595"/>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rPr>
        <w:t>八、认为需要的其他文件资料或说明</w:t>
      </w:r>
    </w:p>
    <w:p>
      <w:pPr>
        <w:jc w:val="center"/>
        <w:rPr>
          <w:rFonts w:hint="default" w:cs="仿宋" w:asciiTheme="minorEastAsia" w:hAnsiTheme="minorEastAsia" w:eastAsiaTheme="minorEastAsia"/>
          <w:b w:val="0"/>
          <w:bCs w:val="0"/>
          <w:color w:val="auto"/>
          <w:sz w:val="24"/>
          <w:lang w:val="en-US" w:eastAsia="zh-CN"/>
        </w:rPr>
      </w:pPr>
      <w:r>
        <w:rPr>
          <w:rFonts w:hint="eastAsia" w:cs="仿宋" w:asciiTheme="minorEastAsia" w:hAnsiTheme="minorEastAsia"/>
          <w:b w:val="0"/>
          <w:bCs w:val="0"/>
          <w:color w:val="auto"/>
          <w:sz w:val="24"/>
          <w:lang w:val="en-US" w:eastAsia="zh-CN"/>
        </w:rPr>
        <w:t>（由投标人根据采购需求自行编制）</w:t>
      </w:r>
    </w:p>
    <w:p>
      <w:pPr>
        <w:ind w:firstLine="1911" w:firstLineChars="595"/>
        <w:rPr>
          <w:rFonts w:hint="eastAsia" w:cs="仿宋" w:asciiTheme="minorEastAsia" w:hAnsiTheme="minorEastAsia"/>
          <w:b/>
          <w:color w:val="auto"/>
          <w:kern w:val="0"/>
          <w:sz w:val="32"/>
          <w:szCs w:val="32"/>
        </w:rPr>
      </w:pPr>
    </w:p>
    <w:p>
      <w:pPr>
        <w:ind w:firstLine="5520" w:firstLineChars="2300"/>
        <w:rPr>
          <w:rFonts w:hint="eastAsia" w:cs="仿宋" w:asciiTheme="minorEastAsia" w:hAnsiTheme="minorEastAsia"/>
          <w:b/>
          <w:color w:val="auto"/>
          <w:kern w:val="0"/>
          <w:sz w:val="32"/>
          <w:szCs w:val="32"/>
        </w:rPr>
      </w:pPr>
      <w:r>
        <w:rPr>
          <w:rFonts w:hint="eastAsia" w:ascii="宋体" w:hAnsi="宋体" w:cs="宋体"/>
          <w:color w:val="auto"/>
          <w:kern w:val="0"/>
          <w:sz w:val="24"/>
          <w:lang w:val="en-US" w:eastAsia="zh-CN"/>
        </w:rPr>
        <w:t>投标人</w:t>
      </w:r>
      <w:r>
        <w:rPr>
          <w:rFonts w:hint="eastAsia" w:ascii="宋体" w:hAnsi="宋体" w:cs="宋体"/>
          <w:color w:val="auto"/>
          <w:kern w:val="0"/>
          <w:sz w:val="24"/>
          <w:lang w:val="zh-CN"/>
        </w:rPr>
        <w:t>名称(电子签名)：</w:t>
      </w:r>
    </w:p>
    <w:p>
      <w:pPr>
        <w:ind w:firstLine="5743" w:firstLineChars="2393"/>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2"/>
        <w:rPr>
          <w:rFonts w:hint="eastAsia" w:ascii="宋体" w:hAnsi="宋体" w:cs="宋体"/>
          <w:color w:val="auto"/>
          <w:kern w:val="0"/>
          <w:sz w:val="24"/>
          <w:lang w:val="zh-CN"/>
        </w:rPr>
      </w:pPr>
    </w:p>
    <w:p>
      <w:pPr>
        <w:rPr>
          <w:rFonts w:hint="eastAsia" w:ascii="宋体" w:hAnsi="宋体" w:cs="宋体"/>
          <w:color w:val="auto"/>
          <w:kern w:val="0"/>
          <w:sz w:val="24"/>
          <w:lang w:val="zh-CN"/>
        </w:rPr>
      </w:pPr>
    </w:p>
    <w:p>
      <w:pPr>
        <w:ind w:firstLine="1911" w:firstLineChars="595"/>
        <w:rPr>
          <w:rFonts w:hint="eastAsia" w:ascii="宋体" w:hAnsi="宋体" w:cs="宋体"/>
          <w:b/>
          <w:kern w:val="0"/>
          <w:sz w:val="32"/>
          <w:szCs w:val="32"/>
          <w:lang w:val="en-US" w:eastAsia="zh-CN"/>
        </w:rPr>
      </w:pPr>
    </w:p>
    <w:p>
      <w:pPr>
        <w:ind w:firstLine="1911" w:firstLineChars="595"/>
        <w:rPr>
          <w:rFonts w:ascii="宋体" w:hAnsi="宋体" w:cs="宋体"/>
          <w:b/>
          <w:kern w:val="0"/>
          <w:sz w:val="32"/>
          <w:szCs w:val="32"/>
        </w:rPr>
      </w:pPr>
      <w:r>
        <w:rPr>
          <w:rFonts w:hint="eastAsia" w:ascii="宋体" w:hAnsi="宋体" w:cs="宋体"/>
          <w:b/>
          <w:kern w:val="0"/>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温州市司法局（温州市行政复议局）</w:t>
      </w:r>
      <w:r>
        <w:rPr>
          <w:rFonts w:hint="eastAsia" w:ascii="宋体" w:hAnsi="宋体" w:cs="宋体"/>
          <w:color w:val="auto"/>
          <w:sz w:val="24"/>
        </w:rPr>
        <w:t>、</w:t>
      </w:r>
      <w:r>
        <w:rPr>
          <w:rFonts w:hint="eastAsia" w:ascii="宋体" w:hAnsi="宋体" w:cs="宋体"/>
          <w:color w:val="auto"/>
          <w:sz w:val="24"/>
          <w:lang w:eastAsia="zh-CN"/>
        </w:rPr>
        <w:t>温州市政务服务管理中心（温州市政府采购中心）</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b/>
          <w:bCs/>
          <w:sz w:val="24"/>
        </w:rPr>
      </w:pPr>
      <w:r>
        <w:rPr>
          <w:rFonts w:hint="eastAsia" w:ascii="宋体" w:hAnsi="宋体" w:cs="宋体"/>
          <w:sz w:val="24"/>
        </w:rPr>
        <w:t>注：按本格式和要求提供。</w:t>
      </w:r>
    </w:p>
    <w:p>
      <w:pPr>
        <w:rPr>
          <w:rFonts w:ascii="宋体" w:hAnsi="宋体" w:cs="宋体"/>
          <w:b/>
          <w:bCs/>
          <w:sz w:val="24"/>
        </w:rPr>
      </w:pPr>
    </w:p>
    <w:p>
      <w:pPr>
        <w:pStyle w:val="2"/>
        <w:rPr>
          <w:rFonts w:ascii="宋体" w:hAnsi="宋体" w:cs="宋体"/>
          <w:b/>
          <w:bCs/>
          <w:sz w:val="24"/>
        </w:rPr>
      </w:pPr>
    </w:p>
    <w:p>
      <w:pPr>
        <w:rPr>
          <w:rFonts w:ascii="宋体" w:hAnsi="宋体" w:cs="宋体"/>
          <w:b/>
          <w:bCs/>
          <w:sz w:val="24"/>
        </w:rPr>
      </w:pPr>
    </w:p>
    <w:p>
      <w:pPr>
        <w:pStyle w:val="2"/>
        <w:rPr>
          <w:rFonts w:ascii="宋体" w:hAnsi="宋体" w:cs="宋体"/>
          <w:b/>
          <w:bCs/>
          <w:sz w:val="24"/>
        </w:rPr>
      </w:pPr>
    </w:p>
    <w:p>
      <w:pPr>
        <w:rPr>
          <w:rFonts w:ascii="宋体" w:hAnsi="宋体" w:cs="宋体"/>
          <w:b/>
          <w:bCs/>
          <w:sz w:val="24"/>
        </w:rPr>
      </w:pPr>
    </w:p>
    <w:p>
      <w:pPr>
        <w:pStyle w:val="2"/>
      </w:pPr>
    </w:p>
    <w:p>
      <w:pPr>
        <w:pStyle w:val="24"/>
        <w:rPr>
          <w:rFonts w:ascii="宋体" w:hAnsi="宋体" w:cs="宋体"/>
          <w:b/>
          <w:bCs/>
          <w:sz w:val="24"/>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0000FF"/>
          <w:kern w:val="2"/>
          <w:sz w:val="32"/>
          <w:szCs w:val="32"/>
        </w:rPr>
        <w:t>一</w:t>
      </w:r>
      <w:r>
        <w:rPr>
          <w:rFonts w:hint="eastAsia" w:ascii="宋体" w:hAnsi="宋体" w:eastAsia="宋体" w:cs="宋体"/>
          <w:color w:val="auto"/>
          <w:kern w:val="2"/>
          <w:sz w:val="32"/>
          <w:szCs w:val="32"/>
        </w:rPr>
        <w:t>、开标一览表（报价表）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温州市司法局（温州市行政复议局）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lang w:eastAsia="zh-CN"/>
        </w:rPr>
        <w:t>温州市司法局综合物业管理服务采购项目</w:t>
      </w:r>
      <w:r>
        <w:rPr>
          <w:rFonts w:hint="eastAsia" w:ascii="宋体" w:hAnsi="宋体" w:cs="宋体"/>
          <w:color w:val="auto"/>
          <w:kern w:val="0"/>
          <w:sz w:val="24"/>
          <w:u w:val="single"/>
          <w:lang w:val="zh-CN"/>
        </w:rPr>
        <w:t>【招标编号：</w:t>
      </w:r>
      <w:r>
        <w:rPr>
          <w:rFonts w:hint="eastAsia" w:ascii="宋体" w:hAnsi="宋体" w:cs="宋体"/>
          <w:color w:val="auto"/>
          <w:sz w:val="24"/>
          <w:u w:val="single"/>
          <w:lang w:eastAsia="zh-CN"/>
        </w:rPr>
        <w:t>Z-GB202405280006JJG</w:t>
      </w:r>
      <w:r>
        <w:rPr>
          <w:rFonts w:hint="eastAsia" w:ascii="宋体" w:hAnsi="宋体" w:cs="宋体"/>
          <w:color w:val="auto"/>
          <w:sz w:val="24"/>
          <w:u w:val="single"/>
        </w:rPr>
        <w:t>】</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5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0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5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u w:val="none"/>
                <w:lang w:val="en-US" w:eastAsia="zh-CN"/>
              </w:rPr>
              <w:t>温州市司法局综合物业管理服务采购项目</w:t>
            </w:r>
          </w:p>
        </w:tc>
        <w:tc>
          <w:tcPr>
            <w:tcW w:w="1808"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依据本项目招标文件服务范围</w:t>
            </w: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snapToGrid w:val="0"/>
        <w:spacing w:line="360" w:lineRule="auto"/>
        <w:ind w:firstLine="576"/>
        <w:jc w:val="center"/>
        <w:rPr>
          <w:rFonts w:hint="eastAsia" w:ascii="宋体" w:hAnsi="宋体" w:cs="宋体"/>
          <w:color w:val="0070C0"/>
          <w:kern w:val="0"/>
          <w:sz w:val="24"/>
          <w:lang w:val="en-US" w:eastAsia="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0070C0"/>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w:t>
      </w:r>
      <w:r>
        <w:rPr>
          <w:rFonts w:hint="eastAsia" w:ascii="宋体" w:hAnsi="宋体" w:cs="宋体"/>
          <w:color w:val="auto"/>
          <w:sz w:val="24"/>
          <w:u w:val="single"/>
          <w:lang w:val="en" w:eastAsia="zh-CN"/>
        </w:rPr>
        <w:t>温州市司法局综合物业管理服务采购项目</w:t>
      </w:r>
      <w:r>
        <w:rPr>
          <w:rFonts w:hint="eastAsia" w:ascii="宋体" w:hAnsi="宋体" w:cs="宋体"/>
          <w:color w:val="auto"/>
          <w:sz w:val="24"/>
        </w:rPr>
        <w:t>采</w:t>
      </w:r>
      <w:r>
        <w:rPr>
          <w:rFonts w:hint="eastAsia" w:ascii="宋体" w:hAnsi="宋体" w:cs="宋体"/>
          <w:sz w:val="24"/>
        </w:rPr>
        <w:t>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hint="eastAsia"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pStyle w:val="2"/>
      </w:pPr>
    </w:p>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温州市司法局（温州市行政复议局）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u w:val="single"/>
        </w:rPr>
        <w:t>：</w:t>
      </w:r>
    </w:p>
    <w:p>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温州市司法局综合物业管理服务采购项目</w:t>
      </w:r>
      <w:r>
        <w:rPr>
          <w:rFonts w:hint="eastAsia" w:ascii="宋体" w:hAnsi="宋体" w:cs="宋体"/>
          <w:color w:val="auto"/>
          <w:sz w:val="24"/>
        </w:rPr>
        <w:t>【招标编号：</w:t>
      </w:r>
      <w:r>
        <w:rPr>
          <w:rFonts w:hint="eastAsia" w:ascii="宋体" w:hAnsi="宋体" w:cs="宋体"/>
          <w:color w:val="auto"/>
          <w:sz w:val="24"/>
          <w:lang w:eastAsia="zh-CN"/>
        </w:rPr>
        <w:t>Z-GB202405280006JJG</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我方所使用的“XX专用章”与法定名称章具有同等的法律效力，对使用“XX</w:t>
      </w:r>
      <w:r>
        <w:rPr>
          <w:rFonts w:hint="eastAsia" w:ascii="宋体" w:hAnsi="宋体" w:cs="宋体"/>
          <w:sz w:val="24"/>
        </w:rPr>
        <w:t xml:space="preserve">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温州市司法局综合物业管理服务采购项目</w:t>
      </w:r>
      <w:r>
        <w:rPr>
          <w:rFonts w:hint="eastAsia" w:ascii="宋体" w:hAnsi="宋体" w:cs="宋体"/>
          <w:color w:val="auto"/>
          <w:sz w:val="24"/>
        </w:rPr>
        <w:t>【招标编号：</w:t>
      </w:r>
      <w:r>
        <w:rPr>
          <w:rFonts w:hint="eastAsia" w:ascii="宋体" w:hAnsi="宋体" w:cs="宋体"/>
          <w:color w:val="auto"/>
          <w:sz w:val="24"/>
          <w:lang w:eastAsia="zh-CN"/>
        </w:rPr>
        <w:t>Z-GB202405280006JJG</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p>
    <w:p>
      <w:pPr>
        <w:pStyle w:val="2"/>
        <w:rPr>
          <w:rFonts w:ascii="宋体" w:hAnsi="宋体" w:cs="宋体"/>
          <w:b/>
          <w:spacing w:val="6"/>
          <w:sz w:val="32"/>
          <w:szCs w:val="32"/>
        </w:rPr>
      </w:pPr>
    </w:p>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lang w:eastAsia="zh-CN"/>
        </w:rPr>
        <w:t>温州市司法局综合物业管理服务采购项目</w:t>
      </w:r>
      <w:r>
        <w:rPr>
          <w:rFonts w:hint="eastAsia" w:ascii="宋体" w:hAnsi="宋体" w:cs="宋体"/>
          <w:color w:val="auto"/>
          <w:sz w:val="24"/>
        </w:rPr>
        <w:t>【招标编号：</w:t>
      </w:r>
      <w:r>
        <w:rPr>
          <w:rFonts w:hint="eastAsia" w:ascii="宋体" w:hAnsi="宋体" w:cs="宋体"/>
          <w:color w:val="auto"/>
          <w:sz w:val="24"/>
          <w:lang w:eastAsia="zh-CN"/>
        </w:rPr>
        <w:t>Z-GB202405280006JJG</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rPr>
          <w:rFonts w:ascii="宋体" w:hAnsi="宋体" w:cs="宋体"/>
          <w:b/>
          <w:spacing w:val="6"/>
          <w:sz w:val="32"/>
          <w:szCs w:val="32"/>
        </w:rPr>
      </w:pPr>
    </w:p>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温州市司法局（温州市行政复议局）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温州市司法局综合物业管理服务采购项目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sz w:val="24"/>
          <w:u w:val="single"/>
          <w:lang w:val="en-US" w:eastAsia="zh-CN"/>
        </w:rPr>
        <w:t>物业管理服务</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物业管理</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64085800"/>
    <w:bookmarkStart w:id="515" w:name="_Toc131845147"/>
    <w:bookmarkStart w:id="516" w:name="_Toc91899912"/>
    <w:bookmarkStart w:id="517" w:name="_Toc3611018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rPr>
        <w:rFonts w:hint="eastAsia"/>
        <w:lang w:val="en-US" w:eastAsia="zh-CN"/>
      </w:rPr>
      <w:t>温</w:t>
    </w:r>
    <w:r>
      <w:t>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rPr>
        <w:rFonts w:hint="eastAsia"/>
        <w:lang w:val="en-US" w:eastAsia="zh-CN"/>
      </w:rPr>
      <w:t>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rPr>
        <w:rFonts w:hint="eastAsia"/>
        <w:lang w:val="en-US" w:eastAsia="zh-CN"/>
      </w:rPr>
      <w:t>温</w:t>
    </w:r>
    <w:r>
      <w:t>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lang w:val="en-US" w:eastAsia="zh-CN"/>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DE13C333"/>
    <w:multiLevelType w:val="singleLevel"/>
    <w:tmpl w:val="DE13C333"/>
    <w:lvl w:ilvl="0" w:tentative="0">
      <w:start w:val="1"/>
      <w:numFmt w:val="decimal"/>
      <w:suff w:val="nothing"/>
      <w:lvlText w:val="%1、"/>
      <w:lvlJc w:val="left"/>
    </w:lvl>
  </w:abstractNum>
  <w:abstractNum w:abstractNumId="2">
    <w:nsid w:val="E67CE744"/>
    <w:multiLevelType w:val="singleLevel"/>
    <w:tmpl w:val="E67CE744"/>
    <w:lvl w:ilvl="0" w:tentative="0">
      <w:start w:val="3"/>
      <w:numFmt w:val="decimal"/>
      <w:suff w:val="nothing"/>
      <w:lvlText w:val="%1、"/>
      <w:lvlJc w:val="left"/>
    </w:lvl>
  </w:abstractNum>
  <w:abstractNum w:abstractNumId="3">
    <w:nsid w:val="F6720CDC"/>
    <w:multiLevelType w:val="singleLevel"/>
    <w:tmpl w:val="F6720CDC"/>
    <w:lvl w:ilvl="0" w:tentative="0">
      <w:start w:val="5"/>
      <w:numFmt w:val="decimal"/>
      <w:suff w:val="space"/>
      <w:lvlText w:val="%1."/>
      <w:lvlJc w:val="left"/>
    </w:lvl>
  </w:abstractNum>
  <w:abstractNum w:abstractNumId="4">
    <w:nsid w:val="FCF8EC72"/>
    <w:multiLevelType w:val="singleLevel"/>
    <w:tmpl w:val="FCF8EC72"/>
    <w:lvl w:ilvl="0" w:tentative="0">
      <w:start w:val="1"/>
      <w:numFmt w:val="decimal"/>
      <w:lvlText w:val="%1."/>
      <w:lvlJc w:val="left"/>
      <w:pPr>
        <w:tabs>
          <w:tab w:val="left" w:pos="312"/>
        </w:tabs>
      </w:pPr>
    </w:lvl>
  </w:abstractNum>
  <w:abstractNum w:abstractNumId="5">
    <w:nsid w:val="0000001B"/>
    <w:multiLevelType w:val="multilevel"/>
    <w:tmpl w:val="0000001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25"/>
    <w:multiLevelType w:val="multilevel"/>
    <w:tmpl w:val="00000025"/>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27"/>
    <w:multiLevelType w:val="multilevel"/>
    <w:tmpl w:val="00000027"/>
    <w:lvl w:ilvl="0" w:tentative="0">
      <w:start w:val="1"/>
      <w:numFmt w:val="decimal"/>
      <w:lvlText w:val="%1)"/>
      <w:lvlJc w:val="left"/>
      <w:pPr>
        <w:tabs>
          <w:tab w:val="left" w:pos="530"/>
        </w:tabs>
        <w:ind w:left="530" w:hanging="420"/>
      </w:pPr>
    </w:lvl>
    <w:lvl w:ilvl="1" w:tentative="0">
      <w:start w:val="1"/>
      <w:numFmt w:val="decimal"/>
      <w:lvlText w:val="%2)"/>
      <w:lvlJc w:val="left"/>
      <w:pPr>
        <w:tabs>
          <w:tab w:val="left" w:pos="950"/>
        </w:tabs>
        <w:ind w:left="950" w:hanging="420"/>
      </w:pPr>
      <w:rPr>
        <w:rFonts w:hint="eastAsia" w:ascii="楷体_GB2312" w:eastAsia="楷体_GB2312"/>
      </w:rPr>
    </w:lvl>
    <w:lvl w:ilvl="2" w:tentative="0">
      <w:start w:val="1"/>
      <w:numFmt w:val="lowerRoman"/>
      <w:lvlText w:val="%3."/>
      <w:lvlJc w:val="right"/>
      <w:pPr>
        <w:tabs>
          <w:tab w:val="left" w:pos="1370"/>
        </w:tabs>
        <w:ind w:left="1370" w:hanging="420"/>
      </w:pPr>
    </w:lvl>
    <w:lvl w:ilvl="3" w:tentative="0">
      <w:start w:val="1"/>
      <w:numFmt w:val="decimal"/>
      <w:lvlText w:val="%4."/>
      <w:lvlJc w:val="left"/>
      <w:pPr>
        <w:tabs>
          <w:tab w:val="left" w:pos="1790"/>
        </w:tabs>
        <w:ind w:left="1790" w:hanging="420"/>
      </w:pPr>
    </w:lvl>
    <w:lvl w:ilvl="4" w:tentative="0">
      <w:start w:val="1"/>
      <w:numFmt w:val="lowerLetter"/>
      <w:lvlText w:val="%5)"/>
      <w:lvlJc w:val="left"/>
      <w:pPr>
        <w:tabs>
          <w:tab w:val="left" w:pos="2210"/>
        </w:tabs>
        <w:ind w:left="2210" w:hanging="420"/>
      </w:pPr>
    </w:lvl>
    <w:lvl w:ilvl="5" w:tentative="0">
      <w:start w:val="1"/>
      <w:numFmt w:val="lowerRoman"/>
      <w:lvlText w:val="%6."/>
      <w:lvlJc w:val="right"/>
      <w:pPr>
        <w:tabs>
          <w:tab w:val="left" w:pos="2630"/>
        </w:tabs>
        <w:ind w:left="2630" w:hanging="420"/>
      </w:pPr>
    </w:lvl>
    <w:lvl w:ilvl="6" w:tentative="0">
      <w:start w:val="1"/>
      <w:numFmt w:val="decimal"/>
      <w:lvlText w:val="%7."/>
      <w:lvlJc w:val="left"/>
      <w:pPr>
        <w:tabs>
          <w:tab w:val="left" w:pos="3050"/>
        </w:tabs>
        <w:ind w:left="3050" w:hanging="420"/>
      </w:pPr>
    </w:lvl>
    <w:lvl w:ilvl="7" w:tentative="0">
      <w:start w:val="1"/>
      <w:numFmt w:val="lowerLetter"/>
      <w:lvlText w:val="%8)"/>
      <w:lvlJc w:val="left"/>
      <w:pPr>
        <w:tabs>
          <w:tab w:val="left" w:pos="3470"/>
        </w:tabs>
        <w:ind w:left="3470" w:hanging="420"/>
      </w:pPr>
    </w:lvl>
    <w:lvl w:ilvl="8" w:tentative="0">
      <w:start w:val="1"/>
      <w:numFmt w:val="lowerRoman"/>
      <w:lvlText w:val="%9."/>
      <w:lvlJc w:val="right"/>
      <w:pPr>
        <w:tabs>
          <w:tab w:val="left" w:pos="3890"/>
        </w:tabs>
        <w:ind w:left="3890" w:hanging="420"/>
      </w:pPr>
    </w:lvl>
  </w:abstractNum>
  <w:abstractNum w:abstractNumId="8">
    <w:nsid w:val="19C31724"/>
    <w:multiLevelType w:val="singleLevel"/>
    <w:tmpl w:val="19C31724"/>
    <w:lvl w:ilvl="0" w:tentative="0">
      <w:start w:val="3"/>
      <w:numFmt w:val="chineseCounting"/>
      <w:suff w:val="space"/>
      <w:lvlText w:val="第%1部分"/>
      <w:lvlJc w:val="left"/>
      <w:rPr>
        <w:rFonts w:hint="eastAsia"/>
      </w:rPr>
    </w:lvl>
  </w:abstractNum>
  <w:abstractNum w:abstractNumId="9">
    <w:nsid w:val="2AE55C8A"/>
    <w:multiLevelType w:val="multilevel"/>
    <w:tmpl w:val="2AE55C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30515E1"/>
    <w:multiLevelType w:val="multilevel"/>
    <w:tmpl w:val="630515E1"/>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1">
    <w:nsid w:val="769D2E4C"/>
    <w:multiLevelType w:val="singleLevel"/>
    <w:tmpl w:val="769D2E4C"/>
    <w:lvl w:ilvl="0" w:tentative="0">
      <w:start w:val="5"/>
      <w:numFmt w:val="decimal"/>
      <w:suff w:val="nothing"/>
      <w:lvlText w:val="%1、"/>
      <w:lvlJc w:val="left"/>
    </w:lvl>
  </w:abstractNum>
  <w:num w:numId="1">
    <w:abstractNumId w:val="3"/>
  </w:num>
  <w:num w:numId="2">
    <w:abstractNumId w:val="8"/>
  </w:num>
  <w:num w:numId="3">
    <w:abstractNumId w:val="2"/>
  </w:num>
  <w:num w:numId="4">
    <w:abstractNumId w:val="6"/>
    <w:lvlOverride w:ilvl="0">
      <w:startOverride w:val="1"/>
    </w:lvlOverride>
  </w:num>
  <w:num w:numId="5">
    <w:abstractNumId w:val="7"/>
    <w:lvlOverride w:ilvl="0">
      <w:startOverride w:val="1"/>
    </w:lvlOverride>
  </w:num>
  <w:num w:numId="6">
    <w:abstractNumId w:val="5"/>
    <w:lvlOverride w:ilvl="0">
      <w:startOverride w:val="1"/>
    </w:lvlOverride>
  </w:num>
  <w:num w:numId="7">
    <w:abstractNumId w:val="9"/>
  </w:num>
  <w:num w:numId="8">
    <w:abstractNumId w:val="10"/>
  </w:num>
  <w:num w:numId="9">
    <w:abstractNumId w:val="4"/>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mI1ZmFiYTc5ODU2MGMzOWIyYWRmMzVlNmJl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6F9F"/>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6F3A"/>
    <w:rsid w:val="011F6449"/>
    <w:rsid w:val="01236AFB"/>
    <w:rsid w:val="019F7441"/>
    <w:rsid w:val="01B37585"/>
    <w:rsid w:val="01D55165"/>
    <w:rsid w:val="01DF6BF8"/>
    <w:rsid w:val="01EC2C57"/>
    <w:rsid w:val="025D6925"/>
    <w:rsid w:val="025F0711"/>
    <w:rsid w:val="026B2E25"/>
    <w:rsid w:val="02824D4D"/>
    <w:rsid w:val="02DC4B10"/>
    <w:rsid w:val="02DD76CE"/>
    <w:rsid w:val="02F36323"/>
    <w:rsid w:val="02F5619C"/>
    <w:rsid w:val="0326446A"/>
    <w:rsid w:val="032D5555"/>
    <w:rsid w:val="036634D2"/>
    <w:rsid w:val="03955F9D"/>
    <w:rsid w:val="03C501B0"/>
    <w:rsid w:val="03D80B6A"/>
    <w:rsid w:val="03DD35E4"/>
    <w:rsid w:val="040212FF"/>
    <w:rsid w:val="04076900"/>
    <w:rsid w:val="041A5A3B"/>
    <w:rsid w:val="042311BA"/>
    <w:rsid w:val="042B157A"/>
    <w:rsid w:val="04510922"/>
    <w:rsid w:val="048F763B"/>
    <w:rsid w:val="049F330E"/>
    <w:rsid w:val="04AA775C"/>
    <w:rsid w:val="04AF1889"/>
    <w:rsid w:val="04F66F48"/>
    <w:rsid w:val="05251E14"/>
    <w:rsid w:val="053C5D3C"/>
    <w:rsid w:val="05524BBD"/>
    <w:rsid w:val="05A16594"/>
    <w:rsid w:val="05A7762D"/>
    <w:rsid w:val="05BF0A4B"/>
    <w:rsid w:val="05D65DFC"/>
    <w:rsid w:val="060E5941"/>
    <w:rsid w:val="06110FAF"/>
    <w:rsid w:val="06493CA7"/>
    <w:rsid w:val="064F6A93"/>
    <w:rsid w:val="065A6178"/>
    <w:rsid w:val="066F1CF3"/>
    <w:rsid w:val="06930BB8"/>
    <w:rsid w:val="06A84E8F"/>
    <w:rsid w:val="06D13045"/>
    <w:rsid w:val="07081A72"/>
    <w:rsid w:val="07245D42"/>
    <w:rsid w:val="07264C62"/>
    <w:rsid w:val="0779354C"/>
    <w:rsid w:val="08061376"/>
    <w:rsid w:val="08147C9D"/>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05394"/>
    <w:rsid w:val="09A92330"/>
    <w:rsid w:val="09B06B87"/>
    <w:rsid w:val="09C13146"/>
    <w:rsid w:val="09C947EA"/>
    <w:rsid w:val="09E04166"/>
    <w:rsid w:val="0A1C0718"/>
    <w:rsid w:val="0A1F7100"/>
    <w:rsid w:val="0A3E7710"/>
    <w:rsid w:val="0A5B7E63"/>
    <w:rsid w:val="0A9E7CF1"/>
    <w:rsid w:val="0AA374A5"/>
    <w:rsid w:val="0AAB7649"/>
    <w:rsid w:val="0ABC5606"/>
    <w:rsid w:val="0ADD086F"/>
    <w:rsid w:val="0B30404E"/>
    <w:rsid w:val="0B4C6C14"/>
    <w:rsid w:val="0B547599"/>
    <w:rsid w:val="0B631A88"/>
    <w:rsid w:val="0B68295B"/>
    <w:rsid w:val="0B683D45"/>
    <w:rsid w:val="0B7F3F11"/>
    <w:rsid w:val="0B884417"/>
    <w:rsid w:val="0BC2290B"/>
    <w:rsid w:val="0BF6188C"/>
    <w:rsid w:val="0BF73C91"/>
    <w:rsid w:val="0BFE6C9A"/>
    <w:rsid w:val="0C061668"/>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A6B4B"/>
    <w:rsid w:val="0D4A7419"/>
    <w:rsid w:val="0D827401"/>
    <w:rsid w:val="0D84094E"/>
    <w:rsid w:val="0D8A00E9"/>
    <w:rsid w:val="0D8D589E"/>
    <w:rsid w:val="0DA01C73"/>
    <w:rsid w:val="0DB75B87"/>
    <w:rsid w:val="0DD63300"/>
    <w:rsid w:val="0DF50604"/>
    <w:rsid w:val="0DF702FE"/>
    <w:rsid w:val="0DFA1529"/>
    <w:rsid w:val="0E060E51"/>
    <w:rsid w:val="0E552DBD"/>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D5AF7"/>
    <w:rsid w:val="0FBF3FD2"/>
    <w:rsid w:val="0FBF7FF3"/>
    <w:rsid w:val="105570A4"/>
    <w:rsid w:val="10646583"/>
    <w:rsid w:val="107D4B15"/>
    <w:rsid w:val="108A3C80"/>
    <w:rsid w:val="10994FCC"/>
    <w:rsid w:val="10C26171"/>
    <w:rsid w:val="10F33360"/>
    <w:rsid w:val="10FC16EA"/>
    <w:rsid w:val="110714FE"/>
    <w:rsid w:val="110F1D40"/>
    <w:rsid w:val="11266F33"/>
    <w:rsid w:val="112F78F5"/>
    <w:rsid w:val="118963A1"/>
    <w:rsid w:val="11911898"/>
    <w:rsid w:val="11C6522A"/>
    <w:rsid w:val="11E104CC"/>
    <w:rsid w:val="11E20309"/>
    <w:rsid w:val="1224106A"/>
    <w:rsid w:val="12255233"/>
    <w:rsid w:val="12256506"/>
    <w:rsid w:val="12530213"/>
    <w:rsid w:val="127723A9"/>
    <w:rsid w:val="12862074"/>
    <w:rsid w:val="12883966"/>
    <w:rsid w:val="12985501"/>
    <w:rsid w:val="129E45B4"/>
    <w:rsid w:val="12AA5159"/>
    <w:rsid w:val="12D81596"/>
    <w:rsid w:val="12DA6690"/>
    <w:rsid w:val="13072A44"/>
    <w:rsid w:val="133B4E21"/>
    <w:rsid w:val="135F4BE2"/>
    <w:rsid w:val="139B1A0A"/>
    <w:rsid w:val="139D25C7"/>
    <w:rsid w:val="13A1426D"/>
    <w:rsid w:val="13BF3CE4"/>
    <w:rsid w:val="141008D8"/>
    <w:rsid w:val="14125FE6"/>
    <w:rsid w:val="146D271E"/>
    <w:rsid w:val="14982588"/>
    <w:rsid w:val="149A5AD9"/>
    <w:rsid w:val="14A7619D"/>
    <w:rsid w:val="14D546E3"/>
    <w:rsid w:val="150536C3"/>
    <w:rsid w:val="150C1963"/>
    <w:rsid w:val="1513490A"/>
    <w:rsid w:val="151447A0"/>
    <w:rsid w:val="152C17F5"/>
    <w:rsid w:val="154A6454"/>
    <w:rsid w:val="15762120"/>
    <w:rsid w:val="159643E7"/>
    <w:rsid w:val="15CE7AB6"/>
    <w:rsid w:val="15D31197"/>
    <w:rsid w:val="15F52BE0"/>
    <w:rsid w:val="16A6065A"/>
    <w:rsid w:val="16A8729C"/>
    <w:rsid w:val="16AA70FC"/>
    <w:rsid w:val="16B33777"/>
    <w:rsid w:val="16BC6A4D"/>
    <w:rsid w:val="16BC70A7"/>
    <w:rsid w:val="16C6339E"/>
    <w:rsid w:val="16DD17AC"/>
    <w:rsid w:val="171A7F67"/>
    <w:rsid w:val="172F2D79"/>
    <w:rsid w:val="17557BEF"/>
    <w:rsid w:val="17746F1A"/>
    <w:rsid w:val="17B24437"/>
    <w:rsid w:val="17D349C1"/>
    <w:rsid w:val="1830729E"/>
    <w:rsid w:val="1870062C"/>
    <w:rsid w:val="18817102"/>
    <w:rsid w:val="18830A15"/>
    <w:rsid w:val="18852B28"/>
    <w:rsid w:val="188B5321"/>
    <w:rsid w:val="19274F20"/>
    <w:rsid w:val="197E485A"/>
    <w:rsid w:val="19932372"/>
    <w:rsid w:val="19A20DD5"/>
    <w:rsid w:val="19A56B09"/>
    <w:rsid w:val="19AE03F1"/>
    <w:rsid w:val="19E77BBE"/>
    <w:rsid w:val="1A071A03"/>
    <w:rsid w:val="1A1F16AE"/>
    <w:rsid w:val="1A3B5C77"/>
    <w:rsid w:val="1A53034E"/>
    <w:rsid w:val="1A907657"/>
    <w:rsid w:val="1A984BAD"/>
    <w:rsid w:val="1AA77C2A"/>
    <w:rsid w:val="1AAA3B81"/>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C4DED"/>
    <w:rsid w:val="1D266CE1"/>
    <w:rsid w:val="1D3963AF"/>
    <w:rsid w:val="1D6A673C"/>
    <w:rsid w:val="1D9247AE"/>
    <w:rsid w:val="1DB567EC"/>
    <w:rsid w:val="1DF51A98"/>
    <w:rsid w:val="1E33266D"/>
    <w:rsid w:val="1E3D060F"/>
    <w:rsid w:val="1E3F7D2E"/>
    <w:rsid w:val="1E4134E4"/>
    <w:rsid w:val="1E5062B3"/>
    <w:rsid w:val="1E523514"/>
    <w:rsid w:val="1E6E3B5B"/>
    <w:rsid w:val="1E714A66"/>
    <w:rsid w:val="1E802593"/>
    <w:rsid w:val="1E8B6156"/>
    <w:rsid w:val="1EA703CC"/>
    <w:rsid w:val="1EB7330C"/>
    <w:rsid w:val="1F0A0FF3"/>
    <w:rsid w:val="1F5771FF"/>
    <w:rsid w:val="1FD37FAB"/>
    <w:rsid w:val="1FD52DD5"/>
    <w:rsid w:val="1FE868A9"/>
    <w:rsid w:val="1FF72119"/>
    <w:rsid w:val="20034907"/>
    <w:rsid w:val="200B1AFB"/>
    <w:rsid w:val="20173E4B"/>
    <w:rsid w:val="204E48BC"/>
    <w:rsid w:val="208921B3"/>
    <w:rsid w:val="20973DEB"/>
    <w:rsid w:val="20B26522"/>
    <w:rsid w:val="20B44310"/>
    <w:rsid w:val="20F152C6"/>
    <w:rsid w:val="20F271DB"/>
    <w:rsid w:val="211116EB"/>
    <w:rsid w:val="216133FC"/>
    <w:rsid w:val="21D56769"/>
    <w:rsid w:val="21E52EF3"/>
    <w:rsid w:val="21E542A5"/>
    <w:rsid w:val="21FB5D7B"/>
    <w:rsid w:val="22015E94"/>
    <w:rsid w:val="220B1C3D"/>
    <w:rsid w:val="221D1D20"/>
    <w:rsid w:val="221E3573"/>
    <w:rsid w:val="22334A87"/>
    <w:rsid w:val="22877B28"/>
    <w:rsid w:val="22BD4158"/>
    <w:rsid w:val="22BE6801"/>
    <w:rsid w:val="22F07CB1"/>
    <w:rsid w:val="233500BF"/>
    <w:rsid w:val="23377FF7"/>
    <w:rsid w:val="235D387D"/>
    <w:rsid w:val="236B425F"/>
    <w:rsid w:val="23836192"/>
    <w:rsid w:val="23901F29"/>
    <w:rsid w:val="23953985"/>
    <w:rsid w:val="239C0061"/>
    <w:rsid w:val="23B908A4"/>
    <w:rsid w:val="23E51E7E"/>
    <w:rsid w:val="23E95BEF"/>
    <w:rsid w:val="23FD0064"/>
    <w:rsid w:val="23FD4471"/>
    <w:rsid w:val="24422776"/>
    <w:rsid w:val="245375B0"/>
    <w:rsid w:val="245466C9"/>
    <w:rsid w:val="24642C0A"/>
    <w:rsid w:val="24B22173"/>
    <w:rsid w:val="24B95AD9"/>
    <w:rsid w:val="24BE24DA"/>
    <w:rsid w:val="24CF5825"/>
    <w:rsid w:val="24D176C1"/>
    <w:rsid w:val="24D663E6"/>
    <w:rsid w:val="24D77F2B"/>
    <w:rsid w:val="24E43E73"/>
    <w:rsid w:val="25316BD9"/>
    <w:rsid w:val="258B00E2"/>
    <w:rsid w:val="25A917A6"/>
    <w:rsid w:val="25BE27CC"/>
    <w:rsid w:val="25F74A5C"/>
    <w:rsid w:val="25FA799D"/>
    <w:rsid w:val="2628662C"/>
    <w:rsid w:val="262D45DE"/>
    <w:rsid w:val="262D4B53"/>
    <w:rsid w:val="2663515E"/>
    <w:rsid w:val="26871DC8"/>
    <w:rsid w:val="26A53EF9"/>
    <w:rsid w:val="26A94201"/>
    <w:rsid w:val="26AC274F"/>
    <w:rsid w:val="26CE6E53"/>
    <w:rsid w:val="26CF00EA"/>
    <w:rsid w:val="27044A29"/>
    <w:rsid w:val="271D34C8"/>
    <w:rsid w:val="276142BF"/>
    <w:rsid w:val="27783712"/>
    <w:rsid w:val="27907362"/>
    <w:rsid w:val="28270801"/>
    <w:rsid w:val="28333E1D"/>
    <w:rsid w:val="28454BD6"/>
    <w:rsid w:val="28455253"/>
    <w:rsid w:val="28551971"/>
    <w:rsid w:val="285B1C53"/>
    <w:rsid w:val="289F7086"/>
    <w:rsid w:val="28BC4F05"/>
    <w:rsid w:val="28C32028"/>
    <w:rsid w:val="28CC490F"/>
    <w:rsid w:val="28DE40AA"/>
    <w:rsid w:val="28ED350C"/>
    <w:rsid w:val="29345E77"/>
    <w:rsid w:val="294C65AD"/>
    <w:rsid w:val="29806583"/>
    <w:rsid w:val="298B3C4C"/>
    <w:rsid w:val="29B478C8"/>
    <w:rsid w:val="29C1292B"/>
    <w:rsid w:val="29F26D24"/>
    <w:rsid w:val="2A0113CF"/>
    <w:rsid w:val="2A15033F"/>
    <w:rsid w:val="2A1662C1"/>
    <w:rsid w:val="2A1C7367"/>
    <w:rsid w:val="2A2815FA"/>
    <w:rsid w:val="2A2C5AA9"/>
    <w:rsid w:val="2A5F6506"/>
    <w:rsid w:val="2A6D6092"/>
    <w:rsid w:val="2A745637"/>
    <w:rsid w:val="2A7D76B4"/>
    <w:rsid w:val="2B0360B6"/>
    <w:rsid w:val="2B3E6C5B"/>
    <w:rsid w:val="2B437463"/>
    <w:rsid w:val="2B5B4BB7"/>
    <w:rsid w:val="2B6B0823"/>
    <w:rsid w:val="2B7807EE"/>
    <w:rsid w:val="2BA50BF7"/>
    <w:rsid w:val="2BBF00EC"/>
    <w:rsid w:val="2BC37CFD"/>
    <w:rsid w:val="2BD5237F"/>
    <w:rsid w:val="2BE536CE"/>
    <w:rsid w:val="2BE758D9"/>
    <w:rsid w:val="2C09049E"/>
    <w:rsid w:val="2C0A653C"/>
    <w:rsid w:val="2C191F85"/>
    <w:rsid w:val="2CE82D6F"/>
    <w:rsid w:val="2D343236"/>
    <w:rsid w:val="2D720E3E"/>
    <w:rsid w:val="2DD15014"/>
    <w:rsid w:val="2DF72DE4"/>
    <w:rsid w:val="2DF8692E"/>
    <w:rsid w:val="2E0220AF"/>
    <w:rsid w:val="2E2C1379"/>
    <w:rsid w:val="2E4B082A"/>
    <w:rsid w:val="2E5D4E86"/>
    <w:rsid w:val="2E5D790B"/>
    <w:rsid w:val="2E8C5F2F"/>
    <w:rsid w:val="2E9A3C18"/>
    <w:rsid w:val="2EBB0FEE"/>
    <w:rsid w:val="2EC63002"/>
    <w:rsid w:val="2F0A6B38"/>
    <w:rsid w:val="2F946CCB"/>
    <w:rsid w:val="2FD25781"/>
    <w:rsid w:val="2FDC745C"/>
    <w:rsid w:val="2FFD7934"/>
    <w:rsid w:val="30404479"/>
    <w:rsid w:val="30733ACD"/>
    <w:rsid w:val="308C3862"/>
    <w:rsid w:val="309379D8"/>
    <w:rsid w:val="30A270F7"/>
    <w:rsid w:val="30AC36C4"/>
    <w:rsid w:val="30C250A7"/>
    <w:rsid w:val="30DF1478"/>
    <w:rsid w:val="30EC586F"/>
    <w:rsid w:val="31061473"/>
    <w:rsid w:val="314550B7"/>
    <w:rsid w:val="319C6071"/>
    <w:rsid w:val="31AC537E"/>
    <w:rsid w:val="31E3679B"/>
    <w:rsid w:val="31E732FD"/>
    <w:rsid w:val="31FD4F59"/>
    <w:rsid w:val="32273896"/>
    <w:rsid w:val="32517576"/>
    <w:rsid w:val="32B53CA7"/>
    <w:rsid w:val="32BE5C2C"/>
    <w:rsid w:val="32FB6478"/>
    <w:rsid w:val="33263B3F"/>
    <w:rsid w:val="333866C9"/>
    <w:rsid w:val="336963EB"/>
    <w:rsid w:val="33816EEB"/>
    <w:rsid w:val="33EB55CD"/>
    <w:rsid w:val="33EC4C02"/>
    <w:rsid w:val="340D2360"/>
    <w:rsid w:val="3410665D"/>
    <w:rsid w:val="34211214"/>
    <w:rsid w:val="342E63AB"/>
    <w:rsid w:val="34682754"/>
    <w:rsid w:val="34950E68"/>
    <w:rsid w:val="34986E94"/>
    <w:rsid w:val="34AF62C9"/>
    <w:rsid w:val="34CB4388"/>
    <w:rsid w:val="34FA6E12"/>
    <w:rsid w:val="354D7158"/>
    <w:rsid w:val="358D5588"/>
    <w:rsid w:val="35D72B5B"/>
    <w:rsid w:val="36293391"/>
    <w:rsid w:val="363A3B40"/>
    <w:rsid w:val="365302AE"/>
    <w:rsid w:val="36607A0A"/>
    <w:rsid w:val="36624980"/>
    <w:rsid w:val="36641762"/>
    <w:rsid w:val="366E227C"/>
    <w:rsid w:val="366F2E0D"/>
    <w:rsid w:val="367B6A5C"/>
    <w:rsid w:val="368822BC"/>
    <w:rsid w:val="36A34173"/>
    <w:rsid w:val="36A74ADA"/>
    <w:rsid w:val="36AD60D5"/>
    <w:rsid w:val="36B224F9"/>
    <w:rsid w:val="36EC0CC9"/>
    <w:rsid w:val="373F410B"/>
    <w:rsid w:val="37482235"/>
    <w:rsid w:val="379F6D19"/>
    <w:rsid w:val="37E05230"/>
    <w:rsid w:val="37EE7094"/>
    <w:rsid w:val="38296C89"/>
    <w:rsid w:val="383002EB"/>
    <w:rsid w:val="385204DB"/>
    <w:rsid w:val="38586797"/>
    <w:rsid w:val="38BC0149"/>
    <w:rsid w:val="38D87D1C"/>
    <w:rsid w:val="392A5B99"/>
    <w:rsid w:val="394052BB"/>
    <w:rsid w:val="39636459"/>
    <w:rsid w:val="396B7F6C"/>
    <w:rsid w:val="39B417A9"/>
    <w:rsid w:val="39E5622F"/>
    <w:rsid w:val="39FC5695"/>
    <w:rsid w:val="39FF1A66"/>
    <w:rsid w:val="3A006D8E"/>
    <w:rsid w:val="3A3651E5"/>
    <w:rsid w:val="3A744481"/>
    <w:rsid w:val="3A8C7BEF"/>
    <w:rsid w:val="3A906246"/>
    <w:rsid w:val="3B2349B7"/>
    <w:rsid w:val="3B4B78B4"/>
    <w:rsid w:val="3B616CFF"/>
    <w:rsid w:val="3B6259F6"/>
    <w:rsid w:val="3B726DE6"/>
    <w:rsid w:val="3B976654"/>
    <w:rsid w:val="3BA31A2F"/>
    <w:rsid w:val="3BB50D82"/>
    <w:rsid w:val="3BC01EFC"/>
    <w:rsid w:val="3BCA786A"/>
    <w:rsid w:val="3BD31E2F"/>
    <w:rsid w:val="3BF15831"/>
    <w:rsid w:val="3C0E6CB3"/>
    <w:rsid w:val="3C105946"/>
    <w:rsid w:val="3C471448"/>
    <w:rsid w:val="3C5F759A"/>
    <w:rsid w:val="3C6C525A"/>
    <w:rsid w:val="3C795882"/>
    <w:rsid w:val="3C81109D"/>
    <w:rsid w:val="3C91759F"/>
    <w:rsid w:val="3CCE23CB"/>
    <w:rsid w:val="3CD17D17"/>
    <w:rsid w:val="3CF27F7F"/>
    <w:rsid w:val="3CFA00D3"/>
    <w:rsid w:val="3D17507E"/>
    <w:rsid w:val="3D3C7F39"/>
    <w:rsid w:val="3D440F09"/>
    <w:rsid w:val="3D4504A0"/>
    <w:rsid w:val="3D8734BB"/>
    <w:rsid w:val="3D9A11D4"/>
    <w:rsid w:val="3DA16D89"/>
    <w:rsid w:val="3DA364BE"/>
    <w:rsid w:val="3DC9331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6F0"/>
    <w:rsid w:val="3F2F0234"/>
    <w:rsid w:val="3F6363FE"/>
    <w:rsid w:val="3F756B8F"/>
    <w:rsid w:val="3F95482B"/>
    <w:rsid w:val="3FA75BB4"/>
    <w:rsid w:val="3FD93128"/>
    <w:rsid w:val="4019356B"/>
    <w:rsid w:val="40592157"/>
    <w:rsid w:val="406E1CAE"/>
    <w:rsid w:val="407C7681"/>
    <w:rsid w:val="408706F2"/>
    <w:rsid w:val="40896AEB"/>
    <w:rsid w:val="40A0133A"/>
    <w:rsid w:val="40C31A53"/>
    <w:rsid w:val="40FF545D"/>
    <w:rsid w:val="410067C8"/>
    <w:rsid w:val="41235903"/>
    <w:rsid w:val="418F0D2A"/>
    <w:rsid w:val="41D01505"/>
    <w:rsid w:val="41E85F56"/>
    <w:rsid w:val="42474939"/>
    <w:rsid w:val="424C3C57"/>
    <w:rsid w:val="42613FF3"/>
    <w:rsid w:val="42660D96"/>
    <w:rsid w:val="42767B6E"/>
    <w:rsid w:val="428667D2"/>
    <w:rsid w:val="42CD1CE0"/>
    <w:rsid w:val="42E1381E"/>
    <w:rsid w:val="42ED6459"/>
    <w:rsid w:val="42FE58DD"/>
    <w:rsid w:val="430B7913"/>
    <w:rsid w:val="43174B3D"/>
    <w:rsid w:val="434B790E"/>
    <w:rsid w:val="4360274F"/>
    <w:rsid w:val="43897C45"/>
    <w:rsid w:val="43977AB6"/>
    <w:rsid w:val="43A3342B"/>
    <w:rsid w:val="43B241D8"/>
    <w:rsid w:val="43C77C27"/>
    <w:rsid w:val="43DE09EE"/>
    <w:rsid w:val="44002FAD"/>
    <w:rsid w:val="440D714B"/>
    <w:rsid w:val="443F4C9C"/>
    <w:rsid w:val="4447410E"/>
    <w:rsid w:val="449101DD"/>
    <w:rsid w:val="44DE1391"/>
    <w:rsid w:val="451B225C"/>
    <w:rsid w:val="452410C9"/>
    <w:rsid w:val="45317DFB"/>
    <w:rsid w:val="456D3CE4"/>
    <w:rsid w:val="4579042C"/>
    <w:rsid w:val="457F0571"/>
    <w:rsid w:val="45851176"/>
    <w:rsid w:val="45C63B94"/>
    <w:rsid w:val="45C71987"/>
    <w:rsid w:val="460E7DA5"/>
    <w:rsid w:val="46276812"/>
    <w:rsid w:val="46422483"/>
    <w:rsid w:val="4659254A"/>
    <w:rsid w:val="465B0637"/>
    <w:rsid w:val="465E3F0D"/>
    <w:rsid w:val="466A16E6"/>
    <w:rsid w:val="46893F2B"/>
    <w:rsid w:val="46922B69"/>
    <w:rsid w:val="46A958A0"/>
    <w:rsid w:val="46C4686E"/>
    <w:rsid w:val="477B778F"/>
    <w:rsid w:val="478203EC"/>
    <w:rsid w:val="47A3297B"/>
    <w:rsid w:val="47B025FA"/>
    <w:rsid w:val="4809698F"/>
    <w:rsid w:val="4811697D"/>
    <w:rsid w:val="484E4ED5"/>
    <w:rsid w:val="487A3E25"/>
    <w:rsid w:val="488B5503"/>
    <w:rsid w:val="48937E21"/>
    <w:rsid w:val="489A0361"/>
    <w:rsid w:val="48B94FF3"/>
    <w:rsid w:val="48C97DB4"/>
    <w:rsid w:val="48E37AAB"/>
    <w:rsid w:val="48FD4B4C"/>
    <w:rsid w:val="490A68E0"/>
    <w:rsid w:val="491055FE"/>
    <w:rsid w:val="495F5B3E"/>
    <w:rsid w:val="496455DB"/>
    <w:rsid w:val="496F77D7"/>
    <w:rsid w:val="497654FD"/>
    <w:rsid w:val="49952666"/>
    <w:rsid w:val="49B64211"/>
    <w:rsid w:val="49E56AF9"/>
    <w:rsid w:val="49F6167F"/>
    <w:rsid w:val="4A064FA0"/>
    <w:rsid w:val="4A16615C"/>
    <w:rsid w:val="4A4424D7"/>
    <w:rsid w:val="4AB82D0F"/>
    <w:rsid w:val="4AEB7664"/>
    <w:rsid w:val="4AFD7C19"/>
    <w:rsid w:val="4B0567D1"/>
    <w:rsid w:val="4B217CD2"/>
    <w:rsid w:val="4B236AAE"/>
    <w:rsid w:val="4B46773A"/>
    <w:rsid w:val="4B4E75D6"/>
    <w:rsid w:val="4B707271"/>
    <w:rsid w:val="4B9739F7"/>
    <w:rsid w:val="4BEE2503"/>
    <w:rsid w:val="4C245A30"/>
    <w:rsid w:val="4CB6685F"/>
    <w:rsid w:val="4CC26482"/>
    <w:rsid w:val="4CC367FE"/>
    <w:rsid w:val="4CF83054"/>
    <w:rsid w:val="4D077F3C"/>
    <w:rsid w:val="4D123355"/>
    <w:rsid w:val="4D2A3B31"/>
    <w:rsid w:val="4D312C52"/>
    <w:rsid w:val="4D905305"/>
    <w:rsid w:val="4D964A72"/>
    <w:rsid w:val="4D9C1254"/>
    <w:rsid w:val="4E335276"/>
    <w:rsid w:val="4E793892"/>
    <w:rsid w:val="4E800872"/>
    <w:rsid w:val="4E9E5ADF"/>
    <w:rsid w:val="4EA001D2"/>
    <w:rsid w:val="4EA20185"/>
    <w:rsid w:val="4EC569ED"/>
    <w:rsid w:val="4ED50EA1"/>
    <w:rsid w:val="4EEC050C"/>
    <w:rsid w:val="4EFB6953"/>
    <w:rsid w:val="4F104EC3"/>
    <w:rsid w:val="4F47354A"/>
    <w:rsid w:val="4F911C54"/>
    <w:rsid w:val="4FD16107"/>
    <w:rsid w:val="4FE117CF"/>
    <w:rsid w:val="4FE625E0"/>
    <w:rsid w:val="4FFD05E3"/>
    <w:rsid w:val="50153B7F"/>
    <w:rsid w:val="50195B48"/>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B5DF3"/>
    <w:rsid w:val="51B7396D"/>
    <w:rsid w:val="51C77DF5"/>
    <w:rsid w:val="522257EC"/>
    <w:rsid w:val="522E4CC3"/>
    <w:rsid w:val="5244713B"/>
    <w:rsid w:val="525B1CED"/>
    <w:rsid w:val="52615633"/>
    <w:rsid w:val="526F4DE4"/>
    <w:rsid w:val="52977FD4"/>
    <w:rsid w:val="52A25790"/>
    <w:rsid w:val="52A96B6F"/>
    <w:rsid w:val="52B45975"/>
    <w:rsid w:val="52D94AA4"/>
    <w:rsid w:val="52E5397B"/>
    <w:rsid w:val="52EA3A62"/>
    <w:rsid w:val="52F50BB8"/>
    <w:rsid w:val="53097272"/>
    <w:rsid w:val="53544462"/>
    <w:rsid w:val="535A0839"/>
    <w:rsid w:val="53837B1B"/>
    <w:rsid w:val="5397158E"/>
    <w:rsid w:val="53BD2A35"/>
    <w:rsid w:val="53E30641"/>
    <w:rsid w:val="53E62FDC"/>
    <w:rsid w:val="54013861"/>
    <w:rsid w:val="540B6EFF"/>
    <w:rsid w:val="541E3F20"/>
    <w:rsid w:val="542C258D"/>
    <w:rsid w:val="54364D22"/>
    <w:rsid w:val="54487265"/>
    <w:rsid w:val="544D6070"/>
    <w:rsid w:val="54605E1E"/>
    <w:rsid w:val="54B3506A"/>
    <w:rsid w:val="54CA0D16"/>
    <w:rsid w:val="54D95B26"/>
    <w:rsid w:val="54DD4057"/>
    <w:rsid w:val="54E7490F"/>
    <w:rsid w:val="550764A4"/>
    <w:rsid w:val="550B2BF6"/>
    <w:rsid w:val="5516017D"/>
    <w:rsid w:val="55214EB5"/>
    <w:rsid w:val="55364EFD"/>
    <w:rsid w:val="555D4828"/>
    <w:rsid w:val="557A4C8B"/>
    <w:rsid w:val="558931E1"/>
    <w:rsid w:val="55923347"/>
    <w:rsid w:val="55925180"/>
    <w:rsid w:val="55983B1B"/>
    <w:rsid w:val="55A8376B"/>
    <w:rsid w:val="55B36633"/>
    <w:rsid w:val="55DC29B6"/>
    <w:rsid w:val="55DD4241"/>
    <w:rsid w:val="566B6D1E"/>
    <w:rsid w:val="567B6718"/>
    <w:rsid w:val="5703298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A1A18"/>
    <w:rsid w:val="586A1498"/>
    <w:rsid w:val="586E6522"/>
    <w:rsid w:val="58917D2F"/>
    <w:rsid w:val="5894085C"/>
    <w:rsid w:val="58951E10"/>
    <w:rsid w:val="58AE4F0C"/>
    <w:rsid w:val="58B85899"/>
    <w:rsid w:val="58CD149A"/>
    <w:rsid w:val="58E363A9"/>
    <w:rsid w:val="58FE165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A77FD"/>
    <w:rsid w:val="5AD63A24"/>
    <w:rsid w:val="5B2E1A1D"/>
    <w:rsid w:val="5B843A1C"/>
    <w:rsid w:val="5B873E3F"/>
    <w:rsid w:val="5BCF7397"/>
    <w:rsid w:val="5C02690E"/>
    <w:rsid w:val="5C067182"/>
    <w:rsid w:val="5C196DA7"/>
    <w:rsid w:val="5C2A048C"/>
    <w:rsid w:val="5C80234E"/>
    <w:rsid w:val="5C8A680C"/>
    <w:rsid w:val="5CB36BF9"/>
    <w:rsid w:val="5D0C4701"/>
    <w:rsid w:val="5D0F0395"/>
    <w:rsid w:val="5D221076"/>
    <w:rsid w:val="5D397964"/>
    <w:rsid w:val="5D5A391C"/>
    <w:rsid w:val="5D5F10C0"/>
    <w:rsid w:val="5D891B7B"/>
    <w:rsid w:val="5D9F67A1"/>
    <w:rsid w:val="5DAD38EE"/>
    <w:rsid w:val="5E006862"/>
    <w:rsid w:val="5E0207B9"/>
    <w:rsid w:val="5E117DD1"/>
    <w:rsid w:val="5E1834A1"/>
    <w:rsid w:val="5E261785"/>
    <w:rsid w:val="5E4A7017"/>
    <w:rsid w:val="5E552BBA"/>
    <w:rsid w:val="5E611C10"/>
    <w:rsid w:val="5E7A0F3F"/>
    <w:rsid w:val="5EF32A72"/>
    <w:rsid w:val="5EFC7377"/>
    <w:rsid w:val="5F06174D"/>
    <w:rsid w:val="5F193986"/>
    <w:rsid w:val="5F21102F"/>
    <w:rsid w:val="5F3A3602"/>
    <w:rsid w:val="5F45733B"/>
    <w:rsid w:val="5F6277C6"/>
    <w:rsid w:val="5F6D0B1D"/>
    <w:rsid w:val="5F726B2F"/>
    <w:rsid w:val="5F8D0B82"/>
    <w:rsid w:val="5FCC5339"/>
    <w:rsid w:val="5FDF5BB3"/>
    <w:rsid w:val="5FE34A5B"/>
    <w:rsid w:val="5FF43B9A"/>
    <w:rsid w:val="5FFE1E36"/>
    <w:rsid w:val="60232584"/>
    <w:rsid w:val="60493394"/>
    <w:rsid w:val="607330CE"/>
    <w:rsid w:val="60825176"/>
    <w:rsid w:val="609F2AC4"/>
    <w:rsid w:val="60FA2EE8"/>
    <w:rsid w:val="61054A27"/>
    <w:rsid w:val="610658C8"/>
    <w:rsid w:val="610A52BC"/>
    <w:rsid w:val="611016A7"/>
    <w:rsid w:val="611D2366"/>
    <w:rsid w:val="61421856"/>
    <w:rsid w:val="615227C4"/>
    <w:rsid w:val="61654E3F"/>
    <w:rsid w:val="6182292A"/>
    <w:rsid w:val="619F7F92"/>
    <w:rsid w:val="61DE656B"/>
    <w:rsid w:val="61F93300"/>
    <w:rsid w:val="61F94C26"/>
    <w:rsid w:val="62000E56"/>
    <w:rsid w:val="624F3E49"/>
    <w:rsid w:val="62632286"/>
    <w:rsid w:val="62885958"/>
    <w:rsid w:val="62F40B65"/>
    <w:rsid w:val="62F57AED"/>
    <w:rsid w:val="62FC2CFE"/>
    <w:rsid w:val="63024505"/>
    <w:rsid w:val="635600A5"/>
    <w:rsid w:val="635B1DB5"/>
    <w:rsid w:val="63711FED"/>
    <w:rsid w:val="63880DDC"/>
    <w:rsid w:val="638D750D"/>
    <w:rsid w:val="63A001DB"/>
    <w:rsid w:val="63A577D2"/>
    <w:rsid w:val="63A62339"/>
    <w:rsid w:val="63AA268B"/>
    <w:rsid w:val="63AC6CC0"/>
    <w:rsid w:val="63FE229B"/>
    <w:rsid w:val="64055776"/>
    <w:rsid w:val="64240056"/>
    <w:rsid w:val="643E143A"/>
    <w:rsid w:val="64491666"/>
    <w:rsid w:val="64625357"/>
    <w:rsid w:val="648B6EEF"/>
    <w:rsid w:val="64B33573"/>
    <w:rsid w:val="64C158BF"/>
    <w:rsid w:val="64CE2EAA"/>
    <w:rsid w:val="653C3090"/>
    <w:rsid w:val="65854376"/>
    <w:rsid w:val="65856625"/>
    <w:rsid w:val="658767BE"/>
    <w:rsid w:val="65892531"/>
    <w:rsid w:val="65DD2659"/>
    <w:rsid w:val="660109D5"/>
    <w:rsid w:val="66195831"/>
    <w:rsid w:val="66232BCE"/>
    <w:rsid w:val="66234782"/>
    <w:rsid w:val="662E75B1"/>
    <w:rsid w:val="66342C2E"/>
    <w:rsid w:val="663E784C"/>
    <w:rsid w:val="668B6A45"/>
    <w:rsid w:val="67011F07"/>
    <w:rsid w:val="672F3F24"/>
    <w:rsid w:val="673E055F"/>
    <w:rsid w:val="67551CE3"/>
    <w:rsid w:val="67A22552"/>
    <w:rsid w:val="67B22DCC"/>
    <w:rsid w:val="67B361D3"/>
    <w:rsid w:val="67BE71AA"/>
    <w:rsid w:val="67C04916"/>
    <w:rsid w:val="67D90273"/>
    <w:rsid w:val="67DE5875"/>
    <w:rsid w:val="67E55852"/>
    <w:rsid w:val="67EB1AB4"/>
    <w:rsid w:val="67FA1285"/>
    <w:rsid w:val="680430A7"/>
    <w:rsid w:val="68551F4F"/>
    <w:rsid w:val="687C10C9"/>
    <w:rsid w:val="68840C16"/>
    <w:rsid w:val="68872541"/>
    <w:rsid w:val="68876EFB"/>
    <w:rsid w:val="68884654"/>
    <w:rsid w:val="689F444F"/>
    <w:rsid w:val="68B96DBB"/>
    <w:rsid w:val="68CA2805"/>
    <w:rsid w:val="68D105DC"/>
    <w:rsid w:val="68E937A3"/>
    <w:rsid w:val="691664E5"/>
    <w:rsid w:val="693E15D3"/>
    <w:rsid w:val="69627681"/>
    <w:rsid w:val="6977531D"/>
    <w:rsid w:val="69AF5205"/>
    <w:rsid w:val="69CC2BFF"/>
    <w:rsid w:val="69FD55B8"/>
    <w:rsid w:val="6A03535A"/>
    <w:rsid w:val="6A0B1C62"/>
    <w:rsid w:val="6A1E6F20"/>
    <w:rsid w:val="6A222EC4"/>
    <w:rsid w:val="6A2406C8"/>
    <w:rsid w:val="6ADD77AA"/>
    <w:rsid w:val="6ADE0BD1"/>
    <w:rsid w:val="6AE96859"/>
    <w:rsid w:val="6B147746"/>
    <w:rsid w:val="6B24787C"/>
    <w:rsid w:val="6B573233"/>
    <w:rsid w:val="6B5B6274"/>
    <w:rsid w:val="6B793D2A"/>
    <w:rsid w:val="6B935D53"/>
    <w:rsid w:val="6BDC3C14"/>
    <w:rsid w:val="6C196F71"/>
    <w:rsid w:val="6C226FCB"/>
    <w:rsid w:val="6C243CF9"/>
    <w:rsid w:val="6C31226F"/>
    <w:rsid w:val="6C552F0B"/>
    <w:rsid w:val="6C8C67B7"/>
    <w:rsid w:val="6C9D744C"/>
    <w:rsid w:val="6D167928"/>
    <w:rsid w:val="6D26299B"/>
    <w:rsid w:val="6D402BFE"/>
    <w:rsid w:val="6D4772EC"/>
    <w:rsid w:val="6D78223D"/>
    <w:rsid w:val="6D9078AF"/>
    <w:rsid w:val="6D9A0452"/>
    <w:rsid w:val="6DAA3FEF"/>
    <w:rsid w:val="6DC0172B"/>
    <w:rsid w:val="6DCB690C"/>
    <w:rsid w:val="6DD24BF9"/>
    <w:rsid w:val="6DD41A5B"/>
    <w:rsid w:val="6DF43C2E"/>
    <w:rsid w:val="6DF51CA3"/>
    <w:rsid w:val="6E136A15"/>
    <w:rsid w:val="6E3E08F3"/>
    <w:rsid w:val="6E8335BD"/>
    <w:rsid w:val="6E8E12EF"/>
    <w:rsid w:val="6E972936"/>
    <w:rsid w:val="6EBE5652"/>
    <w:rsid w:val="6ED446C5"/>
    <w:rsid w:val="6F1752F5"/>
    <w:rsid w:val="6F2A7D94"/>
    <w:rsid w:val="6F8331F1"/>
    <w:rsid w:val="6FAE1A09"/>
    <w:rsid w:val="6FBA736C"/>
    <w:rsid w:val="6FD75BF8"/>
    <w:rsid w:val="6FF42BBA"/>
    <w:rsid w:val="703674CE"/>
    <w:rsid w:val="707723D0"/>
    <w:rsid w:val="708C17E3"/>
    <w:rsid w:val="70F5661B"/>
    <w:rsid w:val="71360107"/>
    <w:rsid w:val="713B688E"/>
    <w:rsid w:val="7148570A"/>
    <w:rsid w:val="71D43752"/>
    <w:rsid w:val="71DD3E10"/>
    <w:rsid w:val="71F1796A"/>
    <w:rsid w:val="720C127E"/>
    <w:rsid w:val="72154626"/>
    <w:rsid w:val="72262B5D"/>
    <w:rsid w:val="72283FF7"/>
    <w:rsid w:val="722E7212"/>
    <w:rsid w:val="723A0474"/>
    <w:rsid w:val="724D3D0E"/>
    <w:rsid w:val="725923E4"/>
    <w:rsid w:val="727845D2"/>
    <w:rsid w:val="72864BF7"/>
    <w:rsid w:val="729023FC"/>
    <w:rsid w:val="72CA3148"/>
    <w:rsid w:val="72D373ED"/>
    <w:rsid w:val="7395391F"/>
    <w:rsid w:val="73BA35A2"/>
    <w:rsid w:val="73C0646E"/>
    <w:rsid w:val="742222F5"/>
    <w:rsid w:val="74476126"/>
    <w:rsid w:val="74662A4C"/>
    <w:rsid w:val="74706664"/>
    <w:rsid w:val="747F3682"/>
    <w:rsid w:val="749C4185"/>
    <w:rsid w:val="74B83EDD"/>
    <w:rsid w:val="74E928C1"/>
    <w:rsid w:val="75067759"/>
    <w:rsid w:val="75244D10"/>
    <w:rsid w:val="752E6DCD"/>
    <w:rsid w:val="7551380D"/>
    <w:rsid w:val="75600BE5"/>
    <w:rsid w:val="7564475C"/>
    <w:rsid w:val="7583797F"/>
    <w:rsid w:val="75D20F1D"/>
    <w:rsid w:val="75DA2C18"/>
    <w:rsid w:val="75F54412"/>
    <w:rsid w:val="761D08E0"/>
    <w:rsid w:val="765D347C"/>
    <w:rsid w:val="766E5940"/>
    <w:rsid w:val="76826699"/>
    <w:rsid w:val="769709C8"/>
    <w:rsid w:val="76C87133"/>
    <w:rsid w:val="76CD08D5"/>
    <w:rsid w:val="76DB4B92"/>
    <w:rsid w:val="76FD013A"/>
    <w:rsid w:val="77052AA4"/>
    <w:rsid w:val="77136511"/>
    <w:rsid w:val="77340A39"/>
    <w:rsid w:val="77351FD0"/>
    <w:rsid w:val="77472422"/>
    <w:rsid w:val="77516237"/>
    <w:rsid w:val="777F31F2"/>
    <w:rsid w:val="77D1700D"/>
    <w:rsid w:val="77D97B0E"/>
    <w:rsid w:val="77EC04CC"/>
    <w:rsid w:val="77F415D3"/>
    <w:rsid w:val="781A20FE"/>
    <w:rsid w:val="78233908"/>
    <w:rsid w:val="78775729"/>
    <w:rsid w:val="78A42DB0"/>
    <w:rsid w:val="78A656AB"/>
    <w:rsid w:val="78AB3846"/>
    <w:rsid w:val="78B2245C"/>
    <w:rsid w:val="78E172CC"/>
    <w:rsid w:val="78EA1D1F"/>
    <w:rsid w:val="7904172F"/>
    <w:rsid w:val="790F7E27"/>
    <w:rsid w:val="792A231A"/>
    <w:rsid w:val="79316829"/>
    <w:rsid w:val="79621410"/>
    <w:rsid w:val="79790221"/>
    <w:rsid w:val="797B3BA9"/>
    <w:rsid w:val="797E1D12"/>
    <w:rsid w:val="797E66A9"/>
    <w:rsid w:val="798518A4"/>
    <w:rsid w:val="798A2CF5"/>
    <w:rsid w:val="799C4E87"/>
    <w:rsid w:val="79A97383"/>
    <w:rsid w:val="79AB6836"/>
    <w:rsid w:val="79AD28E8"/>
    <w:rsid w:val="79BE0617"/>
    <w:rsid w:val="79E27E8B"/>
    <w:rsid w:val="79F850CE"/>
    <w:rsid w:val="79FD443C"/>
    <w:rsid w:val="7A1D1975"/>
    <w:rsid w:val="7A3E5150"/>
    <w:rsid w:val="7A4670D6"/>
    <w:rsid w:val="7A5045C6"/>
    <w:rsid w:val="7A534B63"/>
    <w:rsid w:val="7A615382"/>
    <w:rsid w:val="7A67303B"/>
    <w:rsid w:val="7AA27B4C"/>
    <w:rsid w:val="7AAB1D04"/>
    <w:rsid w:val="7AAD3CFE"/>
    <w:rsid w:val="7ABA4368"/>
    <w:rsid w:val="7AD05746"/>
    <w:rsid w:val="7AE12897"/>
    <w:rsid w:val="7B257FFD"/>
    <w:rsid w:val="7B273D20"/>
    <w:rsid w:val="7B2966A8"/>
    <w:rsid w:val="7B343476"/>
    <w:rsid w:val="7B522F29"/>
    <w:rsid w:val="7B5A2978"/>
    <w:rsid w:val="7B5A7E4C"/>
    <w:rsid w:val="7B667AF9"/>
    <w:rsid w:val="7B7468F8"/>
    <w:rsid w:val="7BD51939"/>
    <w:rsid w:val="7BEE0103"/>
    <w:rsid w:val="7C0A0FE4"/>
    <w:rsid w:val="7C254906"/>
    <w:rsid w:val="7C301F44"/>
    <w:rsid w:val="7C581EF8"/>
    <w:rsid w:val="7C590818"/>
    <w:rsid w:val="7C66113B"/>
    <w:rsid w:val="7C7C10F6"/>
    <w:rsid w:val="7C853BEA"/>
    <w:rsid w:val="7C881368"/>
    <w:rsid w:val="7CE27788"/>
    <w:rsid w:val="7D0C32F1"/>
    <w:rsid w:val="7D0F408D"/>
    <w:rsid w:val="7D392C7F"/>
    <w:rsid w:val="7D3B07A8"/>
    <w:rsid w:val="7D4800BE"/>
    <w:rsid w:val="7D491C6C"/>
    <w:rsid w:val="7D5429C0"/>
    <w:rsid w:val="7D573B18"/>
    <w:rsid w:val="7D6E6D43"/>
    <w:rsid w:val="7DB57A34"/>
    <w:rsid w:val="7DE60973"/>
    <w:rsid w:val="7DEF0916"/>
    <w:rsid w:val="7E1E5218"/>
    <w:rsid w:val="7E881C50"/>
    <w:rsid w:val="7E9A4E1F"/>
    <w:rsid w:val="7EA2736E"/>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autoRedefine/>
    <w:unhideWhenUsed/>
    <w:qFormat/>
    <w:uiPriority w:val="99"/>
    <w:pPr>
      <w:ind w:left="420" w:leftChars="200" w:firstLine="0"/>
    </w:p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pPr>
      <w:tabs>
        <w:tab w:val="right" w:leader="dot" w:pos="8268"/>
      </w:tabs>
    </w:pPr>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54"/>
    <w:link w:val="374"/>
    <w:autoRedefine/>
    <w:qFormat/>
    <w:uiPriority w:val="0"/>
    <w:pPr>
      <w:tabs>
        <w:tab w:val="right" w:leader="dot" w:pos="8268"/>
      </w:tabs>
      <w:spacing w:line="360" w:lineRule="auto"/>
      <w:ind w:firstLine="420"/>
    </w:pPr>
    <w:rPr>
      <w:sz w:val="24"/>
      <w:szCs w:val="20"/>
    </w:rPr>
  </w:style>
  <w:style w:type="paragraph" w:customStyle="1" w:styleId="54">
    <w:name w:val="正文1"/>
    <w:basedOn w:val="32"/>
    <w:autoRedefine/>
    <w:qFormat/>
    <w:uiPriority w:val="0"/>
    <w:pPr>
      <w:ind w:left="0" w:leftChars="0" w:firstLine="480" w:firstLineChars="200"/>
    </w:pPr>
    <w:rPr>
      <w:rFonts w:ascii="仿宋_GB2312" w:hAnsi="Courier New" w:eastAsia="仿宋_GB2312"/>
      <w:kern w:val="28"/>
      <w:sz w:val="24"/>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autoRedefine/>
    <w:qFormat/>
    <w:uiPriority w:val="0"/>
    <w:rPr>
      <w:b/>
      <w:bCs/>
    </w:rPr>
  </w:style>
  <w:style w:type="paragraph" w:styleId="62">
    <w:name w:val="Body Text First Indent"/>
    <w:basedOn w:val="24"/>
    <w:next w:val="1"/>
    <w:link w:val="320"/>
    <w:autoRedefine/>
    <w:qFormat/>
    <w:uiPriority w:val="0"/>
    <w:pPr>
      <w:ind w:firstLine="420"/>
    </w:pPr>
    <w:rPr>
      <w:rFonts w:hAnsi="Calibri" w:cs="Times New Roman"/>
      <w:snapToGrid/>
      <w:szCs w:val="20"/>
    </w:rPr>
  </w:style>
  <w:style w:type="paragraph" w:styleId="63">
    <w:name w:val="Body Text First Indent 2"/>
    <w:basedOn w:val="25"/>
    <w:link w:val="120"/>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3"/>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1"/>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1"/>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1"/>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1"/>
    <w:autoRedefine/>
    <w:qFormat/>
    <w:uiPriority w:val="0"/>
    <w:rPr>
      <w:rFonts w:ascii="Arial" w:hAnsi="Arial" w:eastAsia="黑体" w:cs="Arial"/>
      <w:snapToGrid w:val="0"/>
      <w:kern w:val="0"/>
      <w:szCs w:val="21"/>
    </w:rPr>
  </w:style>
  <w:style w:type="character" w:customStyle="1" w:styleId="431">
    <w:name w:val="hui"/>
    <w:basedOn w:val="71"/>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8"/>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Plain Text"/>
    <w:basedOn w:val="1"/>
    <w:autoRedefine/>
    <w:qFormat/>
    <w:uiPriority w:val="0"/>
    <w:rPr>
      <w:rFonts w:ascii="宋体" w:hAnsi="Courier New" w:cs="Times New Roman"/>
      <w:kern w:val="0"/>
      <w:sz w:val="20"/>
      <w:szCs w:val="20"/>
    </w:rPr>
  </w:style>
  <w:style w:type="paragraph" w:customStyle="1" w:styleId="964">
    <w:name w:val="标题 21"/>
    <w:basedOn w:val="54"/>
    <w:next w:val="54"/>
    <w:autoRedefine/>
    <w:qFormat/>
    <w:uiPriority w:val="0"/>
    <w:pPr>
      <w:keepNext/>
      <w:keepLines/>
      <w:spacing w:line="408" w:lineRule="auto"/>
      <w:outlineLvl w:val="1"/>
    </w:pPr>
    <w:rPr>
      <w:rFonts w:ascii="Arial" w:hAnsi="Arial" w:eastAsia="黑体"/>
      <w:b/>
      <w:bCs/>
      <w:sz w:val="32"/>
      <w:szCs w:val="32"/>
    </w:rPr>
  </w:style>
  <w:style w:type="paragraph" w:customStyle="1" w:styleId="965">
    <w:name w:val="BodyText1I"/>
    <w:basedOn w:val="966"/>
    <w:autoRedefine/>
    <w:qFormat/>
    <w:uiPriority w:val="0"/>
    <w:pPr>
      <w:spacing w:after="120"/>
      <w:ind w:firstLine="420" w:firstLineChars="100"/>
    </w:pPr>
    <w:rPr>
      <w:rFonts w:ascii="长城仿宋" w:hAnsi="长城仿宋" w:eastAsia="等线"/>
    </w:rPr>
  </w:style>
  <w:style w:type="paragraph" w:customStyle="1" w:styleId="966">
    <w:name w:val="BodyText"/>
    <w:basedOn w:val="1"/>
    <w:autoRedefine/>
    <w:qFormat/>
    <w:uiPriority w:val="0"/>
    <w:pPr>
      <w:spacing w:after="120"/>
    </w:pPr>
    <w:rPr>
      <w:rFonts w:ascii="长城仿宋" w:hAnsi="长城仿宋" w:eastAsia="等线"/>
      <w:kern w:val="2"/>
    </w:rPr>
  </w:style>
  <w:style w:type="paragraph" w:customStyle="1" w:styleId="967">
    <w:name w:val="纯文本3"/>
    <w:basedOn w:val="1"/>
    <w:autoRedefine/>
    <w:qFormat/>
    <w:uiPriority w:val="0"/>
    <w:pPr>
      <w:adjustRightInd w:val="0"/>
    </w:pPr>
    <w:rPr>
      <w:rFonts w:ascii="宋体" w:hAnsi="Courier New"/>
      <w:kern w:val="0"/>
      <w:sz w:val="20"/>
      <w:szCs w:val="20"/>
    </w:rPr>
  </w:style>
  <w:style w:type="paragraph" w:customStyle="1" w:styleId="968">
    <w:name w:val="_Style 10"/>
    <w:basedOn w:val="1"/>
    <w:next w:val="257"/>
    <w:autoRedefine/>
    <w:qFormat/>
    <w:uiPriority w:val="99"/>
    <w:pPr>
      <w:ind w:firstLine="420" w:firstLineChars="200"/>
    </w:pPr>
    <w:rPr>
      <w:rFonts w:ascii="Calibri" w:hAnsi="Calibri"/>
      <w:szCs w:val="22"/>
    </w:rPr>
  </w:style>
  <w:style w:type="paragraph" w:customStyle="1" w:styleId="969">
    <w:name w:val="样式 样式3 + 非加粗"/>
    <w:basedOn w:val="1"/>
    <w:autoRedefine/>
    <w:qFormat/>
    <w:uiPriority w:val="0"/>
    <w:pPr>
      <w:adjustRightInd w:val="0"/>
      <w:snapToGrid w:val="0"/>
      <w:spacing w:line="300" w:lineRule="auto"/>
    </w:pPr>
    <w:rPr>
      <w:rFonts w:ascii="宋体" w:hAnsi="宋体"/>
      <w:b/>
      <w:bCs/>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43007</Words>
  <Characters>45466</Characters>
  <Lines>281</Lines>
  <Paragraphs>79</Paragraphs>
  <TotalTime>10</TotalTime>
  <ScaleCrop>false</ScaleCrop>
  <LinksUpToDate>false</LinksUpToDate>
  <CharactersWithSpaces>51440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陈唯特</cp:lastModifiedBy>
  <cp:lastPrinted>2024-04-08T02:05:00Z</cp:lastPrinted>
  <dcterms:modified xsi:type="dcterms:W3CDTF">2024-05-30T08:51:13Z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4BE63754013D4F6F8DF0DF0D98D4DF73_13</vt:lpwstr>
  </property>
</Properties>
</file>