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30" w:line="600" w:lineRule="auto"/>
        <w:rPr>
          <w:sz w:val="52"/>
          <w:szCs w:val="52"/>
        </w:rPr>
      </w:pPr>
      <w:r>
        <w:rPr>
          <w:rFonts w:hint="eastAsia"/>
          <w:sz w:val="52"/>
          <w:szCs w:val="52"/>
          <w:lang w:val="en-US" w:eastAsia="zh-CN"/>
        </w:rPr>
        <w:t xml:space="preserve"> </w:t>
      </w:r>
      <w:r>
        <w:rPr>
          <w:rFonts w:hint="eastAsia"/>
          <w:sz w:val="52"/>
          <w:szCs w:val="52"/>
        </w:rPr>
        <w:t xml:space="preserve"> </w:t>
      </w:r>
    </w:p>
    <w:p/>
    <w:p>
      <w:pPr>
        <w:spacing w:beforeLines="50" w:line="365" w:lineRule="exact"/>
        <w:jc w:val="center"/>
        <w:rPr>
          <w:rFonts w:hint="eastAsia" w:ascii="宋体" w:hAnsi="宋体" w:eastAsia="宋体" w:cs="宋体"/>
          <w:b/>
          <w:bCs/>
          <w:spacing w:val="-17"/>
          <w:sz w:val="48"/>
          <w:szCs w:val="48"/>
          <w:lang w:eastAsia="zh-CN"/>
        </w:rPr>
      </w:pPr>
      <w:r>
        <w:rPr>
          <w:rFonts w:hint="eastAsia" w:ascii="宋体" w:hAnsi="宋体" w:eastAsia="宋体" w:cs="宋体"/>
          <w:b/>
          <w:bCs/>
          <w:spacing w:val="-17"/>
          <w:sz w:val="48"/>
          <w:szCs w:val="48"/>
          <w:lang w:eastAsia="zh-CN"/>
        </w:rPr>
        <w:t>衢州市柯城区府山街道污水零直排管网监测</w:t>
      </w:r>
    </w:p>
    <w:p>
      <w:pPr>
        <w:spacing w:beforeLines="50" w:line="365" w:lineRule="exact"/>
        <w:jc w:val="center"/>
        <w:rPr>
          <w:rFonts w:hint="eastAsia" w:ascii="宋体" w:hAnsi="宋体" w:eastAsia="宋体" w:cs="宋体"/>
          <w:b/>
          <w:bCs/>
          <w:spacing w:val="-17"/>
          <w:sz w:val="48"/>
          <w:szCs w:val="48"/>
          <w:lang w:eastAsia="zh-CN"/>
        </w:rPr>
      </w:pPr>
      <w:r>
        <w:rPr>
          <w:rFonts w:hint="eastAsia" w:ascii="宋体" w:hAnsi="宋体" w:eastAsia="宋体" w:cs="宋体"/>
          <w:b/>
          <w:bCs/>
          <w:spacing w:val="-17"/>
          <w:sz w:val="48"/>
          <w:szCs w:val="48"/>
          <w:lang w:eastAsia="zh-CN"/>
        </w:rPr>
        <w:t>服务采购</w:t>
      </w:r>
    </w:p>
    <w:p>
      <w:pPr>
        <w:pStyle w:val="43"/>
        <w:rPr>
          <w:color w:val="auto"/>
        </w:rPr>
      </w:pPr>
    </w:p>
    <w:p>
      <w:pPr>
        <w:pStyle w:val="43"/>
        <w:rPr>
          <w:color w:val="auto"/>
        </w:rPr>
      </w:pPr>
    </w:p>
    <w:p>
      <w:pPr>
        <w:pStyle w:val="43"/>
        <w:rPr>
          <w:color w:val="auto"/>
        </w:rPr>
      </w:pPr>
    </w:p>
    <w:p>
      <w:pPr>
        <w:pStyle w:val="43"/>
        <w:rPr>
          <w:color w:val="auto"/>
        </w:rPr>
      </w:pPr>
    </w:p>
    <w:p>
      <w:pPr>
        <w:pStyle w:val="43"/>
        <w:rPr>
          <w:color w:val="auto"/>
        </w:rPr>
      </w:pPr>
    </w:p>
    <w:p>
      <w:pPr>
        <w:pStyle w:val="43"/>
        <w:rPr>
          <w:color w:val="auto"/>
        </w:rPr>
      </w:pPr>
    </w:p>
    <w:p>
      <w:pPr>
        <w:pStyle w:val="43"/>
        <w:rPr>
          <w:color w:val="auto"/>
        </w:rPr>
      </w:pPr>
    </w:p>
    <w:p>
      <w:pPr>
        <w:widowControl/>
        <w:tabs>
          <w:tab w:val="left" w:pos="4940"/>
        </w:tabs>
        <w:spacing w:line="960" w:lineRule="exact"/>
        <w:jc w:val="center"/>
        <w:rPr>
          <w:rFonts w:ascii="宋体" w:hAnsi="宋体" w:cs="宋体"/>
          <w:b/>
          <w:bCs/>
          <w:sz w:val="72"/>
          <w:szCs w:val="72"/>
        </w:rPr>
      </w:pPr>
      <w:r>
        <w:rPr>
          <w:rFonts w:hint="eastAsia" w:ascii="宋体" w:hAnsi="宋体" w:cs="宋体"/>
          <w:b/>
          <w:bCs/>
          <w:sz w:val="72"/>
          <w:szCs w:val="72"/>
        </w:rPr>
        <w:t>公开招标文件</w:t>
      </w:r>
    </w:p>
    <w:p>
      <w:pPr>
        <w:spacing w:line="365" w:lineRule="exact"/>
        <w:rPr>
          <w:rFonts w:ascii="宋体" w:hAnsi="宋体" w:cs="宋体"/>
          <w:b/>
          <w:sz w:val="28"/>
          <w:szCs w:val="28"/>
        </w:rPr>
      </w:pPr>
    </w:p>
    <w:p>
      <w:pPr>
        <w:spacing w:line="365" w:lineRule="exact"/>
        <w:jc w:val="center"/>
        <w:rPr>
          <w:rFonts w:ascii="宋体" w:hAnsi="宋体" w:eastAsia="仿宋_GB2312" w:cs="宋体"/>
          <w:b/>
          <w:bCs/>
          <w:sz w:val="28"/>
          <w:szCs w:val="28"/>
        </w:rPr>
      </w:pPr>
      <w:r>
        <w:rPr>
          <w:rFonts w:hint="eastAsia" w:ascii="宋体" w:hAnsi="宋体" w:eastAsia="宋体" w:cs="宋体"/>
          <w:b/>
          <w:sz w:val="36"/>
        </w:rPr>
        <w:t>（线上电子招投标）</w:t>
      </w:r>
    </w:p>
    <w:p>
      <w:pPr>
        <w:spacing w:line="365" w:lineRule="exact"/>
        <w:rPr>
          <w:rFonts w:ascii="宋体" w:hAnsi="宋体" w:cs="宋体"/>
          <w:b/>
          <w:sz w:val="28"/>
          <w:szCs w:val="28"/>
        </w:rPr>
      </w:pPr>
    </w:p>
    <w:p>
      <w:pPr>
        <w:spacing w:line="365" w:lineRule="exact"/>
        <w:rPr>
          <w:rFonts w:ascii="宋体" w:hAnsi="宋体" w:cs="宋体"/>
          <w:b/>
          <w:sz w:val="28"/>
          <w:szCs w:val="28"/>
        </w:rPr>
      </w:pPr>
    </w:p>
    <w:p>
      <w:pPr>
        <w:spacing w:line="365" w:lineRule="exact"/>
        <w:rPr>
          <w:rFonts w:ascii="宋体" w:hAnsi="宋体" w:cs="宋体"/>
          <w:b/>
          <w:sz w:val="28"/>
          <w:szCs w:val="28"/>
        </w:rPr>
      </w:pPr>
    </w:p>
    <w:p>
      <w:pPr>
        <w:spacing w:line="365" w:lineRule="exact"/>
        <w:rPr>
          <w:rFonts w:ascii="宋体" w:hAnsi="宋体" w:cs="宋体"/>
          <w:b/>
          <w:sz w:val="28"/>
          <w:szCs w:val="28"/>
        </w:rPr>
      </w:pPr>
    </w:p>
    <w:p>
      <w:pPr>
        <w:spacing w:line="365" w:lineRule="exact"/>
        <w:rPr>
          <w:rFonts w:ascii="宋体" w:hAnsi="宋体" w:cs="宋体"/>
          <w:b/>
          <w:sz w:val="28"/>
          <w:szCs w:val="28"/>
        </w:rPr>
      </w:pPr>
    </w:p>
    <w:p>
      <w:pPr>
        <w:spacing w:line="365" w:lineRule="exact"/>
        <w:rPr>
          <w:rFonts w:ascii="宋体" w:hAnsi="宋体" w:cs="宋体"/>
          <w:b/>
          <w:sz w:val="28"/>
          <w:szCs w:val="28"/>
        </w:rPr>
      </w:pPr>
    </w:p>
    <w:p>
      <w:pPr>
        <w:spacing w:line="361" w:lineRule="exact"/>
        <w:rPr>
          <w:rFonts w:ascii="宋体" w:hAnsi="宋体" w:cs="宋体"/>
          <w:sz w:val="28"/>
          <w:szCs w:val="28"/>
        </w:rPr>
      </w:pPr>
    </w:p>
    <w:p>
      <w:pPr>
        <w:spacing w:line="343" w:lineRule="exact"/>
        <w:jc w:val="center"/>
        <w:rPr>
          <w:rFonts w:ascii="宋体" w:hAnsi="宋体" w:cs="宋体"/>
          <w:b/>
          <w:spacing w:val="11"/>
          <w:sz w:val="28"/>
          <w:szCs w:val="28"/>
        </w:rPr>
      </w:pPr>
    </w:p>
    <w:p>
      <w:pPr>
        <w:spacing w:line="360" w:lineRule="auto"/>
        <w:rPr>
          <w:rFonts w:ascii="宋体" w:hAnsi="宋体" w:eastAsia="宋体" w:cs="宋体"/>
          <w:b/>
          <w:bCs/>
          <w:kern w:val="0"/>
          <w:sz w:val="32"/>
          <w:szCs w:val="32"/>
        </w:rPr>
      </w:pPr>
    </w:p>
    <w:p>
      <w:pPr>
        <w:tabs>
          <w:tab w:val="left" w:pos="4480"/>
        </w:tabs>
        <w:spacing w:line="360" w:lineRule="auto"/>
        <w:ind w:firstLine="964" w:firstLineChars="300"/>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SLQZS2024001</w:t>
      </w:r>
    </w:p>
    <w:p>
      <w:pPr>
        <w:tabs>
          <w:tab w:val="left" w:pos="4480"/>
        </w:tabs>
        <w:spacing w:line="360" w:lineRule="auto"/>
        <w:ind w:firstLine="964" w:firstLineChars="300"/>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eastAsia="zh-CN"/>
        </w:rPr>
        <w:t>衢州市柯城区府山街道办事处</w:t>
      </w:r>
    </w:p>
    <w:p>
      <w:pPr>
        <w:tabs>
          <w:tab w:val="left" w:pos="4480"/>
        </w:tabs>
        <w:spacing w:line="360" w:lineRule="auto"/>
        <w:ind w:firstLine="964" w:firstLineChars="300"/>
        <w:rPr>
          <w:rFonts w:ascii="宋体" w:hAnsi="宋体" w:eastAsia="宋体" w:cs="宋体"/>
          <w:b/>
          <w:bCs/>
          <w:sz w:val="32"/>
          <w:szCs w:val="32"/>
        </w:rPr>
      </w:pPr>
      <w:r>
        <w:rPr>
          <w:rFonts w:hint="eastAsia" w:ascii="宋体" w:hAnsi="宋体" w:eastAsia="宋体" w:cs="宋体"/>
          <w:b/>
          <w:bCs/>
          <w:sz w:val="32"/>
          <w:szCs w:val="32"/>
        </w:rPr>
        <w:t>代理机构：浙江三凌建设项目管理有限公司</w:t>
      </w:r>
    </w:p>
    <w:p>
      <w:pPr>
        <w:tabs>
          <w:tab w:val="left" w:pos="4940"/>
        </w:tabs>
        <w:spacing w:line="502" w:lineRule="exact"/>
        <w:jc w:val="center"/>
        <w:rPr>
          <w:rFonts w:ascii="宋体" w:hAnsi="宋体" w:cs="宋体"/>
          <w:b/>
          <w:bCs/>
          <w:sz w:val="28"/>
          <w:szCs w:val="28"/>
        </w:rPr>
      </w:pPr>
    </w:p>
    <w:p>
      <w:pPr>
        <w:autoSpaceDE w:val="0"/>
        <w:autoSpaceDN w:val="0"/>
        <w:adjustRightInd w:val="0"/>
        <w:snapToGrid w:val="0"/>
        <w:spacing w:line="600" w:lineRule="exact"/>
        <w:jc w:val="center"/>
        <w:textAlignment w:val="bottom"/>
        <w:sectPr>
          <w:headerReference r:id="rId4" w:type="first"/>
          <w:footerReference r:id="rId6" w:type="first"/>
          <w:headerReference r:id="rId3" w:type="default"/>
          <w:footerReference r:id="rId5" w:type="default"/>
          <w:pgSz w:w="11905" w:h="16838"/>
          <w:pgMar w:top="1247" w:right="1247" w:bottom="1247" w:left="1247" w:header="510" w:footer="907" w:gutter="0"/>
          <w:pgNumType w:start="1"/>
          <w:cols w:space="0" w:num="1"/>
          <w:docGrid w:type="lines" w:linePitch="319" w:charSpace="0"/>
        </w:sectPr>
      </w:pPr>
      <w:r>
        <w:rPr>
          <w:rFonts w:hint="eastAsia" w:ascii="宋体" w:hAnsi="宋体" w:eastAsia="宋体" w:cs="宋体"/>
          <w:b/>
          <w:sz w:val="32"/>
          <w:szCs w:val="32"/>
        </w:rPr>
        <w:t>二O</w:t>
      </w:r>
      <w:r>
        <w:rPr>
          <w:rFonts w:hint="eastAsia" w:ascii="宋体" w:hAnsi="宋体" w:cs="宋体"/>
          <w:b/>
          <w:sz w:val="32"/>
          <w:szCs w:val="32"/>
        </w:rPr>
        <w:t>二</w:t>
      </w:r>
      <w:r>
        <w:rPr>
          <w:rFonts w:hint="eastAsia" w:ascii="宋体" w:hAnsi="宋体" w:cs="宋体"/>
          <w:b/>
          <w:sz w:val="32"/>
          <w:szCs w:val="32"/>
          <w:lang w:eastAsia="zh-CN"/>
        </w:rPr>
        <w:t>四</w:t>
      </w:r>
      <w:r>
        <w:rPr>
          <w:rFonts w:hint="eastAsia" w:ascii="宋体" w:hAnsi="宋体" w:cs="宋体"/>
          <w:b/>
          <w:sz w:val="32"/>
          <w:szCs w:val="32"/>
        </w:rPr>
        <w:t>年</w:t>
      </w:r>
      <w:r>
        <w:rPr>
          <w:rFonts w:hint="eastAsia" w:ascii="宋体" w:hAnsi="宋体" w:cs="宋体"/>
          <w:b/>
          <w:sz w:val="32"/>
          <w:szCs w:val="32"/>
          <w:lang w:eastAsia="zh-CN"/>
        </w:rPr>
        <w:t>四</w:t>
      </w:r>
      <w:r>
        <w:rPr>
          <w:rFonts w:hint="eastAsia" w:ascii="宋体" w:hAnsi="宋体" w:eastAsia="宋体" w:cs="宋体"/>
          <w:b/>
          <w:sz w:val="32"/>
          <w:szCs w:val="32"/>
        </w:rPr>
        <w:t>月</w:t>
      </w:r>
    </w:p>
    <w:p>
      <w:pPr>
        <w:tabs>
          <w:tab w:val="left" w:pos="4940"/>
        </w:tabs>
        <w:spacing w:line="502" w:lineRule="exact"/>
        <w:jc w:val="center"/>
        <w:rPr>
          <w:rFonts w:ascii="宋体" w:hAnsi="宋体" w:cs="宋体"/>
          <w:b/>
          <w:bCs/>
          <w:szCs w:val="21"/>
        </w:rPr>
      </w:pPr>
    </w:p>
    <w:p>
      <w:pPr>
        <w:tabs>
          <w:tab w:val="left" w:pos="4940"/>
        </w:tabs>
        <w:spacing w:line="502" w:lineRule="exact"/>
        <w:jc w:val="center"/>
        <w:rPr>
          <w:color w:val="auto"/>
          <w:sz w:val="36"/>
          <w:szCs w:val="36"/>
        </w:rPr>
      </w:pPr>
      <w:r>
        <w:rPr>
          <w:rFonts w:hint="eastAsia" w:ascii="宋体" w:hAnsi="宋体" w:cs="宋体"/>
          <w:b/>
          <w:bCs/>
          <w:sz w:val="36"/>
          <w:szCs w:val="36"/>
        </w:rPr>
        <w:t>目 录</w:t>
      </w:r>
    </w:p>
    <w:p>
      <w:pPr>
        <w:tabs>
          <w:tab w:val="left" w:pos="1760"/>
        </w:tabs>
        <w:spacing w:line="391" w:lineRule="exact"/>
        <w:ind w:left="500" w:right="170" w:rightChars="81"/>
        <w:rPr>
          <w:rFonts w:ascii="宋体" w:hAnsi="宋体" w:eastAsia="宋体" w:cs="宋体"/>
          <w:color w:val="auto"/>
          <w:szCs w:val="21"/>
        </w:rPr>
      </w:pPr>
      <w:r>
        <w:rPr>
          <w:rFonts w:hint="eastAsia" w:ascii="宋体" w:hAnsi="宋体" w:eastAsia="宋体" w:cs="宋体"/>
          <w:color w:val="auto"/>
          <w:szCs w:val="21"/>
        </w:rPr>
        <w:t>第一章  招标公告.................................................................1</w:t>
      </w:r>
    </w:p>
    <w:p>
      <w:pPr>
        <w:spacing w:line="210" w:lineRule="exact"/>
        <w:rPr>
          <w:rFonts w:ascii="宋体" w:hAnsi="宋体" w:eastAsia="宋体" w:cs="宋体"/>
          <w:color w:val="0000FF"/>
          <w:szCs w:val="21"/>
        </w:rPr>
      </w:pPr>
    </w:p>
    <w:p>
      <w:pPr>
        <w:tabs>
          <w:tab w:val="left" w:pos="1760"/>
        </w:tabs>
        <w:spacing w:line="391" w:lineRule="exact"/>
        <w:ind w:left="500"/>
        <w:rPr>
          <w:rFonts w:hint="eastAsia" w:ascii="宋体" w:hAnsi="宋体" w:eastAsia="宋体" w:cs="宋体"/>
          <w:color w:val="auto"/>
          <w:szCs w:val="21"/>
          <w:lang w:val="en-US" w:eastAsia="zh-CN"/>
        </w:rPr>
      </w:pPr>
      <w:r>
        <w:rPr>
          <w:rFonts w:hint="eastAsia" w:ascii="宋体" w:hAnsi="宋体" w:eastAsia="宋体" w:cs="宋体"/>
          <w:color w:val="auto"/>
          <w:szCs w:val="21"/>
        </w:rPr>
        <w:t>第二章  投标人须知...............................................................</w:t>
      </w:r>
      <w:r>
        <w:rPr>
          <w:rFonts w:hint="eastAsia" w:ascii="宋体" w:hAnsi="宋体" w:eastAsia="宋体" w:cs="宋体"/>
          <w:color w:val="auto"/>
          <w:szCs w:val="21"/>
          <w:lang w:val="en-US" w:eastAsia="zh-CN"/>
        </w:rPr>
        <w:t>5</w:t>
      </w:r>
    </w:p>
    <w:p>
      <w:pPr>
        <w:spacing w:line="210" w:lineRule="exact"/>
        <w:rPr>
          <w:rFonts w:ascii="宋体" w:hAnsi="宋体" w:eastAsia="宋体" w:cs="宋体"/>
          <w:color w:val="auto"/>
          <w:szCs w:val="21"/>
        </w:rPr>
      </w:pPr>
    </w:p>
    <w:p>
      <w:pPr>
        <w:tabs>
          <w:tab w:val="left" w:pos="1760"/>
        </w:tabs>
        <w:spacing w:line="391" w:lineRule="exact"/>
        <w:ind w:left="500"/>
        <w:rPr>
          <w:rFonts w:hint="default" w:ascii="宋体" w:hAnsi="宋体" w:eastAsia="宋体" w:cs="宋体"/>
          <w:color w:val="auto"/>
          <w:szCs w:val="21"/>
          <w:lang w:val="en-US" w:eastAsia="zh-CN"/>
        </w:rPr>
      </w:pPr>
      <w:r>
        <w:rPr>
          <w:rFonts w:hint="eastAsia" w:ascii="宋体" w:hAnsi="宋体" w:eastAsia="宋体" w:cs="宋体"/>
          <w:color w:val="auto"/>
          <w:szCs w:val="21"/>
        </w:rPr>
        <w:t>第三章  采购需求................................................................</w:t>
      </w:r>
      <w:r>
        <w:rPr>
          <w:rFonts w:hint="eastAsia" w:ascii="宋体" w:hAnsi="宋体" w:eastAsia="宋体" w:cs="宋体"/>
          <w:color w:val="auto"/>
          <w:szCs w:val="21"/>
          <w:lang w:val="en-US" w:eastAsia="zh-CN"/>
        </w:rPr>
        <w:t>21</w:t>
      </w:r>
    </w:p>
    <w:p>
      <w:pPr>
        <w:spacing w:line="210" w:lineRule="exact"/>
        <w:rPr>
          <w:rFonts w:ascii="宋体" w:hAnsi="宋体" w:eastAsia="宋体" w:cs="宋体"/>
          <w:color w:val="auto"/>
          <w:szCs w:val="21"/>
        </w:rPr>
      </w:pPr>
    </w:p>
    <w:p>
      <w:pPr>
        <w:tabs>
          <w:tab w:val="left" w:pos="1760"/>
          <w:tab w:val="right" w:pos="8911"/>
        </w:tabs>
        <w:spacing w:line="391" w:lineRule="exact"/>
        <w:ind w:left="500"/>
        <w:rPr>
          <w:rFonts w:hint="default" w:ascii="宋体" w:hAnsi="宋体" w:eastAsia="宋体" w:cs="宋体"/>
          <w:color w:val="auto"/>
          <w:szCs w:val="21"/>
          <w:lang w:val="en-US" w:eastAsia="zh-CN"/>
        </w:rPr>
      </w:pPr>
      <w:r>
        <w:rPr>
          <w:rFonts w:hint="eastAsia" w:ascii="宋体" w:hAnsi="宋体" w:eastAsia="宋体" w:cs="宋体"/>
          <w:color w:val="auto"/>
          <w:szCs w:val="21"/>
        </w:rPr>
        <w:t>第四章  合同主要条款............................................................</w:t>
      </w:r>
      <w:r>
        <w:rPr>
          <w:rFonts w:hint="eastAsia" w:ascii="宋体" w:hAnsi="宋体" w:eastAsia="宋体" w:cs="宋体"/>
          <w:color w:val="auto"/>
          <w:szCs w:val="21"/>
          <w:lang w:val="en-US" w:eastAsia="zh-CN"/>
        </w:rPr>
        <w:t>32</w:t>
      </w:r>
    </w:p>
    <w:p>
      <w:pPr>
        <w:spacing w:line="210" w:lineRule="exact"/>
        <w:rPr>
          <w:rFonts w:ascii="宋体" w:hAnsi="宋体" w:eastAsia="宋体" w:cs="宋体"/>
          <w:color w:val="auto"/>
          <w:szCs w:val="21"/>
        </w:rPr>
      </w:pPr>
    </w:p>
    <w:p>
      <w:pPr>
        <w:tabs>
          <w:tab w:val="left" w:pos="1760"/>
        </w:tabs>
        <w:spacing w:line="391" w:lineRule="exact"/>
        <w:ind w:left="500"/>
        <w:rPr>
          <w:rFonts w:hint="default" w:ascii="宋体" w:hAnsi="宋体" w:eastAsia="宋体" w:cs="宋体"/>
          <w:color w:val="auto"/>
          <w:szCs w:val="21"/>
          <w:lang w:val="en-US" w:eastAsia="zh-CN"/>
        </w:rPr>
      </w:pPr>
      <w:r>
        <w:rPr>
          <w:rFonts w:hint="eastAsia" w:ascii="宋体" w:hAnsi="宋体" w:eastAsia="宋体" w:cs="宋体"/>
          <w:color w:val="auto"/>
          <w:szCs w:val="21"/>
        </w:rPr>
        <w:t>第五章  评标办法及评分标准......................................................</w:t>
      </w:r>
      <w:r>
        <w:rPr>
          <w:rFonts w:hint="eastAsia" w:ascii="宋体" w:hAnsi="宋体" w:eastAsia="宋体" w:cs="宋体"/>
          <w:color w:val="auto"/>
          <w:szCs w:val="21"/>
          <w:lang w:val="en-US" w:eastAsia="zh-CN"/>
        </w:rPr>
        <w:t>36</w:t>
      </w:r>
    </w:p>
    <w:p>
      <w:pPr>
        <w:spacing w:line="210" w:lineRule="exact"/>
        <w:rPr>
          <w:rFonts w:ascii="宋体" w:hAnsi="宋体" w:eastAsia="宋体" w:cs="宋体"/>
          <w:color w:val="auto"/>
          <w:szCs w:val="21"/>
        </w:rPr>
      </w:pPr>
    </w:p>
    <w:p>
      <w:pPr>
        <w:tabs>
          <w:tab w:val="left" w:pos="1760"/>
        </w:tabs>
        <w:spacing w:line="391" w:lineRule="exact"/>
        <w:ind w:left="500"/>
        <w:rPr>
          <w:rFonts w:hint="default" w:ascii="宋体" w:hAnsi="宋体" w:eastAsia="宋体" w:cs="宋体"/>
          <w:color w:val="auto"/>
          <w:szCs w:val="21"/>
          <w:lang w:val="en-US" w:eastAsia="zh-CN"/>
        </w:rPr>
      </w:pPr>
      <w:r>
        <w:rPr>
          <w:rFonts w:hint="eastAsia" w:ascii="宋体" w:hAnsi="宋体" w:eastAsia="宋体" w:cs="宋体"/>
          <w:color w:val="auto"/>
          <w:szCs w:val="21"/>
        </w:rPr>
        <w:t>第六章  投标文件部分格式........................................................</w:t>
      </w:r>
      <w:r>
        <w:rPr>
          <w:rFonts w:hint="eastAsia" w:ascii="宋体" w:hAnsi="宋体" w:eastAsia="宋体" w:cs="宋体"/>
          <w:color w:val="auto"/>
          <w:szCs w:val="21"/>
          <w:lang w:val="en-US" w:eastAsia="zh-CN"/>
        </w:rPr>
        <w:t>43</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sectPr>
          <w:pgSz w:w="11905" w:h="16838"/>
          <w:pgMar w:top="1247" w:right="1247" w:bottom="1247" w:left="1247" w:header="510" w:footer="907" w:gutter="0"/>
          <w:pgNumType w:start="1"/>
          <w:cols w:space="0" w:num="1"/>
          <w:docGrid w:type="lines" w:linePitch="319" w:charSpace="0"/>
        </w:sectPr>
      </w:pPr>
    </w:p>
    <w:p>
      <w:pPr>
        <w:keepNext w:val="0"/>
        <w:keepLines w:val="0"/>
        <w:pageBreakBefore w:val="0"/>
        <w:tabs>
          <w:tab w:val="left" w:pos="300"/>
        </w:tabs>
        <w:kinsoku/>
        <w:topLinePunct w:val="0"/>
        <w:bidi w:val="0"/>
        <w:snapToGrid/>
        <w:spacing w:line="240" w:lineRule="auto"/>
        <w:ind w:right="0"/>
        <w:jc w:val="both"/>
        <w:outlineLvl w:val="9"/>
        <w:rPr>
          <w:rFonts w:hint="eastAsia" w:ascii="宋体" w:hAnsi="宋体"/>
          <w:b/>
          <w:sz w:val="21"/>
          <w:szCs w:val="21"/>
        </w:rPr>
      </w:pPr>
    </w:p>
    <w:p>
      <w:pPr>
        <w:keepNext w:val="0"/>
        <w:keepLines w:val="0"/>
        <w:pageBreakBefore w:val="0"/>
        <w:tabs>
          <w:tab w:val="left" w:pos="300"/>
        </w:tabs>
        <w:kinsoku/>
        <w:topLinePunct w:val="0"/>
        <w:bidi w:val="0"/>
        <w:snapToGrid/>
        <w:spacing w:line="360" w:lineRule="auto"/>
        <w:ind w:right="0"/>
        <w:jc w:val="center"/>
        <w:outlineLvl w:val="9"/>
        <w:rPr>
          <w:rFonts w:ascii="Times New Roman" w:hAnsi="Times New Roman"/>
          <w:b/>
          <w:color w:val="auto"/>
          <w:sz w:val="24"/>
          <w:highlight w:val="none"/>
        </w:rPr>
      </w:pPr>
      <w:r>
        <w:rPr>
          <w:rFonts w:hint="eastAsia" w:ascii="宋体" w:hAnsi="宋体"/>
          <w:b/>
          <w:sz w:val="36"/>
          <w:szCs w:val="36"/>
        </w:rPr>
        <w:t xml:space="preserve">第一章 </w:t>
      </w:r>
      <w:r>
        <w:rPr>
          <w:rFonts w:ascii="宋体" w:hAnsi="宋体"/>
          <w:b/>
          <w:sz w:val="36"/>
          <w:szCs w:val="36"/>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right="0" w:firstLine="420"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衢州市柯城区府山街道污水零直排管网监测服务采购</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u w:val="single"/>
        </w:rPr>
        <w:t>政采云平台（http://zfcg.czt.zj.gov.cn）</w:t>
      </w:r>
      <w:r>
        <w:rPr>
          <w:rFonts w:hint="eastAsia" w:ascii="宋体" w:hAnsi="宋体" w:eastAsia="宋体" w:cs="宋体"/>
          <w:color w:val="auto"/>
          <w:sz w:val="21"/>
          <w:szCs w:val="21"/>
          <w:highlight w:val="none"/>
        </w:rPr>
        <w:t>获取招标文件，并</w:t>
      </w:r>
      <w:r>
        <w:rPr>
          <w:rFonts w:hint="eastAsia" w:ascii="宋体" w:hAnsi="宋体" w:eastAsia="宋体" w:cs="宋体"/>
          <w:color w:val="auto"/>
          <w:spacing w:val="0"/>
          <w:sz w:val="21"/>
          <w:szCs w:val="21"/>
          <w:highlight w:val="none"/>
        </w:rPr>
        <w:t>于</w:t>
      </w:r>
      <w:r>
        <w:rPr>
          <w:rFonts w:hint="eastAsia" w:ascii="宋体" w:hAnsi="宋体" w:eastAsia="宋体" w:cs="宋体"/>
          <w:b/>
          <w:bCs/>
          <w:color w:val="auto"/>
          <w:spacing w:val="0"/>
          <w:sz w:val="21"/>
          <w:szCs w:val="21"/>
          <w:highlight w:val="none"/>
          <w:u w:val="single"/>
        </w:rPr>
        <w:t>202</w:t>
      </w:r>
      <w:r>
        <w:rPr>
          <w:rFonts w:hint="eastAsia" w:ascii="宋体" w:hAnsi="宋体" w:eastAsia="宋体" w:cs="宋体"/>
          <w:b/>
          <w:bCs/>
          <w:color w:val="auto"/>
          <w:spacing w:val="0"/>
          <w:sz w:val="21"/>
          <w:szCs w:val="21"/>
          <w:highlight w:val="none"/>
          <w:u w:val="single"/>
          <w:lang w:val="en-US" w:eastAsia="zh-CN"/>
        </w:rPr>
        <w:t>4</w:t>
      </w:r>
      <w:r>
        <w:rPr>
          <w:rFonts w:hint="eastAsia" w:ascii="宋体" w:hAnsi="宋体" w:eastAsia="宋体" w:cs="宋体"/>
          <w:b/>
          <w:bCs/>
          <w:color w:val="auto"/>
          <w:spacing w:val="0"/>
          <w:sz w:val="21"/>
          <w:szCs w:val="21"/>
          <w:highlight w:val="none"/>
          <w:u w:val="single"/>
        </w:rPr>
        <w:t>年</w:t>
      </w:r>
      <w:r>
        <w:rPr>
          <w:rFonts w:hint="eastAsia" w:ascii="宋体" w:hAnsi="宋体" w:eastAsia="宋体" w:cs="宋体"/>
          <w:b/>
          <w:bCs/>
          <w:color w:val="auto"/>
          <w:spacing w:val="0"/>
          <w:sz w:val="21"/>
          <w:szCs w:val="21"/>
          <w:highlight w:val="none"/>
          <w:u w:val="single"/>
          <w:lang w:val="en-US" w:eastAsia="zh-CN"/>
        </w:rPr>
        <w:t>5</w:t>
      </w:r>
      <w:r>
        <w:rPr>
          <w:rFonts w:hint="eastAsia" w:ascii="宋体" w:hAnsi="宋体" w:eastAsia="宋体" w:cs="宋体"/>
          <w:b/>
          <w:bCs/>
          <w:color w:val="auto"/>
          <w:spacing w:val="0"/>
          <w:sz w:val="21"/>
          <w:szCs w:val="21"/>
          <w:highlight w:val="none"/>
          <w:u w:val="single"/>
        </w:rPr>
        <w:t xml:space="preserve">月 </w:t>
      </w:r>
      <w:r>
        <w:rPr>
          <w:rFonts w:hint="eastAsia" w:ascii="宋体" w:hAnsi="宋体" w:eastAsia="宋体" w:cs="宋体"/>
          <w:b/>
          <w:bCs/>
          <w:color w:val="auto"/>
          <w:spacing w:val="0"/>
          <w:sz w:val="21"/>
          <w:szCs w:val="21"/>
          <w:highlight w:val="none"/>
          <w:u w:val="single"/>
          <w:lang w:val="en-US" w:eastAsia="zh-CN"/>
        </w:rPr>
        <w:t>14</w:t>
      </w:r>
      <w:r>
        <w:rPr>
          <w:rFonts w:hint="eastAsia" w:ascii="宋体" w:hAnsi="宋体" w:eastAsia="宋体" w:cs="宋体"/>
          <w:b/>
          <w:bCs/>
          <w:color w:val="auto"/>
          <w:spacing w:val="0"/>
          <w:sz w:val="21"/>
          <w:szCs w:val="21"/>
          <w:highlight w:val="none"/>
          <w:u w:val="single"/>
        </w:rPr>
        <w:t xml:space="preserve"> 日</w:t>
      </w:r>
      <w:r>
        <w:rPr>
          <w:rFonts w:hint="eastAsia" w:ascii="宋体" w:hAnsi="宋体" w:eastAsia="宋体" w:cs="宋体"/>
          <w:b/>
          <w:bCs/>
          <w:color w:val="auto"/>
          <w:spacing w:val="0"/>
          <w:sz w:val="21"/>
          <w:szCs w:val="21"/>
          <w:highlight w:val="none"/>
          <w:u w:val="single"/>
          <w:lang w:val="en-US" w:eastAsia="zh-CN"/>
        </w:rPr>
        <w:t xml:space="preserve"> 14</w:t>
      </w:r>
      <w:r>
        <w:rPr>
          <w:rFonts w:hint="eastAsia" w:ascii="宋体" w:hAnsi="宋体" w:eastAsia="宋体" w:cs="宋体"/>
          <w:b/>
          <w:color w:val="auto"/>
          <w:spacing w:val="0"/>
          <w:sz w:val="21"/>
          <w:szCs w:val="21"/>
          <w:highlight w:val="none"/>
          <w:u w:val="single"/>
        </w:rPr>
        <w:t>点</w:t>
      </w:r>
      <w:r>
        <w:rPr>
          <w:rFonts w:hint="eastAsia" w:ascii="宋体" w:hAnsi="宋体" w:eastAsia="宋体" w:cs="宋体"/>
          <w:b/>
          <w:color w:val="auto"/>
          <w:spacing w:val="0"/>
          <w:sz w:val="21"/>
          <w:szCs w:val="21"/>
          <w:highlight w:val="none"/>
          <w:u w:val="single"/>
          <w:lang w:val="en-US" w:eastAsia="zh-CN"/>
        </w:rPr>
        <w:t xml:space="preserve"> 30</w:t>
      </w:r>
      <w:r>
        <w:rPr>
          <w:rFonts w:hint="eastAsia" w:ascii="宋体" w:hAnsi="宋体" w:eastAsia="宋体" w:cs="宋体"/>
          <w:b/>
          <w:color w:val="auto"/>
          <w:spacing w:val="0"/>
          <w:sz w:val="21"/>
          <w:szCs w:val="21"/>
          <w:highlight w:val="none"/>
          <w:u w:val="single"/>
        </w:rPr>
        <w:t xml:space="preserve">分   </w:t>
      </w:r>
      <w:r>
        <w:rPr>
          <w:rFonts w:hint="eastAsia" w:ascii="宋体" w:hAnsi="宋体" w:eastAsia="宋体" w:cs="宋体"/>
          <w:b/>
          <w:color w:val="auto"/>
          <w:sz w:val="21"/>
          <w:szCs w:val="21"/>
          <w:highlight w:val="none"/>
        </w:rPr>
        <w:t>（北京时间）前递交</w:t>
      </w:r>
      <w:r>
        <w:rPr>
          <w:rFonts w:hint="eastAsia" w:ascii="宋体" w:hAnsi="宋体" w:eastAsia="宋体" w:cs="宋体"/>
          <w:b/>
          <w:color w:val="auto"/>
          <w:sz w:val="21"/>
          <w:szCs w:val="21"/>
          <w:highlight w:val="none"/>
          <w:lang w:eastAsia="zh-CN"/>
        </w:rPr>
        <w:t>（上传）</w:t>
      </w:r>
      <w:r>
        <w:rPr>
          <w:rFonts w:hint="eastAsia" w:ascii="宋体" w:hAnsi="宋体" w:eastAsia="宋体" w:cs="宋体"/>
          <w:b/>
          <w:color w:val="auto"/>
          <w:sz w:val="21"/>
          <w:szCs w:val="21"/>
          <w:highlight w:val="none"/>
        </w:rPr>
        <w:t>投标文件。</w:t>
      </w:r>
    </w:p>
    <w:p>
      <w:pPr>
        <w:keepNext w:val="0"/>
        <w:keepLines w:val="0"/>
        <w:pageBreakBefore w:val="0"/>
        <w:widowControl w:val="0"/>
        <w:kinsoku/>
        <w:wordWrap/>
        <w:overflowPunct/>
        <w:topLinePunct w:val="0"/>
        <w:bidi w:val="0"/>
        <w:snapToGrid/>
        <w:spacing w:before="0" w:after="0" w:line="360" w:lineRule="auto"/>
        <w:ind w:right="0" w:firstLine="422" w:firstLineChars="200"/>
        <w:jc w:val="left"/>
        <w:textAlignment w:val="auto"/>
        <w:outlineLvl w:val="9"/>
        <w:rPr>
          <w:rFonts w:hint="eastAsia" w:ascii="宋体" w:hAnsi="宋体" w:eastAsia="宋体" w:cs="宋体"/>
          <w:b/>
          <w:bCs/>
          <w:color w:val="auto"/>
          <w:sz w:val="21"/>
          <w:szCs w:val="21"/>
          <w:highlight w:val="none"/>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bCs/>
          <w:color w:val="auto"/>
          <w:sz w:val="21"/>
          <w:szCs w:val="21"/>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 xml:space="preserve">SLQZS2024001 </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pacing w:val="0"/>
          <w:sz w:val="21"/>
          <w:szCs w:val="21"/>
          <w:highlight w:val="none"/>
        </w:rPr>
        <w:t>项目名称：</w:t>
      </w:r>
      <w:bookmarkEnd w:id="4"/>
      <w:r>
        <w:rPr>
          <w:rFonts w:hint="eastAsia" w:ascii="宋体" w:hAnsi="宋体" w:eastAsia="宋体" w:cs="宋体"/>
          <w:color w:val="auto"/>
          <w:sz w:val="21"/>
          <w:szCs w:val="21"/>
          <w:highlight w:val="none"/>
          <w:u w:val="none"/>
          <w:lang w:eastAsia="zh-CN"/>
        </w:rPr>
        <w:t>衢州市柯城区府山街道污水零直排管网监测服务采购</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预算金额：</w:t>
      </w:r>
      <w:r>
        <w:rPr>
          <w:rFonts w:hint="eastAsia" w:ascii="宋体" w:hAnsi="宋体" w:eastAsia="宋体" w:cs="宋体"/>
          <w:color w:val="auto"/>
          <w:spacing w:val="0"/>
          <w:sz w:val="21"/>
          <w:szCs w:val="21"/>
          <w:highlight w:val="none"/>
          <w:lang w:val="en-US" w:eastAsia="zh-CN"/>
        </w:rPr>
        <w:t>174.1380</w:t>
      </w:r>
      <w:r>
        <w:rPr>
          <w:rFonts w:hint="eastAsia" w:ascii="宋体" w:hAnsi="宋体" w:eastAsia="宋体" w:cs="宋体"/>
          <w:color w:val="auto"/>
          <w:spacing w:val="0"/>
          <w:sz w:val="21"/>
          <w:szCs w:val="21"/>
          <w:highlight w:val="none"/>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0" w:firstLineChars="200"/>
        <w:jc w:val="lef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138.6570</w:t>
      </w:r>
      <w:r>
        <w:rPr>
          <w:rFonts w:hint="eastAsia" w:ascii="宋体" w:hAnsi="宋体" w:eastAsia="宋体" w:cs="宋体"/>
          <w:color w:val="auto"/>
          <w:sz w:val="21"/>
          <w:szCs w:val="21"/>
          <w:highlight w:val="none"/>
          <w:lang w:eastAsia="zh-CN"/>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34"/>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2727"/>
        <w:gridCol w:w="587"/>
        <w:gridCol w:w="613"/>
        <w:gridCol w:w="1296"/>
        <w:gridCol w:w="271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tc>
        <w:tc>
          <w:tcPr>
            <w:tcW w:w="2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标项内容</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最高限价</w:t>
            </w:r>
          </w:p>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万</w:t>
            </w:r>
            <w:r>
              <w:rPr>
                <w:rFonts w:hint="eastAsia" w:ascii="宋体" w:hAnsi="宋体" w:eastAsia="宋体" w:cs="宋体"/>
                <w:b/>
                <w:color w:val="auto"/>
                <w:sz w:val="21"/>
                <w:szCs w:val="21"/>
                <w:highlight w:val="none"/>
              </w:rPr>
              <w:t>元)</w:t>
            </w:r>
          </w:p>
        </w:tc>
        <w:tc>
          <w:tcPr>
            <w:tcW w:w="2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简要技术要求、 用途</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left"/>
              <w:outlineLvl w:val="9"/>
              <w:rPr>
                <w:rFonts w:hint="eastAsia" w:ascii="宋体" w:hAnsi="宋体" w:eastAsia="宋体" w:cs="宋体"/>
                <w:color w:val="auto"/>
                <w:w w:val="90"/>
                <w:sz w:val="21"/>
                <w:szCs w:val="21"/>
                <w:highlight w:val="none"/>
              </w:rPr>
            </w:pPr>
            <w:r>
              <w:rPr>
                <w:rFonts w:hint="eastAsia" w:ascii="宋体" w:hAnsi="宋体" w:eastAsia="宋体" w:cs="宋体"/>
                <w:color w:val="auto"/>
                <w:w w:val="90"/>
                <w:sz w:val="21"/>
                <w:szCs w:val="21"/>
                <w:highlight w:val="none"/>
              </w:rPr>
              <w:t>1</w:t>
            </w:r>
          </w:p>
        </w:tc>
        <w:tc>
          <w:tcPr>
            <w:tcW w:w="2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left"/>
              <w:outlineLvl w:val="9"/>
              <w:rPr>
                <w:rFonts w:hint="eastAsia" w:ascii="宋体" w:hAnsi="宋体" w:eastAsia="宋体" w:cs="宋体"/>
                <w:color w:val="auto"/>
                <w:w w:val="90"/>
                <w:sz w:val="21"/>
                <w:szCs w:val="21"/>
                <w:highlight w:val="none"/>
                <w:lang w:eastAsia="zh-CN"/>
              </w:rPr>
            </w:pPr>
            <w:r>
              <w:rPr>
                <w:rFonts w:hint="eastAsia" w:ascii="宋体" w:hAnsi="宋体" w:eastAsia="宋体" w:cs="宋体"/>
                <w:color w:val="auto"/>
                <w:sz w:val="21"/>
                <w:szCs w:val="21"/>
                <w:highlight w:val="none"/>
                <w:u w:val="single"/>
                <w:lang w:eastAsia="zh-CN"/>
              </w:rPr>
              <w:t>衢州市柯城区府山街道污水零直排管网监测服务采购</w:t>
            </w:r>
          </w:p>
        </w:tc>
        <w:tc>
          <w:tcPr>
            <w:tcW w:w="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138.6570</w:t>
            </w:r>
          </w:p>
        </w:tc>
        <w:tc>
          <w:tcPr>
            <w:tcW w:w="2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center"/>
              <w:outlineLvl w:val="9"/>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详见第三章</w:t>
            </w:r>
          </w:p>
          <w:p>
            <w:pPr>
              <w:keepNext w:val="0"/>
              <w:keepLines w:val="0"/>
              <w:pageBreakBefore w:val="0"/>
              <w:kinsoku/>
              <w:topLinePunct w:val="0"/>
              <w:bidi w:val="0"/>
              <w:snapToGrid/>
              <w:spacing w:line="360" w:lineRule="auto"/>
              <w:ind w:right="0"/>
              <w:jc w:val="center"/>
              <w:outlineLvl w:val="9"/>
              <w:rPr>
                <w:rFonts w:hint="eastAsia" w:ascii="宋体" w:hAnsi="宋体" w:eastAsia="宋体" w:cs="宋体"/>
                <w:color w:val="auto"/>
                <w:spacing w:val="-4"/>
                <w:w w:val="90"/>
                <w:sz w:val="21"/>
                <w:szCs w:val="21"/>
                <w:highlight w:val="none"/>
              </w:rPr>
            </w:pPr>
            <w:r>
              <w:rPr>
                <w:rFonts w:hint="eastAsia" w:ascii="宋体" w:hAnsi="宋体" w:eastAsia="宋体" w:cs="宋体"/>
                <w:color w:val="auto"/>
                <w:spacing w:val="-10"/>
                <w:sz w:val="21"/>
                <w:szCs w:val="21"/>
                <w:highlight w:val="none"/>
              </w:rPr>
              <w:t>《采购内容及要求》</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topLinePunct w:val="0"/>
              <w:bidi w:val="0"/>
              <w:snapToGrid/>
              <w:spacing w:line="360" w:lineRule="auto"/>
              <w:ind w:right="0"/>
              <w:jc w:val="left"/>
              <w:outlineLvl w:val="9"/>
              <w:rPr>
                <w:rFonts w:hint="eastAsia" w:ascii="宋体" w:hAnsi="宋体" w:eastAsia="宋体" w:cs="宋体"/>
                <w:color w:val="auto"/>
                <w:spacing w:val="-4"/>
                <w:sz w:val="21"/>
                <w:szCs w:val="21"/>
                <w:highlight w:val="none"/>
              </w:rPr>
            </w:pPr>
          </w:p>
        </w:tc>
      </w:tr>
    </w:tbl>
    <w:p>
      <w:pPr>
        <w:keepNext w:val="0"/>
        <w:keepLines w:val="0"/>
        <w:pageBreakBefore w:val="0"/>
        <w:kinsoku/>
        <w:overflowPunct/>
        <w:topLinePunct w:val="0"/>
        <w:bidi w:val="0"/>
        <w:snapToGrid/>
        <w:spacing w:line="360" w:lineRule="auto"/>
        <w:ind w:left="0" w:leftChars="0" w:right="0" w:rightChars="0" w:firstLine="396"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合同履行期限：详见第三章《采购内容及要求》</w:t>
      </w:r>
      <w:r>
        <w:rPr>
          <w:rFonts w:hint="eastAsia" w:ascii="宋体" w:hAnsi="宋体" w:eastAsia="宋体" w:cs="宋体"/>
          <w:b/>
          <w:color w:val="auto"/>
          <w:sz w:val="21"/>
          <w:szCs w:val="21"/>
          <w:highlight w:val="none"/>
        </w:rPr>
        <w:t>。</w:t>
      </w:r>
    </w:p>
    <w:p>
      <w:pPr>
        <w:keepNext w:val="0"/>
        <w:keepLines w:val="0"/>
        <w:pageBreakBefore w:val="0"/>
        <w:kinsoku/>
        <w:overflowPunct/>
        <w:topLinePunct w:val="0"/>
        <w:bidi w:val="0"/>
        <w:snapToGrid/>
        <w:spacing w:before="0" w:after="0" w:line="360" w:lineRule="auto"/>
        <w:ind w:left="0" w:leftChars="0" w:right="0" w:rightChars="0" w:firstLine="422" w:firstLineChars="200"/>
        <w:jc w:val="left"/>
        <w:textAlignment w:val="auto"/>
        <w:outlineLvl w:val="9"/>
        <w:rPr>
          <w:rFonts w:hint="eastAsia" w:ascii="宋体" w:hAnsi="宋体" w:eastAsia="宋体" w:cs="宋体"/>
          <w:b/>
          <w:bCs/>
          <w:color w:val="auto"/>
          <w:sz w:val="21"/>
          <w:szCs w:val="21"/>
          <w:highlight w:val="none"/>
        </w:rPr>
      </w:pPr>
      <w:bookmarkStart w:id="5" w:name="_Toc35393791"/>
      <w:bookmarkStart w:id="6" w:name="_Toc28359003"/>
      <w:bookmarkStart w:id="7" w:name="_Toc28359080"/>
      <w:bookmarkStart w:id="8" w:name="_Toc35393622"/>
      <w:r>
        <w:rPr>
          <w:rFonts w:hint="eastAsia" w:ascii="宋体" w:hAnsi="宋体" w:eastAsia="宋体" w:cs="宋体"/>
          <w:b/>
          <w:bCs/>
          <w:color w:val="auto"/>
          <w:sz w:val="21"/>
          <w:szCs w:val="21"/>
          <w:highlight w:val="none"/>
        </w:rPr>
        <w:t>二、申请人的资格要求：</w:t>
      </w:r>
      <w:bookmarkEnd w:id="5"/>
      <w:bookmarkEnd w:id="6"/>
      <w:bookmarkEnd w:id="7"/>
      <w:bookmarkEnd w:id="8"/>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color w:val="auto"/>
          <w:sz w:val="21"/>
          <w:szCs w:val="21"/>
          <w:highlight w:val="none"/>
          <w:lang w:val="zh-CN"/>
        </w:rPr>
      </w:pPr>
      <w:bookmarkStart w:id="9" w:name="_Toc28359004"/>
      <w:bookmarkStart w:id="10" w:name="_Toc28359081"/>
      <w:bookmarkStart w:id="11" w:name="_Toc35393792"/>
      <w:bookmarkStart w:id="12" w:name="_Toc35393623"/>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kern w:val="0"/>
          <w:sz w:val="21"/>
          <w:szCs w:val="21"/>
          <w:highlight w:val="none"/>
          <w:lang w:val="zh-CN" w:eastAsia="zh-CN" w:bidi="ar-SA"/>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kinsoku/>
        <w:overflowPunct/>
        <w:topLinePunct w:val="0"/>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zh-CN"/>
        </w:rPr>
        <w:t>单位负责人为同一人或者存在直接控股、管理关系的不同投标人，不得参加同一合同项下的政府采购活动。</w:t>
      </w:r>
    </w:p>
    <w:p>
      <w:pPr>
        <w:keepNext w:val="0"/>
        <w:keepLines w:val="0"/>
        <w:pageBreakBefore w:val="0"/>
        <w:kinsoku/>
        <w:overflowPunct/>
        <w:topLinePunct w:val="0"/>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.本项目（否）接受联合体投标。</w:t>
      </w:r>
    </w:p>
    <w:p>
      <w:pPr>
        <w:keepNext w:val="0"/>
        <w:keepLines w:val="0"/>
        <w:pageBreakBefore w:val="0"/>
        <w:numPr>
          <w:ilvl w:val="0"/>
          <w:numId w:val="0"/>
        </w:numPr>
        <w:kinsoku/>
        <w:wordWrap/>
        <w:overflowPunct/>
        <w:topLinePunct w:val="0"/>
        <w:autoSpaceDN/>
        <w:bidi w:val="0"/>
        <w:adjustRightInd/>
        <w:snapToGrid/>
        <w:spacing w:line="360" w:lineRule="auto"/>
        <w:ind w:right="0" w:firstLine="420" w:firstLineChars="20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20" w:firstLineChars="200"/>
        <w:jc w:val="left"/>
        <w:textAlignment w:val="auto"/>
        <w:outlineLvl w:val="9"/>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本项目属于专门面向中小微企业采购的项目,供应商为中小企业/小微企业或监狱企业或残疾人福利性单位；</w:t>
      </w:r>
    </w:p>
    <w:p>
      <w:pPr>
        <w:keepNext w:val="0"/>
        <w:keepLines w:val="0"/>
        <w:pageBreakBefore w:val="0"/>
        <w:widowControl/>
        <w:kinsoku/>
        <w:overflowPunct/>
        <w:topLinePunct w:val="0"/>
        <w:autoSpaceDE w:val="0"/>
        <w:autoSpaceDN/>
        <w:bidi w:val="0"/>
        <w:adjustRightInd/>
        <w:snapToGrid/>
        <w:spacing w:line="360" w:lineRule="auto"/>
        <w:ind w:right="0" w:rightChars="0" w:firstLine="420" w:firstLineChars="200"/>
        <w:jc w:val="left"/>
        <w:textAlignment w:val="auto"/>
        <w:outlineLvl w:val="9"/>
        <w:rPr>
          <w:rFonts w:hint="eastAsia"/>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.特定的资格要求：无。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w:t>
      </w:r>
      <w:bookmarkEnd w:id="9"/>
      <w:bookmarkEnd w:id="10"/>
      <w:bookmarkEnd w:id="11"/>
      <w:bookmarkEnd w:id="12"/>
      <w:r>
        <w:rPr>
          <w:rFonts w:hint="eastAsia" w:ascii="宋体" w:hAnsi="宋体" w:eastAsia="宋体" w:cs="宋体"/>
          <w:b/>
          <w:bCs/>
          <w:color w:val="auto"/>
          <w:sz w:val="21"/>
          <w:szCs w:val="21"/>
          <w:highlight w:val="none"/>
        </w:rPr>
        <w:t>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 日</w:t>
      </w:r>
      <w:r>
        <w:rPr>
          <w:rFonts w:hint="eastAsia" w:ascii="宋体" w:hAnsi="宋体" w:eastAsia="宋体" w:cs="宋体"/>
          <w:color w:val="auto"/>
          <w:sz w:val="21"/>
          <w:szCs w:val="21"/>
          <w:highlight w:val="none"/>
          <w:lang w:val="en-US" w:eastAsia="zh-CN"/>
        </w:rPr>
        <w:t xml:space="preserve"> 14</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 xml:space="preserve"> 30</w:t>
      </w:r>
      <w:r>
        <w:rPr>
          <w:rFonts w:hint="eastAsia" w:ascii="宋体" w:hAnsi="宋体" w:eastAsia="宋体" w:cs="宋体"/>
          <w:color w:val="auto"/>
          <w:sz w:val="21"/>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投标地点（网址））：政府采购云平台（www.zcygov.cn）。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 日</w:t>
      </w:r>
      <w:r>
        <w:rPr>
          <w:rFonts w:hint="eastAsia" w:ascii="宋体" w:hAnsi="宋体" w:eastAsia="宋体" w:cs="宋体"/>
          <w:color w:val="auto"/>
          <w:sz w:val="21"/>
          <w:szCs w:val="21"/>
          <w:highlight w:val="none"/>
          <w:lang w:val="en-US" w:eastAsia="zh-CN"/>
        </w:rPr>
        <w:t xml:space="preserve"> 14</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 xml:space="preserve"> 30</w:t>
      </w:r>
      <w:r>
        <w:rPr>
          <w:rFonts w:hint="eastAsia" w:ascii="宋体" w:hAnsi="宋体" w:eastAsia="宋体" w:cs="宋体"/>
          <w:color w:val="auto"/>
          <w:sz w:val="21"/>
          <w:szCs w:val="21"/>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w:t>
      </w:r>
      <w:r>
        <w:rPr>
          <w:rFonts w:hint="eastAsia" w:ascii="宋体" w:hAnsi="宋体" w:eastAsia="宋体" w:cs="宋体"/>
          <w:color w:val="auto"/>
          <w:sz w:val="21"/>
          <w:szCs w:val="21"/>
          <w:highlight w:val="none"/>
          <w:lang w:val="zh-CN"/>
        </w:rPr>
        <w:t>衢州市柯城区公共资源交易中心（</w:t>
      </w:r>
      <w:r>
        <w:rPr>
          <w:rFonts w:hint="eastAsia" w:ascii="宋体" w:hAnsi="宋体" w:eastAsia="宋体" w:cs="宋体"/>
          <w:color w:val="auto"/>
          <w:sz w:val="21"/>
          <w:szCs w:val="21"/>
          <w:highlight w:val="none"/>
        </w:rPr>
        <w:t>荷花三路229号营</w:t>
      </w:r>
      <w:r>
        <w:rPr>
          <w:rFonts w:hint="eastAsia" w:ascii="宋体" w:hAnsi="宋体" w:eastAsia="宋体" w:cs="宋体"/>
          <w:color w:val="auto"/>
          <w:sz w:val="21"/>
          <w:szCs w:val="21"/>
          <w:highlight w:val="none"/>
          <w:lang w:val="zh-CN"/>
        </w:rPr>
        <w:t>商大楼7</w:t>
      </w:r>
      <w:r>
        <w:rPr>
          <w:rFonts w:hint="eastAsia" w:ascii="宋体" w:hAnsi="宋体" w:eastAsia="宋体" w:cs="宋体"/>
          <w:color w:val="auto"/>
          <w:sz w:val="21"/>
          <w:szCs w:val="21"/>
          <w:highlight w:val="none"/>
          <w:lang w:val="zh-CN" w:eastAsia="zh-CN"/>
        </w:rPr>
        <w:t>楼</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/浙江政府采购网（https://zfcg.czt.zj.gov.cn/）。</w:t>
      </w:r>
    </w:p>
    <w:p>
      <w:pPr>
        <w:keepNext w:val="0"/>
        <w:keepLines w:val="0"/>
        <w:pageBreakBefore w:val="0"/>
        <w:numPr>
          <w:ilvl w:val="0"/>
          <w:numId w:val="3"/>
        </w:numPr>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公告期限</w:t>
      </w:r>
    </w:p>
    <w:p>
      <w:pPr>
        <w:keepNext w:val="0"/>
        <w:keepLines w:val="0"/>
        <w:pageBreakBefore w:val="0"/>
        <w:numPr>
          <w:ilvl w:val="0"/>
          <w:numId w:val="0"/>
        </w:numPr>
        <w:kinsoku/>
        <w:overflowPunct/>
        <w:topLinePunct w:val="0"/>
        <w:bidi w:val="0"/>
        <w:snapToGrid/>
        <w:spacing w:line="360" w:lineRule="auto"/>
        <w:ind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keepNext w:val="0"/>
        <w:keepLines w:val="0"/>
        <w:pageBreakBefore w:val="0"/>
        <w:widowControl/>
        <w:numPr>
          <w:ilvl w:val="0"/>
          <w:numId w:val="0"/>
        </w:numPr>
        <w:kinsoku/>
        <w:wordWrap/>
        <w:topLinePunct w:val="0"/>
        <w:bidi w:val="0"/>
        <w:snapToGrid/>
        <w:spacing w:line="360" w:lineRule="auto"/>
        <w:ind w:leftChars="0" w:right="0"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六、投标说明：</w:t>
      </w:r>
    </w:p>
    <w:p>
      <w:pPr>
        <w:pStyle w:val="16"/>
        <w:keepNext w:val="0"/>
        <w:keepLines w:val="0"/>
        <w:pageBreakBefore w:val="0"/>
        <w:widowControl/>
        <w:kinsoku/>
        <w:wordWrap w:val="0"/>
        <w:overflowPunct w:val="0"/>
        <w:topLinePunct w:val="0"/>
        <w:autoSpaceDE w:val="0"/>
        <w:autoSpaceDN w:val="0"/>
        <w:bidi w:val="0"/>
        <w:adjustRightInd w:val="0"/>
        <w:snapToGrid/>
        <w:spacing w:line="360" w:lineRule="auto"/>
        <w:ind w:leftChars="0" w:right="0" w:firstLine="420" w:firstLineChars="20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投标人应在</w:t>
      </w:r>
      <w:r>
        <w:rPr>
          <w:rFonts w:hint="eastAsia" w:ascii="宋体" w:hAnsi="宋体" w:eastAsia="宋体" w:cs="宋体"/>
          <w:b w:val="0"/>
          <w:bCs/>
          <w:color w:val="auto"/>
          <w:kern w:val="0"/>
          <w:sz w:val="21"/>
          <w:szCs w:val="21"/>
          <w:highlight w:val="none"/>
          <w:lang w:eastAsia="zh-CN"/>
        </w:rPr>
        <w:t>投</w:t>
      </w:r>
      <w:r>
        <w:rPr>
          <w:rFonts w:hint="eastAsia" w:ascii="宋体" w:hAnsi="宋体" w:eastAsia="宋体" w:cs="宋体"/>
          <w:b w:val="0"/>
          <w:bCs/>
          <w:color w:val="auto"/>
          <w:kern w:val="0"/>
          <w:sz w:val="21"/>
          <w:szCs w:val="21"/>
          <w:highlight w:val="none"/>
        </w:rPr>
        <w:t>标前完成CA数字证书办理。</w:t>
      </w:r>
      <w:r>
        <w:rPr>
          <w:rFonts w:hint="eastAsia" w:ascii="宋体" w:hAnsi="宋体" w:eastAsia="宋体" w:cs="宋体"/>
          <w:b w:val="0"/>
          <w:bCs/>
          <w:color w:val="auto"/>
          <w:kern w:val="0"/>
          <w:sz w:val="21"/>
          <w:szCs w:val="21"/>
          <w:highlight w:val="none"/>
          <w:u w:val="none"/>
        </w:rPr>
        <w:t>（办理流程详见</w:t>
      </w:r>
      <w:r>
        <w:rPr>
          <w:rFonts w:hint="eastAsia" w:ascii="宋体" w:hAnsi="宋体" w:eastAsia="宋体" w:cs="宋体"/>
          <w:b w:val="0"/>
          <w:bCs/>
          <w:color w:val="auto"/>
          <w:kern w:val="0"/>
          <w:sz w:val="21"/>
          <w:szCs w:val="21"/>
          <w:highlight w:val="none"/>
          <w:u w:val="none"/>
        </w:rPr>
        <w:fldChar w:fldCharType="begin"/>
      </w:r>
      <w:r>
        <w:rPr>
          <w:rFonts w:hint="eastAsia" w:ascii="宋体" w:hAnsi="宋体" w:eastAsia="宋体" w:cs="宋体"/>
          <w:b w:val="0"/>
          <w:bCs/>
          <w:color w:val="auto"/>
          <w:kern w:val="0"/>
          <w:sz w:val="21"/>
          <w:szCs w:val="21"/>
          <w:highlight w:val="none"/>
          <w:u w:val="none"/>
        </w:rPr>
        <w:instrText xml:space="preserve"> HYPERLINK "http://zfcg.czt.zj.gov.cn/bidClientTemplate/2019-05-27/12945.html" </w:instrText>
      </w:r>
      <w:r>
        <w:rPr>
          <w:rFonts w:hint="eastAsia" w:ascii="宋体" w:hAnsi="宋体" w:eastAsia="宋体" w:cs="宋体"/>
          <w:b w:val="0"/>
          <w:bCs/>
          <w:color w:val="auto"/>
          <w:kern w:val="0"/>
          <w:sz w:val="21"/>
          <w:szCs w:val="21"/>
          <w:highlight w:val="none"/>
          <w:u w:val="none"/>
        </w:rPr>
        <w:fldChar w:fldCharType="separate"/>
      </w:r>
      <w:r>
        <w:rPr>
          <w:rFonts w:hint="eastAsia" w:ascii="宋体" w:hAnsi="宋体" w:eastAsia="宋体" w:cs="宋体"/>
          <w:b w:val="0"/>
          <w:bCs/>
          <w:color w:val="auto"/>
          <w:kern w:val="0"/>
          <w:sz w:val="21"/>
          <w:szCs w:val="21"/>
          <w:highlight w:val="none"/>
          <w:u w:val="none"/>
        </w:rPr>
        <w:t>http://zfcg.czt.zj.gov.cn/bidClientTemplate/2019-05-27/12945.html</w:t>
      </w:r>
      <w:r>
        <w:rPr>
          <w:rFonts w:hint="eastAsia" w:ascii="宋体" w:hAnsi="宋体" w:eastAsia="宋体" w:cs="宋体"/>
          <w:b w:val="0"/>
          <w:bCs/>
          <w:color w:val="auto"/>
          <w:kern w:val="0"/>
          <w:sz w:val="21"/>
          <w:szCs w:val="21"/>
          <w:highlight w:val="none"/>
          <w:u w:val="none"/>
        </w:rPr>
        <w:fldChar w:fldCharType="end"/>
      </w:r>
      <w:r>
        <w:rPr>
          <w:rFonts w:hint="eastAsia" w:ascii="宋体" w:hAnsi="宋体" w:eastAsia="宋体" w:cs="宋体"/>
          <w:b w:val="0"/>
          <w:bCs/>
          <w:color w:val="auto"/>
          <w:kern w:val="0"/>
          <w:sz w:val="21"/>
          <w:szCs w:val="21"/>
          <w:highlight w:val="none"/>
          <w:u w:val="none"/>
          <w:lang w:eastAsia="zh-CN"/>
        </w:rPr>
        <w:t>，</w:t>
      </w:r>
      <w:r>
        <w:rPr>
          <w:rFonts w:hint="eastAsia" w:ascii="宋体" w:hAnsi="宋体" w:eastAsia="宋体" w:cs="宋体"/>
          <w:b w:val="0"/>
          <w:bCs/>
          <w:color w:val="auto"/>
          <w:kern w:val="0"/>
          <w:sz w:val="21"/>
          <w:szCs w:val="21"/>
          <w:highlight w:val="none"/>
          <w:lang w:eastAsia="zh-CN"/>
        </w:rPr>
        <w:t>或登录“浙江政府采购网-下载专区-电子投标客户端-CA驱动和申领流程”</w:t>
      </w:r>
      <w:r>
        <w:rPr>
          <w:rFonts w:hint="eastAsia" w:ascii="宋体" w:hAnsi="宋体" w:eastAsia="宋体" w:cs="宋体"/>
          <w:b w:val="0"/>
          <w:bCs/>
          <w:color w:val="auto"/>
          <w:kern w:val="0"/>
          <w:sz w:val="21"/>
          <w:szCs w:val="21"/>
          <w:highlight w:val="none"/>
        </w:rPr>
        <w:t>）。完成CA数字证书办理预计一周左右，建议各投标人抓紧时间办理。</w:t>
      </w:r>
    </w:p>
    <w:p>
      <w:pPr>
        <w:pStyle w:val="16"/>
        <w:keepNext w:val="0"/>
        <w:keepLines w:val="0"/>
        <w:pageBreakBefore w:val="0"/>
        <w:widowControl/>
        <w:kinsoku/>
        <w:wordWrap w:val="0"/>
        <w:overflowPunct w:val="0"/>
        <w:topLinePunct w:val="0"/>
        <w:autoSpaceDE w:val="0"/>
        <w:autoSpaceDN w:val="0"/>
        <w:bidi w:val="0"/>
        <w:adjustRightInd w:val="0"/>
        <w:snapToGrid/>
        <w:spacing w:line="360" w:lineRule="auto"/>
        <w:ind w:leftChars="0" w:right="0" w:firstLine="420" w:firstLineChars="200"/>
        <w:jc w:val="left"/>
        <w:textAlignment w:val="auto"/>
        <w:outlineLvl w:val="9"/>
        <w:rPr>
          <w:rFonts w:hint="eastAsia" w:ascii="宋体" w:hAnsi="宋体" w:eastAsia="宋体" w:cs="宋体"/>
          <w:b w:val="0"/>
          <w:bCs/>
          <w:color w:val="auto"/>
          <w:kern w:val="0"/>
          <w:sz w:val="21"/>
          <w:szCs w:val="21"/>
          <w:highlight w:val="none"/>
          <w:u w:val="none"/>
          <w:lang w:eastAsia="zh-CN"/>
        </w:rPr>
      </w:pPr>
      <w:r>
        <w:rPr>
          <w:rFonts w:hint="eastAsia" w:ascii="宋体" w:hAnsi="宋体" w:eastAsia="宋体" w:cs="宋体"/>
          <w:b w:val="0"/>
          <w:bCs/>
          <w:color w:val="auto"/>
          <w:kern w:val="0"/>
          <w:sz w:val="21"/>
          <w:szCs w:val="21"/>
          <w:highlight w:val="none"/>
          <w:u w:val="none"/>
          <w:lang w:val="en-US" w:eastAsia="zh-CN"/>
        </w:rPr>
        <w:t>2.</w:t>
      </w:r>
      <w:r>
        <w:rPr>
          <w:rFonts w:hint="eastAsia" w:ascii="宋体" w:hAnsi="宋体" w:eastAsia="宋体" w:cs="宋体"/>
          <w:b w:val="0"/>
          <w:bCs/>
          <w:color w:val="auto"/>
          <w:kern w:val="0"/>
          <w:sz w:val="21"/>
          <w:szCs w:val="21"/>
          <w:highlight w:val="none"/>
          <w:u w:val="none"/>
        </w:rPr>
        <w:t>投标人通过</w:t>
      </w:r>
      <w:r>
        <w:rPr>
          <w:rFonts w:hint="eastAsia" w:ascii="宋体" w:hAnsi="宋体" w:eastAsia="宋体" w:cs="宋体"/>
          <w:b w:val="0"/>
          <w:bCs/>
          <w:color w:val="auto"/>
          <w:kern w:val="0"/>
          <w:sz w:val="21"/>
          <w:szCs w:val="21"/>
          <w:highlight w:val="none"/>
          <w:u w:val="none"/>
          <w:lang w:eastAsia="zh-CN"/>
        </w:rPr>
        <w:t>“</w:t>
      </w:r>
      <w:r>
        <w:rPr>
          <w:rFonts w:hint="eastAsia" w:ascii="宋体" w:hAnsi="宋体" w:eastAsia="宋体" w:cs="宋体"/>
          <w:b w:val="0"/>
          <w:bCs/>
          <w:color w:val="auto"/>
          <w:kern w:val="0"/>
          <w:sz w:val="21"/>
          <w:szCs w:val="21"/>
          <w:highlight w:val="none"/>
          <w:u w:val="none"/>
        </w:rPr>
        <w:t>政采云</w:t>
      </w:r>
      <w:r>
        <w:rPr>
          <w:rFonts w:hint="eastAsia" w:ascii="宋体" w:hAnsi="宋体" w:eastAsia="宋体" w:cs="宋体"/>
          <w:b w:val="0"/>
          <w:bCs/>
          <w:color w:val="auto"/>
          <w:kern w:val="0"/>
          <w:sz w:val="21"/>
          <w:szCs w:val="21"/>
          <w:highlight w:val="none"/>
          <w:u w:val="none"/>
          <w:lang w:eastAsia="zh-CN"/>
        </w:rPr>
        <w:t>电子交易客户端”</w:t>
      </w:r>
      <w:r>
        <w:rPr>
          <w:rFonts w:hint="eastAsia" w:ascii="宋体" w:hAnsi="宋体" w:eastAsia="宋体" w:cs="宋体"/>
          <w:b w:val="0"/>
          <w:bCs/>
          <w:color w:val="auto"/>
          <w:kern w:val="0"/>
          <w:sz w:val="21"/>
          <w:szCs w:val="21"/>
          <w:highlight w:val="none"/>
          <w:u w:val="none"/>
        </w:rPr>
        <w:t>制作响应文件</w:t>
      </w:r>
      <w:r>
        <w:rPr>
          <w:rFonts w:hint="eastAsia" w:ascii="宋体" w:hAnsi="宋体" w:eastAsia="宋体" w:cs="宋体"/>
          <w:b w:val="0"/>
          <w:bCs/>
          <w:color w:val="auto"/>
          <w:kern w:val="0"/>
          <w:sz w:val="21"/>
          <w:szCs w:val="21"/>
          <w:highlight w:val="none"/>
          <w:u w:val="none"/>
          <w:lang w:eastAsia="zh-CN"/>
        </w:rPr>
        <w:t>。（“</w:t>
      </w:r>
      <w:r>
        <w:rPr>
          <w:rFonts w:hint="eastAsia" w:ascii="宋体" w:hAnsi="宋体" w:eastAsia="宋体" w:cs="宋体"/>
          <w:b w:val="0"/>
          <w:bCs/>
          <w:color w:val="auto"/>
          <w:kern w:val="0"/>
          <w:sz w:val="21"/>
          <w:szCs w:val="21"/>
          <w:highlight w:val="none"/>
          <w:u w:val="none"/>
        </w:rPr>
        <w:t>政采云</w:t>
      </w:r>
      <w:r>
        <w:rPr>
          <w:rFonts w:hint="eastAsia" w:ascii="宋体" w:hAnsi="宋体" w:eastAsia="宋体" w:cs="宋体"/>
          <w:b w:val="0"/>
          <w:bCs/>
          <w:color w:val="auto"/>
          <w:kern w:val="0"/>
          <w:sz w:val="21"/>
          <w:szCs w:val="21"/>
          <w:highlight w:val="none"/>
          <w:u w:val="none"/>
          <w:lang w:eastAsia="zh-CN"/>
        </w:rPr>
        <w:t>电子交易客户端”下载详见</w:t>
      </w:r>
      <w:r>
        <w:rPr>
          <w:rFonts w:hint="eastAsia" w:ascii="宋体" w:hAnsi="宋体" w:eastAsia="宋体" w:cs="宋体"/>
          <w:b w:val="0"/>
          <w:bCs/>
          <w:color w:val="auto"/>
          <w:kern w:val="0"/>
          <w:sz w:val="21"/>
          <w:szCs w:val="21"/>
          <w:highlight w:val="none"/>
          <w:u w:val="none"/>
        </w:rPr>
        <w:fldChar w:fldCharType="begin"/>
      </w:r>
      <w:r>
        <w:rPr>
          <w:rFonts w:hint="eastAsia" w:ascii="宋体" w:hAnsi="宋体" w:eastAsia="宋体" w:cs="宋体"/>
          <w:b w:val="0"/>
          <w:bCs/>
          <w:color w:val="auto"/>
          <w:kern w:val="0"/>
          <w:sz w:val="21"/>
          <w:szCs w:val="21"/>
          <w:highlight w:val="none"/>
          <w:u w:val="none"/>
        </w:rPr>
        <w:instrText xml:space="preserve"> HYPERLINK "http://zfcg.czt.zj.gov.cn/bidClientTemplate/2019-09-24/12975.html" </w:instrText>
      </w:r>
      <w:r>
        <w:rPr>
          <w:rFonts w:hint="eastAsia" w:ascii="宋体" w:hAnsi="宋体" w:eastAsia="宋体" w:cs="宋体"/>
          <w:b w:val="0"/>
          <w:bCs/>
          <w:color w:val="auto"/>
          <w:kern w:val="0"/>
          <w:sz w:val="21"/>
          <w:szCs w:val="21"/>
          <w:highlight w:val="none"/>
          <w:u w:val="none"/>
        </w:rPr>
        <w:fldChar w:fldCharType="separate"/>
      </w:r>
      <w:r>
        <w:rPr>
          <w:rFonts w:hint="eastAsia" w:ascii="宋体" w:hAnsi="宋体" w:eastAsia="宋体" w:cs="宋体"/>
          <w:b w:val="0"/>
          <w:bCs/>
          <w:color w:val="auto"/>
          <w:kern w:val="0"/>
          <w:sz w:val="21"/>
          <w:szCs w:val="21"/>
          <w:highlight w:val="none"/>
          <w:u w:val="none"/>
        </w:rPr>
        <w:t>http://zfcg.czt.zj.gov.cn/bidClientTemplate/2019-09-24/12975.html</w:t>
      </w:r>
      <w:r>
        <w:rPr>
          <w:rFonts w:hint="eastAsia" w:ascii="宋体" w:hAnsi="宋体" w:eastAsia="宋体" w:cs="宋体"/>
          <w:b w:val="0"/>
          <w:bCs/>
          <w:color w:val="auto"/>
          <w:kern w:val="0"/>
          <w:sz w:val="21"/>
          <w:szCs w:val="21"/>
          <w:highlight w:val="none"/>
          <w:u w:val="none"/>
        </w:rPr>
        <w:fldChar w:fldCharType="end"/>
      </w:r>
      <w:r>
        <w:rPr>
          <w:rFonts w:hint="eastAsia" w:ascii="宋体" w:hAnsi="宋体" w:eastAsia="宋体" w:cs="宋体"/>
          <w:b w:val="0"/>
          <w:bCs/>
          <w:color w:val="auto"/>
          <w:kern w:val="0"/>
          <w:sz w:val="21"/>
          <w:szCs w:val="21"/>
          <w:highlight w:val="none"/>
          <w:u w:val="none"/>
          <w:lang w:eastAsia="zh-CN"/>
        </w:rPr>
        <w:t>或登录“ 浙江政府采购网-下载专区- 电子投标客户端- 政采云电子交易客户端”</w:t>
      </w:r>
      <w:r>
        <w:rPr>
          <w:rFonts w:hint="eastAsia" w:ascii="宋体" w:hAnsi="宋体" w:eastAsia="宋体" w:cs="宋体"/>
          <w:b w:val="0"/>
          <w:bCs/>
          <w:color w:val="auto"/>
          <w:kern w:val="0"/>
          <w:sz w:val="21"/>
          <w:szCs w:val="21"/>
          <w:highlight w:val="none"/>
          <w:u w:val="none"/>
        </w:rPr>
        <w:t>）</w:t>
      </w:r>
      <w:r>
        <w:rPr>
          <w:rFonts w:hint="eastAsia" w:ascii="宋体" w:hAnsi="宋体" w:eastAsia="宋体" w:cs="宋体"/>
          <w:b w:val="0"/>
          <w:bCs/>
          <w:color w:val="auto"/>
          <w:kern w:val="0"/>
          <w:sz w:val="21"/>
          <w:szCs w:val="21"/>
          <w:highlight w:val="none"/>
          <w:u w:val="none"/>
          <w:lang w:eastAsia="zh-CN"/>
        </w:rPr>
        <w:t>。</w:t>
      </w:r>
    </w:p>
    <w:p>
      <w:pPr>
        <w:pStyle w:val="16"/>
        <w:keepNext w:val="0"/>
        <w:keepLines w:val="0"/>
        <w:pageBreakBefore w:val="0"/>
        <w:widowControl/>
        <w:kinsoku/>
        <w:wordWrap w:val="0"/>
        <w:overflowPunct w:val="0"/>
        <w:topLinePunct w:val="0"/>
        <w:autoSpaceDE w:val="0"/>
        <w:autoSpaceDN w:val="0"/>
        <w:bidi w:val="0"/>
        <w:adjustRightInd w:val="0"/>
        <w:snapToGrid/>
        <w:spacing w:line="360" w:lineRule="auto"/>
        <w:ind w:leftChars="0" w:right="0" w:firstLine="420" w:firstLineChars="200"/>
        <w:jc w:val="left"/>
        <w:textAlignment w:val="auto"/>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u w:val="none"/>
          <w:lang w:val="en-US" w:eastAsia="zh-CN"/>
        </w:rPr>
        <w:t>3.</w:t>
      </w:r>
      <w:r>
        <w:rPr>
          <w:rFonts w:hint="eastAsia" w:ascii="宋体" w:hAnsi="宋体" w:eastAsia="宋体" w:cs="宋体"/>
          <w:b w:val="0"/>
          <w:bCs/>
          <w:color w:val="auto"/>
          <w:kern w:val="0"/>
          <w:sz w:val="21"/>
          <w:szCs w:val="21"/>
          <w:highlight w:val="none"/>
          <w:u w:val="none"/>
        </w:rPr>
        <w:t>电子投标制作具体流程详见政府采购项目电子交易管理操作指南</w:t>
      </w:r>
      <w:r>
        <w:rPr>
          <w:rFonts w:hint="eastAsia" w:ascii="宋体" w:hAnsi="宋体" w:eastAsia="宋体" w:cs="宋体"/>
          <w:b w:val="0"/>
          <w:bCs/>
          <w:color w:val="auto"/>
          <w:kern w:val="0"/>
          <w:sz w:val="21"/>
          <w:szCs w:val="21"/>
          <w:highlight w:val="none"/>
          <w:u w:val="none"/>
          <w:lang w:eastAsia="zh-CN"/>
        </w:rPr>
        <w:t>：【</w:t>
      </w:r>
      <w:r>
        <w:rPr>
          <w:rFonts w:hint="eastAsia" w:ascii="宋体" w:hAnsi="宋体" w:eastAsia="宋体" w:cs="宋体"/>
          <w:b w:val="0"/>
          <w:bCs/>
          <w:color w:val="auto"/>
          <w:kern w:val="0"/>
          <w:sz w:val="21"/>
          <w:szCs w:val="21"/>
          <w:highlight w:val="none"/>
          <w:u w:val="none"/>
        </w:rPr>
        <w:t>请投标供应商点击链接https://service.zcygov.cn/#/knowledges/CW1EtGwBFdiHxlNd6I3m/6IMVAG0BFdiHxlNdQ8Na</w:t>
      </w:r>
      <w:r>
        <w:rPr>
          <w:rFonts w:hint="eastAsia" w:ascii="宋体" w:hAnsi="宋体" w:eastAsia="宋体" w:cs="宋体"/>
          <w:b w:val="0"/>
          <w:bCs/>
          <w:color w:val="auto"/>
          <w:kern w:val="0"/>
          <w:sz w:val="21"/>
          <w:szCs w:val="21"/>
          <w:highlight w:val="none"/>
          <w:u w:val="none"/>
          <w:lang w:eastAsia="zh-CN"/>
        </w:rPr>
        <w:t>或</w:t>
      </w:r>
      <w:r>
        <w:rPr>
          <w:rFonts w:hint="eastAsia" w:ascii="宋体" w:hAnsi="宋体" w:eastAsia="宋体" w:cs="宋体"/>
          <w:bCs/>
          <w:color w:val="auto"/>
          <w:kern w:val="0"/>
          <w:sz w:val="21"/>
          <w:szCs w:val="21"/>
          <w:highlight w:val="none"/>
          <w:u w:val="none"/>
        </w:rPr>
        <w:t>登录“政府采购云平台（www.zcygov.cn）”，从首页-服务中心-帮助文档-项目采购-</w:t>
      </w:r>
      <w:r>
        <w:rPr>
          <w:rFonts w:hint="eastAsia" w:ascii="宋体" w:hAnsi="宋体" w:eastAsia="宋体" w:cs="宋体"/>
          <w:bCs/>
          <w:color w:val="auto"/>
          <w:kern w:val="0"/>
          <w:sz w:val="21"/>
          <w:szCs w:val="21"/>
          <w:highlight w:val="none"/>
          <w:u w:val="none"/>
          <w:lang w:eastAsia="zh-CN"/>
        </w:rPr>
        <w:t>操作流程</w:t>
      </w:r>
      <w:r>
        <w:rPr>
          <w:rFonts w:hint="eastAsia" w:ascii="宋体" w:hAnsi="宋体" w:eastAsia="宋体" w:cs="宋体"/>
          <w:bCs/>
          <w:color w:val="auto"/>
          <w:kern w:val="0"/>
          <w:sz w:val="21"/>
          <w:szCs w:val="21"/>
          <w:highlight w:val="none"/>
          <w:u w:val="none"/>
          <w:lang w:val="en-US" w:eastAsia="zh-CN"/>
        </w:rPr>
        <w:t>-</w:t>
      </w:r>
      <w:r>
        <w:rPr>
          <w:rFonts w:hint="eastAsia" w:ascii="宋体" w:hAnsi="宋体" w:eastAsia="宋体" w:cs="宋体"/>
          <w:bCs/>
          <w:color w:val="auto"/>
          <w:kern w:val="0"/>
          <w:sz w:val="21"/>
          <w:szCs w:val="21"/>
          <w:highlight w:val="none"/>
          <w:u w:val="none"/>
        </w:rPr>
        <w:t>电子招投标，查看</w:t>
      </w:r>
      <w:r>
        <w:rPr>
          <w:rFonts w:hint="eastAsia" w:ascii="宋体" w:hAnsi="宋体" w:eastAsia="宋体" w:cs="宋体"/>
          <w:bCs/>
          <w:color w:val="auto"/>
          <w:kern w:val="0"/>
          <w:sz w:val="21"/>
          <w:szCs w:val="21"/>
          <w:highlight w:val="none"/>
        </w:rPr>
        <w:t>文档和视频</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供应商在使用系统进行投标的过程中遇到涉及平台使用的任何问题，可致电政府采购云平台技术支持热线咨询，联系方式：95763。</w:t>
      </w:r>
    </w:p>
    <w:p>
      <w:pPr>
        <w:keepNext w:val="0"/>
        <w:keepLines w:val="0"/>
        <w:pageBreakBefore w:val="0"/>
        <w:kinsoku/>
        <w:topLinePunct w:val="0"/>
        <w:bidi w:val="0"/>
        <w:snapToGrid/>
        <w:spacing w:line="360" w:lineRule="auto"/>
        <w:ind w:right="0"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4.本项目投标文件的解密、报价文件确认等所使用的CA必须和制作</w:t>
      </w:r>
      <w:r>
        <w:rPr>
          <w:rFonts w:hint="eastAsia" w:ascii="宋体" w:hAnsi="宋体" w:eastAsia="宋体" w:cs="宋体"/>
          <w:b w:val="0"/>
          <w:bCs/>
          <w:color w:val="auto"/>
          <w:sz w:val="21"/>
          <w:szCs w:val="21"/>
          <w:highlight w:val="none"/>
          <w:lang w:val="zh-CN"/>
        </w:rPr>
        <w:t>电子加密投标文件时使用的</w:t>
      </w:r>
      <w:r>
        <w:rPr>
          <w:rFonts w:hint="eastAsia" w:ascii="宋体" w:hAnsi="宋体" w:eastAsia="宋体" w:cs="宋体"/>
          <w:b w:val="0"/>
          <w:bCs/>
          <w:color w:val="auto"/>
          <w:sz w:val="21"/>
          <w:szCs w:val="21"/>
          <w:highlight w:val="none"/>
          <w:lang w:val="en-US" w:eastAsia="zh-CN"/>
        </w:rPr>
        <w:t>CA为</w:t>
      </w:r>
      <w:r>
        <w:rPr>
          <w:rFonts w:hint="eastAsia" w:ascii="宋体" w:hAnsi="宋体" w:eastAsia="宋体" w:cs="宋体"/>
          <w:b w:val="0"/>
          <w:bCs/>
          <w:color w:val="auto"/>
          <w:sz w:val="21"/>
          <w:szCs w:val="21"/>
          <w:highlight w:val="none"/>
          <w:lang w:val="zh-CN"/>
        </w:rPr>
        <w:t>同一个。</w:t>
      </w:r>
      <w:r>
        <w:rPr>
          <w:rFonts w:hint="eastAsia" w:ascii="宋体" w:hAnsi="宋体" w:eastAsia="宋体" w:cs="宋体"/>
          <w:b w:val="0"/>
          <w:bCs/>
          <w:color w:val="auto"/>
          <w:kern w:val="0"/>
          <w:sz w:val="21"/>
          <w:szCs w:val="21"/>
          <w:highlight w:val="none"/>
          <w:lang w:val="en-US" w:eastAsia="zh-CN"/>
        </w:rPr>
        <w:t>为确保网上操作合法、有效和安全，投标供应商应当在投标截止时间前完成在“政府采购云平台”的身份认证，确保在电子投标过程中能够对相关数据电文进行加密和使用电子签章。</w:t>
      </w:r>
    </w:p>
    <w:p>
      <w:pPr>
        <w:pStyle w:val="33"/>
        <w:keepNext w:val="0"/>
        <w:keepLines w:val="0"/>
        <w:pageBreakBefore w:val="0"/>
        <w:kinsoku/>
        <w:topLinePunct w:val="0"/>
        <w:bidi w:val="0"/>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5.本项目采用电子投标，供应商代表无需出席开标现场会议。开标时间前供应商登录“政府采购云平台”进入开标大厅等候开标。</w:t>
      </w:r>
    </w:p>
    <w:p>
      <w:pPr>
        <w:keepNext w:val="0"/>
        <w:keepLines w:val="0"/>
        <w:pageBreakBefore w:val="0"/>
        <w:widowControl/>
        <w:numPr>
          <w:ilvl w:val="0"/>
          <w:numId w:val="0"/>
        </w:numPr>
        <w:kinsoku/>
        <w:wordWrap/>
        <w:topLinePunct w:val="0"/>
        <w:bidi w:val="0"/>
        <w:snapToGrid/>
        <w:spacing w:line="360" w:lineRule="auto"/>
        <w:ind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其他事项：</w:t>
      </w:r>
    </w:p>
    <w:p>
      <w:pPr>
        <w:keepNext w:val="0"/>
        <w:keepLines w:val="0"/>
        <w:pageBreakBefore w:val="0"/>
        <w:widowControl/>
        <w:numPr>
          <w:ilvl w:val="0"/>
          <w:numId w:val="0"/>
        </w:numPr>
        <w:kinsoku/>
        <w:wordWrap/>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个工作日。</w:t>
      </w:r>
    </w:p>
    <w:p>
      <w:pPr>
        <w:keepNext w:val="0"/>
        <w:keepLines w:val="0"/>
        <w:pageBreakBefore w:val="0"/>
        <w:widowControl/>
        <w:kinsoku/>
        <w:wordWrap/>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认为采购文件、采购过程、中标或者成交结果使自己的权益受到损害的，可以在</w:t>
      </w:r>
      <w:r>
        <w:rPr>
          <w:rFonts w:hint="eastAsia" w:ascii="宋体" w:hAnsi="宋体" w:eastAsia="宋体" w:cs="宋体"/>
          <w:color w:val="auto"/>
          <w:sz w:val="21"/>
          <w:szCs w:val="21"/>
          <w:highlight w:val="none"/>
        </w:rPr>
        <w:t>知道或者应知其权益受到损害之日起七个工作日内，以书面形式向采购人（或采购代理机构）提出质疑。供应商应知其权益受到损害之日，是指：对可以质疑的采购文件提出质疑的，为</w:t>
      </w:r>
      <w:r>
        <w:rPr>
          <w:rFonts w:hint="eastAsia" w:ascii="宋体" w:hAnsi="宋体" w:eastAsia="宋体" w:cs="宋体"/>
          <w:color w:val="auto"/>
          <w:sz w:val="21"/>
          <w:szCs w:val="21"/>
          <w:highlight w:val="none"/>
          <w:lang w:eastAsia="zh-CN"/>
        </w:rPr>
        <w:t>依法获取</w:t>
      </w:r>
      <w:r>
        <w:rPr>
          <w:rFonts w:hint="eastAsia" w:ascii="宋体" w:hAnsi="宋体" w:eastAsia="宋体" w:cs="宋体"/>
          <w:color w:val="auto"/>
          <w:sz w:val="21"/>
          <w:szCs w:val="21"/>
          <w:highlight w:val="none"/>
        </w:rPr>
        <w:t>采购文件之日或者采购文件公告期限届满之日（招标公告为公告发布后至第6个工作日）起7个工作日内，以书面形式向</w:t>
      </w:r>
      <w:r>
        <w:rPr>
          <w:rFonts w:hint="eastAsia" w:ascii="宋体" w:hAnsi="宋体" w:eastAsia="宋体" w:cs="宋体"/>
          <w:color w:val="auto"/>
          <w:sz w:val="21"/>
          <w:szCs w:val="21"/>
          <w:highlight w:val="none"/>
          <w:lang w:val="en-US" w:eastAsia="zh-CN"/>
        </w:rPr>
        <w:t>采购人、采购代理机构</w:t>
      </w:r>
      <w:r>
        <w:rPr>
          <w:rFonts w:hint="eastAsia" w:ascii="宋体" w:hAnsi="宋体" w:eastAsia="宋体" w:cs="宋体"/>
          <w:color w:val="auto"/>
          <w:sz w:val="21"/>
          <w:szCs w:val="21"/>
          <w:highlight w:val="none"/>
        </w:rPr>
        <w:t>提出；对采购过程提出质疑的，为各采购程序环节结束之日；对中标或者成交结果提出质疑的，为中标或者成交结果公告期限届满之日。</w:t>
      </w:r>
    </w:p>
    <w:p>
      <w:pPr>
        <w:pStyle w:val="100"/>
        <w:keepNext w:val="0"/>
        <w:keepLines w:val="0"/>
        <w:pageBreakBefore w:val="0"/>
        <w:kinsoku/>
        <w:wordWrap/>
        <w:topLinePunct w:val="0"/>
        <w:bidi w:val="0"/>
        <w:snapToGrid/>
        <w:spacing w:line="360" w:lineRule="auto"/>
        <w:ind w:left="0" w:leftChars="0" w:right="0" w:rightChars="0" w:firstLine="420" w:firstLineChars="200"/>
        <w:jc w:val="left"/>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pPr>
        <w:pStyle w:val="100"/>
        <w:keepNext w:val="0"/>
        <w:keepLines w:val="0"/>
        <w:pageBreakBefore w:val="0"/>
        <w:kinsoku/>
        <w:wordWrap/>
        <w:topLinePunct w:val="0"/>
        <w:bidi w:val="0"/>
        <w:snapToGrid/>
        <w:spacing w:line="360" w:lineRule="auto"/>
        <w:ind w:left="0" w:leftChars="0" w:right="0" w:rightChars="0" w:firstLine="420" w:firstLineChars="200"/>
        <w:jc w:val="left"/>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企业信用融资及电子保函：投标人若有办理信用融资及电子保函意向的可登陆浙江政府采购网“浙江政采贷”（网址：https://jinrong.zcygov.cn，政府采购云平台金融服务中心）查看相关政策和服务方案，也可通过登录浙江政务网-“衢融通”平台-【采购质押融资申请】。</w:t>
      </w:r>
    </w:p>
    <w:p>
      <w:pPr>
        <w:keepNext w:val="0"/>
        <w:keepLines w:val="0"/>
        <w:pageBreakBefore w:val="0"/>
        <w:kinsoku/>
        <w:overflowPunct/>
        <w:topLinePunct w:val="0"/>
        <w:bidi w:val="0"/>
        <w:snapToGrid/>
        <w:spacing w:before="0" w:after="0" w:line="360" w:lineRule="auto"/>
        <w:ind w:left="0" w:leftChars="0" w:right="0" w:rightChars="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、对本次招标提出询问，请按以下方式联系。</w:t>
      </w:r>
    </w:p>
    <w:p>
      <w:pPr>
        <w:keepNext w:val="0"/>
        <w:keepLines w:val="0"/>
        <w:pageBreakBefore w:val="0"/>
        <w:widowControl/>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bookmarkStart w:id="13" w:name="_Toc28359009"/>
      <w:bookmarkStart w:id="14" w:name="_Toc28359086"/>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衢州市柯城区府山街道办事处</w:t>
      </w:r>
      <w:r>
        <w:rPr>
          <w:rFonts w:hint="eastAsia" w:ascii="宋体" w:hAnsi="宋体" w:eastAsia="宋体" w:cs="宋体"/>
          <w:color w:val="auto"/>
          <w:sz w:val="21"/>
          <w:szCs w:val="21"/>
          <w:highlight w:val="none"/>
        </w:rPr>
        <w:t xml:space="preserve">  </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kern w:val="0"/>
          <w:sz w:val="21"/>
          <w:szCs w:val="21"/>
          <w:lang w:val="zh-CN"/>
        </w:rPr>
        <w:t>浙江省衢州市柯城区广场西苑</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项目联系人（询问）：</w:t>
      </w:r>
      <w:r>
        <w:rPr>
          <w:rFonts w:hint="eastAsia" w:ascii="宋体" w:hAnsi="宋体" w:eastAsia="宋体" w:cs="宋体"/>
          <w:kern w:val="0"/>
          <w:sz w:val="21"/>
          <w:szCs w:val="21"/>
          <w:lang w:eastAsia="zh-CN"/>
        </w:rPr>
        <w:t>李</w:t>
      </w:r>
      <w:r>
        <w:rPr>
          <w:rFonts w:hint="eastAsia" w:ascii="宋体" w:hAnsi="宋体" w:eastAsia="宋体" w:cs="宋体"/>
          <w:kern w:val="0"/>
          <w:sz w:val="21"/>
          <w:szCs w:val="21"/>
        </w:rPr>
        <w:t>先生</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项目联系方式（询问）：</w:t>
      </w:r>
      <w:r>
        <w:rPr>
          <w:rFonts w:hint="eastAsia" w:ascii="宋体" w:hAnsi="宋体" w:eastAsia="宋体" w:cs="宋体"/>
          <w:kern w:val="0"/>
          <w:sz w:val="21"/>
          <w:szCs w:val="21"/>
          <w:lang w:val="en-US" w:eastAsia="zh-CN"/>
        </w:rPr>
        <w:t>0570-3047110</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eastAsia="宋体" w:cs="宋体"/>
          <w:kern w:val="0"/>
          <w:sz w:val="21"/>
          <w:szCs w:val="21"/>
          <w:lang w:eastAsia="zh-CN"/>
        </w:rPr>
        <w:t>李</w:t>
      </w:r>
      <w:r>
        <w:rPr>
          <w:rFonts w:hint="eastAsia" w:ascii="宋体" w:hAnsi="宋体" w:eastAsia="宋体" w:cs="宋体"/>
          <w:kern w:val="0"/>
          <w:sz w:val="21"/>
          <w:szCs w:val="21"/>
        </w:rPr>
        <w:t>先生</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lang w:val="en-US" w:eastAsia="zh-CN"/>
        </w:rPr>
        <w:t>0570-3047110</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称：浙江三凌建设项目管理有限公司</w:t>
      </w:r>
    </w:p>
    <w:p>
      <w:pPr>
        <w:keepNext w:val="0"/>
        <w:keepLines w:val="0"/>
        <w:pageBreakBefore w:val="0"/>
        <w:tabs>
          <w:tab w:val="left" w:pos="0"/>
        </w:tabs>
        <w:kinsoku/>
        <w:overflowPunct/>
        <w:topLinePunct w:val="0"/>
        <w:autoSpaceDE w:val="0"/>
        <w:autoSpaceDN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址：衢州市柯城区双港街道佳美二区18-5-302室</w:t>
      </w:r>
      <w:r>
        <w:rPr>
          <w:rFonts w:hint="eastAsia" w:ascii="宋体" w:hAnsi="宋体" w:eastAsia="宋体" w:cs="宋体"/>
          <w:color w:val="auto"/>
          <w:sz w:val="21"/>
          <w:szCs w:val="21"/>
          <w:highlight w:val="none"/>
        </w:rPr>
        <w:tab/>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eastAsia="zh-CN"/>
        </w:rPr>
        <w:t>朱女士</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项目联系方式（询问）：0570-8078676</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eastAsia="zh-CN"/>
        </w:rPr>
        <w:t>余女士</w:t>
      </w:r>
      <w:r>
        <w:rPr>
          <w:rFonts w:hint="eastAsia" w:ascii="宋体" w:hAnsi="宋体" w:eastAsia="宋体" w:cs="宋体"/>
          <w:color w:val="auto"/>
          <w:sz w:val="21"/>
          <w:szCs w:val="21"/>
          <w:highlight w:val="none"/>
        </w:rPr>
        <w:t xml:space="preserve">          </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质疑联系方式：0570-8078676 　　</w:t>
      </w:r>
    </w:p>
    <w:bookmarkEnd w:id="13"/>
    <w:bookmarkEnd w:id="14"/>
    <w:p>
      <w:pPr>
        <w:keepNext w:val="0"/>
        <w:keepLines w:val="0"/>
        <w:pageBreakBefore w:val="0"/>
        <w:kinsoku/>
        <w:overflowPunct/>
        <w:topLinePunct w:val="0"/>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pPr>
        <w:keepNext w:val="0"/>
        <w:keepLines w:val="0"/>
        <w:pageBreakBefore w:val="0"/>
        <w:kinsoku/>
        <w:overflowPunct/>
        <w:topLinePunct w:val="0"/>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名称：衢州市柯城区财政局政府采购管理办公室  </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地址：衢州市柯城区荷三路行政中心9号楼210办公室</w:t>
      </w:r>
    </w:p>
    <w:p>
      <w:pPr>
        <w:keepNext w:val="0"/>
        <w:keepLines w:val="0"/>
        <w:pageBreakBefore w:val="0"/>
        <w:kinsoku/>
        <w:overflowPunct/>
        <w:topLinePunct w:val="0"/>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联系人：蒋先生</w:t>
      </w:r>
    </w:p>
    <w:p>
      <w:pPr>
        <w:keepNext w:val="0"/>
        <w:keepLines w:val="0"/>
        <w:pageBreakBefore w:val="0"/>
        <w:kinsoku/>
        <w:overflowPunct/>
        <w:topLinePunct w:val="0"/>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 0570-3020829 </w:t>
      </w:r>
    </w:p>
    <w:p>
      <w:pPr>
        <w:pStyle w:val="95"/>
        <w:keepNext w:val="0"/>
        <w:keepLines w:val="0"/>
        <w:pageBreakBefore w:val="0"/>
        <w:kinsoku/>
        <w:overflowPunct/>
        <w:topLinePunct w:val="0"/>
        <w:bidi w:val="0"/>
        <w:snapToGrid/>
        <w:spacing w:after="0"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overflowPunct/>
        <w:topLinePunct w:val="0"/>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获取热线服务帮助。</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spacing w:line="360" w:lineRule="auto"/>
        <w:jc w:val="left"/>
        <w:rPr>
          <w:rFonts w:ascii="宋体" w:hAnsi="宋体"/>
          <w:b/>
          <w:sz w:val="32"/>
          <w:szCs w:val="32"/>
        </w:rPr>
      </w:pPr>
    </w:p>
    <w:p>
      <w:pPr>
        <w:spacing w:line="360" w:lineRule="auto"/>
        <w:jc w:val="left"/>
        <w:rPr>
          <w:rFonts w:ascii="宋体" w:hAnsi="宋体"/>
          <w:b/>
          <w:sz w:val="32"/>
          <w:szCs w:val="32"/>
        </w:rPr>
      </w:pPr>
    </w:p>
    <w:p>
      <w:pPr>
        <w:spacing w:line="360" w:lineRule="auto"/>
        <w:jc w:val="left"/>
        <w:rPr>
          <w:rFonts w:ascii="宋体" w:hAnsi="宋体"/>
          <w:b/>
          <w:sz w:val="32"/>
          <w:szCs w:val="32"/>
        </w:rPr>
      </w:pPr>
    </w:p>
    <w:p>
      <w:pPr>
        <w:spacing w:line="360" w:lineRule="auto"/>
        <w:jc w:val="left"/>
        <w:rPr>
          <w:rFonts w:ascii="宋体" w:hAnsi="宋体"/>
          <w:b/>
          <w:sz w:val="32"/>
          <w:szCs w:val="32"/>
        </w:rPr>
      </w:pPr>
    </w:p>
    <w:p>
      <w:pPr>
        <w:pStyle w:val="12"/>
        <w:rPr>
          <w:rFonts w:ascii="宋体" w:hAnsi="宋体"/>
          <w:b/>
          <w:sz w:val="32"/>
          <w:szCs w:val="32"/>
        </w:rPr>
      </w:pPr>
    </w:p>
    <w:p>
      <w:pPr>
        <w:rPr>
          <w:rFonts w:ascii="宋体" w:hAnsi="宋体"/>
          <w:b/>
          <w:sz w:val="32"/>
          <w:szCs w:val="32"/>
        </w:rPr>
      </w:pPr>
    </w:p>
    <w:p>
      <w:pPr>
        <w:pStyle w:val="12"/>
        <w:rPr>
          <w:rFonts w:ascii="宋体" w:hAnsi="宋体"/>
          <w:b/>
          <w:sz w:val="32"/>
          <w:szCs w:val="32"/>
        </w:rPr>
      </w:pPr>
    </w:p>
    <w:p>
      <w:pPr>
        <w:rPr>
          <w:rFonts w:ascii="宋体" w:hAnsi="宋体"/>
          <w:b/>
          <w:sz w:val="32"/>
          <w:szCs w:val="32"/>
        </w:rPr>
      </w:pPr>
    </w:p>
    <w:p>
      <w:pPr>
        <w:pStyle w:val="12"/>
        <w:rPr>
          <w:rFonts w:ascii="宋体" w:hAnsi="宋体"/>
          <w:b/>
          <w:sz w:val="32"/>
          <w:szCs w:val="32"/>
        </w:rPr>
      </w:pPr>
    </w:p>
    <w:p>
      <w:pPr>
        <w:rPr>
          <w:rFonts w:ascii="宋体" w:hAnsi="宋体"/>
          <w:b/>
          <w:sz w:val="32"/>
          <w:szCs w:val="32"/>
        </w:rPr>
      </w:pPr>
    </w:p>
    <w:p>
      <w:pPr>
        <w:pStyle w:val="12"/>
        <w:rPr>
          <w:rFonts w:ascii="宋体" w:hAnsi="宋体"/>
          <w:b/>
          <w:sz w:val="32"/>
          <w:szCs w:val="32"/>
        </w:rPr>
      </w:pPr>
    </w:p>
    <w:p/>
    <w:p>
      <w:pPr>
        <w:keepNext w:val="0"/>
        <w:keepLines w:val="0"/>
        <w:pageBreakBefore w:val="0"/>
        <w:kinsoku/>
        <w:overflowPunct/>
        <w:topLinePunct w:val="0"/>
        <w:bidi w:val="0"/>
        <w:snapToGrid/>
        <w:spacing w:line="360" w:lineRule="auto"/>
        <w:ind w:right="0" w:rightChars="0"/>
        <w:jc w:val="left"/>
        <w:outlineLvl w:val="9"/>
        <w:rPr>
          <w:rFonts w:ascii="宋体" w:hAnsi="宋体"/>
          <w:b/>
          <w:sz w:val="21"/>
          <w:szCs w:val="21"/>
        </w:rPr>
      </w:pPr>
    </w:p>
    <w:p>
      <w:pPr>
        <w:keepNext w:val="0"/>
        <w:keepLines w:val="0"/>
        <w:pageBreakBefore w:val="0"/>
        <w:kinsoku/>
        <w:overflowPunct/>
        <w:topLinePunct w:val="0"/>
        <w:bidi w:val="0"/>
        <w:snapToGrid/>
        <w:spacing w:line="240" w:lineRule="auto"/>
        <w:ind w:right="0" w:rightChars="0"/>
        <w:jc w:val="left"/>
        <w:outlineLvl w:val="9"/>
        <w:rPr>
          <w:rFonts w:ascii="宋体" w:hAnsi="宋体"/>
          <w:b/>
          <w:sz w:val="21"/>
          <w:szCs w:val="21"/>
        </w:rPr>
      </w:pPr>
    </w:p>
    <w:p>
      <w:pPr>
        <w:keepNext w:val="0"/>
        <w:keepLines w:val="0"/>
        <w:pageBreakBefore w:val="0"/>
        <w:kinsoku/>
        <w:overflowPunct/>
        <w:topLinePunct w:val="0"/>
        <w:bidi w:val="0"/>
        <w:snapToGrid/>
        <w:spacing w:line="360" w:lineRule="auto"/>
        <w:ind w:right="0" w:rightChars="0" w:firstLine="723" w:firstLineChars="200"/>
        <w:jc w:val="center"/>
        <w:outlineLvl w:val="9"/>
        <w:rPr>
          <w:rFonts w:hint="eastAsia" w:ascii="宋体" w:hAnsi="宋体" w:eastAsia="宋体" w:cs="宋体"/>
          <w:b/>
          <w:bCs/>
          <w:color w:val="auto"/>
          <w:sz w:val="36"/>
          <w:szCs w:val="36"/>
          <w:highlight w:val="none"/>
        </w:rPr>
      </w:pPr>
      <w:r>
        <w:rPr>
          <w:rFonts w:hint="eastAsia" w:ascii="宋体" w:hAnsi="宋体" w:eastAsia="宋体" w:cs="宋体"/>
          <w:b/>
          <w:sz w:val="36"/>
          <w:szCs w:val="36"/>
        </w:rPr>
        <w:t xml:space="preserve">第二章  </w:t>
      </w:r>
      <w:r>
        <w:rPr>
          <w:rFonts w:hint="eastAsia" w:ascii="宋体" w:hAnsi="宋体" w:eastAsia="宋体" w:cs="宋体"/>
          <w:b/>
          <w:bCs/>
          <w:color w:val="auto"/>
          <w:sz w:val="36"/>
          <w:szCs w:val="36"/>
          <w:highlight w:val="none"/>
        </w:rPr>
        <w:t>投标人须知</w:t>
      </w:r>
    </w:p>
    <w:p>
      <w:pPr>
        <w:keepNext w:val="0"/>
        <w:keepLines w:val="0"/>
        <w:pageBreakBefore w:val="0"/>
        <w:kinsoku/>
        <w:overflowPunct/>
        <w:topLinePunct w:val="0"/>
        <w:autoSpaceDE w:val="0"/>
        <w:autoSpaceDN w:val="0"/>
        <w:bidi w:val="0"/>
        <w:adjustRightInd w:val="0"/>
        <w:snapToGrid/>
        <w:spacing w:line="360" w:lineRule="auto"/>
        <w:ind w:right="0" w:rightChars="0" w:firstLine="422" w:firstLineChars="200"/>
        <w:jc w:val="center"/>
        <w:outlineLvl w:val="9"/>
        <w:rPr>
          <w:rFonts w:ascii="宋体" w:hAnsi="宋体" w:eastAsia="宋体" w:cs="宋体"/>
          <w:color w:val="auto"/>
          <w:sz w:val="21"/>
          <w:highlight w:val="none"/>
        </w:rPr>
      </w:pPr>
      <w:r>
        <w:rPr>
          <w:rFonts w:hint="eastAsia" w:ascii="宋体" w:hAnsi="宋体" w:eastAsia="宋体" w:cs="宋体"/>
          <w:b/>
          <w:color w:val="auto"/>
          <w:highlight w:val="none"/>
        </w:rPr>
        <w:t>投标须知前附表</w:t>
      </w:r>
    </w:p>
    <w:tbl>
      <w:tblPr>
        <w:tblStyle w:val="34"/>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155"/>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7"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cs="宋体"/>
                <w:b/>
                <w:color w:val="auto"/>
                <w:highlight w:val="none"/>
              </w:rPr>
            </w:pPr>
            <w:bookmarkStart w:id="15" w:name="_Toc361645480"/>
            <w:r>
              <w:rPr>
                <w:rStyle w:val="70"/>
                <w:rFonts w:hint="default" w:cs="宋体"/>
                <w:b/>
                <w:color w:val="auto"/>
                <w:highlight w:val="none"/>
              </w:rPr>
              <w:t>序号</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cs="宋体"/>
                <w:b/>
                <w:color w:val="auto"/>
                <w:highlight w:val="none"/>
              </w:rPr>
            </w:pPr>
            <w:r>
              <w:rPr>
                <w:rStyle w:val="70"/>
                <w:rFonts w:hint="default" w:cs="宋体"/>
                <w:b/>
                <w:color w:val="auto"/>
                <w:highlight w:val="none"/>
              </w:rPr>
              <w:t>内容</w:t>
            </w:r>
          </w:p>
        </w:tc>
        <w:tc>
          <w:tcPr>
            <w:tcW w:w="6625" w:type="dxa"/>
            <w:vAlign w:val="center"/>
          </w:tcPr>
          <w:p>
            <w:pPr>
              <w:keepNext w:val="0"/>
              <w:keepLines w:val="0"/>
              <w:pageBreakBefore w:val="0"/>
              <w:kinsoku/>
              <w:overflowPunct/>
              <w:topLinePunct w:val="0"/>
              <w:bidi w:val="0"/>
              <w:snapToGrid/>
              <w:spacing w:line="360" w:lineRule="auto"/>
              <w:ind w:right="0" w:rightChars="0"/>
              <w:jc w:val="center"/>
              <w:outlineLvl w:val="9"/>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cs="宋体"/>
                <w:color w:val="auto"/>
                <w:highlight w:val="none"/>
              </w:rPr>
            </w:pPr>
            <w:r>
              <w:rPr>
                <w:rFonts w:hint="eastAsia" w:ascii="宋体" w:hAnsi="宋体" w:eastAsia="宋体" w:cs="宋体"/>
                <w:color w:val="auto"/>
                <w:sz w:val="21"/>
                <w:szCs w:val="21"/>
                <w:highlight w:val="none"/>
              </w:rPr>
              <w:t>采购人</w:t>
            </w:r>
          </w:p>
        </w:tc>
        <w:tc>
          <w:tcPr>
            <w:tcW w:w="6625" w:type="dxa"/>
            <w:vAlign w:val="center"/>
          </w:tcPr>
          <w:p>
            <w:pPr>
              <w:keepNext w:val="0"/>
              <w:keepLines w:val="0"/>
              <w:pageBreakBefore w:val="0"/>
              <w:widowControl/>
              <w:kinsoku/>
              <w:overflowPunct/>
              <w:topLinePunct w:val="0"/>
              <w:bidi w:val="0"/>
              <w:snapToGrid/>
              <w:spacing w:line="360" w:lineRule="auto"/>
              <w:ind w:right="0" w:rightChars="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衢州市柯城区府山街道办事处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cs="宋体"/>
                <w:color w:val="auto"/>
                <w:highlight w:val="none"/>
              </w:rPr>
            </w:pPr>
            <w:r>
              <w:rPr>
                <w:rStyle w:val="70"/>
                <w:rFonts w:hint="default" w:cs="宋体"/>
                <w:color w:val="auto"/>
                <w:highlight w:val="none"/>
              </w:rPr>
              <w:t>项目名称</w:t>
            </w:r>
          </w:p>
        </w:tc>
        <w:tc>
          <w:tcPr>
            <w:tcW w:w="6625" w:type="dxa"/>
            <w:vAlign w:val="center"/>
          </w:tcPr>
          <w:p>
            <w:pPr>
              <w:keepNext w:val="0"/>
              <w:keepLines w:val="0"/>
              <w:pageBreakBefore w:val="0"/>
              <w:widowControl/>
              <w:kinsoku/>
              <w:overflowPunct/>
              <w:topLinePunct w:val="0"/>
              <w:bidi w:val="0"/>
              <w:snapToGrid/>
              <w:spacing w:line="360" w:lineRule="auto"/>
              <w:ind w:right="0" w:rightChars="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衢州市柯城区府山街道污水零直排管网监测服务采购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cs="宋体"/>
                <w:color w:val="auto"/>
                <w:highlight w:val="none"/>
              </w:rPr>
            </w:pPr>
            <w:r>
              <w:rPr>
                <w:rStyle w:val="70"/>
                <w:rFonts w:hint="default" w:cs="宋体"/>
                <w:color w:val="auto"/>
                <w:highlight w:val="none"/>
              </w:rPr>
              <w:t>采购预算价</w:t>
            </w:r>
          </w:p>
        </w:tc>
        <w:tc>
          <w:tcPr>
            <w:tcW w:w="6625"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default" w:cs="宋体"/>
                <w:color w:val="auto"/>
                <w:highlight w:val="none"/>
              </w:rPr>
            </w:pPr>
            <w:r>
              <w:rPr>
                <w:rFonts w:hint="eastAsia" w:ascii="宋体" w:hAnsi="宋体" w:eastAsia="宋体" w:cs="宋体"/>
                <w:color w:val="auto"/>
                <w:spacing w:val="0"/>
                <w:sz w:val="21"/>
                <w:szCs w:val="21"/>
                <w:highlight w:val="none"/>
                <w:lang w:val="en-US" w:eastAsia="zh-CN"/>
              </w:rPr>
              <w:t>174.1380</w:t>
            </w:r>
            <w:r>
              <w:rPr>
                <w:rFonts w:hint="default"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eastAsia" w:eastAsia="宋体" w:cs="宋体"/>
                <w:color w:val="auto"/>
                <w:highlight w:val="none"/>
                <w:lang w:val="en-US" w:eastAsia="zh-CN"/>
              </w:rPr>
            </w:pPr>
            <w:r>
              <w:rPr>
                <w:rStyle w:val="70"/>
                <w:rFonts w:hint="eastAsia" w:eastAsia="宋体" w:cs="宋体"/>
                <w:color w:val="auto"/>
                <w:highlight w:val="none"/>
                <w:lang w:val="en-US" w:eastAsia="zh-CN"/>
              </w:rPr>
              <w:t>4</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ascii="宋体" w:hAnsi="宋体" w:eastAsia="宋体" w:cs="宋体"/>
                <w:color w:val="auto"/>
                <w:highlight w:val="none"/>
              </w:rPr>
            </w:pPr>
            <w:r>
              <w:rPr>
                <w:rFonts w:hint="default" w:ascii="宋体" w:hAnsi="宋体" w:eastAsia="宋体" w:cs="宋体"/>
                <w:color w:val="auto"/>
                <w:sz w:val="21"/>
                <w:szCs w:val="21"/>
                <w:highlight w:val="none"/>
              </w:rPr>
              <w:t>最高限价</w:t>
            </w:r>
          </w:p>
        </w:tc>
        <w:tc>
          <w:tcPr>
            <w:tcW w:w="6625"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138.6570</w:t>
            </w:r>
            <w:r>
              <w:rPr>
                <w:rFonts w:hint="default"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eastAsia" w:eastAsia="宋体" w:cs="宋体"/>
                <w:color w:val="auto"/>
                <w:highlight w:val="none"/>
                <w:lang w:eastAsia="zh-CN"/>
              </w:rPr>
            </w:pPr>
            <w:r>
              <w:rPr>
                <w:rStyle w:val="70"/>
                <w:rFonts w:hint="eastAsia" w:eastAsia="宋体" w:cs="宋体"/>
                <w:color w:val="auto"/>
                <w:highlight w:val="none"/>
                <w:lang w:val="en-US" w:eastAsia="zh-CN"/>
              </w:rPr>
              <w:t>5</w:t>
            </w:r>
          </w:p>
        </w:tc>
        <w:tc>
          <w:tcPr>
            <w:tcW w:w="2155" w:type="dxa"/>
            <w:vAlign w:val="center"/>
          </w:tcPr>
          <w:p>
            <w:pPr>
              <w:keepNext w:val="0"/>
              <w:keepLines w:val="0"/>
              <w:pageBreakBefore w:val="0"/>
              <w:widowControl/>
              <w:kinsoku/>
              <w:overflowPunct/>
              <w:topLinePunct w:val="0"/>
              <w:bidi w:val="0"/>
              <w:snapToGrid/>
              <w:spacing w:line="360" w:lineRule="auto"/>
              <w:ind w:right="0" w:rightChars="0"/>
              <w:jc w:val="center"/>
              <w:outlineLvl w:val="9"/>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服务期</w:t>
            </w:r>
          </w:p>
        </w:tc>
        <w:tc>
          <w:tcPr>
            <w:tcW w:w="6625" w:type="dxa"/>
            <w:vAlign w:val="center"/>
          </w:tcPr>
          <w:p>
            <w:pPr>
              <w:keepNext w:val="0"/>
              <w:keepLines w:val="0"/>
              <w:pageBreakBefore w:val="0"/>
              <w:widowControl/>
              <w:kinsoku/>
              <w:overflowPunct/>
              <w:topLinePunct w:val="0"/>
              <w:bidi w:val="0"/>
              <w:snapToGrid/>
              <w:spacing w:line="360" w:lineRule="auto"/>
              <w:ind w:right="0" w:rightChars="0"/>
              <w:jc w:val="left"/>
              <w:outlineLvl w:val="9"/>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详见第三章《采购内容及要求》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eastAsia" w:eastAsia="宋体" w:cs="宋体"/>
                <w:color w:val="auto"/>
                <w:highlight w:val="none"/>
                <w:lang w:eastAsia="zh-CN"/>
              </w:rPr>
            </w:pPr>
            <w:r>
              <w:rPr>
                <w:rStyle w:val="70"/>
                <w:rFonts w:hint="eastAsia" w:eastAsia="宋体" w:cs="宋体"/>
                <w:color w:val="auto"/>
                <w:highlight w:val="none"/>
                <w:lang w:val="en-US" w:eastAsia="zh-CN"/>
              </w:rPr>
              <w:t>6</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cs="宋体"/>
                <w:color w:val="auto"/>
                <w:highlight w:val="none"/>
              </w:rPr>
            </w:pPr>
            <w:r>
              <w:rPr>
                <w:rFonts w:hint="eastAsia" w:ascii="宋体" w:hAnsi="宋体" w:eastAsia="宋体" w:cs="宋体"/>
                <w:color w:val="auto"/>
                <w:sz w:val="21"/>
                <w:szCs w:val="21"/>
                <w:highlight w:val="none"/>
              </w:rPr>
              <w:t>投标有效期</w:t>
            </w:r>
          </w:p>
        </w:tc>
        <w:tc>
          <w:tcPr>
            <w:tcW w:w="6625" w:type="dxa"/>
            <w:vAlign w:val="center"/>
          </w:tcPr>
          <w:p>
            <w:pPr>
              <w:keepNext w:val="0"/>
              <w:keepLines w:val="0"/>
              <w:pageBreakBefore w:val="0"/>
              <w:widowControl/>
              <w:kinsoku/>
              <w:overflowPunct/>
              <w:topLinePunct w:val="0"/>
              <w:bidi w:val="0"/>
              <w:snapToGrid/>
              <w:spacing w:line="360" w:lineRule="auto"/>
              <w:ind w:right="0" w:rightChars="0"/>
              <w:jc w:val="left"/>
              <w:outlineLvl w:val="9"/>
              <w:rPr>
                <w:rStyle w:val="70"/>
                <w:rFonts w:hint="default" w:cs="宋体"/>
                <w:color w:val="auto"/>
                <w:highlight w:val="none"/>
              </w:rPr>
            </w:pPr>
            <w:r>
              <w:rPr>
                <w:rFonts w:hint="eastAsia" w:ascii="宋体" w:hAnsi="宋体" w:eastAsia="宋体" w:cs="宋体"/>
                <w:color w:val="auto"/>
                <w:sz w:val="21"/>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77"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eastAsia" w:hAnsi="宋体" w:cs="宋体" w:eastAsiaTheme="minorEastAsia"/>
                <w:color w:val="auto"/>
                <w:szCs w:val="21"/>
                <w:highlight w:val="none"/>
                <w:lang w:val="en-US" w:eastAsia="zh-CN"/>
              </w:rPr>
            </w:pPr>
            <w:r>
              <w:rPr>
                <w:rFonts w:hint="eastAsia" w:hAnsi="宋体" w:cs="宋体"/>
                <w:color w:val="auto"/>
                <w:szCs w:val="21"/>
                <w:highlight w:val="none"/>
                <w:lang w:val="en-US" w:eastAsia="zh-CN"/>
              </w:rPr>
              <w:t>7</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625" w:type="dxa"/>
            <w:vAlign w:val="center"/>
          </w:tcPr>
          <w:p>
            <w:pPr>
              <w:keepNext w:val="0"/>
              <w:keepLines w:val="0"/>
              <w:pageBreakBefore w:val="0"/>
              <w:kinsoku/>
              <w:overflowPunct/>
              <w:topLinePunct w:val="0"/>
              <w:bidi w:val="0"/>
              <w:snapToGrid/>
              <w:spacing w:line="360" w:lineRule="auto"/>
              <w:ind w:right="0" w:rightChars="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否。</w:t>
            </w:r>
          </w:p>
          <w:p>
            <w:pPr>
              <w:pStyle w:val="33"/>
              <w:keepNext w:val="0"/>
              <w:keepLines w:val="0"/>
              <w:pageBreakBefore w:val="0"/>
              <w:kinsoku/>
              <w:overflowPunct/>
              <w:topLinePunct w:val="0"/>
              <w:bidi w:val="0"/>
              <w:snapToGrid/>
              <w:spacing w:line="360" w:lineRule="auto"/>
              <w:ind w:left="0" w:leftChars="0" w:right="0" w:rightChars="0" w:firstLine="0" w:firstLineChars="0"/>
              <w:jc w:val="left"/>
              <w:outlineLvl w:val="9"/>
              <w:rPr>
                <w:rFonts w:hint="default" w:eastAsia="宋体"/>
                <w:highlight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7"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8</w:t>
            </w:r>
          </w:p>
        </w:tc>
        <w:tc>
          <w:tcPr>
            <w:tcW w:w="2155" w:type="dxa"/>
            <w:vAlign w:val="center"/>
          </w:tcPr>
          <w:p>
            <w:pPr>
              <w:pStyle w:val="16"/>
              <w:keepNext w:val="0"/>
              <w:keepLines w:val="0"/>
              <w:pageBreakBefore w:val="0"/>
              <w:kinsoku/>
              <w:overflowPunct/>
              <w:topLinePunct w:val="0"/>
              <w:bidi w:val="0"/>
              <w:snapToGrid/>
              <w:spacing w:line="360" w:lineRule="auto"/>
              <w:ind w:right="0" w:rightChars="0"/>
              <w:jc w:val="center"/>
              <w:outlineLvl w:val="9"/>
              <w:rPr>
                <w:rFonts w:hAnsi="宋体" w:cs="宋体"/>
                <w:color w:val="auto"/>
                <w:szCs w:val="21"/>
                <w:highlight w:val="none"/>
              </w:rPr>
            </w:pPr>
            <w:r>
              <w:rPr>
                <w:rFonts w:hint="eastAsia" w:hAnsi="宋体" w:cs="宋体"/>
                <w:color w:val="auto"/>
                <w:szCs w:val="21"/>
                <w:highlight w:val="none"/>
              </w:rPr>
              <w:t>投标文件的签章</w:t>
            </w:r>
          </w:p>
        </w:tc>
        <w:tc>
          <w:tcPr>
            <w:tcW w:w="6625"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Ansi="宋体" w:cs="宋体"/>
                <w:color w:val="auto"/>
                <w:szCs w:val="21"/>
                <w:highlight w:val="none"/>
              </w:rPr>
            </w:pPr>
            <w:r>
              <w:rPr>
                <w:rFonts w:hint="eastAsia" w:hAnsi="宋体" w:cs="宋体"/>
                <w:color w:val="auto"/>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77"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9</w:t>
            </w:r>
          </w:p>
        </w:tc>
        <w:tc>
          <w:tcPr>
            <w:tcW w:w="2155" w:type="dxa"/>
            <w:vAlign w:val="center"/>
          </w:tcPr>
          <w:p>
            <w:pPr>
              <w:pStyle w:val="16"/>
              <w:keepNext w:val="0"/>
              <w:keepLines w:val="0"/>
              <w:pageBreakBefore w:val="0"/>
              <w:kinsoku/>
              <w:overflowPunct/>
              <w:topLinePunct w:val="0"/>
              <w:bidi w:val="0"/>
              <w:snapToGrid/>
              <w:spacing w:line="360" w:lineRule="auto"/>
              <w:ind w:right="0" w:rightChars="0"/>
              <w:jc w:val="center"/>
              <w:outlineLvl w:val="9"/>
              <w:rPr>
                <w:rFonts w:hAnsi="宋体" w:cs="宋体"/>
                <w:color w:val="auto"/>
                <w:szCs w:val="21"/>
                <w:highlight w:val="none"/>
              </w:rPr>
            </w:pPr>
            <w:r>
              <w:rPr>
                <w:rFonts w:hint="eastAsia" w:hAnsi="宋体" w:cs="宋体"/>
                <w:color w:val="auto"/>
                <w:szCs w:val="21"/>
                <w:highlight w:val="none"/>
              </w:rPr>
              <w:t>投标文件的编制</w:t>
            </w:r>
          </w:p>
        </w:tc>
        <w:tc>
          <w:tcPr>
            <w:tcW w:w="6625" w:type="dxa"/>
            <w:vAlign w:val="center"/>
          </w:tcPr>
          <w:p>
            <w:pPr>
              <w:pStyle w:val="16"/>
              <w:keepNext w:val="0"/>
              <w:keepLines w:val="0"/>
              <w:pageBreakBefore w:val="0"/>
              <w:kinsoku/>
              <w:overflowPunct/>
              <w:topLinePunct w:val="0"/>
              <w:bidi w:val="0"/>
              <w:snapToGrid/>
              <w:spacing w:line="360" w:lineRule="auto"/>
              <w:ind w:right="0" w:rightChars="0" w:firstLine="420" w:firstLineChars="200"/>
              <w:jc w:val="left"/>
              <w:outlineLvl w:val="9"/>
              <w:rPr>
                <w:rFonts w:hAnsi="宋体" w:cs="宋体"/>
                <w:color w:val="auto"/>
                <w:szCs w:val="21"/>
                <w:highlight w:val="none"/>
              </w:rPr>
            </w:pPr>
            <w:r>
              <w:rPr>
                <w:rFonts w:hint="eastAsia" w:hAnsi="宋体" w:cs="宋体"/>
                <w:color w:val="auto"/>
                <w:szCs w:val="21"/>
                <w:highlight w:val="none"/>
              </w:rPr>
              <w:t>投标人应先安装“政采云电子交易客户端”，并按照本招标文件和“政府采购云平台”的要求，通过“政采云电子交易客户端”编制并加密投标文件。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10</w:t>
            </w:r>
          </w:p>
        </w:tc>
        <w:tc>
          <w:tcPr>
            <w:tcW w:w="2155" w:type="dxa"/>
            <w:vAlign w:val="center"/>
          </w:tcPr>
          <w:p>
            <w:pPr>
              <w:pStyle w:val="16"/>
              <w:keepNext w:val="0"/>
              <w:keepLines w:val="0"/>
              <w:pageBreakBefore w:val="0"/>
              <w:kinsoku/>
              <w:overflowPunct/>
              <w:topLinePunct w:val="0"/>
              <w:bidi w:val="0"/>
              <w:snapToGrid/>
              <w:spacing w:line="360" w:lineRule="auto"/>
              <w:ind w:right="0" w:rightChars="0"/>
              <w:jc w:val="center"/>
              <w:outlineLvl w:val="9"/>
              <w:rPr>
                <w:rFonts w:hAnsi="宋体" w:cs="宋体"/>
                <w:color w:val="auto"/>
                <w:szCs w:val="21"/>
                <w:highlight w:val="none"/>
              </w:rPr>
            </w:pPr>
            <w:r>
              <w:rPr>
                <w:rFonts w:hint="eastAsia" w:hAnsi="宋体" w:cs="宋体"/>
                <w:color w:val="auto"/>
                <w:szCs w:val="21"/>
                <w:highlight w:val="none"/>
              </w:rPr>
              <w:t>投标文件的形式</w:t>
            </w:r>
          </w:p>
        </w:tc>
        <w:tc>
          <w:tcPr>
            <w:tcW w:w="6625" w:type="dxa"/>
            <w:vAlign w:val="center"/>
          </w:tcPr>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1.电子投标文件（包括“电子加密投标文件”和“备份投标文件”，在投标文件编制完成后同时生成）；</w:t>
            </w:r>
          </w:p>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2.“电子加密投标文件”是指通过“政采云电子交易客户端”完成投标文件编制后生成并加密的数据电文形式的投标文件。</w:t>
            </w:r>
          </w:p>
          <w:p>
            <w:pPr>
              <w:pStyle w:val="16"/>
              <w:keepNext w:val="0"/>
              <w:keepLines w:val="0"/>
              <w:pageBreakBefore w:val="0"/>
              <w:kinsoku/>
              <w:overflowPunct/>
              <w:topLinePunct w:val="0"/>
              <w:bidi w:val="0"/>
              <w:snapToGrid/>
              <w:spacing w:line="360" w:lineRule="auto"/>
              <w:ind w:right="0" w:rightChars="0" w:firstLine="420" w:firstLineChars="200"/>
              <w:jc w:val="left"/>
              <w:outlineLvl w:val="9"/>
              <w:rPr>
                <w:rFonts w:hAnsi="宋体" w:cs="宋体"/>
                <w:color w:val="auto"/>
                <w:szCs w:val="21"/>
                <w:highlight w:val="none"/>
              </w:rPr>
            </w:pPr>
            <w:r>
              <w:rPr>
                <w:rFonts w:hint="eastAsia" w:hAnsi="宋体" w:cs="宋体"/>
                <w:color w:val="auto"/>
                <w:szCs w:val="21"/>
                <w:highlight w:val="none"/>
              </w:rPr>
              <w:t>3.“备份投标文件”是指与“电子加密投标文件”同时生成的数据电文形式的电子文件（备份标书），其他方式编制的备份投标文件视为无效备份投标文件。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11</w:t>
            </w:r>
          </w:p>
        </w:tc>
        <w:tc>
          <w:tcPr>
            <w:tcW w:w="2155" w:type="dxa"/>
            <w:vAlign w:val="center"/>
          </w:tcPr>
          <w:p>
            <w:pPr>
              <w:pStyle w:val="16"/>
              <w:keepNext w:val="0"/>
              <w:keepLines w:val="0"/>
              <w:pageBreakBefore w:val="0"/>
              <w:kinsoku/>
              <w:overflowPunct/>
              <w:topLinePunct w:val="0"/>
              <w:bidi w:val="0"/>
              <w:snapToGrid/>
              <w:spacing w:line="360" w:lineRule="auto"/>
              <w:ind w:right="0" w:rightChars="0"/>
              <w:jc w:val="center"/>
              <w:outlineLvl w:val="9"/>
              <w:rPr>
                <w:rFonts w:hAnsi="宋体" w:cs="宋体"/>
                <w:color w:val="auto"/>
                <w:szCs w:val="21"/>
                <w:highlight w:val="none"/>
              </w:rPr>
            </w:pPr>
            <w:r>
              <w:rPr>
                <w:rFonts w:hint="eastAsia" w:hAnsi="宋体" w:cs="宋体"/>
                <w:color w:val="auto"/>
                <w:szCs w:val="21"/>
                <w:highlight w:val="none"/>
              </w:rPr>
              <w:t>投标文件的上传和递交</w:t>
            </w:r>
          </w:p>
        </w:tc>
        <w:tc>
          <w:tcPr>
            <w:tcW w:w="6625" w:type="dxa"/>
            <w:vAlign w:val="center"/>
          </w:tcPr>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1.“电子加密投标文件”的上传、递交：</w:t>
            </w:r>
          </w:p>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1.1投标人应在投标截止时间前将“电子加密投标文件”成功上传递交至“政府采购云平台”，否则投标无效。</w:t>
            </w:r>
          </w:p>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1.2“电子加密投标文件”成功上传递交后，投标人可自行打印投标文件接收回执。</w:t>
            </w:r>
          </w:p>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2.“备份投标文件”的密封包装、递交：</w:t>
            </w:r>
          </w:p>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2.1.投标人在“政府采购云平台”完成“电子加密投标文件”的上传递交后，还可以在投标截止时间前递交以介质（U盘）存储的 “备份投标文件”（一份）；（推荐顺丰或EMS邮寄形式。以代理机构工作人员的签收时间为准）</w:t>
            </w:r>
          </w:p>
          <w:p>
            <w:pPr>
              <w:keepNext w:val="0"/>
              <w:keepLines w:val="0"/>
              <w:pageBreakBefore w:val="0"/>
              <w:kinsoku/>
              <w:overflowPunct/>
              <w:topLinePunct w:val="0"/>
              <w:bidi w:val="0"/>
              <w:snapToGrid/>
              <w:spacing w:line="360" w:lineRule="auto"/>
              <w:ind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2.2“备份投标文件”应当密封包装，并在包装上标注投标项目名称、项目编号、投标单位名称并加盖公章。没有密封包装或者逾期送达至投标地点的“备份投标文件”将不予接收；</w:t>
            </w:r>
          </w:p>
          <w:p>
            <w:pPr>
              <w:pStyle w:val="16"/>
              <w:keepNext w:val="0"/>
              <w:keepLines w:val="0"/>
              <w:pageBreakBefore w:val="0"/>
              <w:kinsoku/>
              <w:overflowPunct/>
              <w:topLinePunct w:val="0"/>
              <w:bidi w:val="0"/>
              <w:snapToGrid/>
              <w:spacing w:line="360" w:lineRule="auto"/>
              <w:ind w:right="0" w:rightChars="0" w:firstLine="420" w:firstLineChars="200"/>
              <w:jc w:val="left"/>
              <w:outlineLvl w:val="9"/>
              <w:rPr>
                <w:rFonts w:hAnsi="宋体" w:cs="宋体"/>
                <w:color w:val="auto"/>
                <w:szCs w:val="21"/>
                <w:highlight w:val="none"/>
              </w:rPr>
            </w:pPr>
            <w:r>
              <w:rPr>
                <w:rFonts w:hint="eastAsia" w:hAnsi="宋体" w:cs="宋体"/>
                <w:color w:val="auto"/>
                <w:szCs w:val="21"/>
                <w:highlight w:val="none"/>
              </w:rPr>
              <w:t>2.3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12</w:t>
            </w:r>
          </w:p>
        </w:tc>
        <w:tc>
          <w:tcPr>
            <w:tcW w:w="2155" w:type="dxa"/>
            <w:vAlign w:val="center"/>
          </w:tcPr>
          <w:p>
            <w:pPr>
              <w:pStyle w:val="16"/>
              <w:keepNext w:val="0"/>
              <w:keepLines w:val="0"/>
              <w:pageBreakBefore w:val="0"/>
              <w:kinsoku/>
              <w:overflowPunct/>
              <w:topLinePunct w:val="0"/>
              <w:bidi w:val="0"/>
              <w:snapToGrid/>
              <w:spacing w:line="360" w:lineRule="auto"/>
              <w:ind w:right="0" w:rightChars="0"/>
              <w:jc w:val="center"/>
              <w:outlineLvl w:val="9"/>
              <w:rPr>
                <w:rFonts w:hAnsi="宋体" w:cs="宋体"/>
                <w:color w:val="auto"/>
                <w:szCs w:val="21"/>
                <w:highlight w:val="none"/>
              </w:rPr>
            </w:pPr>
            <w:r>
              <w:rPr>
                <w:rFonts w:hint="eastAsia" w:hAnsi="宋体" w:cs="宋体"/>
                <w:color w:val="auto"/>
                <w:szCs w:val="21"/>
                <w:highlight w:val="none"/>
              </w:rPr>
              <w:t>电子加密投标文件的解密和异常情况处理：</w:t>
            </w:r>
          </w:p>
        </w:tc>
        <w:tc>
          <w:tcPr>
            <w:tcW w:w="6625" w:type="dxa"/>
            <w:vAlign w:val="center"/>
          </w:tcPr>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1.开标后，采购代理机构将向各投标投标人发出“电子加密投标文件”的解密通知，各投标人代表应当在接到解密通知后30分钟内自行完成“电子加密投标文件”的在线解密。</w:t>
            </w:r>
          </w:p>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pPr>
              <w:pStyle w:val="16"/>
              <w:keepNext w:val="0"/>
              <w:keepLines w:val="0"/>
              <w:pageBreakBefore w:val="0"/>
              <w:kinsoku/>
              <w:overflowPunct/>
              <w:topLinePunct w:val="0"/>
              <w:bidi w:val="0"/>
              <w:snapToGrid/>
              <w:spacing w:line="360" w:lineRule="auto"/>
              <w:ind w:right="0" w:rightChars="0" w:firstLine="420" w:firstLineChars="200"/>
              <w:jc w:val="left"/>
              <w:outlineLvl w:val="9"/>
              <w:rPr>
                <w:rFonts w:hAnsi="宋体" w:cs="宋体"/>
                <w:color w:val="auto"/>
                <w:szCs w:val="21"/>
                <w:highlight w:val="none"/>
              </w:rPr>
            </w:pPr>
            <w:r>
              <w:rPr>
                <w:rFonts w:hint="eastAsia" w:hAnsi="宋体" w:cs="宋体"/>
                <w:color w:val="auto"/>
                <w:szCs w:val="21"/>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default" w:eastAsia="宋体" w:cs="宋体"/>
                <w:color w:val="auto"/>
                <w:highlight w:val="none"/>
                <w:lang w:val="en-US" w:eastAsia="zh-CN"/>
              </w:rPr>
            </w:pPr>
            <w:r>
              <w:rPr>
                <w:rStyle w:val="70"/>
                <w:rFonts w:hint="eastAsia" w:eastAsia="宋体" w:cs="宋体"/>
                <w:color w:val="auto"/>
                <w:highlight w:val="none"/>
                <w:lang w:val="en-US" w:eastAsia="zh-CN"/>
              </w:rPr>
              <w:t>13</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625" w:type="dxa"/>
            <w:vAlign w:val="center"/>
          </w:tcPr>
          <w:p>
            <w:pPr>
              <w:pStyle w:val="96"/>
              <w:keepNext w:val="0"/>
              <w:keepLines w:val="0"/>
              <w:pageBreakBefore w:val="0"/>
              <w:numPr>
                <w:ilvl w:val="0"/>
                <w:numId w:val="4"/>
              </w:numPr>
              <w:tabs>
                <w:tab w:val="left" w:pos="321"/>
              </w:tabs>
              <w:kinsoku/>
              <w:overflowPunct/>
              <w:topLinePunct w:val="0"/>
              <w:autoSpaceDE w:val="0"/>
              <w:autoSpaceDN w:val="0"/>
              <w:bidi w:val="0"/>
              <w:snapToGrid/>
              <w:spacing w:line="360" w:lineRule="auto"/>
              <w:ind w:right="0" w:rightChars="0" w:firstLine="420" w:firstLineChars="200"/>
              <w:jc w:val="left"/>
              <w:outlineLvl w:val="9"/>
              <w:rPr>
                <w:rFonts w:hint="eastAsia" w:eastAsia="宋体"/>
                <w:color w:val="auto"/>
                <w:sz w:val="21"/>
                <w:szCs w:val="21"/>
                <w:highlight w:val="none"/>
              </w:rPr>
            </w:pPr>
            <w:r>
              <w:rPr>
                <w:rFonts w:hint="eastAsia" w:eastAsia="宋体"/>
                <w:color w:val="auto"/>
                <w:sz w:val="21"/>
                <w:szCs w:val="21"/>
                <w:highlight w:val="none"/>
              </w:rPr>
              <w:t>“电子加密投标文件”：在线上传递交一份。</w:t>
            </w:r>
          </w:p>
          <w:p>
            <w:pPr>
              <w:pStyle w:val="96"/>
              <w:keepNext w:val="0"/>
              <w:keepLines w:val="0"/>
              <w:pageBreakBefore w:val="0"/>
              <w:numPr>
                <w:ilvl w:val="0"/>
                <w:numId w:val="4"/>
              </w:numPr>
              <w:tabs>
                <w:tab w:val="left" w:pos="321"/>
              </w:tabs>
              <w:kinsoku/>
              <w:overflowPunct/>
              <w:topLinePunct w:val="0"/>
              <w:autoSpaceDE w:val="0"/>
              <w:autoSpaceDN w:val="0"/>
              <w:bidi w:val="0"/>
              <w:snapToGrid/>
              <w:spacing w:line="360" w:lineRule="auto"/>
              <w:ind w:right="0" w:rightChars="0" w:firstLine="420" w:firstLineChars="200"/>
              <w:jc w:val="left"/>
              <w:outlineLvl w:val="9"/>
              <w:rPr>
                <w:rFonts w:eastAsia="宋体"/>
                <w:color w:val="auto"/>
                <w:sz w:val="21"/>
                <w:szCs w:val="21"/>
                <w:highlight w:val="none"/>
              </w:rPr>
            </w:pPr>
            <w:r>
              <w:rPr>
                <w:rFonts w:hint="eastAsia" w:eastAsia="宋体"/>
                <w:color w:val="auto"/>
                <w:sz w:val="21"/>
                <w:szCs w:val="21"/>
                <w:highlight w:val="none"/>
              </w:rPr>
              <w:t>“备份投标文件”：密封包装后在投标截止时间前递交一份（邮寄地址：衢州市柯城区双港街道佳美二区18-5-302室浙江三凌建设项目管理有限公司 朱欣欣收)</w:t>
            </w:r>
          </w:p>
          <w:p>
            <w:pPr>
              <w:pStyle w:val="96"/>
              <w:keepNext w:val="0"/>
              <w:keepLines w:val="0"/>
              <w:pageBreakBefore w:val="0"/>
              <w:tabs>
                <w:tab w:val="left" w:pos="321"/>
              </w:tabs>
              <w:kinsoku/>
              <w:overflowPunct/>
              <w:topLinePunct w:val="0"/>
              <w:autoSpaceDE w:val="0"/>
              <w:autoSpaceDN w:val="0"/>
              <w:bidi w:val="0"/>
              <w:snapToGrid/>
              <w:spacing w:line="360" w:lineRule="auto"/>
              <w:ind w:right="0" w:rightChars="0" w:firstLine="420" w:firstLineChars="200"/>
              <w:jc w:val="left"/>
              <w:outlineLvl w:val="9"/>
              <w:rPr>
                <w:rFonts w:eastAsia="宋体"/>
                <w:color w:val="auto"/>
                <w:sz w:val="21"/>
                <w:szCs w:val="21"/>
                <w:highlight w:val="none"/>
              </w:rPr>
            </w:pPr>
            <w:r>
              <w:rPr>
                <w:rFonts w:hint="eastAsia" w:eastAsia="宋体"/>
                <w:color w:val="auto"/>
                <w:sz w:val="21"/>
                <w:szCs w:val="21"/>
                <w:highlight w:val="none"/>
                <w:lang w:val="en-US"/>
              </w:rPr>
              <w:t>注：中标结果公告后，中标人按采购人要求免费提供纸质版资格文件、商务技术文件、报价文件各一式四份。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需要落实的政府采购政策：</w:t>
            </w:r>
          </w:p>
        </w:tc>
        <w:tc>
          <w:tcPr>
            <w:tcW w:w="6625" w:type="dxa"/>
            <w:vAlign w:val="center"/>
          </w:tcPr>
          <w:p>
            <w:pPr>
              <w:keepNext w:val="0"/>
              <w:keepLines w:val="0"/>
              <w:pageBreakBefore w:val="0"/>
              <w:numPr>
                <w:ilvl w:val="0"/>
                <w:numId w:val="0"/>
              </w:numPr>
              <w:kinsoku/>
              <w:overflowPunct/>
              <w:topLinePunct w:val="0"/>
              <w:bidi w:val="0"/>
              <w:snapToGrid/>
              <w:spacing w:line="360" w:lineRule="auto"/>
              <w:ind w:right="0" w:rightChars="0" w:firstLine="420" w:firstLineChars="200"/>
              <w:jc w:val="left"/>
              <w:textAlignment w:val="baseline"/>
              <w:outlineLvl w:val="9"/>
              <w:rPr>
                <w:rFonts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根据财政部发布的《政府采购促进中小企业发展管理办法》 （财库[2020]46号）、《浙江省财政厅关于进一步发挥政府采购政策功能全力推动经济稳进提质的通知》（浙财采监[2022]3号）、《浙江省财政厅关于进一步加大政府采购支持中小企业力度助力扎实稳住经济的通知》（浙财采监[2022]</w:t>
            </w:r>
            <w:r>
              <w:rPr>
                <w:rFonts w:hint="eastAsia" w:ascii="宋体" w:hAnsi="宋体" w:eastAsia="宋体" w:cs="宋体"/>
                <w:color w:val="auto"/>
                <w:sz w:val="21"/>
                <w:szCs w:val="21"/>
                <w:highlight w:val="none"/>
                <w:lang w:val="en-US" w:bidi="zh-CN"/>
              </w:rPr>
              <w:t>8号</w:t>
            </w:r>
            <w:r>
              <w:rPr>
                <w:rFonts w:hint="eastAsia" w:ascii="宋体" w:hAnsi="宋体" w:eastAsia="宋体" w:cs="宋体"/>
                <w:color w:val="auto"/>
                <w:sz w:val="21"/>
                <w:szCs w:val="21"/>
                <w:highlight w:val="none"/>
                <w:lang w:bidi="zh-CN"/>
              </w:rPr>
              <w:t>）、《关于进一步加大政府采购支持中小企业力度通知》（财库[2022]</w:t>
            </w:r>
            <w:r>
              <w:rPr>
                <w:rFonts w:hint="eastAsia" w:ascii="宋体" w:hAnsi="宋体" w:eastAsia="宋体" w:cs="宋体"/>
                <w:color w:val="auto"/>
                <w:sz w:val="21"/>
                <w:szCs w:val="21"/>
                <w:highlight w:val="none"/>
                <w:lang w:val="en-US" w:bidi="zh-CN"/>
              </w:rPr>
              <w:t>19号</w:t>
            </w:r>
            <w:r>
              <w:rPr>
                <w:rFonts w:hint="eastAsia" w:ascii="宋体" w:hAnsi="宋体" w:eastAsia="宋体" w:cs="宋体"/>
                <w:color w:val="auto"/>
                <w:sz w:val="21"/>
                <w:szCs w:val="21"/>
                <w:highlight w:val="none"/>
                <w:lang w:bidi="zh-CN"/>
              </w:rPr>
              <w:t>）的规定执行。</w:t>
            </w:r>
          </w:p>
          <w:p>
            <w:pPr>
              <w:keepNext w:val="0"/>
              <w:keepLines w:val="0"/>
              <w:pageBreakBefore w:val="0"/>
              <w:numPr>
                <w:ilvl w:val="0"/>
                <w:numId w:val="0"/>
              </w:numPr>
              <w:kinsoku/>
              <w:overflowPunct/>
              <w:topLinePunct w:val="0"/>
              <w:bidi w:val="0"/>
              <w:snapToGrid/>
              <w:spacing w:line="360" w:lineRule="auto"/>
              <w:ind w:right="0" w:rightChars="0" w:firstLine="420" w:firstLineChars="200"/>
              <w:jc w:val="left"/>
              <w:textAlignment w:val="baseline"/>
              <w:outlineLvl w:val="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2.促进中小企业发展政策</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专门面向中小企业的项目不享受政策价格扣除</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zh-CN" w:eastAsia="zh-CN" w:bidi="zh-CN"/>
              </w:rPr>
              <w:t>本项目是否</w:t>
            </w:r>
            <w:r>
              <w:rPr>
                <w:rFonts w:hint="eastAsia" w:ascii="宋体" w:hAnsi="宋体" w:eastAsia="宋体" w:cs="宋体"/>
                <w:color w:val="auto"/>
                <w:sz w:val="21"/>
                <w:szCs w:val="21"/>
                <w:highlight w:val="none"/>
                <w:lang w:val="en-US" w:eastAsia="zh-CN" w:bidi="zh-CN"/>
              </w:rPr>
              <w:t>专门面向中小企业</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zh-CN" w:eastAsia="zh-CN" w:bidi="zh-CN"/>
              </w:rPr>
              <w:sym w:font="Wingdings" w:char="00A8"/>
            </w:r>
            <w:r>
              <w:rPr>
                <w:rFonts w:hint="eastAsia" w:ascii="宋体" w:hAnsi="宋体" w:eastAsia="宋体" w:cs="宋体"/>
                <w:color w:val="auto"/>
                <w:sz w:val="21"/>
                <w:szCs w:val="21"/>
                <w:highlight w:val="none"/>
                <w:lang w:val="zh-CN" w:eastAsia="zh-CN" w:bidi="zh-CN"/>
              </w:rPr>
              <w:t>否；☑是。</w:t>
            </w:r>
          </w:p>
          <w:p>
            <w:pPr>
              <w:keepNext w:val="0"/>
              <w:keepLines w:val="0"/>
              <w:pageBreakBefore w:val="0"/>
              <w:kinsoku/>
              <w:overflowPunct/>
              <w:topLinePunct w:val="0"/>
              <w:bidi w:val="0"/>
              <w:adjustRightInd w:val="0"/>
              <w:snapToGrid/>
              <w:spacing w:line="360" w:lineRule="auto"/>
              <w:ind w:right="0" w:rightChars="0" w:firstLine="422" w:firstLineChars="200"/>
              <w:jc w:val="left"/>
              <w:outlineLvl w:val="9"/>
              <w:rPr>
                <w:color w:val="auto"/>
                <w:highlight w:val="none"/>
              </w:rPr>
            </w:pPr>
            <w:r>
              <w:rPr>
                <w:rFonts w:hint="eastAsia" w:eastAsia="宋体" w:cs="宋体"/>
                <w:b/>
                <w:bCs/>
                <w:color w:val="auto"/>
                <w:sz w:val="21"/>
                <w:szCs w:val="21"/>
                <w:highlight w:val="none"/>
                <w:lang w:val="en-US" w:bidi="zh-CN"/>
              </w:rPr>
              <w:t>3.</w:t>
            </w:r>
            <w:r>
              <w:rPr>
                <w:rFonts w:hint="eastAsia" w:ascii="宋体" w:hAnsi="宋体" w:eastAsia="宋体" w:cs="宋体"/>
                <w:b/>
                <w:bCs/>
                <w:color w:val="auto"/>
                <w:sz w:val="21"/>
                <w:szCs w:val="21"/>
                <w:highlight w:val="none"/>
                <w:lang w:bidi="zh-CN"/>
              </w:rPr>
              <w:t>本项目采购标的所属行业为</w:t>
            </w:r>
            <w:r>
              <w:rPr>
                <w:rFonts w:hint="eastAsia" w:ascii="宋体" w:hAnsi="宋体" w:eastAsia="宋体" w:cs="宋体"/>
                <w:bCs/>
                <w:color w:val="auto"/>
                <w:sz w:val="21"/>
                <w:szCs w:val="21"/>
                <w:highlight w:val="none"/>
              </w:rPr>
              <w:t>：</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农、林、牧、渔业，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工业（包括采矿业，制造业，电力、热力、燃气及水生产和供应业），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建筑业，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批发业，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零售业，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交通运输业（不含铁路运输业），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仓储业，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邮政业，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住宿业，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餐饮业，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信息传输业（包括电信、互联网和相关服务），</w:t>
            </w:r>
            <w:r>
              <w:rPr>
                <w:rFonts w:hint="eastAsia" w:ascii="宋体" w:hAnsi="宋体" w:cs="宋体"/>
                <w:color w:val="auto"/>
                <w:szCs w:val="21"/>
                <w:highlight w:val="none"/>
                <w:lang w:val="zh-TW" w:eastAsia="zh-TW"/>
              </w:rPr>
              <w:sym w:font="Wingdings" w:char="00FE"/>
            </w:r>
            <w:r>
              <w:rPr>
                <w:rFonts w:hint="eastAsia" w:ascii="宋体" w:hAnsi="宋体" w:cs="宋体"/>
                <w:color w:val="auto"/>
                <w:szCs w:val="21"/>
                <w:highlight w:val="none"/>
                <w:lang w:val="zh-TW" w:eastAsia="zh-TW"/>
              </w:rPr>
              <w:t>软件和信息技术服务业，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房地产开发经营，</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物业管理，</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租赁和商务服务业，</w:t>
            </w:r>
            <w:r>
              <w:rPr>
                <w:rFonts w:hint="eastAsia" w:ascii="宋体" w:hAnsi="宋体" w:cs="宋体"/>
                <w:color w:val="auto"/>
                <w:szCs w:val="21"/>
                <w:highlight w:val="none"/>
                <w:lang w:val="zh-TW" w:eastAsia="zh-TW"/>
              </w:rPr>
              <w:sym w:font="Wingdings" w:char="00A8"/>
            </w:r>
            <w:r>
              <w:rPr>
                <w:rFonts w:hint="eastAsia" w:ascii="宋体" w:hAnsi="宋体" w:cs="宋体"/>
                <w:color w:val="auto"/>
                <w:szCs w:val="21"/>
                <w:highlight w:val="none"/>
                <w:lang w:val="zh-TW" w:eastAsia="zh-TW"/>
              </w:rPr>
              <w:t>其他未列明行业（包括科学研究和技术服务业，水利、环境和公共设施管理业，居民服务、修理和其他服务业，社会工作，文化、体育和娱乐业等）。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default" w:eastAsia="宋体" w:cs="宋体"/>
                <w:color w:val="auto"/>
                <w:highlight w:val="none"/>
                <w:lang w:val="en-US" w:eastAsia="zh-CN"/>
              </w:rPr>
            </w:pPr>
            <w:r>
              <w:rPr>
                <w:rStyle w:val="70"/>
                <w:rFonts w:hint="eastAsia" w:eastAsia="宋体" w:cs="宋体"/>
                <w:color w:val="auto"/>
                <w:highlight w:val="none"/>
                <w:lang w:val="en-US" w:eastAsia="zh-CN"/>
              </w:rPr>
              <w:t>15</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default" w:cs="宋体"/>
                <w:color w:val="auto"/>
                <w:highlight w:val="none"/>
              </w:rPr>
            </w:pPr>
            <w:r>
              <w:rPr>
                <w:rStyle w:val="70"/>
                <w:rFonts w:hint="default" w:cs="宋体"/>
                <w:color w:val="auto"/>
                <w:highlight w:val="none"/>
              </w:rPr>
              <w:t>投标文件递交截止时间及地点</w:t>
            </w:r>
          </w:p>
        </w:tc>
        <w:tc>
          <w:tcPr>
            <w:tcW w:w="6625" w:type="dxa"/>
            <w:vAlign w:val="center"/>
          </w:tcPr>
          <w:p>
            <w:pPr>
              <w:keepNext w:val="0"/>
              <w:keepLines w:val="0"/>
              <w:pageBreakBefore w:val="0"/>
              <w:kinsoku/>
              <w:overflowPunct/>
              <w:topLinePunct w:val="0"/>
              <w:bidi w:val="0"/>
              <w:snapToGrid/>
              <w:spacing w:line="360" w:lineRule="auto"/>
              <w:ind w:right="0" w:rightChars="0" w:firstLine="420" w:firstLineChars="20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点</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r>
              <w:rPr>
                <w:rStyle w:val="70"/>
                <w:rFonts w:hint="default" w:cs="宋体"/>
                <w:color w:val="auto"/>
                <w:highlight w:val="none"/>
              </w:rPr>
              <w:t>（北京时间）</w:t>
            </w:r>
          </w:p>
          <w:p>
            <w:pPr>
              <w:keepNext w:val="0"/>
              <w:keepLines w:val="0"/>
              <w:pageBreakBefore w:val="0"/>
              <w:widowControl/>
              <w:kinsoku/>
              <w:overflowPunct/>
              <w:topLinePunct w:val="0"/>
              <w:bidi w:val="0"/>
              <w:snapToGrid/>
              <w:spacing w:line="360" w:lineRule="auto"/>
              <w:ind w:right="0" w:rightChars="0" w:firstLine="420" w:firstLineChars="200"/>
              <w:jc w:val="left"/>
              <w:outlineLvl w:val="9"/>
              <w:rPr>
                <w:rStyle w:val="70"/>
                <w:rFonts w:hint="default" w:cs="宋体"/>
                <w:color w:val="auto"/>
                <w:highlight w:val="none"/>
              </w:rPr>
            </w:pPr>
            <w:r>
              <w:rPr>
                <w:rStyle w:val="70"/>
                <w:rFonts w:hint="default" w:cs="宋体"/>
                <w:color w:val="auto"/>
                <w:highlight w:val="none"/>
              </w:rPr>
              <w:t>地点：</w:t>
            </w:r>
            <w:r>
              <w:rPr>
                <w:rFonts w:hint="eastAsia" w:ascii="宋体" w:hAnsi="宋体" w:eastAsia="宋体" w:cs="宋体"/>
                <w:color w:val="auto"/>
                <w:sz w:val="21"/>
                <w:szCs w:val="21"/>
                <w:highlight w:val="none"/>
              </w:rPr>
              <w:t>衢州市柯城区公共资源交易中心（荷花三路229号营商大楼7</w:t>
            </w:r>
            <w:r>
              <w:rPr>
                <w:rFonts w:hint="eastAsia" w:ascii="宋体" w:hAnsi="宋体" w:eastAsia="宋体" w:cs="宋体"/>
                <w:color w:val="auto"/>
                <w:sz w:val="21"/>
                <w:szCs w:val="21"/>
                <w:highlight w:val="none"/>
                <w:lang w:eastAsia="zh-CN"/>
              </w:rPr>
              <w:t>楼</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default" w:eastAsia="宋体" w:cs="宋体"/>
                <w:color w:val="auto"/>
                <w:highlight w:val="none"/>
                <w:lang w:val="en-US" w:eastAsia="zh-CN"/>
              </w:rPr>
            </w:pPr>
            <w:r>
              <w:rPr>
                <w:rStyle w:val="70"/>
                <w:rFonts w:hint="eastAsia" w:eastAsia="宋体" w:cs="宋体"/>
                <w:color w:val="auto"/>
                <w:highlight w:val="none"/>
                <w:lang w:val="en-US" w:eastAsia="zh-CN"/>
              </w:rPr>
              <w:t>16</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eastAsia" w:ascii="宋体" w:hAnsi="宋体" w:eastAsia="宋体" w:cs="宋体"/>
                <w:color w:val="auto"/>
                <w:highlight w:val="none"/>
              </w:rPr>
            </w:pPr>
            <w:r>
              <w:rPr>
                <w:rStyle w:val="70"/>
                <w:rFonts w:hint="eastAsia" w:ascii="宋体" w:hAnsi="宋体" w:eastAsia="宋体" w:cs="宋体"/>
                <w:color w:val="auto"/>
                <w:highlight w:val="none"/>
              </w:rPr>
              <w:t>开标时间及地点</w:t>
            </w:r>
          </w:p>
        </w:tc>
        <w:tc>
          <w:tcPr>
            <w:tcW w:w="6625" w:type="dxa"/>
            <w:vAlign w:val="center"/>
          </w:tcPr>
          <w:p>
            <w:pPr>
              <w:keepNext w:val="0"/>
              <w:keepLines w:val="0"/>
              <w:pageBreakBefore w:val="0"/>
              <w:kinsoku/>
              <w:overflowPunct/>
              <w:topLinePunct w:val="0"/>
              <w:bidi w:val="0"/>
              <w:snapToGrid/>
              <w:spacing w:line="360" w:lineRule="auto"/>
              <w:ind w:right="0" w:rightChars="0" w:firstLine="420" w:firstLineChars="200"/>
              <w:jc w:val="left"/>
              <w:outlineLvl w:val="9"/>
              <w:rPr>
                <w:rStyle w:val="70"/>
                <w:rFonts w:hint="default" w:cs="宋体"/>
                <w:color w:val="auto"/>
                <w:highlight w:val="none"/>
              </w:rPr>
            </w:pPr>
            <w:r>
              <w:rPr>
                <w:rStyle w:val="70"/>
                <w:rFonts w:hint="default" w:cs="宋体"/>
                <w:color w:val="auto"/>
                <w:highlight w:val="none"/>
              </w:rPr>
              <w:t>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点</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r>
              <w:rPr>
                <w:rStyle w:val="70"/>
                <w:rFonts w:hint="default" w:cs="宋体"/>
                <w:color w:val="auto"/>
                <w:highlight w:val="none"/>
              </w:rPr>
              <w:t>（北京时间）</w:t>
            </w:r>
          </w:p>
          <w:p>
            <w:pPr>
              <w:keepNext w:val="0"/>
              <w:keepLines w:val="0"/>
              <w:pageBreakBefore w:val="0"/>
              <w:widowControl/>
              <w:kinsoku/>
              <w:overflowPunct/>
              <w:topLinePunct w:val="0"/>
              <w:bidi w:val="0"/>
              <w:snapToGrid/>
              <w:spacing w:line="360" w:lineRule="auto"/>
              <w:ind w:right="0" w:rightChars="0" w:firstLine="420" w:firstLineChars="200"/>
              <w:jc w:val="left"/>
              <w:outlineLvl w:val="9"/>
              <w:rPr>
                <w:rStyle w:val="70"/>
                <w:rFonts w:hint="default" w:cs="宋体"/>
                <w:color w:val="auto"/>
                <w:highlight w:val="none"/>
              </w:rPr>
            </w:pPr>
            <w:r>
              <w:rPr>
                <w:rStyle w:val="70"/>
                <w:rFonts w:hint="default" w:cs="宋体"/>
                <w:color w:val="auto"/>
                <w:highlight w:val="none"/>
              </w:rPr>
              <w:t>地点:</w:t>
            </w:r>
            <w:r>
              <w:rPr>
                <w:rFonts w:hint="eastAsia" w:ascii="宋体" w:hAnsi="宋体" w:eastAsia="宋体" w:cs="宋体"/>
                <w:color w:val="auto"/>
                <w:sz w:val="21"/>
                <w:szCs w:val="21"/>
                <w:highlight w:val="none"/>
              </w:rPr>
              <w:t>衢州市柯城区公共资源交易中心（荷花三路229号营商大楼7</w:t>
            </w:r>
            <w:r>
              <w:rPr>
                <w:rFonts w:hint="eastAsia" w:ascii="宋体" w:hAnsi="宋体" w:eastAsia="宋体" w:cs="宋体"/>
                <w:color w:val="auto"/>
                <w:sz w:val="21"/>
                <w:szCs w:val="21"/>
                <w:highlight w:val="none"/>
                <w:lang w:eastAsia="zh-CN"/>
              </w:rPr>
              <w:t>楼</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default" w:eastAsia="宋体" w:cs="宋体"/>
                <w:color w:val="auto"/>
                <w:highlight w:val="none"/>
                <w:lang w:val="en-US" w:eastAsia="zh-CN"/>
              </w:rPr>
            </w:pPr>
            <w:r>
              <w:rPr>
                <w:rStyle w:val="70"/>
                <w:rFonts w:hint="eastAsia" w:eastAsia="宋体" w:cs="宋体"/>
                <w:color w:val="auto"/>
                <w:highlight w:val="none"/>
                <w:lang w:val="en-US" w:eastAsia="zh-CN"/>
              </w:rPr>
              <w:t>17</w:t>
            </w:r>
          </w:p>
        </w:tc>
        <w:tc>
          <w:tcPr>
            <w:tcW w:w="2155" w:type="dxa"/>
            <w:vAlign w:val="center"/>
          </w:tcPr>
          <w:p>
            <w:pPr>
              <w:keepNext w:val="0"/>
              <w:keepLines w:val="0"/>
              <w:pageBreakBefore w:val="0"/>
              <w:kinsoku/>
              <w:overflowPunct/>
              <w:topLinePunct w:val="0"/>
              <w:bidi w:val="0"/>
              <w:snapToGrid/>
              <w:spacing w:line="360" w:lineRule="auto"/>
              <w:ind w:right="0" w:rightChars="0"/>
              <w:jc w:val="center"/>
              <w:outlineLvl w:val="9"/>
              <w:rPr>
                <w:rStyle w:val="70"/>
                <w:rFonts w:hint="eastAsia" w:ascii="宋体" w:hAnsi="宋体" w:eastAsia="宋体" w:cs="宋体"/>
                <w:color w:val="auto"/>
                <w:highlight w:val="none"/>
              </w:rPr>
            </w:pPr>
            <w:r>
              <w:rPr>
                <w:rStyle w:val="70"/>
                <w:rFonts w:hint="eastAsia" w:ascii="宋体" w:hAnsi="宋体" w:eastAsia="宋体" w:cs="宋体"/>
                <w:color w:val="auto"/>
                <w:highlight w:val="none"/>
              </w:rPr>
              <w:t>中标结果公告期限</w:t>
            </w:r>
          </w:p>
        </w:tc>
        <w:tc>
          <w:tcPr>
            <w:tcW w:w="6625" w:type="dxa"/>
            <w:vAlign w:val="center"/>
          </w:tcPr>
          <w:p>
            <w:pPr>
              <w:keepNext w:val="0"/>
              <w:keepLines w:val="0"/>
              <w:pageBreakBefore w:val="0"/>
              <w:kinsoku/>
              <w:overflowPunct/>
              <w:topLinePunct w:val="0"/>
              <w:bidi w:val="0"/>
              <w:snapToGrid/>
              <w:spacing w:line="360" w:lineRule="auto"/>
              <w:ind w:right="0" w:rightChars="0"/>
              <w:jc w:val="left"/>
              <w:outlineLvl w:val="9"/>
              <w:rPr>
                <w:rStyle w:val="70"/>
                <w:rFonts w:hint="default" w:cs="宋体"/>
                <w:color w:val="auto"/>
                <w:highlight w:val="none"/>
              </w:rPr>
            </w:pPr>
            <w:r>
              <w:rPr>
                <w:rStyle w:val="70"/>
                <w:rFonts w:hint="default" w:cs="宋体"/>
                <w:color w:val="auto"/>
                <w:highlight w:val="none"/>
              </w:rPr>
              <w:t>公示1个工作日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77"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18</w:t>
            </w:r>
          </w:p>
        </w:tc>
        <w:tc>
          <w:tcPr>
            <w:tcW w:w="2155" w:type="dxa"/>
            <w:vAlign w:val="center"/>
          </w:tcPr>
          <w:p>
            <w:pPr>
              <w:pStyle w:val="16"/>
              <w:keepNext w:val="0"/>
              <w:keepLines w:val="0"/>
              <w:pageBreakBefore w:val="0"/>
              <w:kinsoku/>
              <w:overflowPunct/>
              <w:topLinePunct w:val="0"/>
              <w:bidi w:val="0"/>
              <w:snapToGrid/>
              <w:spacing w:line="360" w:lineRule="auto"/>
              <w:ind w:right="0" w:rightChars="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tc>
        <w:tc>
          <w:tcPr>
            <w:tcW w:w="6625" w:type="dxa"/>
            <w:vAlign w:val="center"/>
          </w:tcPr>
          <w:p>
            <w:pPr>
              <w:pStyle w:val="16"/>
              <w:keepNext w:val="0"/>
              <w:keepLines w:val="0"/>
              <w:pageBreakBefore w:val="0"/>
              <w:kinsoku/>
              <w:overflowPunct/>
              <w:topLinePunct w:val="0"/>
              <w:bidi w:val="0"/>
              <w:snapToGrid/>
              <w:spacing w:line="360" w:lineRule="auto"/>
              <w:ind w:right="0" w:rightChars="0"/>
              <w:jc w:val="left"/>
              <w:outlineLvl w:val="9"/>
              <w:rPr>
                <w:rFonts w:hAnsi="宋体" w:cs="宋体"/>
                <w:color w:val="auto"/>
                <w:szCs w:val="21"/>
                <w:highlight w:val="none"/>
              </w:rPr>
            </w:pPr>
            <w:r>
              <w:rPr>
                <w:rFonts w:hint="eastAsia" w:hAnsi="宋体" w:cs="宋体"/>
                <w:color w:val="auto"/>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pPr>
              <w:pStyle w:val="16"/>
              <w:keepNext w:val="0"/>
              <w:keepLines w:val="0"/>
              <w:pageBreakBefore w:val="0"/>
              <w:kinsoku/>
              <w:overflowPunct/>
              <w:topLinePunct w:val="0"/>
              <w:bidi w:val="0"/>
              <w:snapToGrid/>
              <w:spacing w:line="360" w:lineRule="auto"/>
              <w:ind w:right="0" w:rightChars="0" w:firstLine="105" w:firstLineChars="5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19</w:t>
            </w:r>
          </w:p>
        </w:tc>
        <w:tc>
          <w:tcPr>
            <w:tcW w:w="2155" w:type="dxa"/>
            <w:vAlign w:val="center"/>
          </w:tcPr>
          <w:p>
            <w:pPr>
              <w:pStyle w:val="16"/>
              <w:keepNext w:val="0"/>
              <w:keepLines w:val="0"/>
              <w:pageBreakBefore w:val="0"/>
              <w:kinsoku/>
              <w:overflowPunct/>
              <w:topLinePunct w:val="0"/>
              <w:bidi w:val="0"/>
              <w:snapToGrid/>
              <w:spacing w:line="360" w:lineRule="auto"/>
              <w:ind w:right="0" w:rightChars="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625" w:type="dxa"/>
            <w:vAlign w:val="center"/>
          </w:tcPr>
          <w:p>
            <w:pPr>
              <w:pStyle w:val="16"/>
              <w:keepNext w:val="0"/>
              <w:keepLines w:val="0"/>
              <w:pageBreakBefore w:val="0"/>
              <w:kinsoku/>
              <w:wordWrap w:val="0"/>
              <w:overflowPunct/>
              <w:topLinePunct w:val="0"/>
              <w:bidi w:val="0"/>
              <w:snapToGrid/>
              <w:spacing w:line="360" w:lineRule="auto"/>
              <w:ind w:right="0" w:rightChars="0"/>
              <w:jc w:val="left"/>
              <w:outlineLvl w:val="9"/>
              <w:rPr>
                <w:rFonts w:hAnsi="宋体" w:eastAsia="宋体" w:cs="宋体"/>
                <w:szCs w:val="21"/>
              </w:rPr>
            </w:pPr>
            <w:r>
              <w:rPr>
                <w:rFonts w:hint="eastAsia" w:hAnsi="宋体" w:eastAsia="宋体" w:cs="宋体"/>
                <w:szCs w:val="21"/>
              </w:rPr>
              <w:t>1.不论投标结果如何，投标人均应自行承担所有与投标有关的全部费用。投标人在报价时充分考虑；</w:t>
            </w:r>
          </w:p>
          <w:p>
            <w:pPr>
              <w:pStyle w:val="16"/>
              <w:keepNext w:val="0"/>
              <w:keepLines w:val="0"/>
              <w:pageBreakBefore w:val="0"/>
              <w:kinsoku/>
              <w:wordWrap w:val="0"/>
              <w:overflowPunct/>
              <w:topLinePunct w:val="0"/>
              <w:bidi w:val="0"/>
              <w:snapToGrid/>
              <w:spacing w:line="360" w:lineRule="auto"/>
              <w:ind w:right="0" w:rightChars="0"/>
              <w:jc w:val="left"/>
              <w:outlineLvl w:val="9"/>
              <w:rPr>
                <w:rFonts w:hAnsi="宋体" w:eastAsia="宋体" w:cs="宋体"/>
                <w:szCs w:val="21"/>
              </w:rPr>
            </w:pPr>
            <w:r>
              <w:rPr>
                <w:rFonts w:hint="eastAsia" w:hAnsi="宋体" w:eastAsia="宋体" w:cs="宋体"/>
                <w:szCs w:val="21"/>
              </w:rPr>
              <w:t>2.该项目按中标价为收取基数；采购代理服务费参照原国家计委关于印发《招标代理服务收费管理暂行办法》的通知（计价格[2002]1980号）的收费标准；不足3000元按照3000元计取。</w:t>
            </w:r>
          </w:p>
          <w:p>
            <w:pPr>
              <w:pStyle w:val="16"/>
              <w:keepNext w:val="0"/>
              <w:keepLines w:val="0"/>
              <w:pageBreakBefore w:val="0"/>
              <w:kinsoku/>
              <w:wordWrap w:val="0"/>
              <w:overflowPunct/>
              <w:topLinePunct w:val="0"/>
              <w:bidi w:val="0"/>
              <w:snapToGrid/>
              <w:spacing w:line="360" w:lineRule="auto"/>
              <w:ind w:right="0" w:rightChars="0"/>
              <w:jc w:val="left"/>
              <w:outlineLvl w:val="9"/>
              <w:rPr>
                <w:rFonts w:hAnsi="宋体" w:eastAsia="宋体" w:cs="宋体"/>
                <w:szCs w:val="21"/>
              </w:rPr>
            </w:pPr>
            <w:r>
              <w:rPr>
                <w:rFonts w:hint="eastAsia" w:hAnsi="宋体" w:eastAsia="宋体" w:cs="宋体"/>
                <w:szCs w:val="21"/>
              </w:rPr>
              <w:t>3.评委费等费用按实结算，由代理机构代付。</w:t>
            </w:r>
          </w:p>
          <w:p>
            <w:pPr>
              <w:pStyle w:val="16"/>
              <w:keepNext w:val="0"/>
              <w:keepLines w:val="0"/>
              <w:pageBreakBefore w:val="0"/>
              <w:kinsoku/>
              <w:overflowPunct/>
              <w:topLinePunct w:val="0"/>
              <w:bidi w:val="0"/>
              <w:snapToGrid/>
              <w:spacing w:line="360" w:lineRule="auto"/>
              <w:ind w:right="0" w:rightChars="0"/>
              <w:jc w:val="left"/>
              <w:outlineLvl w:val="9"/>
              <w:rPr>
                <w:rFonts w:hAnsi="宋体" w:cs="宋体"/>
                <w:color w:val="auto"/>
                <w:szCs w:val="21"/>
                <w:highlight w:val="none"/>
              </w:rPr>
            </w:pPr>
            <w:r>
              <w:rPr>
                <w:rFonts w:hint="eastAsia" w:hAnsi="宋体" w:eastAsia="宋体" w:cs="宋体"/>
                <w:szCs w:val="21"/>
              </w:rPr>
              <w:t>4.以上费用不在报价中单列，请</w:t>
            </w:r>
            <w:r>
              <w:rPr>
                <w:rFonts w:hint="eastAsia" w:hAnsi="宋体" w:eastAsia="宋体" w:cs="宋体"/>
                <w:szCs w:val="21"/>
                <w:lang w:val="zh-CN"/>
              </w:rPr>
              <w:t>投标人</w:t>
            </w:r>
            <w:r>
              <w:rPr>
                <w:rFonts w:hint="eastAsia" w:hAnsi="宋体" w:eastAsia="宋体" w:cs="宋体"/>
                <w:szCs w:val="21"/>
              </w:rPr>
              <w:t>在报价时考虑。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Merge w:val="restart"/>
            <w:vAlign w:val="center"/>
          </w:tcPr>
          <w:p>
            <w:pPr>
              <w:pStyle w:val="16"/>
              <w:keepNext w:val="0"/>
              <w:keepLines w:val="0"/>
              <w:pageBreakBefore w:val="0"/>
              <w:kinsoku/>
              <w:overflowPunct/>
              <w:topLinePunct w:val="0"/>
              <w:bidi w:val="0"/>
              <w:snapToGrid/>
              <w:spacing w:line="360" w:lineRule="auto"/>
              <w:ind w:right="0" w:rightChars="0"/>
              <w:jc w:val="left"/>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20</w:t>
            </w:r>
          </w:p>
        </w:tc>
        <w:tc>
          <w:tcPr>
            <w:tcW w:w="2155" w:type="dxa"/>
            <w:vMerge w:val="restart"/>
            <w:vAlign w:val="center"/>
          </w:tcPr>
          <w:p>
            <w:pPr>
              <w:pStyle w:val="16"/>
              <w:keepNext w:val="0"/>
              <w:keepLines w:val="0"/>
              <w:pageBreakBefore w:val="0"/>
              <w:kinsoku/>
              <w:overflowPunct/>
              <w:topLinePunct w:val="0"/>
              <w:bidi w:val="0"/>
              <w:snapToGrid/>
              <w:spacing w:line="360" w:lineRule="auto"/>
              <w:ind w:right="0" w:righ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其他注意事项</w:t>
            </w:r>
          </w:p>
        </w:tc>
        <w:tc>
          <w:tcPr>
            <w:tcW w:w="6625" w:type="dxa"/>
            <w:vAlign w:val="center"/>
          </w:tcPr>
          <w:p>
            <w:pPr>
              <w:pStyle w:val="16"/>
              <w:keepNext w:val="0"/>
              <w:keepLines w:val="0"/>
              <w:pageBreakBefore w:val="0"/>
              <w:kinsoku/>
              <w:overflowPunct/>
              <w:topLinePunct w:val="0"/>
              <w:bidi w:val="0"/>
              <w:snapToGrid/>
              <w:spacing w:line="360" w:lineRule="auto"/>
              <w:ind w:right="0" w:righ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融资政策，企业质押融资：取得政府采购合同的供应商，均可通过浙江政府采购网（https://zfcg.czt.zj.gov.cn/）首页的“浙江政采贷”模块进入申请贷款或通过政府采购云平台（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"https://www.zcygov.cn/%EF%BC%89%E9%A6%96%E9%A1%B5%E7%9A%84%E2%80%9C%E9%87%91%E8%9E%8D%E6%9C%8D%E5%8A%A1%E2%80%9D%E6%A8%A1%E5%9D%97%E8%BF%9B%E5%85%A5%E7%94%B3%E8%AF%B7"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https://www.zcygov.cn/）首页的“金融服务”模块进入申请</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贷款。也可通过“浙江政务网”登录到“衢融通”平台，发起政府采购质押融资申请。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Merge w:val="continue"/>
            <w:vAlign w:val="center"/>
          </w:tcPr>
          <w:p>
            <w:pPr>
              <w:pStyle w:val="16"/>
              <w:keepNext w:val="0"/>
              <w:keepLines w:val="0"/>
              <w:pageBreakBefore w:val="0"/>
              <w:widowControl w:val="0"/>
              <w:kinsoku/>
              <w:wordWrap/>
              <w:overflowPunct/>
              <w:topLinePunct w:val="0"/>
              <w:bidi w:val="0"/>
              <w:snapToGrid/>
              <w:spacing w:line="360" w:lineRule="auto"/>
              <w:ind w:right="0" w:rightChars="0"/>
              <w:jc w:val="left"/>
              <w:textAlignment w:val="auto"/>
              <w:outlineLvl w:val="9"/>
              <w:rPr>
                <w:rFonts w:hint="eastAsia" w:hAnsi="宋体" w:cs="宋体"/>
                <w:color w:val="auto"/>
                <w:szCs w:val="21"/>
                <w:highlight w:val="none"/>
              </w:rPr>
            </w:pPr>
          </w:p>
        </w:tc>
        <w:tc>
          <w:tcPr>
            <w:tcW w:w="2155" w:type="dxa"/>
            <w:vMerge w:val="continue"/>
            <w:vAlign w:val="center"/>
          </w:tcPr>
          <w:p>
            <w:pPr>
              <w:pStyle w:val="16"/>
              <w:keepNext w:val="0"/>
              <w:keepLines w:val="0"/>
              <w:pageBreakBefore w:val="0"/>
              <w:widowControl w:val="0"/>
              <w:kinsoku/>
              <w:wordWrap/>
              <w:overflowPunct/>
              <w:topLinePunct w:val="0"/>
              <w:bidi w:val="0"/>
              <w:snapToGrid/>
              <w:spacing w:line="360" w:lineRule="auto"/>
              <w:ind w:right="0" w:rightChars="0"/>
              <w:jc w:val="center"/>
              <w:textAlignment w:val="auto"/>
              <w:outlineLvl w:val="9"/>
              <w:rPr>
                <w:rFonts w:hint="eastAsia" w:ascii="宋体" w:hAnsi="宋体" w:eastAsia="宋体" w:cs="宋体"/>
                <w:color w:val="auto"/>
                <w:sz w:val="21"/>
                <w:szCs w:val="21"/>
                <w:highlight w:val="none"/>
              </w:rPr>
            </w:pPr>
          </w:p>
        </w:tc>
        <w:tc>
          <w:tcPr>
            <w:tcW w:w="6625" w:type="dxa"/>
            <w:vAlign w:val="center"/>
          </w:tcPr>
          <w:p>
            <w:pPr>
              <w:keepNext w:val="0"/>
              <w:keepLines w:val="0"/>
              <w:pageBreakBefore w:val="0"/>
              <w:widowControl w:val="0"/>
              <w:kinsoku/>
              <w:wordWrap/>
              <w:overflowPunct/>
              <w:topLinePunct w:val="0"/>
              <w:bidi w:val="0"/>
              <w:adjustRightInd w:val="0"/>
              <w:snapToGrid/>
              <w:spacing w:line="360" w:lineRule="auto"/>
              <w:ind w:right="0" w:righ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节能环保要求：</w:t>
            </w:r>
          </w:p>
          <w:p>
            <w:pPr>
              <w:keepNext w:val="0"/>
              <w:keepLines w:val="0"/>
              <w:pageBreakBefore w:val="0"/>
              <w:widowControl w:val="0"/>
              <w:kinsoku/>
              <w:wordWrap/>
              <w:overflowPunct/>
              <w:topLinePunct w:val="0"/>
              <w:bidi w:val="0"/>
              <w:adjustRightInd w:val="0"/>
              <w:snapToGrid/>
              <w:spacing w:line="360" w:lineRule="auto"/>
              <w:ind w:right="0" w:rightChars="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keepNext w:val="0"/>
              <w:keepLines w:val="0"/>
              <w:pageBreakBefore w:val="0"/>
              <w:widowControl w:val="0"/>
              <w:kinsoku/>
              <w:wordWrap/>
              <w:overflowPunct/>
              <w:topLinePunct w:val="0"/>
              <w:bidi w:val="0"/>
              <w:adjustRightInd w:val="0"/>
              <w:snapToGrid/>
              <w:spacing w:line="360" w:lineRule="auto"/>
              <w:ind w:right="0" w:rightChars="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pPr>
              <w:keepNext w:val="0"/>
              <w:keepLines w:val="0"/>
              <w:pageBreakBefore w:val="0"/>
              <w:widowControl w:val="0"/>
              <w:kinsoku/>
              <w:wordWrap/>
              <w:overflowPunct/>
              <w:topLinePunct w:val="0"/>
              <w:bidi w:val="0"/>
              <w:adjustRightInd w:val="0"/>
              <w:snapToGrid/>
              <w:spacing w:line="360" w:lineRule="auto"/>
              <w:ind w:right="0" w:rightChars="0"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pPr>
              <w:pStyle w:val="16"/>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Merge w:val="continue"/>
            <w:vAlign w:val="center"/>
          </w:tcPr>
          <w:p>
            <w:pPr>
              <w:pStyle w:val="16"/>
              <w:keepNext w:val="0"/>
              <w:keepLines w:val="0"/>
              <w:pageBreakBefore w:val="0"/>
              <w:widowControl w:val="0"/>
              <w:kinsoku/>
              <w:wordWrap/>
              <w:overflowPunct/>
              <w:topLinePunct w:val="0"/>
              <w:bidi w:val="0"/>
              <w:snapToGrid/>
              <w:spacing w:line="360" w:lineRule="auto"/>
              <w:ind w:right="0" w:rightChars="0"/>
              <w:jc w:val="left"/>
              <w:textAlignment w:val="auto"/>
              <w:outlineLvl w:val="9"/>
              <w:rPr>
                <w:rFonts w:hAnsi="宋体" w:cs="宋体"/>
                <w:color w:val="auto"/>
                <w:szCs w:val="21"/>
                <w:highlight w:val="none"/>
              </w:rPr>
            </w:pPr>
          </w:p>
        </w:tc>
        <w:tc>
          <w:tcPr>
            <w:tcW w:w="2155" w:type="dxa"/>
            <w:vMerge w:val="continue"/>
            <w:vAlign w:val="center"/>
          </w:tcPr>
          <w:p>
            <w:pPr>
              <w:pStyle w:val="16"/>
              <w:keepNext w:val="0"/>
              <w:keepLines w:val="0"/>
              <w:pageBreakBefore w:val="0"/>
              <w:widowControl w:val="0"/>
              <w:kinsoku/>
              <w:wordWrap/>
              <w:overflowPunct/>
              <w:topLinePunct w:val="0"/>
              <w:bidi w:val="0"/>
              <w:snapToGrid/>
              <w:spacing w:line="360" w:lineRule="auto"/>
              <w:ind w:right="0" w:rightChars="0"/>
              <w:jc w:val="center"/>
              <w:textAlignment w:val="auto"/>
              <w:outlineLvl w:val="9"/>
              <w:rPr>
                <w:rFonts w:hint="eastAsia" w:ascii="宋体" w:hAnsi="宋体" w:eastAsia="宋体" w:cs="宋体"/>
                <w:color w:val="auto"/>
                <w:sz w:val="21"/>
                <w:szCs w:val="21"/>
                <w:highlight w:val="none"/>
              </w:rPr>
            </w:pPr>
          </w:p>
        </w:tc>
        <w:tc>
          <w:tcPr>
            <w:tcW w:w="6625" w:type="dxa"/>
            <w:vAlign w:val="center"/>
          </w:tcPr>
          <w:p>
            <w:pPr>
              <w:pStyle w:val="16"/>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pPr>
              <w:pStyle w:val="16"/>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1）采购人或采购代理机构将对本项目投标人的信用记录进行查询。查询渠道为信用中国网站（www.creditchina.gov.cn）、中国政府采购网（www.ccgp.gov.cn）；</w:t>
            </w:r>
          </w:p>
          <w:p>
            <w:pPr>
              <w:pStyle w:val="16"/>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pPr>
              <w:pStyle w:val="16"/>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pPr>
              <w:pStyle w:val="16"/>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pPr>
              <w:pStyle w:val="16"/>
              <w:keepNext w:val="0"/>
              <w:keepLines w:val="0"/>
              <w:pageBreakBefore w:val="0"/>
              <w:widowControl w:val="0"/>
              <w:kinsoku/>
              <w:wordWrap/>
              <w:overflowPunct/>
              <w:topLinePunct w:val="0"/>
              <w:bidi w:val="0"/>
              <w:snapToGrid/>
              <w:spacing w:line="360" w:lineRule="auto"/>
              <w:ind w:right="0" w:rightChars="0" w:firstLine="105" w:firstLineChars="50"/>
              <w:jc w:val="left"/>
              <w:textAlignment w:val="auto"/>
              <w:outlineLvl w:val="9"/>
              <w:rPr>
                <w:rFonts w:hint="default" w:hAnsi="宋体" w:cs="宋体" w:eastAsiaTheme="minorEastAsia"/>
                <w:color w:val="auto"/>
                <w:szCs w:val="21"/>
                <w:highlight w:val="none"/>
                <w:lang w:val="en-US" w:eastAsia="zh-CN"/>
              </w:rPr>
            </w:pPr>
            <w:r>
              <w:rPr>
                <w:rFonts w:hint="eastAsia" w:hAnsi="宋体" w:cs="宋体"/>
                <w:color w:val="auto"/>
                <w:szCs w:val="21"/>
                <w:highlight w:val="none"/>
                <w:lang w:val="en-US" w:eastAsia="zh-CN"/>
              </w:rPr>
              <w:t>21</w:t>
            </w:r>
          </w:p>
        </w:tc>
        <w:tc>
          <w:tcPr>
            <w:tcW w:w="2155" w:type="dxa"/>
            <w:vAlign w:val="center"/>
          </w:tcPr>
          <w:p>
            <w:pPr>
              <w:pStyle w:val="16"/>
              <w:keepNext w:val="0"/>
              <w:keepLines w:val="0"/>
              <w:pageBreakBefore w:val="0"/>
              <w:widowControl w:val="0"/>
              <w:kinsoku/>
              <w:wordWrap/>
              <w:overflowPunct/>
              <w:topLinePunct w:val="0"/>
              <w:bidi w:val="0"/>
              <w:snapToGrid/>
              <w:spacing w:line="360" w:lineRule="auto"/>
              <w:ind w:right="0" w:rightChars="0"/>
              <w:jc w:val="center"/>
              <w:textAlignment w:val="auto"/>
              <w:outlineLvl w:val="9"/>
              <w:rPr>
                <w:rFonts w:hAnsi="宋体" w:cs="宋体"/>
                <w:color w:val="auto"/>
                <w:szCs w:val="21"/>
                <w:highlight w:val="none"/>
              </w:rPr>
            </w:pPr>
            <w:r>
              <w:rPr>
                <w:rFonts w:hint="eastAsia" w:hAnsi="宋体" w:cs="宋体"/>
                <w:color w:val="auto"/>
                <w:szCs w:val="21"/>
                <w:highlight w:val="none"/>
              </w:rPr>
              <w:t>公示发布网址</w:t>
            </w:r>
          </w:p>
        </w:tc>
        <w:tc>
          <w:tcPr>
            <w:tcW w:w="6625" w:type="dxa"/>
            <w:vAlign w:val="center"/>
          </w:tcPr>
          <w:p>
            <w:pPr>
              <w:pStyle w:val="16"/>
              <w:keepNext w:val="0"/>
              <w:keepLines w:val="0"/>
              <w:pageBreakBefore w:val="0"/>
              <w:widowControl w:val="0"/>
              <w:kinsoku/>
              <w:wordWrap/>
              <w:overflowPunct/>
              <w:topLinePunct w:val="0"/>
              <w:bidi w:val="0"/>
              <w:snapToGrid/>
              <w:spacing w:line="360" w:lineRule="auto"/>
              <w:ind w:right="0" w:rightChars="0"/>
              <w:jc w:val="left"/>
              <w:textAlignment w:val="auto"/>
              <w:outlineLvl w:val="9"/>
              <w:rPr>
                <w:rFonts w:hAnsi="宋体" w:cs="宋体"/>
                <w:color w:val="auto"/>
                <w:szCs w:val="21"/>
                <w:highlight w:val="none"/>
              </w:rPr>
            </w:pP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Cs w:val="21"/>
                <w:highlight w:val="none"/>
              </w:rPr>
              <w:t>www.zjzfcg.gov.c</w:t>
            </w:r>
            <w:bookmarkStart w:id="16" w:name="_Hlt156804019"/>
            <w:bookmarkStart w:id="17" w:name="_Hlt156803996"/>
            <w:bookmarkStart w:id="18" w:name="_Hlt156803995"/>
            <w:bookmarkStart w:id="19" w:name="_Hlt156804018"/>
            <w:r>
              <w:rPr>
                <w:rFonts w:hint="eastAsia" w:hAnsi="宋体" w:cs="宋体"/>
                <w:color w:val="auto"/>
                <w:szCs w:val="21"/>
                <w:highlight w:val="none"/>
              </w:rPr>
              <w:t>n</w:t>
            </w:r>
            <w:bookmarkEnd w:id="16"/>
            <w:bookmarkEnd w:id="17"/>
            <w:bookmarkEnd w:id="18"/>
            <w:bookmarkEnd w:id="19"/>
            <w:r>
              <w:rPr>
                <w:rFonts w:hint="eastAsia" w:hAnsi="宋体" w:cs="宋体"/>
                <w:color w:val="auto"/>
                <w:szCs w:val="21"/>
                <w:highlight w:val="none"/>
              </w:rPr>
              <w:fldChar w:fldCharType="end"/>
            </w:r>
            <w:r>
              <w:rPr>
                <w:rFonts w:hint="eastAsia" w:hAnsi="宋体" w:cs="宋体"/>
                <w:color w:val="auto"/>
                <w:szCs w:val="21"/>
                <w:highlight w:val="none"/>
              </w:rPr>
              <w:t>（浙江省政府采购网）</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2" w:firstLineChars="200"/>
        <w:jc w:val="center"/>
        <w:textAlignment w:val="auto"/>
        <w:outlineLvl w:val="9"/>
        <w:rPr>
          <w:rFonts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t>投标人须知</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2" w:firstLineChars="200"/>
        <w:jc w:val="left"/>
        <w:textAlignment w:val="auto"/>
        <w:outlineLvl w:val="9"/>
        <w:rPr>
          <w:rFonts w:ascii="宋体" w:hAnsi="宋体" w:eastAsia="宋体" w:cs="宋体"/>
          <w:b/>
          <w:color w:val="auto"/>
          <w:spacing w:val="0"/>
          <w:sz w:val="21"/>
          <w:highlight w:val="none"/>
        </w:rPr>
      </w:pPr>
      <w:bookmarkStart w:id="20" w:name="_Toc424887005"/>
      <w:r>
        <w:rPr>
          <w:rFonts w:hint="eastAsia" w:ascii="宋体" w:hAnsi="宋体" w:eastAsia="宋体" w:cs="宋体"/>
          <w:b/>
          <w:color w:val="auto"/>
          <w:spacing w:val="0"/>
          <w:sz w:val="21"/>
          <w:highlight w:val="none"/>
        </w:rPr>
        <w:t>一、总则</w:t>
      </w:r>
      <w:bookmarkEnd w:id="15"/>
      <w:bookmarkEnd w:id="20"/>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ascii="宋体" w:hAnsi="宋体" w:eastAsia="宋体" w:cs="宋体"/>
          <w:b/>
          <w:color w:val="auto"/>
          <w:spacing w:val="0"/>
          <w:sz w:val="21"/>
          <w:szCs w:val="21"/>
          <w:highlight w:val="none"/>
        </w:rPr>
      </w:pPr>
      <w:bookmarkStart w:id="21" w:name="_Toc424887006"/>
      <w:bookmarkStart w:id="22" w:name="_Toc361645481"/>
      <w:r>
        <w:rPr>
          <w:rFonts w:hint="eastAsia" w:ascii="宋体" w:hAnsi="宋体" w:eastAsia="宋体" w:cs="宋体"/>
          <w:b/>
          <w:color w:val="auto"/>
          <w:spacing w:val="0"/>
          <w:sz w:val="21"/>
          <w:szCs w:val="21"/>
          <w:highlight w:val="none"/>
        </w:rPr>
        <w:t>（一）适用范围</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本招标文件适用于</w:t>
      </w:r>
      <w:r>
        <w:rPr>
          <w:rFonts w:hint="eastAsia" w:ascii="宋体" w:hAnsi="宋体" w:eastAsia="宋体" w:cs="宋体"/>
          <w:b/>
          <w:bCs/>
          <w:color w:val="auto"/>
          <w:spacing w:val="0"/>
          <w:sz w:val="21"/>
          <w:szCs w:val="21"/>
          <w:highlight w:val="none"/>
          <w:lang w:eastAsia="zh-CN"/>
        </w:rPr>
        <w:t>衢州市柯城区府山街道污水零直排管网监测服务采购</w:t>
      </w:r>
      <w:r>
        <w:rPr>
          <w:rFonts w:hint="eastAsia" w:ascii="宋体" w:hAnsi="宋体" w:eastAsia="宋体" w:cs="宋体"/>
          <w:color w:val="auto"/>
          <w:spacing w:val="0"/>
          <w:sz w:val="21"/>
          <w:szCs w:val="21"/>
          <w:highlight w:val="none"/>
        </w:rPr>
        <w:t>的招标、评标、定标、验收、合同履约、付款等（法律、法规另有规定的，从其规定）。</w:t>
      </w:r>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（二）定义</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1.“采购人”系指</w:t>
      </w:r>
      <w:r>
        <w:rPr>
          <w:rFonts w:hint="eastAsia" w:ascii="宋体" w:hAnsi="宋体" w:eastAsia="宋体" w:cs="宋体"/>
          <w:color w:val="auto"/>
          <w:spacing w:val="0"/>
          <w:sz w:val="21"/>
          <w:szCs w:val="21"/>
          <w:highlight w:val="none"/>
          <w:lang w:eastAsia="zh-CN"/>
        </w:rPr>
        <w:t>衢州市柯城区府山街道办事处</w:t>
      </w:r>
      <w:r>
        <w:rPr>
          <w:rFonts w:hint="eastAsia" w:ascii="宋体" w:hAnsi="宋体" w:eastAsia="宋体" w:cs="宋体"/>
          <w:color w:val="auto"/>
          <w:spacing w:val="0"/>
          <w:sz w:val="21"/>
          <w:szCs w:val="21"/>
          <w:highlight w:val="none"/>
        </w:rPr>
        <w:t>；</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2.“采购代理机构”系指组织本次招标的浙江三凌建设项目管理有限公司 ；</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3.“投标人”系指响应招标、参加投标竞争的法人、其他组织或者自然人；</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4.“书面形式”包括信函、传真、电子邮件等；</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电子加密投标文件”系指通过政采云电子交易客户端（政采云投标客户端）完成投标文件编制后生成并加密的数据电文形式的投标文件，“备份投标文件”系指与“电子加密投标文件”同时生成的数据电文形式的电子文件；</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6.“公章”除特殊说明外系指政采云电子交易客户端（政采云投标客户端）中投标人的电子签章；</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7.“▲”系指实质性要求条款，投标人应当做出明确性响应。</w:t>
      </w:r>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（三）招标方式</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本次招标采用公开招标（线上电子招投标）方式进行。</w:t>
      </w:r>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（四）投标委托</w:t>
      </w:r>
    </w:p>
    <w:p>
      <w:pPr>
        <w:keepNext w:val="0"/>
        <w:keepLines w:val="0"/>
        <w:pageBreakBefore w:val="0"/>
        <w:widowControl w:val="0"/>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pPr>
        <w:keepNext w:val="0"/>
        <w:keepLines w:val="0"/>
        <w:pageBreakBefore w:val="0"/>
        <w:widowControl/>
        <w:kinsoku/>
        <w:wordWrap/>
        <w:overflowPunct/>
        <w:topLinePunct w:val="0"/>
        <w:autoSpaceDE w:val="0"/>
        <w:autoSpaceDN w:val="0"/>
        <w:bidi w:val="0"/>
        <w:adjustRightInd/>
        <w:snapToGrid/>
        <w:spacing w:line="360" w:lineRule="auto"/>
        <w:ind w:right="0" w:rightChars="0" w:firstLine="422" w:firstLineChars="200"/>
        <w:jc w:val="left"/>
        <w:textAlignment w:val="auto"/>
        <w:outlineLvl w:val="9"/>
        <w:rPr>
          <w:rFonts w:hint="eastAsia" w:ascii="宋体" w:hAnsi="宋体" w:eastAsia="宋体" w:cs="宋体"/>
          <w:b/>
          <w:bCs w:val="0"/>
          <w:color w:val="auto"/>
          <w:spacing w:val="0"/>
          <w:sz w:val="21"/>
          <w:szCs w:val="21"/>
          <w:highlight w:val="none"/>
        </w:rPr>
      </w:pPr>
      <w:r>
        <w:rPr>
          <w:rFonts w:hint="eastAsia" w:ascii="宋体" w:hAnsi="宋体" w:eastAsia="宋体" w:cs="宋体"/>
          <w:b/>
          <w:bCs w:val="0"/>
          <w:color w:val="auto"/>
          <w:spacing w:val="0"/>
          <w:sz w:val="21"/>
          <w:szCs w:val="21"/>
          <w:highlight w:val="none"/>
        </w:rPr>
        <w:t>（五）投标费用</w:t>
      </w:r>
    </w:p>
    <w:p>
      <w:pPr>
        <w:keepNext w:val="0"/>
        <w:keepLines w:val="0"/>
        <w:pageBreakBefore w:val="0"/>
        <w:widowControl/>
        <w:kinsoku/>
        <w:wordWrap/>
        <w:overflowPunct/>
        <w:topLinePunct w:val="0"/>
        <w:autoSpaceDE w:val="0"/>
        <w:autoSpaceDN w:val="0"/>
        <w:bidi w:val="0"/>
        <w:adjustRightInd/>
        <w:snapToGrid/>
        <w:spacing w:line="360" w:lineRule="auto"/>
        <w:ind w:right="0" w:rightChars="0" w:firstLine="420" w:firstLineChars="200"/>
        <w:jc w:val="left"/>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1.不论投标结果如何，投标人均应自行承担所有与投标有关的全部费用。投标人在报价时充分考虑；</w:t>
      </w:r>
    </w:p>
    <w:p>
      <w:pPr>
        <w:keepNext w:val="0"/>
        <w:keepLines w:val="0"/>
        <w:pageBreakBefore w:val="0"/>
        <w:widowControl/>
        <w:kinsoku/>
        <w:wordWrap/>
        <w:overflowPunct/>
        <w:topLinePunct w:val="0"/>
        <w:autoSpaceDE w:val="0"/>
        <w:autoSpaceDN w:val="0"/>
        <w:bidi w:val="0"/>
        <w:adjustRightInd/>
        <w:snapToGrid/>
        <w:spacing w:line="360" w:lineRule="auto"/>
        <w:ind w:right="0" w:rightChars="0" w:firstLine="420" w:firstLineChars="200"/>
        <w:jc w:val="left"/>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2.该项目按中标价为收取基数；采购代理服务费参照原国家计委关于印发《招标代理服务收费管理暂行办法》的通知（计价格[2002]1980号）的收费标准；不足3000元按照3000元计取。</w:t>
      </w:r>
    </w:p>
    <w:p>
      <w:pPr>
        <w:keepNext w:val="0"/>
        <w:keepLines w:val="0"/>
        <w:pageBreakBefore w:val="0"/>
        <w:widowControl/>
        <w:kinsoku/>
        <w:wordWrap/>
        <w:overflowPunct/>
        <w:topLinePunct w:val="0"/>
        <w:autoSpaceDE w:val="0"/>
        <w:autoSpaceDN w:val="0"/>
        <w:bidi w:val="0"/>
        <w:adjustRightInd/>
        <w:snapToGrid/>
        <w:spacing w:line="360" w:lineRule="auto"/>
        <w:ind w:right="0" w:rightChars="0" w:firstLine="420" w:firstLineChars="200"/>
        <w:jc w:val="left"/>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3.评委费等费用按实结算，由代理机构代付。</w:t>
      </w:r>
    </w:p>
    <w:p>
      <w:pPr>
        <w:keepNext w:val="0"/>
        <w:keepLines w:val="0"/>
        <w:pageBreakBefore w:val="0"/>
        <w:widowControl/>
        <w:kinsoku/>
        <w:wordWrap/>
        <w:overflowPunct/>
        <w:topLinePunct w:val="0"/>
        <w:autoSpaceDE w:val="0"/>
        <w:autoSpaceDN w:val="0"/>
        <w:bidi w:val="0"/>
        <w:adjustRightInd/>
        <w:snapToGrid/>
        <w:spacing w:line="360" w:lineRule="auto"/>
        <w:ind w:right="0" w:rightChars="0" w:firstLine="420" w:firstLineChars="200"/>
        <w:jc w:val="left"/>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4.以上费用不在报价中单列，请</w:t>
      </w:r>
      <w:r>
        <w:rPr>
          <w:rFonts w:hint="eastAsia" w:ascii="宋体" w:hAnsi="宋体" w:eastAsia="宋体" w:cs="宋体"/>
          <w:color w:val="auto"/>
          <w:spacing w:val="0"/>
          <w:kern w:val="2"/>
          <w:sz w:val="21"/>
          <w:szCs w:val="21"/>
          <w:highlight w:val="none"/>
          <w:lang w:val="zh-CN" w:eastAsia="zh-CN" w:bidi="ar-SA"/>
        </w:rPr>
        <w:t>投标人</w:t>
      </w:r>
      <w:r>
        <w:rPr>
          <w:rFonts w:hint="eastAsia" w:ascii="宋体" w:hAnsi="宋体" w:eastAsia="宋体" w:cs="宋体"/>
          <w:color w:val="auto"/>
          <w:spacing w:val="0"/>
          <w:kern w:val="2"/>
          <w:sz w:val="21"/>
          <w:szCs w:val="21"/>
          <w:highlight w:val="none"/>
          <w:lang w:val="en-US" w:eastAsia="zh-CN" w:bidi="ar-SA"/>
        </w:rPr>
        <w:t>在报价时考虑。</w:t>
      </w:r>
    </w:p>
    <w:p>
      <w:pPr>
        <w:keepNext w:val="0"/>
        <w:keepLines w:val="0"/>
        <w:pageBreakBefore w:val="0"/>
        <w:widowControl/>
        <w:kinsoku/>
        <w:wordWrap/>
        <w:overflowPunct/>
        <w:topLinePunct w:val="0"/>
        <w:autoSpaceDE w:val="0"/>
        <w:autoSpaceDN w:val="0"/>
        <w:bidi w:val="0"/>
        <w:snapToGrid/>
        <w:spacing w:line="360" w:lineRule="auto"/>
        <w:ind w:right="0" w:rightChars="0" w:firstLine="422" w:firstLineChars="200"/>
        <w:jc w:val="left"/>
        <w:outlineLvl w:val="9"/>
        <w:rPr>
          <w:rFonts w:ascii="宋体" w:hAnsi="宋体" w:eastAsia="宋体" w:cs="宋体"/>
          <w:b/>
          <w:bCs w:val="0"/>
          <w:color w:val="auto"/>
          <w:spacing w:val="0"/>
          <w:sz w:val="21"/>
          <w:szCs w:val="21"/>
          <w:highlight w:val="none"/>
        </w:rPr>
      </w:pPr>
      <w:r>
        <w:rPr>
          <w:rFonts w:hint="eastAsia" w:ascii="宋体" w:hAnsi="宋体" w:eastAsia="宋体" w:cs="宋体"/>
          <w:b/>
          <w:bCs w:val="0"/>
          <w:color w:val="auto"/>
          <w:spacing w:val="0"/>
          <w:sz w:val="21"/>
          <w:szCs w:val="21"/>
          <w:highlight w:val="none"/>
        </w:rPr>
        <w:t>（</w:t>
      </w:r>
      <w:r>
        <w:rPr>
          <w:rFonts w:hint="eastAsia" w:ascii="宋体" w:hAnsi="宋体" w:eastAsia="宋体" w:cs="宋体"/>
          <w:b/>
          <w:bCs w:val="0"/>
          <w:color w:val="auto"/>
          <w:spacing w:val="0"/>
          <w:sz w:val="21"/>
          <w:szCs w:val="21"/>
          <w:highlight w:val="none"/>
          <w:lang w:eastAsia="zh-CN"/>
        </w:rPr>
        <w:t>六</w:t>
      </w:r>
      <w:r>
        <w:rPr>
          <w:rFonts w:hint="eastAsia" w:ascii="宋体" w:hAnsi="宋体" w:eastAsia="宋体" w:cs="宋体"/>
          <w:b/>
          <w:bCs w:val="0"/>
          <w:color w:val="auto"/>
          <w:spacing w:val="0"/>
          <w:sz w:val="21"/>
          <w:szCs w:val="21"/>
          <w:highlight w:val="none"/>
        </w:rPr>
        <w:t>）转包与分包</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outlineLvl w:val="9"/>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1.本项目不允许转包或分包。</w:t>
      </w:r>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w:t>
      </w:r>
      <w:r>
        <w:rPr>
          <w:rFonts w:hint="eastAsia" w:ascii="宋体" w:hAnsi="宋体" w:eastAsia="宋体" w:cs="宋体"/>
          <w:b/>
          <w:color w:val="auto"/>
          <w:spacing w:val="0"/>
          <w:sz w:val="21"/>
          <w:szCs w:val="21"/>
          <w:highlight w:val="none"/>
          <w:lang w:eastAsia="zh-CN"/>
        </w:rPr>
        <w:t>七</w:t>
      </w:r>
      <w:r>
        <w:rPr>
          <w:rFonts w:hint="eastAsia" w:ascii="宋体" w:hAnsi="宋体" w:eastAsia="宋体" w:cs="宋体"/>
          <w:b/>
          <w:color w:val="auto"/>
          <w:spacing w:val="0"/>
          <w:sz w:val="21"/>
          <w:szCs w:val="21"/>
          <w:highlight w:val="none"/>
        </w:rPr>
        <w:t>）特别说明</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1.投标人应仔细阅读招标文件的所有内容，按照招标文件的要求提交投标文件，并对所提供的全部资料的真实性承担法律责任。</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▲2.单位负责人为同一人或者存在直接控股、管理关系的不同投标人，不得参加同一合同项下的政府采购活动。</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w:t>
      </w:r>
      <w:r>
        <w:rPr>
          <w:rFonts w:hint="eastAsia" w:ascii="宋体" w:hAnsi="宋体" w:eastAsia="宋体" w:cs="宋体"/>
          <w:b/>
          <w:color w:val="auto"/>
          <w:spacing w:val="0"/>
          <w:sz w:val="21"/>
          <w:szCs w:val="21"/>
          <w:highlight w:val="none"/>
          <w:lang w:eastAsia="zh-CN"/>
        </w:rPr>
        <w:t>八</w:t>
      </w:r>
      <w:r>
        <w:rPr>
          <w:rFonts w:hint="eastAsia" w:ascii="宋体" w:hAnsi="宋体" w:eastAsia="宋体" w:cs="宋体"/>
          <w:b/>
          <w:color w:val="auto"/>
          <w:spacing w:val="0"/>
          <w:sz w:val="21"/>
          <w:szCs w:val="21"/>
          <w:highlight w:val="none"/>
        </w:rPr>
        <w:t>）质疑和投诉</w:t>
      </w:r>
    </w:p>
    <w:p>
      <w:pPr>
        <w:pStyle w:val="16"/>
        <w:keepNext w:val="0"/>
        <w:keepLines w:val="0"/>
        <w:pageBreakBefore w:val="0"/>
        <w:kinsoku/>
        <w:overflowPunct/>
        <w:topLinePunct w:val="0"/>
        <w:bidi w:val="0"/>
        <w:snapToGrid/>
        <w:spacing w:line="360" w:lineRule="auto"/>
        <w:ind w:right="0" w:rightChars="0" w:firstLine="420" w:firstLineChars="200"/>
        <w:jc w:val="left"/>
        <w:outlineLvl w:val="9"/>
        <w:rPr>
          <w:rFonts w:hint="eastAsia"/>
          <w:highlight w:val="yellow"/>
        </w:rPr>
      </w:pPr>
      <w:r>
        <w:rPr>
          <w:rFonts w:hint="eastAsia" w:ascii="宋体" w:hAnsi="宋体" w:eastAsia="宋体" w:cs="宋体"/>
          <w:color w:val="auto"/>
          <w:spacing w:val="0"/>
          <w:sz w:val="21"/>
          <w:szCs w:val="21"/>
          <w:highlight w:val="none"/>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投标人提出质疑应当提交质疑函和必要的证明材料，质疑函范本请到“浙江政府采购网下载专区”下载，质疑函应当包括下列内容：</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（1）</w:t>
      </w:r>
      <w:r>
        <w:rPr>
          <w:rFonts w:hint="eastAsia" w:ascii="宋体" w:hAnsi="宋体" w:eastAsia="宋体" w:cs="宋体"/>
          <w:color w:val="auto"/>
          <w:spacing w:val="0"/>
          <w:sz w:val="21"/>
          <w:szCs w:val="21"/>
          <w:highlight w:val="none"/>
        </w:rPr>
        <w:t>投标人的姓名或者名称、地址、邮编、联系人及联系电话；</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（2）</w:t>
      </w:r>
      <w:r>
        <w:rPr>
          <w:rFonts w:hint="eastAsia" w:ascii="宋体" w:hAnsi="宋体" w:eastAsia="宋体" w:cs="宋体"/>
          <w:color w:val="auto"/>
          <w:spacing w:val="0"/>
          <w:sz w:val="21"/>
          <w:szCs w:val="21"/>
          <w:highlight w:val="none"/>
        </w:rPr>
        <w:t>质疑项目的名称、编号；</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（3）</w:t>
      </w:r>
      <w:r>
        <w:rPr>
          <w:rFonts w:hint="eastAsia" w:ascii="宋体" w:hAnsi="宋体" w:eastAsia="宋体" w:cs="宋体"/>
          <w:color w:val="auto"/>
          <w:spacing w:val="0"/>
          <w:sz w:val="21"/>
          <w:szCs w:val="21"/>
          <w:highlight w:val="none"/>
        </w:rPr>
        <w:t>具体、明确的质疑事项和与质疑事项相关的请求；</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（4）</w:t>
      </w:r>
      <w:r>
        <w:rPr>
          <w:rFonts w:hint="eastAsia" w:ascii="宋体" w:hAnsi="宋体" w:eastAsia="宋体" w:cs="宋体"/>
          <w:color w:val="auto"/>
          <w:spacing w:val="0"/>
          <w:sz w:val="21"/>
          <w:szCs w:val="21"/>
          <w:highlight w:val="none"/>
        </w:rPr>
        <w:t>事实依据；</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（5）</w:t>
      </w:r>
      <w:r>
        <w:rPr>
          <w:rFonts w:hint="eastAsia" w:ascii="宋体" w:hAnsi="宋体" w:eastAsia="宋体" w:cs="宋体"/>
          <w:color w:val="auto"/>
          <w:spacing w:val="0"/>
          <w:sz w:val="21"/>
          <w:szCs w:val="21"/>
          <w:highlight w:val="none"/>
        </w:rPr>
        <w:t>必要的法律依据；</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rPr>
        <w:t>（6）</w:t>
      </w:r>
      <w:r>
        <w:rPr>
          <w:rFonts w:hint="eastAsia" w:ascii="宋体" w:hAnsi="宋体" w:eastAsia="宋体" w:cs="宋体"/>
          <w:color w:val="auto"/>
          <w:spacing w:val="0"/>
          <w:sz w:val="21"/>
          <w:szCs w:val="21"/>
          <w:highlight w:val="none"/>
        </w:rPr>
        <w:t>提出质疑的日期。</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投标人为自然人的，应当由本人签字；投标人为法人或者其他组织的，应当由法定代表人、主要负责人，或者其授权代表签字或者盖章，并加盖公章。</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3.提出质疑的投标人应当是参与本项目招标活动的投标人。</w:t>
      </w:r>
      <w:r>
        <w:rPr>
          <w:rFonts w:hint="eastAsia" w:ascii="宋体" w:hAnsi="宋体" w:eastAsia="宋体" w:cs="宋体"/>
          <w:b/>
          <w:color w:val="auto"/>
          <w:spacing w:val="0"/>
          <w:sz w:val="21"/>
          <w:szCs w:val="21"/>
          <w:highlight w:val="none"/>
        </w:rPr>
        <w:t>投标人在法定质疑期内应一次性提出针对同一采购程序环节的质疑。</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4.根据《政府采购质疑和投诉办法》第三十七条的规定，投诉人在全国范围12个月内三次以上投诉查无实据的，由财政部门列入不良行为记录名单。</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投诉人有下列行为之一的，属于虚假、恶意投诉，由财政部门列入不良行为记录名单，禁止其1至3年内参加政府采购活动：</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rPr>
        <w:t>1</w:t>
      </w:r>
      <w:r>
        <w:rPr>
          <w:rFonts w:hint="eastAsia" w:ascii="宋体" w:hAnsi="宋体" w:eastAsia="宋体" w:cs="宋体"/>
          <w:color w:val="auto"/>
          <w:spacing w:val="0"/>
          <w:sz w:val="21"/>
          <w:szCs w:val="21"/>
          <w:highlight w:val="none"/>
        </w:rPr>
        <w:t>）捏造事实；</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rPr>
        <w:t>2</w:t>
      </w:r>
      <w:r>
        <w:rPr>
          <w:rFonts w:hint="eastAsia" w:ascii="宋体" w:hAnsi="宋体" w:eastAsia="宋体" w:cs="宋体"/>
          <w:color w:val="auto"/>
          <w:spacing w:val="0"/>
          <w:sz w:val="21"/>
          <w:szCs w:val="21"/>
          <w:highlight w:val="none"/>
        </w:rPr>
        <w:t>）提供虚假材料；</w:t>
      </w:r>
    </w:p>
    <w:p>
      <w:pPr>
        <w:pStyle w:val="14"/>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rPr>
        <w:t>3</w:t>
      </w:r>
      <w:r>
        <w:rPr>
          <w:rFonts w:hint="eastAsia" w:ascii="宋体" w:hAnsi="宋体" w:eastAsia="宋体" w:cs="宋体"/>
          <w:color w:val="auto"/>
          <w:spacing w:val="0"/>
          <w:sz w:val="21"/>
          <w:szCs w:val="21"/>
          <w:highlight w:val="none"/>
        </w:rPr>
        <w:t>）以非法手段取得证明材料。证据来源的合法性存在明显疑问，投诉人无法证明其取得方式合法的，视为以非法手段取得证明材料。</w:t>
      </w:r>
    </w:p>
    <w:p>
      <w:pPr>
        <w:keepNext w:val="0"/>
        <w:keepLines w:val="0"/>
        <w:pageBreakBefore w:val="0"/>
        <w:kinsoku/>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二 、</w:t>
      </w:r>
      <w:bookmarkEnd w:id="21"/>
      <w:bookmarkEnd w:id="22"/>
      <w:r>
        <w:rPr>
          <w:rFonts w:hint="eastAsia" w:ascii="宋体" w:hAnsi="宋体" w:eastAsia="宋体" w:cs="宋体"/>
          <w:b/>
          <w:color w:val="auto"/>
          <w:spacing w:val="0"/>
          <w:sz w:val="21"/>
          <w:szCs w:val="21"/>
          <w:highlight w:val="none"/>
        </w:rPr>
        <w:t>招标文件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（一）招标文件的构成</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本招标文件由以下部份组成：</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1.招标公告</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2.投标人须知</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3.采购内容及要求</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4.合同范本</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5.评标办法</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6.投标文件部分格式</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7.本项目招标文件的澄清、答复、修改、补充的内容</w:t>
      </w:r>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（二）投标人的风险</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投标人没有按照招标文件要求提供全部资料，或者投标人没有对招标文件在各方面作出实质性响应是投标人的风险，并可能导致其投标被拒绝。</w:t>
      </w:r>
    </w:p>
    <w:p>
      <w:pPr>
        <w:keepNext w:val="0"/>
        <w:keepLines w:val="0"/>
        <w:pageBreakBefore w:val="0"/>
        <w:widowControl w:val="0"/>
        <w:kinsoku/>
        <w:wordWrap/>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（三）招标文件的澄清与修改</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1.采购人或者采购代理机构可以对已发出的招标文件进行必要的澄清或者修改，澄清或者修改会在原公告发布媒体上发布澄清公告，澄清或者修改的内容为招标文件的组成部分。</w:t>
      </w:r>
    </w:p>
    <w:p>
      <w:pPr>
        <w:pStyle w:val="14"/>
        <w:keepNext w:val="0"/>
        <w:keepLines w:val="0"/>
        <w:pageBreakBefore w:val="0"/>
        <w:widowControl w:val="0"/>
        <w:tabs>
          <w:tab w:val="left" w:pos="900"/>
        </w:tabs>
        <w:kinsoku/>
        <w:wordWrap/>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招标文件的修改将以书面等形式通知所有获取招标文件的投标人，并对其具有约束力。投标人在收到上述通知后，应立即向采购代理机构回函确认。若无书面回函确认，视同投标人已收到招标文件修改的通知，并受其约束。</w:t>
      </w:r>
    </w:p>
    <w:p>
      <w:pPr>
        <w:keepNext w:val="0"/>
        <w:keepLines w:val="0"/>
        <w:pageBreakBefore w:val="0"/>
        <w:kinsoku/>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三、投标文件的编制</w:t>
      </w:r>
    </w:p>
    <w:p>
      <w:pPr>
        <w:keepNext w:val="0"/>
        <w:keepLines w:val="0"/>
        <w:pageBreakBefore w:val="0"/>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（一）投标文件的组成</w:t>
      </w:r>
    </w:p>
    <w:p>
      <w:pPr>
        <w:pStyle w:val="14"/>
        <w:keepNext w:val="0"/>
        <w:keepLines w:val="0"/>
        <w:pageBreakBefore w:val="0"/>
        <w:tabs>
          <w:tab w:val="left" w:pos="900"/>
        </w:tabs>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rPr>
        <w:t>投标文件由</w:t>
      </w:r>
      <w:r>
        <w:rPr>
          <w:rFonts w:hint="eastAsia" w:ascii="宋体" w:hAnsi="宋体" w:eastAsia="宋体" w:cs="宋体"/>
          <w:b/>
          <w:color w:val="auto"/>
          <w:spacing w:val="0"/>
          <w:sz w:val="21"/>
          <w:szCs w:val="21"/>
          <w:highlight w:val="none"/>
        </w:rPr>
        <w:t>资格审查文件、报价文件、商务技术文件</w:t>
      </w:r>
      <w:r>
        <w:rPr>
          <w:rFonts w:hint="eastAsia" w:ascii="宋体" w:hAnsi="宋体" w:eastAsia="宋体" w:cs="宋体"/>
          <w:color w:val="auto"/>
          <w:spacing w:val="0"/>
          <w:sz w:val="21"/>
          <w:szCs w:val="21"/>
          <w:highlight w:val="none"/>
        </w:rPr>
        <w:t>三部分组成。</w:t>
      </w:r>
      <w:r>
        <w:rPr>
          <w:rFonts w:hint="eastAsia" w:ascii="宋体" w:hAnsi="宋体" w:eastAsia="宋体" w:cs="宋体"/>
          <w:b/>
          <w:color w:val="auto"/>
          <w:spacing w:val="0"/>
          <w:sz w:val="21"/>
          <w:szCs w:val="21"/>
          <w:highlight w:val="none"/>
        </w:rPr>
        <w:t>电子投标文件与电子备份投标文件中</w:t>
      </w:r>
      <w:r>
        <w:rPr>
          <w:rFonts w:hint="eastAsia" w:ascii="宋体" w:hAnsi="宋体" w:eastAsia="宋体" w:cs="宋体"/>
          <w:b/>
          <w:color w:val="auto"/>
          <w:spacing w:val="0"/>
          <w:sz w:val="21"/>
          <w:szCs w:val="21"/>
          <w:highlight w:val="none"/>
          <w:lang w:eastAsia="zh-CN"/>
        </w:rPr>
        <w:t>所</w:t>
      </w:r>
      <w:r>
        <w:rPr>
          <w:rFonts w:hint="eastAsia" w:ascii="宋体" w:hAnsi="宋体" w:eastAsia="宋体" w:cs="宋体"/>
          <w:b/>
          <w:color w:val="auto"/>
          <w:spacing w:val="0"/>
          <w:sz w:val="21"/>
          <w:szCs w:val="21"/>
          <w:highlight w:val="none"/>
        </w:rPr>
        <w:t>须加盖公章</w:t>
      </w:r>
      <w:r>
        <w:rPr>
          <w:rFonts w:hint="eastAsia" w:ascii="宋体" w:hAnsi="宋体" w:eastAsia="宋体" w:cs="宋体"/>
          <w:b/>
          <w:color w:val="auto"/>
          <w:spacing w:val="0"/>
          <w:sz w:val="21"/>
          <w:szCs w:val="21"/>
          <w:highlight w:val="none"/>
          <w:lang w:eastAsia="zh-CN"/>
        </w:rPr>
        <w:t>的，</w:t>
      </w:r>
      <w:r>
        <w:rPr>
          <w:rFonts w:hint="eastAsia" w:ascii="宋体" w:hAnsi="宋体" w:eastAsia="宋体" w:cs="宋体"/>
          <w:b/>
          <w:color w:val="auto"/>
          <w:spacing w:val="0"/>
          <w:sz w:val="21"/>
          <w:szCs w:val="21"/>
          <w:highlight w:val="none"/>
        </w:rPr>
        <w:t>均采用CA签章。</w:t>
      </w:r>
    </w:p>
    <w:p>
      <w:pPr>
        <w:pStyle w:val="14"/>
        <w:keepNext w:val="0"/>
        <w:keepLines w:val="0"/>
        <w:pageBreakBefore w:val="0"/>
        <w:tabs>
          <w:tab w:val="left" w:pos="900"/>
        </w:tabs>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▲1.【资格审查文件】（包括但不限于以下内容）</w:t>
      </w:r>
    </w:p>
    <w:p>
      <w:pPr>
        <w:keepNext w:val="0"/>
        <w:keepLines w:val="0"/>
        <w:pageBreakBefore w:val="0"/>
        <w:widowControl w:val="0"/>
        <w:kinsoku/>
        <w:overflowPunct/>
        <w:topLinePunct w:val="0"/>
        <w:autoSpaceDE/>
        <w:autoSpaceDN/>
        <w:bidi w:val="0"/>
        <w:adjustRightInd/>
        <w:snapToGrid/>
        <w:spacing w:line="360" w:lineRule="auto"/>
        <w:ind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资格审查要求的资格证明材料：</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napToGrid w:val="0"/>
          <w:color w:val="auto"/>
          <w:spacing w:val="0"/>
          <w:kern w:val="28"/>
          <w:sz w:val="21"/>
          <w:szCs w:val="21"/>
          <w:highlight w:val="none"/>
          <w:lang w:eastAsia="zh-CN"/>
        </w:rPr>
      </w:pPr>
      <w:r>
        <w:rPr>
          <w:rFonts w:hint="eastAsia" w:ascii="宋体" w:hAnsi="宋体" w:eastAsia="宋体" w:cs="宋体"/>
          <w:bCs/>
          <w:color w:val="auto"/>
          <w:spacing w:val="0"/>
          <w:sz w:val="21"/>
          <w:szCs w:val="21"/>
          <w:highlight w:val="none"/>
        </w:rPr>
        <w:t>1</w:t>
      </w:r>
      <w:r>
        <w:rPr>
          <w:rFonts w:hint="eastAsia" w:ascii="宋体" w:hAnsi="宋体" w:eastAsia="宋体" w:cs="宋体"/>
          <w:snapToGrid w:val="0"/>
          <w:color w:val="auto"/>
          <w:spacing w:val="0"/>
          <w:kern w:val="28"/>
          <w:sz w:val="21"/>
          <w:szCs w:val="21"/>
          <w:highlight w:val="none"/>
        </w:rPr>
        <w:t>）</w:t>
      </w:r>
      <w:r>
        <w:rPr>
          <w:rFonts w:hint="eastAsia" w:ascii="宋体" w:hAnsi="宋体" w:eastAsia="宋体" w:cs="宋体"/>
          <w:bCs/>
          <w:color w:val="auto"/>
          <w:szCs w:val="21"/>
          <w:highlight w:val="none"/>
          <w:lang w:val="zh-TW" w:eastAsia="zh-TW"/>
        </w:rPr>
        <w:t>有效的法人或者其他组织的营业执照(或事业法人登记证书或其它工商等登记证明材料)</w:t>
      </w:r>
      <w:r>
        <w:rPr>
          <w:rFonts w:hint="eastAsia" w:ascii="宋体" w:hAnsi="宋体" w:eastAsia="宋体" w:cs="宋体"/>
          <w:bCs/>
          <w:color w:val="auto"/>
          <w:szCs w:val="21"/>
          <w:highlight w:val="none"/>
          <w:lang w:val="zh-TW" w:eastAsia="zh-CN"/>
        </w:rPr>
        <w:t>；</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snapToGrid w:val="0"/>
          <w:color w:val="auto"/>
          <w:spacing w:val="0"/>
          <w:kern w:val="28"/>
          <w:sz w:val="21"/>
          <w:szCs w:val="21"/>
          <w:highlight w:val="none"/>
          <w:lang w:val="zh-TW" w:eastAsia="zh-TW"/>
        </w:rPr>
      </w:pPr>
      <w:r>
        <w:rPr>
          <w:rFonts w:hint="eastAsia" w:ascii="宋体" w:hAnsi="宋体" w:eastAsia="宋体" w:cs="宋体"/>
          <w:snapToGrid w:val="0"/>
          <w:color w:val="auto"/>
          <w:spacing w:val="0"/>
          <w:kern w:val="28"/>
          <w:sz w:val="21"/>
          <w:szCs w:val="21"/>
          <w:highlight w:val="none"/>
          <w:lang w:val="en-US" w:eastAsia="zh-CN"/>
        </w:rPr>
        <w:t>2）</w:t>
      </w:r>
      <w:r>
        <w:rPr>
          <w:rFonts w:hint="eastAsia" w:ascii="宋体" w:hAnsi="宋体" w:eastAsia="宋体" w:cs="宋体"/>
          <w:snapToGrid w:val="0"/>
          <w:color w:val="auto"/>
          <w:spacing w:val="0"/>
          <w:kern w:val="28"/>
          <w:sz w:val="21"/>
          <w:szCs w:val="21"/>
          <w:highlight w:val="none"/>
        </w:rPr>
        <w:t>符合参加政府采购活动应当具备的一般条件的承诺函</w:t>
      </w:r>
      <w:r>
        <w:rPr>
          <w:rFonts w:hint="eastAsia" w:ascii="宋体" w:hAnsi="宋体" w:eastAsia="宋体" w:cs="宋体"/>
          <w:snapToGrid w:val="0"/>
          <w:color w:val="auto"/>
          <w:spacing w:val="0"/>
          <w:kern w:val="28"/>
          <w:sz w:val="21"/>
          <w:szCs w:val="21"/>
          <w:highlight w:val="none"/>
          <w:lang w:val="zh-TW" w:eastAsia="zh-TW"/>
        </w:rPr>
        <w:t>；</w:t>
      </w:r>
    </w:p>
    <w:p>
      <w:pPr>
        <w:keepNext w:val="0"/>
        <w:keepLines w:val="0"/>
        <w:pageBreakBefore w:val="0"/>
        <w:widowControl w:val="0"/>
        <w:kinsoku/>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highlight w:val="none"/>
          <w:lang w:eastAsia="zh-CN"/>
        </w:rPr>
      </w:pPr>
      <w:r>
        <w:rPr>
          <w:rFonts w:hint="eastAsia" w:ascii="宋体" w:hAnsi="宋体" w:eastAsia="宋体" w:cs="宋体"/>
          <w:snapToGrid w:val="0"/>
          <w:color w:val="auto"/>
          <w:spacing w:val="0"/>
          <w:kern w:val="28"/>
          <w:sz w:val="21"/>
          <w:szCs w:val="21"/>
          <w:highlight w:val="none"/>
          <w:lang w:val="en-US" w:eastAsia="zh-CN"/>
        </w:rPr>
        <w:t>3</w:t>
      </w:r>
      <w:r>
        <w:rPr>
          <w:rFonts w:hint="eastAsia" w:ascii="宋体" w:hAnsi="宋体" w:eastAsia="宋体" w:cs="宋体"/>
          <w:snapToGrid w:val="0"/>
          <w:color w:val="auto"/>
          <w:spacing w:val="0"/>
          <w:kern w:val="28"/>
          <w:sz w:val="21"/>
          <w:szCs w:val="21"/>
          <w:highlight w:val="none"/>
        </w:rPr>
        <w:t>）</w:t>
      </w:r>
      <w:r>
        <w:rPr>
          <w:rFonts w:ascii="宋体" w:hAnsi="宋体" w:eastAsia="宋体" w:cs="宋体"/>
          <w:color w:val="auto"/>
          <w:spacing w:val="0"/>
          <w:sz w:val="21"/>
          <w:highlight w:val="none"/>
        </w:rPr>
        <w:t>中小企业声明函</w:t>
      </w:r>
      <w:r>
        <w:rPr>
          <w:rFonts w:hint="eastAsia" w:ascii="宋体" w:hAnsi="宋体" w:eastAsia="宋体" w:cs="宋体"/>
          <w:color w:val="auto"/>
          <w:spacing w:val="0"/>
          <w:sz w:val="21"/>
          <w:highlight w:val="none"/>
          <w:lang w:val="en-US" w:eastAsia="zh-CN"/>
        </w:rPr>
        <w:t>/</w:t>
      </w:r>
      <w:r>
        <w:rPr>
          <w:rFonts w:ascii="宋体" w:hAnsi="宋体" w:eastAsia="宋体" w:cs="宋体"/>
          <w:color w:val="auto"/>
          <w:spacing w:val="0"/>
          <w:sz w:val="21"/>
          <w:highlight w:val="none"/>
        </w:rPr>
        <w:t>监狱企业声明函及其相关的充分的证明材料</w:t>
      </w:r>
      <w:r>
        <w:rPr>
          <w:rFonts w:hint="eastAsia" w:ascii="宋体" w:hAnsi="宋体" w:eastAsia="宋体" w:cs="宋体"/>
          <w:color w:val="auto"/>
          <w:spacing w:val="0"/>
          <w:sz w:val="21"/>
          <w:highlight w:val="none"/>
          <w:lang w:val="en-US" w:eastAsia="zh-CN"/>
        </w:rPr>
        <w:t>/</w:t>
      </w:r>
      <w:r>
        <w:rPr>
          <w:rFonts w:ascii="宋体" w:hAnsi="宋体" w:eastAsia="宋体" w:cs="宋体"/>
          <w:color w:val="auto"/>
          <w:spacing w:val="0"/>
          <w:sz w:val="21"/>
          <w:highlight w:val="none"/>
        </w:rPr>
        <w:t>残疾人福利性单位声明函</w:t>
      </w:r>
      <w:r>
        <w:rPr>
          <w:rFonts w:hint="eastAsia" w:ascii="宋体" w:hAnsi="宋体" w:eastAsia="宋体" w:cs="宋体"/>
          <w:color w:val="auto"/>
          <w:spacing w:val="0"/>
          <w:sz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outlineLvl w:val="9"/>
        <w:rPr>
          <w:rFonts w:ascii="宋体" w:hAnsi="宋体" w:eastAsia="宋体" w:cs="宋体"/>
          <w:bCs/>
          <w:color w:val="auto"/>
          <w:szCs w:val="21"/>
          <w:highlight w:val="none"/>
          <w:lang w:val="zh-TW"/>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TW" w:eastAsia="zh-CN"/>
        </w:rPr>
        <w:t>）</w:t>
      </w:r>
      <w:r>
        <w:rPr>
          <w:rFonts w:hint="eastAsia" w:ascii="宋体" w:hAnsi="宋体" w:eastAsia="宋体" w:cs="宋体"/>
          <w:bCs/>
          <w:color w:val="auto"/>
          <w:szCs w:val="21"/>
          <w:highlight w:val="none"/>
          <w:lang w:val="zh-TW" w:eastAsia="zh-TW"/>
        </w:rPr>
        <w:t>法定代表人身份证明或法定代表人授权委托书</w:t>
      </w:r>
      <w:r>
        <w:rPr>
          <w:rFonts w:hint="eastAsia" w:ascii="宋体" w:hAnsi="宋体" w:eastAsia="宋体" w:cs="宋体"/>
          <w:bCs/>
          <w:color w:val="auto"/>
          <w:szCs w:val="21"/>
          <w:highlight w:val="none"/>
          <w:lang w:val="zh-TW"/>
        </w:rPr>
        <w:t>；</w:t>
      </w:r>
    </w:p>
    <w:p>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bCs/>
          <w:color w:val="auto"/>
          <w:szCs w:val="21"/>
          <w:highlight w:val="none"/>
          <w:lang w:val="zh-CN" w:eastAsia="zh-TW"/>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TW" w:eastAsia="zh-CN"/>
        </w:rPr>
        <w:t>）</w:t>
      </w:r>
      <w:r>
        <w:rPr>
          <w:rFonts w:hint="eastAsia" w:ascii="宋体" w:hAnsi="宋体" w:eastAsia="宋体" w:cs="宋体"/>
          <w:bCs/>
          <w:color w:val="auto"/>
          <w:szCs w:val="21"/>
          <w:highlight w:val="none"/>
          <w:lang w:val="zh-TW" w:eastAsia="zh-TW"/>
        </w:rPr>
        <w:t>非联合体的声明函</w:t>
      </w:r>
      <w:r>
        <w:rPr>
          <w:rFonts w:hint="eastAsia" w:ascii="宋体" w:hAnsi="宋体" w:eastAsia="宋体" w:cs="宋体"/>
          <w:bCs/>
          <w:color w:val="auto"/>
          <w:szCs w:val="21"/>
          <w:highlight w:val="none"/>
          <w:lang w:val="zh-TW" w:eastAsia="zh-CN"/>
        </w:rPr>
        <w:t>；</w:t>
      </w:r>
    </w:p>
    <w:p>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bCs/>
          <w:color w:val="auto"/>
          <w:szCs w:val="21"/>
          <w:highlight w:val="none"/>
          <w:lang w:val="zh-TW" w:eastAsia="zh-TW"/>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TW" w:eastAsia="zh-TW"/>
        </w:rPr>
        <w:t>）其他投标人认为需要的相关资料。</w:t>
      </w:r>
    </w:p>
    <w:p>
      <w:pPr>
        <w:keepNext w:val="0"/>
        <w:keepLines w:val="0"/>
        <w:pageBreakBefore w:val="0"/>
        <w:kinsoku/>
        <w:overflowPunct/>
        <w:topLinePunct w:val="0"/>
        <w:bidi w:val="0"/>
        <w:snapToGrid/>
        <w:spacing w:line="360" w:lineRule="auto"/>
        <w:ind w:left="0" w:leftChars="0" w:right="0" w:rightChars="0" w:firstLine="422" w:firstLineChars="200"/>
        <w:jc w:val="left"/>
        <w:textAlignment w:val="auto"/>
        <w:outlineLvl w:val="9"/>
        <w:rPr>
          <w:rFonts w:ascii="宋体" w:hAnsi="宋体" w:eastAsia="宋体" w:cs="宋体"/>
          <w:color w:val="auto"/>
          <w:spacing w:val="0"/>
          <w:sz w:val="21"/>
          <w:highlight w:val="none"/>
        </w:rPr>
      </w:pPr>
      <w:r>
        <w:rPr>
          <w:rFonts w:hint="eastAsia" w:ascii="宋体" w:hAnsi="宋体" w:eastAsia="宋体" w:cs="宋体"/>
          <w:b/>
          <w:color w:val="auto"/>
          <w:spacing w:val="0"/>
          <w:sz w:val="21"/>
          <w:szCs w:val="21"/>
          <w:highlight w:val="none"/>
          <w:lang w:val="zh-TW" w:eastAsia="zh-TW"/>
        </w:rPr>
        <w:t>▲2 .【报价文件】（包括但不限于以下内容）</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highlight w:val="none"/>
        </w:rPr>
      </w:pPr>
      <w:r>
        <w:rPr>
          <w:rFonts w:hint="eastAsia" w:ascii="宋体" w:hAnsi="宋体" w:eastAsia="宋体" w:cs="宋体"/>
          <w:color w:val="auto"/>
          <w:spacing w:val="0"/>
          <w:sz w:val="21"/>
          <w:highlight w:val="none"/>
          <w:lang w:val="en-US" w:eastAsia="zh-CN"/>
        </w:rPr>
        <w:t>1）</w:t>
      </w:r>
      <w:r>
        <w:rPr>
          <w:rFonts w:ascii="宋体" w:hAnsi="宋体" w:eastAsia="宋体" w:cs="宋体"/>
          <w:color w:val="auto"/>
          <w:spacing w:val="0"/>
          <w:sz w:val="21"/>
          <w:highlight w:val="none"/>
        </w:rPr>
        <w:t>开标一览表；</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highlight w:val="none"/>
        </w:rPr>
      </w:pPr>
      <w:r>
        <w:rPr>
          <w:rFonts w:hint="eastAsia" w:ascii="宋体" w:hAnsi="宋体" w:eastAsia="宋体" w:cs="宋体"/>
          <w:color w:val="auto"/>
          <w:spacing w:val="0"/>
          <w:sz w:val="21"/>
          <w:highlight w:val="none"/>
          <w:lang w:val="en-US" w:eastAsia="zh-CN"/>
        </w:rPr>
        <w:t>2）</w:t>
      </w:r>
      <w:r>
        <w:rPr>
          <w:rFonts w:ascii="宋体" w:hAnsi="宋体" w:eastAsia="宋体" w:cs="宋体"/>
          <w:color w:val="auto"/>
          <w:spacing w:val="0"/>
          <w:sz w:val="21"/>
          <w:highlight w:val="none"/>
        </w:rPr>
        <w:t>投标</w:t>
      </w:r>
      <w:r>
        <w:rPr>
          <w:rFonts w:hint="eastAsia" w:ascii="宋体" w:hAnsi="宋体" w:eastAsia="宋体" w:cs="宋体"/>
          <w:color w:val="auto"/>
          <w:spacing w:val="0"/>
          <w:sz w:val="21"/>
          <w:highlight w:val="none"/>
          <w:lang w:val="en-US" w:eastAsia="zh-CN"/>
        </w:rPr>
        <w:t>报价</w:t>
      </w:r>
      <w:r>
        <w:rPr>
          <w:rFonts w:ascii="宋体" w:hAnsi="宋体" w:eastAsia="宋体" w:cs="宋体"/>
          <w:color w:val="auto"/>
          <w:spacing w:val="0"/>
          <w:sz w:val="21"/>
          <w:highlight w:val="none"/>
        </w:rPr>
        <w:t>明细表；</w:t>
      </w:r>
    </w:p>
    <w:p>
      <w:pPr>
        <w:keepNext w:val="0"/>
        <w:keepLines w:val="0"/>
        <w:pageBreakBefore w:val="0"/>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lang w:val="zh-CN"/>
        </w:rPr>
      </w:pPr>
      <w:r>
        <w:rPr>
          <w:rFonts w:hint="eastAsia" w:ascii="宋体" w:hAnsi="宋体" w:eastAsia="宋体" w:cs="宋体"/>
          <w:b/>
          <w:color w:val="auto"/>
          <w:spacing w:val="0"/>
          <w:sz w:val="21"/>
          <w:szCs w:val="21"/>
          <w:highlight w:val="none"/>
        </w:rPr>
        <w:t>▲3</w:t>
      </w:r>
      <w:r>
        <w:rPr>
          <w:rFonts w:hint="eastAsia" w:ascii="宋体" w:hAnsi="宋体" w:eastAsia="宋体" w:cs="宋体"/>
          <w:b/>
          <w:color w:val="auto"/>
          <w:spacing w:val="0"/>
          <w:sz w:val="21"/>
          <w:szCs w:val="21"/>
          <w:highlight w:val="none"/>
          <w:lang w:val="zh-CN"/>
        </w:rPr>
        <w:t>.【商务技术文件】（包括但不限于以下内容）</w:t>
      </w:r>
    </w:p>
    <w:p>
      <w:pPr>
        <w:keepNext w:val="0"/>
        <w:keepLines w:val="0"/>
        <w:pageBreakBefore w:val="0"/>
        <w:widowControl/>
        <w:kinsoku/>
        <w:wordWrap w:val="0"/>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zh-CN"/>
        </w:rPr>
        <w:t>自评表</w:t>
      </w:r>
      <w:r>
        <w:rPr>
          <w:rFonts w:hint="eastAsia" w:ascii="宋体" w:hAnsi="宋体" w:eastAsia="宋体" w:cs="宋体"/>
          <w:color w:val="auto"/>
          <w:spacing w:val="0"/>
          <w:sz w:val="21"/>
          <w:szCs w:val="21"/>
          <w:highlight w:val="none"/>
        </w:rPr>
        <w:t>；</w:t>
      </w:r>
    </w:p>
    <w:p>
      <w:pPr>
        <w:keepNext w:val="0"/>
        <w:keepLines w:val="0"/>
        <w:pageBreakBefore w:val="0"/>
        <w:widowControl/>
        <w:kinsoku/>
        <w:wordWrap w:val="0"/>
        <w:overflowPunct/>
        <w:topLinePunct w:val="0"/>
        <w:autoSpaceDE/>
        <w:autoSpaceDN/>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2）投标函；</w:t>
      </w:r>
      <w:r>
        <w:rPr>
          <w:rFonts w:hint="eastAsia" w:ascii="宋体" w:hAnsi="宋体" w:eastAsia="宋体" w:cs="宋体"/>
          <w:color w:val="auto"/>
          <w:spacing w:val="0"/>
          <w:sz w:val="21"/>
          <w:szCs w:val="21"/>
          <w:highlight w:val="none"/>
          <w:lang w:val="zh-CN"/>
        </w:rPr>
        <w:t xml:space="preserve"> </w:t>
      </w:r>
    </w:p>
    <w:p>
      <w:pPr>
        <w:keepNext w:val="0"/>
        <w:keepLines w:val="0"/>
        <w:pageBreakBefore w:val="0"/>
        <w:widowControl/>
        <w:kinsoku/>
        <w:wordWrap w:val="0"/>
        <w:overflowPunct/>
        <w:topLinePunct w:val="0"/>
        <w:autoSpaceDE/>
        <w:autoSpaceDN/>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偏离表；</w:t>
      </w:r>
    </w:p>
    <w:p>
      <w:pPr>
        <w:keepNext w:val="0"/>
        <w:keepLines w:val="0"/>
        <w:pageBreakBefore w:val="0"/>
        <w:widowControl/>
        <w:kinsoku/>
        <w:wordWrap w:val="0"/>
        <w:overflowPunct/>
        <w:topLinePunct w:val="0"/>
        <w:autoSpaceDE/>
        <w:autoSpaceDN/>
        <w:bidi w:val="0"/>
        <w:snapToGrid/>
        <w:spacing w:line="360" w:lineRule="auto"/>
        <w:ind w:left="0" w:leftChars="0" w:right="0" w:rightChars="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）投标人根据商务技术评分细则编制商务技术文件；</w:t>
      </w:r>
    </w:p>
    <w:p>
      <w:pPr>
        <w:keepNext w:val="0"/>
        <w:keepLines w:val="0"/>
        <w:pageBreakBefore w:val="0"/>
        <w:widowControl/>
        <w:kinsoku/>
        <w:wordWrap w:val="0"/>
        <w:overflowPunct/>
        <w:topLinePunct w:val="0"/>
        <w:autoSpaceDE/>
        <w:autoSpaceDN/>
        <w:bidi w:val="0"/>
        <w:snapToGrid/>
        <w:spacing w:line="360" w:lineRule="auto"/>
        <w:ind w:left="0" w:leftChars="0" w:right="0" w:rightChars="0" w:firstLine="420" w:firstLineChars="200"/>
        <w:jc w:val="left"/>
        <w:textAlignment w:val="auto"/>
        <w:outlineLvl w:val="9"/>
        <w:rPr>
          <w:rFonts w:ascii="宋体" w:hAnsi="宋体" w:eastAsia="宋体" w:cs="宋体"/>
          <w:spacing w:val="0"/>
          <w:sz w:val="21"/>
          <w:szCs w:val="21"/>
        </w:rPr>
      </w:pP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 供应商认为需要的其他商务技术文件或说明；</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left"/>
        <w:textAlignment w:val="auto"/>
        <w:outlineLvl w:val="9"/>
        <w:rPr>
          <w:rFonts w:hint="eastAsia" w:ascii="宋体" w:hAnsi="宋体" w:eastAsia="宋体" w:cs="宋体"/>
          <w:color w:val="auto"/>
          <w:spacing w:val="0"/>
          <w:sz w:val="21"/>
          <w:szCs w:val="21"/>
          <w:highlight w:val="yellow"/>
        </w:rPr>
      </w:pPr>
      <w:r>
        <w:rPr>
          <w:rFonts w:hint="eastAsia" w:ascii="宋体" w:hAnsi="宋体" w:eastAsia="宋体" w:cs="宋体"/>
          <w:b/>
          <w:color w:val="auto"/>
          <w:spacing w:val="0"/>
          <w:sz w:val="21"/>
          <w:szCs w:val="21"/>
          <w:highlight w:val="none"/>
        </w:rPr>
        <w:t>注:以上材料若附件未提供相应格式，投标人须自行编制。所涉及的资料均须提供扫描件加盖单位公章。</w:t>
      </w:r>
      <w:r>
        <w:rPr>
          <w:rFonts w:hint="eastAsia" w:ascii="宋体" w:hAnsi="宋体" w:eastAsia="宋体" w:cs="宋体"/>
          <w:b/>
          <w:color w:val="auto"/>
          <w:kern w:val="0"/>
          <w:sz w:val="21"/>
          <w:szCs w:val="21"/>
          <w:highlight w:val="none"/>
          <w:lang w:val="en-US" w:eastAsia="zh-CN"/>
        </w:rPr>
        <w:t>技术标需编制页码，技术标</w:t>
      </w:r>
      <w:r>
        <w:rPr>
          <w:rFonts w:hint="eastAsia" w:ascii="宋体" w:hAnsi="宋体" w:eastAsia="宋体" w:cs="宋体"/>
          <w:b/>
          <w:color w:val="auto"/>
          <w:kern w:val="0"/>
          <w:sz w:val="21"/>
          <w:szCs w:val="21"/>
          <w:highlight w:val="none"/>
        </w:rPr>
        <w:t>除封面</w:t>
      </w:r>
      <w:r>
        <w:rPr>
          <w:rFonts w:hint="eastAsia" w:ascii="宋体" w:hAnsi="宋体" w:eastAsia="宋体" w:cs="宋体"/>
          <w:b/>
          <w:color w:val="auto"/>
          <w:kern w:val="0"/>
          <w:sz w:val="21"/>
          <w:szCs w:val="21"/>
          <w:highlight w:val="none"/>
          <w:lang w:eastAsia="zh-CN"/>
        </w:rPr>
        <w:t>、目录</w:t>
      </w:r>
      <w:r>
        <w:rPr>
          <w:rFonts w:hint="eastAsia" w:ascii="宋体" w:hAnsi="宋体" w:eastAsia="宋体" w:cs="宋体"/>
          <w:b/>
          <w:color w:val="auto"/>
          <w:kern w:val="0"/>
          <w:sz w:val="21"/>
          <w:szCs w:val="21"/>
          <w:highlight w:val="none"/>
        </w:rPr>
        <w:t>外页数</w:t>
      </w:r>
      <w:r>
        <w:rPr>
          <w:rFonts w:hint="eastAsia" w:ascii="宋体" w:hAnsi="宋体" w:eastAsia="宋体" w:cs="宋体"/>
          <w:b/>
          <w:color w:val="auto"/>
          <w:kern w:val="0"/>
          <w:sz w:val="21"/>
          <w:szCs w:val="21"/>
          <w:highlight w:val="none"/>
          <w:lang w:eastAsia="zh-CN"/>
        </w:rPr>
        <w:t>需</w:t>
      </w:r>
      <w:r>
        <w:rPr>
          <w:rFonts w:hint="eastAsia" w:ascii="宋体" w:hAnsi="宋体" w:eastAsia="宋体" w:cs="宋体"/>
          <w:b/>
          <w:color w:val="auto"/>
          <w:kern w:val="0"/>
          <w:sz w:val="21"/>
          <w:szCs w:val="21"/>
          <w:highlight w:val="none"/>
        </w:rPr>
        <w:t>控制在</w:t>
      </w:r>
      <w:r>
        <w:rPr>
          <w:rFonts w:hint="eastAsia" w:ascii="宋体" w:hAnsi="宋体" w:eastAsia="宋体" w:cs="宋体"/>
          <w:b/>
          <w:color w:val="auto"/>
          <w:kern w:val="0"/>
          <w:sz w:val="21"/>
          <w:szCs w:val="21"/>
          <w:highlight w:val="none"/>
          <w:lang w:val="en-US" w:eastAsia="zh-CN"/>
        </w:rPr>
        <w:t>300</w:t>
      </w:r>
      <w:r>
        <w:rPr>
          <w:rFonts w:hint="eastAsia" w:ascii="宋体" w:hAnsi="宋体" w:eastAsia="宋体" w:cs="宋体"/>
          <w:b/>
          <w:color w:val="auto"/>
          <w:kern w:val="0"/>
          <w:sz w:val="21"/>
          <w:szCs w:val="21"/>
          <w:highlight w:val="none"/>
        </w:rPr>
        <w:t>页以内</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违反上述编制要求的，</w:t>
      </w: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eastAsia="zh-CN"/>
        </w:rPr>
        <w:t>部分</w:t>
      </w:r>
      <w:r>
        <w:rPr>
          <w:rFonts w:hint="eastAsia" w:ascii="宋体" w:hAnsi="宋体" w:eastAsia="宋体" w:cs="宋体"/>
          <w:b/>
          <w:color w:val="auto"/>
          <w:sz w:val="21"/>
          <w:szCs w:val="21"/>
          <w:highlight w:val="none"/>
        </w:rPr>
        <w:t>得0分</w:t>
      </w:r>
      <w:r>
        <w:rPr>
          <w:rFonts w:hint="eastAsia" w:ascii="宋体" w:hAnsi="宋体" w:eastAsia="宋体" w:cs="宋体"/>
          <w:b/>
          <w:color w:val="auto"/>
          <w:sz w:val="21"/>
          <w:szCs w:val="21"/>
          <w:highlight w:val="none"/>
          <w:lang w:eastAsia="zh-CN"/>
        </w:rPr>
        <w:t>。</w:t>
      </w:r>
    </w:p>
    <w:p>
      <w:pPr>
        <w:keepNext w:val="0"/>
        <w:keepLines w:val="0"/>
        <w:pageBreakBefore w:val="0"/>
        <w:numPr>
          <w:ilvl w:val="0"/>
          <w:numId w:val="5"/>
        </w:numPr>
        <w:kinsoku/>
        <w:overflowPunct/>
        <w:topLinePunct w:val="0"/>
        <w:autoSpaceDE/>
        <w:autoSpaceDN/>
        <w:bidi w:val="0"/>
        <w:adjustRightInd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投标文件的语言及计量</w:t>
      </w:r>
    </w:p>
    <w:p>
      <w:pPr>
        <w:pStyle w:val="16"/>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6"/>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pStyle w:val="54"/>
        <w:keepNext w:val="0"/>
        <w:keepLines w:val="0"/>
        <w:pageBreakBefore w:val="0"/>
        <w:kinsoku/>
        <w:overflowPunct/>
        <w:topLinePunct w:val="0"/>
        <w:bidi w:val="0"/>
        <w:adjustRightInd w:val="0"/>
        <w:snapToGrid/>
        <w:spacing w:before="0"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（三）投标报价</w:t>
      </w:r>
    </w:p>
    <w:p>
      <w:pPr>
        <w:pStyle w:val="54"/>
        <w:keepNext w:val="0"/>
        <w:keepLines w:val="0"/>
        <w:pageBreakBefore w:val="0"/>
        <w:widowControl/>
        <w:kinsoku/>
        <w:wordWrap w:val="0"/>
        <w:overflowPunct/>
        <w:topLinePunct w:val="0"/>
        <w:autoSpaceDE w:val="0"/>
        <w:autoSpaceDN w:val="0"/>
        <w:bidi w:val="0"/>
        <w:adjustRightInd w:val="0"/>
        <w:snapToGrid/>
        <w:spacing w:before="0" w:line="360" w:lineRule="auto"/>
        <w:ind w:left="0" w:leftChars="0" w:right="0" w:rightChars="0" w:firstLine="422" w:firstLineChars="200"/>
        <w:jc w:val="left"/>
        <w:textAlignment w:val="auto"/>
        <w:outlineLvl w:val="9"/>
        <w:rPr>
          <w:rFonts w:hint="eastAsia" w:ascii="宋体" w:hAnsi="宋体" w:eastAsia="宋体" w:cs="宋体"/>
          <w:b/>
          <w:spacing w:val="0"/>
          <w:sz w:val="21"/>
          <w:szCs w:val="21"/>
        </w:rPr>
      </w:pPr>
      <w:r>
        <w:rPr>
          <w:rFonts w:hint="eastAsia" w:ascii="宋体" w:hAnsi="宋体" w:eastAsia="宋体" w:cs="宋体"/>
          <w:b/>
          <w:spacing w:val="0"/>
          <w:sz w:val="21"/>
          <w:szCs w:val="21"/>
        </w:rPr>
        <w:t>1.投标报价应按招标文件中相关附表格式填写。</w:t>
      </w:r>
    </w:p>
    <w:p>
      <w:pPr>
        <w:pStyle w:val="54"/>
        <w:keepNext w:val="0"/>
        <w:keepLines w:val="0"/>
        <w:pageBreakBefore w:val="0"/>
        <w:widowControl/>
        <w:kinsoku/>
        <w:wordWrap w:val="0"/>
        <w:overflowPunct/>
        <w:topLinePunct w:val="0"/>
        <w:autoSpaceDE w:val="0"/>
        <w:autoSpaceDN w:val="0"/>
        <w:bidi w:val="0"/>
        <w:adjustRightInd w:val="0"/>
        <w:snapToGrid/>
        <w:spacing w:before="0" w:line="360" w:lineRule="auto"/>
        <w:ind w:left="0" w:leftChars="0" w:right="0" w:rightChars="0" w:firstLine="420" w:firstLineChars="200"/>
        <w:jc w:val="left"/>
        <w:textAlignment w:val="auto"/>
        <w:outlineLvl w:val="9"/>
        <w:rPr>
          <w:rFonts w:hint="eastAsia" w:ascii="宋体" w:hAnsi="宋体" w:eastAsia="宋体" w:cs="宋体"/>
          <w:spacing w:val="0"/>
          <w:sz w:val="21"/>
          <w:szCs w:val="21"/>
          <w:highlight w:val="yellow"/>
        </w:rPr>
      </w:pPr>
      <w:r>
        <w:rPr>
          <w:rFonts w:hint="eastAsia" w:ascii="宋体" w:hAnsi="宋体" w:eastAsia="宋体" w:cs="宋体"/>
          <w:spacing w:val="0"/>
          <w:sz w:val="21"/>
          <w:szCs w:val="21"/>
        </w:rPr>
        <w:t>2. ▲本项目预算价为人民币</w:t>
      </w:r>
      <w:r>
        <w:rPr>
          <w:rFonts w:hint="eastAsia" w:ascii="宋体" w:hAnsi="宋体" w:eastAsia="宋体" w:cs="宋体"/>
          <w:spacing w:val="0"/>
          <w:sz w:val="21"/>
          <w:szCs w:val="21"/>
          <w:u w:val="single"/>
          <w:lang w:val="en-US" w:eastAsia="zh-CN"/>
        </w:rPr>
        <w:t>1741380</w:t>
      </w:r>
      <w:r>
        <w:rPr>
          <w:rFonts w:hint="eastAsia" w:ascii="宋体" w:hAnsi="宋体" w:eastAsia="宋体" w:cs="宋体"/>
          <w:spacing w:val="0"/>
          <w:sz w:val="21"/>
          <w:szCs w:val="21"/>
        </w:rPr>
        <w:t>元，</w:t>
      </w:r>
      <w:r>
        <w:rPr>
          <w:rFonts w:hint="eastAsia" w:ascii="宋体" w:hAnsi="宋体" w:eastAsia="宋体" w:cs="宋体"/>
          <w:spacing w:val="0"/>
          <w:sz w:val="21"/>
          <w:szCs w:val="21"/>
          <w:highlight w:val="none"/>
        </w:rPr>
        <w:t>最高限价为</w:t>
      </w:r>
      <w:r>
        <w:rPr>
          <w:rFonts w:hint="eastAsia" w:ascii="宋体" w:hAnsi="宋体" w:eastAsia="宋体" w:cs="宋体"/>
          <w:color w:val="auto"/>
          <w:sz w:val="21"/>
          <w:szCs w:val="21"/>
          <w:highlight w:val="none"/>
          <w:u w:val="single"/>
          <w:lang w:val="en-US" w:eastAsia="zh-CN"/>
        </w:rPr>
        <w:t>1386570</w:t>
      </w:r>
      <w:r>
        <w:rPr>
          <w:rFonts w:hint="eastAsia" w:ascii="宋体" w:hAnsi="宋体" w:eastAsia="宋体" w:cs="宋体"/>
          <w:spacing w:val="0"/>
          <w:sz w:val="21"/>
          <w:szCs w:val="21"/>
          <w:highlight w:val="none"/>
        </w:rPr>
        <w:t>元</w:t>
      </w:r>
      <w:r>
        <w:rPr>
          <w:rFonts w:hint="eastAsia" w:ascii="宋体" w:hAnsi="宋体" w:eastAsia="宋体" w:cs="宋体"/>
          <w:spacing w:val="0"/>
          <w:sz w:val="21"/>
          <w:szCs w:val="21"/>
        </w:rPr>
        <w:t>。投标人的报价应低于最高限价，否则其投标无效。</w:t>
      </w:r>
    </w:p>
    <w:p>
      <w:pPr>
        <w:keepNext w:val="0"/>
        <w:keepLines w:val="0"/>
        <w:pageBreakBefore w:val="0"/>
        <w:widowControl w:val="0"/>
        <w:kinsoku/>
        <w:wordWrap/>
        <w:overflowPunct/>
        <w:topLinePunct w:val="0"/>
        <w:autoSpaceDE/>
        <w:autoSpaceDN/>
        <w:bidi w:val="0"/>
        <w:adjustRightInd w:val="0"/>
        <w:snapToGrid/>
        <w:spacing w:line="360" w:lineRule="auto"/>
        <w:ind w:leftChars="0" w:right="0" w:rightChars="0" w:firstLine="420" w:firstLineChars="200"/>
        <w:jc w:val="left"/>
        <w:outlineLvl w:val="9"/>
        <w:rPr>
          <w:rFonts w:hint="eastAsia" w:ascii="宋体" w:hAnsi="宋体" w:eastAsia="宋体" w:cs="宋体"/>
          <w:b/>
          <w:bCs/>
          <w:spacing w:val="0"/>
          <w:sz w:val="21"/>
          <w:szCs w:val="21"/>
        </w:rPr>
      </w:pPr>
      <w:r>
        <w:rPr>
          <w:rFonts w:hint="eastAsia" w:ascii="宋体" w:hAnsi="宋体" w:eastAsia="宋体" w:cs="宋体"/>
          <w:spacing w:val="0"/>
          <w:sz w:val="21"/>
          <w:szCs w:val="21"/>
        </w:rPr>
        <w:t>3.</w:t>
      </w:r>
      <w:r>
        <w:rPr>
          <w:rFonts w:hint="eastAsia" w:ascii="宋体" w:hAnsi="宋体" w:eastAsia="宋体" w:cs="宋体"/>
          <w:b/>
          <w:bCs/>
          <w:spacing w:val="0"/>
          <w:sz w:val="21"/>
          <w:szCs w:val="21"/>
        </w:rPr>
        <w:t>▲</w:t>
      </w:r>
      <w:r>
        <w:rPr>
          <w:rFonts w:hint="eastAsia" w:ascii="宋体" w:hAnsi="宋体" w:eastAsia="宋体" w:cs="宋体"/>
          <w:spacing w:val="0"/>
          <w:sz w:val="21"/>
          <w:szCs w:val="21"/>
        </w:rPr>
        <w:t>本项目投标报价</w:t>
      </w:r>
      <w:r>
        <w:rPr>
          <w:rFonts w:hint="eastAsia" w:ascii="宋体" w:hAnsi="宋体" w:eastAsia="宋体" w:cs="宋体"/>
          <w:b/>
          <w:bCs/>
          <w:spacing w:val="0"/>
          <w:sz w:val="21"/>
          <w:szCs w:val="21"/>
        </w:rPr>
        <w:t>包</w:t>
      </w:r>
      <w:r>
        <w:rPr>
          <w:rFonts w:hint="eastAsia" w:ascii="宋体" w:hAnsi="宋体" w:eastAsia="宋体" w:cs="宋体"/>
          <w:b/>
          <w:bCs/>
          <w:spacing w:val="0"/>
          <w:kern w:val="0"/>
          <w:sz w:val="21"/>
          <w:szCs w:val="21"/>
        </w:rPr>
        <w:t>括但</w:t>
      </w:r>
      <w:r>
        <w:rPr>
          <w:rFonts w:hint="eastAsia" w:ascii="宋体" w:hAnsi="宋体" w:eastAsia="宋体" w:cs="宋体"/>
          <w:b/>
          <w:bCs/>
          <w:spacing w:val="0"/>
          <w:sz w:val="21"/>
          <w:szCs w:val="21"/>
        </w:rPr>
        <w:t>不限于</w:t>
      </w:r>
      <w:r>
        <w:rPr>
          <w:rFonts w:hint="eastAsia" w:ascii="宋体" w:hAnsi="宋体" w:eastAsia="宋体" w:cs="宋体"/>
          <w:b/>
          <w:bCs/>
          <w:color w:val="auto"/>
          <w:sz w:val="21"/>
          <w:szCs w:val="21"/>
        </w:rPr>
        <w:t>各项管理服务、劳务、技术支持与培训、售后服务与维保、检测验收、专利、利润、税金、保险、设备</w:t>
      </w:r>
      <w:r>
        <w:rPr>
          <w:rFonts w:hint="eastAsia" w:ascii="宋体" w:hAnsi="宋体" w:eastAsia="宋体" w:cs="宋体"/>
          <w:b/>
          <w:bCs/>
          <w:color w:val="auto"/>
          <w:sz w:val="21"/>
          <w:szCs w:val="21"/>
          <w:lang w:eastAsia="zh-CN"/>
        </w:rPr>
        <w:t>、设备</w:t>
      </w:r>
      <w:r>
        <w:rPr>
          <w:rFonts w:hint="eastAsia" w:ascii="宋体" w:hAnsi="宋体" w:eastAsia="宋体" w:cs="宋体"/>
          <w:b/>
          <w:bCs/>
          <w:color w:val="auto"/>
          <w:sz w:val="21"/>
          <w:szCs w:val="21"/>
        </w:rPr>
        <w:t>租赁、完成本项目的其它费用和政策性文件规定及合同包含的所有风险、责任等所有费用</w:t>
      </w:r>
      <w:r>
        <w:rPr>
          <w:rFonts w:hint="eastAsia" w:ascii="宋体" w:hAnsi="宋体" w:eastAsia="宋体" w:cs="宋体"/>
          <w:b/>
          <w:bCs/>
          <w:spacing w:val="0"/>
          <w:sz w:val="21"/>
          <w:szCs w:val="21"/>
        </w:rPr>
        <w:t>，未列明的相关报价应视为已包含在已列明费用的报价中。</w:t>
      </w:r>
      <w:r>
        <w:rPr>
          <w:rFonts w:hint="eastAsia" w:ascii="宋体" w:hAnsi="宋体" w:eastAsia="宋体" w:cs="宋体"/>
          <w:spacing w:val="0"/>
          <w:sz w:val="21"/>
          <w:szCs w:val="21"/>
        </w:rPr>
        <w:t>采购人不再为本项目支付其它任何费用。无论投标人对报价是否有特别说明，均视为所报价格包含了招标文件规定的全部项目价格。招标文件未列明，而投标人认为必需的费用也需列入报价。中标后，不得以任何原因及理由作任何调整</w:t>
      </w:r>
      <w:r>
        <w:rPr>
          <w:rFonts w:hint="eastAsia" w:ascii="宋体" w:hAnsi="宋体" w:eastAsia="宋体" w:cs="宋体"/>
          <w:b/>
          <w:bCs/>
          <w:spacing w:val="0"/>
          <w:sz w:val="21"/>
          <w:szCs w:val="21"/>
        </w:rPr>
        <w:t>。</w:t>
      </w:r>
    </w:p>
    <w:p>
      <w:pPr>
        <w:pStyle w:val="54"/>
        <w:keepNext w:val="0"/>
        <w:keepLines w:val="0"/>
        <w:pageBreakBefore w:val="0"/>
        <w:widowControl/>
        <w:kinsoku/>
        <w:wordWrap w:val="0"/>
        <w:overflowPunct/>
        <w:topLinePunct w:val="0"/>
        <w:autoSpaceDE w:val="0"/>
        <w:autoSpaceDN w:val="0"/>
        <w:bidi w:val="0"/>
        <w:adjustRightInd w:val="0"/>
        <w:snapToGrid/>
        <w:spacing w:before="0" w:line="360" w:lineRule="auto"/>
        <w:ind w:left="0" w:leftChars="0" w:right="0" w:rightChars="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4.▲投标文件只允许有一个报价，任何有选择的或有条件的报价将不予接受。</w:t>
      </w:r>
    </w:p>
    <w:p>
      <w:pPr>
        <w:pStyle w:val="54"/>
        <w:keepNext w:val="0"/>
        <w:keepLines w:val="0"/>
        <w:pageBreakBefore w:val="0"/>
        <w:widowControl/>
        <w:kinsoku/>
        <w:wordWrap w:val="0"/>
        <w:overflowPunct/>
        <w:topLinePunct w:val="0"/>
        <w:autoSpaceDE w:val="0"/>
        <w:autoSpaceDN w:val="0"/>
        <w:bidi w:val="0"/>
        <w:adjustRightInd w:val="0"/>
        <w:snapToGrid/>
        <w:spacing w:before="0" w:line="360" w:lineRule="auto"/>
        <w:ind w:left="0" w:leftChars="0" w:right="0" w:rightChars="0" w:firstLine="420"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spacing w:val="0"/>
          <w:sz w:val="21"/>
          <w:szCs w:val="21"/>
        </w:rPr>
        <w:t>5.报价表中标明的价格在合同执行过程中是固定不变的，投标人不得以任何理由予以变更。</w:t>
      </w:r>
    </w:p>
    <w:p>
      <w:pPr>
        <w:pStyle w:val="54"/>
        <w:keepNext w:val="0"/>
        <w:keepLines w:val="0"/>
        <w:pageBreakBefore w:val="0"/>
        <w:widowControl/>
        <w:kinsoku/>
        <w:wordWrap w:val="0"/>
        <w:overflowPunct/>
        <w:topLinePunct w:val="0"/>
        <w:autoSpaceDE w:val="0"/>
        <w:autoSpaceDN w:val="0"/>
        <w:bidi w:val="0"/>
        <w:adjustRightInd w:val="0"/>
        <w:snapToGrid/>
        <w:spacing w:before="0" w:line="360" w:lineRule="auto"/>
        <w:ind w:left="0" w:leftChars="0" w:right="0" w:rightChars="0" w:firstLine="420" w:firstLineChars="200"/>
        <w:jc w:val="left"/>
        <w:textAlignment w:val="auto"/>
        <w:outlineLvl w:val="9"/>
        <w:rPr>
          <w:rFonts w:hint="eastAsia" w:ascii="宋体" w:hAnsi="宋体" w:eastAsia="宋体" w:cs="宋体"/>
          <w:color w:val="FF0000"/>
          <w:spacing w:val="0"/>
          <w:sz w:val="21"/>
          <w:szCs w:val="21"/>
        </w:rPr>
      </w:pPr>
      <w:r>
        <w:rPr>
          <w:rFonts w:hint="eastAsia" w:ascii="宋体" w:hAnsi="宋体" w:eastAsia="宋体" w:cs="宋体"/>
          <w:spacing w:val="0"/>
          <w:sz w:val="21"/>
          <w:szCs w:val="21"/>
        </w:rPr>
        <w:t>6.</w:t>
      </w:r>
      <w:r>
        <w:rPr>
          <w:rFonts w:hint="eastAsia" w:ascii="宋体" w:hAnsi="宋体" w:eastAsia="宋体" w:cs="宋体"/>
          <w:spacing w:val="0"/>
          <w:sz w:val="21"/>
          <w:szCs w:val="21"/>
          <w:u w:val="single"/>
        </w:rPr>
        <w:t>报价是中标的一个重要因数，但最低报价不是中标的唯一依据，最低报价不能作为中标的保证。</w:t>
      </w:r>
    </w:p>
    <w:p>
      <w:pPr>
        <w:pStyle w:val="54"/>
        <w:keepNext w:val="0"/>
        <w:keepLines w:val="0"/>
        <w:pageBreakBefore w:val="0"/>
        <w:kinsoku/>
        <w:overflowPunct/>
        <w:topLinePunct w:val="0"/>
        <w:bidi w:val="0"/>
        <w:adjustRightInd w:val="0"/>
        <w:snapToGrid/>
        <w:spacing w:before="0"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bookmarkStart w:id="23" w:name="_Toc91899887"/>
      <w:r>
        <w:rPr>
          <w:rFonts w:hint="eastAsia" w:ascii="宋体" w:hAnsi="宋体" w:eastAsia="宋体" w:cs="宋体"/>
          <w:b/>
          <w:color w:val="auto"/>
          <w:spacing w:val="0"/>
          <w:sz w:val="21"/>
          <w:szCs w:val="21"/>
          <w:highlight w:val="none"/>
        </w:rPr>
        <w:t>（四）投标有效期</w:t>
      </w:r>
    </w:p>
    <w:p>
      <w:pPr>
        <w:pStyle w:val="16"/>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▲1.从提交投标文件的截止之日起90天。合同签订后，投标文件作为合同附件，投标文件有效期同合同有效期。投标人的投标文件中承诺的投标有效期少于招标文件中载明的投标有效期的，投标无效。</w:t>
      </w:r>
    </w:p>
    <w:p>
      <w:pPr>
        <w:keepNext w:val="0"/>
        <w:keepLines w:val="0"/>
        <w:pageBreakBefore w:val="0"/>
        <w:tabs>
          <w:tab w:val="left" w:pos="3780"/>
        </w:tabs>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在原定投标有效期满之前，如果出现特殊情况，招标代理机构可以以书面形式通知投标人延长投标有效期。投标人同意延长的，不得要求或被允许修改其投标文件，投标人拒绝延长的，其投标无效。</w:t>
      </w:r>
    </w:p>
    <w:bookmarkEnd w:id="23"/>
    <w:p>
      <w:pPr>
        <w:keepNext w:val="0"/>
        <w:keepLines w:val="0"/>
        <w:pageBreakBefore w:val="0"/>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（五）投标文件的签署和份数</w:t>
      </w:r>
    </w:p>
    <w:p>
      <w:pPr>
        <w:keepNext w:val="0"/>
        <w:keepLines w:val="0"/>
        <w:pageBreakBefore w:val="0"/>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b/>
          <w:color w:val="auto"/>
          <w:spacing w:val="0"/>
          <w:sz w:val="21"/>
          <w:szCs w:val="21"/>
          <w:highlight w:val="none"/>
        </w:rPr>
        <w:t>电子投标文件按政采云平台</w:t>
      </w:r>
      <w:r>
        <w:rPr>
          <w:rFonts w:hint="eastAsia" w:ascii="宋体" w:hAnsi="宋体" w:eastAsia="宋体" w:cs="宋体"/>
          <w:b/>
          <w:color w:val="auto"/>
          <w:spacing w:val="0"/>
          <w:sz w:val="21"/>
          <w:szCs w:val="21"/>
          <w:highlight w:val="none"/>
          <w:lang w:eastAsia="zh-CN"/>
        </w:rPr>
        <w:t>《</w:t>
      </w:r>
      <w:r>
        <w:rPr>
          <w:rFonts w:hint="eastAsia" w:ascii="宋体" w:hAnsi="宋体" w:eastAsia="宋体" w:cs="宋体"/>
          <w:b/>
          <w:color w:val="auto"/>
          <w:spacing w:val="0"/>
          <w:sz w:val="21"/>
          <w:szCs w:val="21"/>
          <w:highlight w:val="none"/>
        </w:rPr>
        <w:t>投标人项目采购-电子招投标操作指南</w:t>
      </w:r>
      <w:r>
        <w:rPr>
          <w:rFonts w:hint="eastAsia" w:ascii="宋体" w:hAnsi="宋体" w:eastAsia="宋体" w:cs="宋体"/>
          <w:b/>
          <w:color w:val="auto"/>
          <w:spacing w:val="0"/>
          <w:sz w:val="21"/>
          <w:szCs w:val="21"/>
          <w:highlight w:val="none"/>
          <w:lang w:eastAsia="zh-CN"/>
        </w:rPr>
        <w:t>》</w:t>
      </w:r>
      <w:r>
        <w:rPr>
          <w:rFonts w:hint="eastAsia" w:ascii="宋体" w:hAnsi="宋体" w:eastAsia="宋体" w:cs="宋体"/>
          <w:b/>
          <w:color w:val="auto"/>
          <w:spacing w:val="0"/>
          <w:sz w:val="21"/>
          <w:szCs w:val="21"/>
          <w:highlight w:val="none"/>
        </w:rPr>
        <w:t>及本招标文件规定的格式和顺序编制电子投标文件并进行关联定位。</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color w:val="auto"/>
          <w:spacing w:val="0"/>
          <w:sz w:val="21"/>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cs="宋体"/>
          <w:b/>
          <w:color w:val="auto"/>
          <w:spacing w:val="0"/>
          <w:sz w:val="21"/>
          <w:szCs w:val="21"/>
          <w:highlight w:val="none"/>
        </w:rPr>
        <w:t>其中资格文件、技术文件中不得出现投标报价，如因投标人原因提前泄露投标报价，是投标人的责任。</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2.投标文件须由投标人在规定位置加盖公章并由投标人代表签署，投标人应写全称。</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3.投标文件不得涂改，若有修改错漏处，须由投标人代表签字并加盖公章。投标文件因字迹潦草或表达不清所引起的后果由投标人负责。</w:t>
      </w:r>
    </w:p>
    <w:p>
      <w:pPr>
        <w:keepNext w:val="0"/>
        <w:keepLines w:val="0"/>
        <w:pageBreakBefore w:val="0"/>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4.投标文件份数：</w:t>
      </w:r>
      <w:r>
        <w:rPr>
          <w:rFonts w:hint="eastAsia" w:ascii="宋体" w:hAnsi="宋体" w:eastAsia="宋体" w:cs="宋体"/>
          <w:color w:val="auto"/>
          <w:spacing w:val="0"/>
          <w:sz w:val="21"/>
          <w:szCs w:val="21"/>
          <w:highlight w:val="none"/>
        </w:rPr>
        <w:t>见《前附表》</w:t>
      </w:r>
    </w:p>
    <w:p>
      <w:pPr>
        <w:keepNext w:val="0"/>
        <w:keepLines w:val="0"/>
        <w:pageBreakBefore w:val="0"/>
        <w:kinsoku/>
        <w:overflowPunct/>
        <w:topLinePunct w:val="0"/>
        <w:bidi w:val="0"/>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（六）投标文件的</w:t>
      </w:r>
      <w:r>
        <w:rPr>
          <w:rFonts w:hint="eastAsia" w:ascii="宋体" w:hAnsi="宋体" w:eastAsia="宋体" w:cs="宋体"/>
          <w:b/>
          <w:color w:val="auto"/>
          <w:spacing w:val="0"/>
          <w:sz w:val="21"/>
          <w:szCs w:val="21"/>
          <w:highlight w:val="none"/>
          <w:lang w:eastAsia="zh-CN"/>
        </w:rPr>
        <w:t>提交、补充</w:t>
      </w:r>
      <w:r>
        <w:rPr>
          <w:rFonts w:hint="eastAsia" w:ascii="宋体" w:hAnsi="宋体" w:eastAsia="宋体" w:cs="宋体"/>
          <w:b/>
          <w:color w:val="auto"/>
          <w:spacing w:val="0"/>
          <w:sz w:val="21"/>
          <w:szCs w:val="21"/>
          <w:highlight w:val="none"/>
        </w:rPr>
        <w:t>、修改和撤回</w:t>
      </w:r>
    </w:p>
    <w:p>
      <w:pPr>
        <w:pStyle w:val="54"/>
        <w:keepNext w:val="0"/>
        <w:keepLines w:val="0"/>
        <w:pageBreakBefore w:val="0"/>
        <w:kinsoku/>
        <w:overflowPunct/>
        <w:topLinePunct w:val="0"/>
        <w:bidi w:val="0"/>
        <w:snapToGrid/>
        <w:spacing w:before="0"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招标人、招标代理机构可以视情况延长投标文件提交的截止时间。在上述情况下，招标代理机构与投标人以前在投标截止期方面的全部权利、责任和义务，将适用于延长至新的投标截止期。</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本项目原则上采用远程异地开评标，投标人无需到开标现场，但须准时在线参加，直至评审结束。</w:t>
      </w:r>
    </w:p>
    <w:p>
      <w:pPr>
        <w:keepNext w:val="0"/>
        <w:keepLines w:val="0"/>
        <w:pageBreakBefore w:val="0"/>
        <w:kinsoku/>
        <w:overflowPunct/>
        <w:topLinePunct w:val="0"/>
        <w:bidi w:val="0"/>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备注：投标人可通过浙江省“电子交易/不见面开评标”学习专题提前进行专题学习，熟悉操作，避免影响采购活动（</w:t>
      </w:r>
      <w:r>
        <w:rPr>
          <w:rFonts w:hint="eastAsia" w:ascii="宋体" w:hAnsi="宋体" w:eastAsia="宋体" w:cs="宋体"/>
          <w:color w:val="auto"/>
          <w:spacing w:val="0"/>
          <w:sz w:val="21"/>
          <w:szCs w:val="21"/>
          <w:highlight w:val="none"/>
        </w:rPr>
        <w:fldChar w:fldCharType="begin"/>
      </w:r>
      <w:r>
        <w:rPr>
          <w:rFonts w:hint="eastAsia" w:ascii="宋体" w:hAnsi="宋体" w:eastAsia="宋体" w:cs="宋体"/>
          <w:color w:val="auto"/>
          <w:spacing w:val="0"/>
          <w:sz w:val="21"/>
          <w:szCs w:val="21"/>
          <w:highlight w:val="none"/>
        </w:rPr>
        <w:instrText xml:space="preserve"> HYPERLINK "https://edu.zcygov.cn/luban/e-biding" </w:instrText>
      </w:r>
      <w:r>
        <w:rPr>
          <w:rFonts w:hint="eastAsia" w:ascii="宋体" w:hAnsi="宋体" w:eastAsia="宋体" w:cs="宋体"/>
          <w:color w:val="auto"/>
          <w:spacing w:val="0"/>
          <w:sz w:val="21"/>
          <w:szCs w:val="21"/>
          <w:highlight w:val="none"/>
        </w:rPr>
        <w:fldChar w:fldCharType="separate"/>
      </w:r>
      <w:r>
        <w:rPr>
          <w:rFonts w:hint="eastAsia" w:ascii="宋体" w:hAnsi="宋体" w:eastAsia="宋体" w:cs="宋体"/>
          <w:color w:val="auto"/>
          <w:spacing w:val="0"/>
          <w:sz w:val="21"/>
          <w:szCs w:val="21"/>
          <w:highlight w:val="none"/>
        </w:rPr>
        <w:t>https://edu.zcygov.cn/luban/e-biding</w:t>
      </w:r>
      <w:r>
        <w:rPr>
          <w:rFonts w:hint="eastAsia" w:ascii="宋体" w:hAnsi="宋体" w:eastAsia="宋体" w:cs="宋体"/>
          <w:color w:val="auto"/>
          <w:spacing w:val="0"/>
          <w:sz w:val="21"/>
          <w:szCs w:val="21"/>
          <w:highlight w:val="none"/>
        </w:rPr>
        <w:fldChar w:fldCharType="end"/>
      </w:r>
      <w:r>
        <w:rPr>
          <w:rFonts w:hint="eastAsia" w:ascii="宋体" w:hAnsi="宋体" w:eastAsia="宋体" w:cs="宋体"/>
          <w:color w:val="auto"/>
          <w:spacing w:val="0"/>
          <w:sz w:val="21"/>
          <w:szCs w:val="21"/>
          <w:highlight w:val="none"/>
        </w:rPr>
        <w:t>）。</w:t>
      </w:r>
    </w:p>
    <w:p>
      <w:pPr>
        <w:keepNext w:val="0"/>
        <w:keepLines w:val="0"/>
        <w:pageBreakBefore w:val="0"/>
        <w:kinsoku/>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hint="eastAsia" w:ascii="宋体" w:hAnsi="宋体" w:eastAsia="宋体" w:cs="宋体"/>
          <w:b/>
          <w:color w:val="auto"/>
          <w:spacing w:val="0"/>
          <w:sz w:val="21"/>
          <w:szCs w:val="21"/>
          <w:highlight w:val="none"/>
          <w:lang w:eastAsia="zh-CN"/>
        </w:rPr>
      </w:pPr>
      <w:r>
        <w:rPr>
          <w:rFonts w:hint="eastAsia" w:ascii="宋体" w:hAnsi="宋体" w:eastAsia="宋体" w:cs="宋体"/>
          <w:b/>
          <w:color w:val="auto"/>
          <w:spacing w:val="0"/>
          <w:sz w:val="21"/>
          <w:szCs w:val="21"/>
          <w:highlight w:val="none"/>
        </w:rPr>
        <w:t>四、开标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（一）开标形式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（二）开标准备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1、开标的准备工作由采购组织机构负责落实；</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14"/>
        <w:keepNext w:val="0"/>
        <w:keepLines w:val="0"/>
        <w:pageBreakBefore w:val="0"/>
        <w:tabs>
          <w:tab w:val="left" w:pos="900"/>
        </w:tabs>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w:t>
      </w:r>
      <w:r>
        <w:rPr>
          <w:rFonts w:hint="eastAsia" w:ascii="宋体" w:hAnsi="宋体" w:eastAsia="宋体" w:cs="宋体"/>
          <w:b/>
          <w:color w:val="auto"/>
          <w:spacing w:val="0"/>
          <w:sz w:val="21"/>
          <w:szCs w:val="21"/>
          <w:highlight w:val="none"/>
          <w:lang w:val="en-US"/>
        </w:rPr>
        <w:t>三</w:t>
      </w:r>
      <w:r>
        <w:rPr>
          <w:rFonts w:hint="eastAsia" w:ascii="宋体" w:hAnsi="宋体" w:eastAsia="宋体" w:cs="宋体"/>
          <w:b/>
          <w:color w:val="auto"/>
          <w:spacing w:val="0"/>
          <w:sz w:val="21"/>
          <w:szCs w:val="21"/>
          <w:highlight w:val="none"/>
        </w:rPr>
        <w:t>）</w:t>
      </w:r>
      <w:r>
        <w:rPr>
          <w:rFonts w:hint="eastAsia" w:ascii="宋体" w:hAnsi="宋体" w:eastAsia="宋体" w:cs="宋体"/>
          <w:b/>
          <w:bCs/>
          <w:color w:val="auto"/>
          <w:spacing w:val="0"/>
          <w:sz w:val="21"/>
          <w:szCs w:val="21"/>
          <w:highlight w:val="none"/>
        </w:rPr>
        <w:t>电子投标开标及评审程序</w:t>
      </w:r>
    </w:p>
    <w:p>
      <w:pPr>
        <w:pStyle w:val="14"/>
        <w:keepNext w:val="0"/>
        <w:keepLines w:val="0"/>
        <w:pageBreakBefore w:val="0"/>
        <w:tabs>
          <w:tab w:val="left" w:pos="900"/>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bCs/>
          <w:color w:val="auto"/>
          <w:spacing w:val="0"/>
          <w:sz w:val="21"/>
          <w:szCs w:val="21"/>
          <w:highlight w:val="none"/>
        </w:rPr>
      </w:pPr>
      <w:r>
        <w:rPr>
          <w:rFonts w:hint="eastAsia" w:ascii="宋体" w:hAnsi="宋体" w:eastAsia="宋体" w:cs="宋体"/>
          <w:color w:val="auto"/>
          <w:spacing w:val="0"/>
          <w:sz w:val="21"/>
          <w:szCs w:val="21"/>
          <w:highlight w:val="none"/>
        </w:rPr>
        <w:t>采购代理机构按照招标文件规定的时间、地点和程序组织开标，开标原则上</w:t>
      </w:r>
      <w:r>
        <w:rPr>
          <w:rFonts w:hint="eastAsia" w:ascii="宋体" w:hAnsi="宋体" w:eastAsia="宋体" w:cs="宋体"/>
          <w:color w:val="auto"/>
          <w:spacing w:val="0"/>
          <w:sz w:val="21"/>
          <w:szCs w:val="21"/>
          <w:highlight w:val="none"/>
          <w:lang w:val="en-US"/>
        </w:rPr>
        <w:t>将</w:t>
      </w:r>
      <w:r>
        <w:rPr>
          <w:rFonts w:hint="eastAsia" w:ascii="宋体" w:hAnsi="宋体" w:eastAsia="宋体" w:cs="宋体"/>
          <w:color w:val="auto"/>
          <w:spacing w:val="0"/>
          <w:sz w:val="21"/>
          <w:szCs w:val="21"/>
          <w:highlight w:val="none"/>
        </w:rPr>
        <w:t>采取先开启资格文件、商务技术文件、后开启报价文件的顺序进行。具体按以下程序进行：</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1.</w:t>
      </w:r>
      <w:r>
        <w:rPr>
          <w:rFonts w:hint="eastAsia" w:ascii="宋体" w:hAnsi="宋体" w:eastAsia="宋体" w:cs="宋体"/>
          <w:b/>
          <w:bCs/>
          <w:color w:val="auto"/>
          <w:spacing w:val="0"/>
          <w:sz w:val="21"/>
          <w:szCs w:val="21"/>
          <w:highlight w:val="none"/>
        </w:rPr>
        <w:t>投标截止时间后，</w:t>
      </w:r>
      <w:r>
        <w:rPr>
          <w:rFonts w:hint="eastAsia" w:ascii="宋体" w:hAnsi="宋体" w:eastAsia="宋体" w:cs="宋体"/>
          <w:b/>
          <w:color w:val="auto"/>
          <w:spacing w:val="0"/>
          <w:sz w:val="21"/>
          <w:szCs w:val="21"/>
          <w:highlight w:val="none"/>
        </w:rPr>
        <w:t>投标人登录政采云平台，用“项目采购-开标评标”功能对电子投标文件进行在线解密。在线解密电子投标文件时间为开标时间起半个小时内；</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spacing w:val="0"/>
          <w:sz w:val="21"/>
          <w:szCs w:val="21"/>
        </w:rPr>
      </w:pPr>
      <w:r>
        <w:rPr>
          <w:rFonts w:hint="eastAsia" w:ascii="宋体" w:hAnsi="宋体" w:eastAsia="宋体" w:cs="宋体"/>
          <w:b/>
          <w:color w:val="auto"/>
          <w:spacing w:val="0"/>
          <w:sz w:val="21"/>
          <w:szCs w:val="21"/>
          <w:highlight w:val="none"/>
          <w:lang w:val="en-US" w:eastAsia="zh-CN"/>
        </w:rPr>
        <w:t>2.</w:t>
      </w:r>
      <w:r>
        <w:rPr>
          <w:rFonts w:hint="eastAsia" w:ascii="宋体" w:hAnsi="宋体" w:eastAsia="宋体" w:cs="宋体"/>
          <w:b/>
          <w:color w:val="auto"/>
          <w:spacing w:val="0"/>
          <w:sz w:val="21"/>
          <w:szCs w:val="21"/>
          <w:highlight w:val="none"/>
        </w:rPr>
        <w:t>当出现投标截止后投标人不足三家的情况时，严格按照财政部及浙江省财政厅有关规章制度进行处理</w:t>
      </w:r>
      <w:r>
        <w:rPr>
          <w:rFonts w:hint="eastAsia" w:ascii="宋体" w:hAnsi="宋体" w:eastAsia="宋体" w:cs="宋体"/>
          <w:color w:val="auto"/>
          <w:spacing w:val="0"/>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2.评标委员会对</w:t>
      </w:r>
      <w:r>
        <w:rPr>
          <w:rFonts w:hint="eastAsia" w:ascii="宋体" w:hAnsi="宋体" w:eastAsia="宋体" w:cs="宋体"/>
          <w:b/>
          <w:bCs/>
          <w:color w:val="auto"/>
          <w:spacing w:val="0"/>
          <w:sz w:val="21"/>
          <w:szCs w:val="21"/>
          <w:highlight w:val="none"/>
          <w:lang w:eastAsia="zh-CN"/>
        </w:rPr>
        <w:t>资格和</w:t>
      </w:r>
      <w:r>
        <w:rPr>
          <w:rFonts w:hint="eastAsia" w:ascii="宋体" w:hAnsi="宋体" w:eastAsia="宋体" w:cs="宋体"/>
          <w:b/>
          <w:bCs/>
          <w:color w:val="auto"/>
          <w:spacing w:val="0"/>
          <w:sz w:val="21"/>
          <w:szCs w:val="21"/>
          <w:highlight w:val="none"/>
        </w:rPr>
        <w:t>商务技术文件进行评审；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3.在系统上公开资格审查和商务技术评审结果（系统会下发商务技术分数）；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4.在系统上公开报价开标情况；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5.评标委员会对报价情况进行评审；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6.在系统上公布评审结果。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开标会结束。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ascii="宋体" w:hAnsi="宋体" w:eastAsia="宋体" w:cs="宋体"/>
          <w:b/>
          <w:color w:val="auto"/>
          <w:spacing w:val="0"/>
          <w:sz w:val="21"/>
          <w:highlight w:val="none"/>
        </w:rPr>
      </w:pPr>
      <w:r>
        <w:rPr>
          <w:rFonts w:hint="eastAsia" w:ascii="宋体" w:hAnsi="宋体" w:eastAsia="宋体" w:cs="宋体"/>
          <w:b/>
          <w:bCs/>
          <w:color w:val="auto"/>
          <w:spacing w:val="0"/>
          <w:sz w:val="21"/>
          <w:szCs w:val="21"/>
          <w:highlight w:val="none"/>
        </w:rPr>
        <w:t>特别说明：政采云公司如对电子化开标及评审程序有调整的，按调整后的程序操作。</w:t>
      </w:r>
    </w:p>
    <w:p>
      <w:pPr>
        <w:keepNext w:val="0"/>
        <w:keepLines w:val="0"/>
        <w:pageBreakBefore w:val="0"/>
        <w:kinsoku/>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t>五、评 标</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（一）评标组织</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本项目评标委员会由5人(含)以上单数的人员组成，负责对投标文件进行审查、质询、评审和比较等。评标委员会由采购咨询专家和招标人代表组成，其中采购咨询专家人数不少于成员总数的三分之二。评标委员会成员名单在评审结果（采购结果）公告前保密。</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（二）评标纪律</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1.严格遵守评标时间，因突发情况确实不能按时参加评标的，应事先告知招标组织机构；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2.服从采购组织机构的现场管理，主动出示身份证明，进入评标区域后应主动寄存移动通讯工具，按要求佩戴工作牌；</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5.自觉遵守职业道德，尊重招标人代表和投标人代表，配合采购组织机构回答投标人代表提出的有关异议；</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7.评标过程中，涉及到相关法律法规不清楚之处的，由采购人监管部门或请示权威部门作出法定解释，涉及到招标文件的由编制招标文件的机构和部门负责解释</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（三）评标程序</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评标委员会组长召集成员认真阅读招标文件以及相关补充、质疑、答复文件、项目书面说明等材料，熟悉招标项目的基本概况、要求、服务需求，合同主要条款，投标文件无效情形，评标方法、评标依据、评标标准等；</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2.评审小组组长组织评审人员独立评审。</w:t>
      </w:r>
    </w:p>
    <w:p>
      <w:pPr>
        <w:keepNext w:val="0"/>
        <w:keepLines w:val="0"/>
        <w:pageBreakBefore w:val="0"/>
        <w:widowControl w:val="0"/>
        <w:kinsoku/>
        <w:wordWrap/>
        <w:overflowPunct/>
        <w:topLinePunct w:val="0"/>
        <w:autoSpaceDE/>
        <w:autoSpaceDN/>
        <w:bidi w:val="0"/>
        <w:adjustRightInd w:val="0"/>
        <w:snapToGrid/>
        <w:spacing w:line="360" w:lineRule="auto"/>
        <w:ind w:left="0" w:right="0" w:rightChars="0" w:firstLine="422"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b/>
          <w:bCs/>
          <w:color w:val="auto"/>
          <w:spacing w:val="0"/>
          <w:sz w:val="21"/>
          <w:szCs w:val="21"/>
          <w:highlight w:val="none"/>
        </w:rPr>
        <w:t>3.资格审查</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依据法律、法规和招标文件规定，采购人或采购人代表对投标人进行资格审查，以确定投标人是否具备投标资格</w:t>
      </w:r>
      <w:r>
        <w:rPr>
          <w:rFonts w:hint="eastAsia" w:ascii="宋体" w:hAnsi="宋体" w:eastAsia="宋体" w:cs="宋体"/>
          <w:color w:val="auto"/>
          <w:spacing w:val="0"/>
          <w:sz w:val="21"/>
          <w:szCs w:val="21"/>
          <w:highlight w:val="none"/>
        </w:rPr>
        <w:t>；</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b/>
          <w:bCs/>
          <w:color w:val="auto"/>
          <w:spacing w:val="0"/>
          <w:sz w:val="21"/>
          <w:szCs w:val="21"/>
          <w:highlight w:val="none"/>
        </w:rPr>
        <w:t>4.商务技术文件的符合性审查</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评审小组</w:t>
      </w:r>
      <w:r>
        <w:rPr>
          <w:rFonts w:hint="eastAsia" w:ascii="宋体" w:hAnsi="宋体" w:eastAsia="宋体" w:cs="宋体"/>
          <w:color w:val="auto"/>
          <w:spacing w:val="0"/>
          <w:sz w:val="21"/>
          <w:szCs w:val="21"/>
          <w:highlight w:val="none"/>
        </w:rPr>
        <w:t>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b/>
          <w:bCs/>
          <w:color w:val="auto"/>
          <w:spacing w:val="0"/>
          <w:sz w:val="21"/>
          <w:szCs w:val="21"/>
          <w:highlight w:val="none"/>
        </w:rPr>
        <w:t>5.商务技术评分</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评审小组</w:t>
      </w:r>
      <w:r>
        <w:rPr>
          <w:rFonts w:hint="eastAsia" w:ascii="宋体" w:hAnsi="宋体" w:eastAsia="宋体" w:cs="宋体"/>
          <w:color w:val="auto"/>
          <w:spacing w:val="0"/>
          <w:sz w:val="21"/>
          <w:szCs w:val="21"/>
          <w:highlight w:val="none"/>
        </w:rPr>
        <w:t>按招标文件规定的评标方法和评标标准，依法独立对投标文件商务、技术部分进行评估、比较，并给予评价或打分，</w:t>
      </w:r>
      <w:r>
        <w:rPr>
          <w:rFonts w:hint="eastAsia" w:ascii="宋体" w:hAnsi="宋体" w:eastAsia="宋体" w:cs="宋体"/>
          <w:color w:val="auto"/>
          <w:spacing w:val="0"/>
          <w:sz w:val="21"/>
          <w:szCs w:val="21"/>
          <w:highlight w:val="none"/>
          <w:lang w:val="en-US" w:eastAsia="zh-CN"/>
        </w:rPr>
        <w:t>采购组织机构可协助评审小组组长对打分结果进行校对、核对并汇总统计</w:t>
      </w:r>
      <w:r>
        <w:rPr>
          <w:rFonts w:hint="eastAsia" w:ascii="宋体" w:hAnsi="宋体" w:eastAsia="宋体" w:cs="宋体"/>
          <w:color w:val="auto"/>
          <w:spacing w:val="0"/>
          <w:sz w:val="21"/>
          <w:szCs w:val="21"/>
          <w:highlight w:val="none"/>
        </w:rPr>
        <w:t>；</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w:t>
      </w:r>
      <w:r>
        <w:rPr>
          <w:rFonts w:hint="eastAsia" w:ascii="宋体" w:hAnsi="宋体" w:eastAsia="宋体" w:cs="宋体"/>
          <w:color w:val="auto"/>
          <w:spacing w:val="0"/>
          <w:sz w:val="21"/>
          <w:szCs w:val="21"/>
          <w:highlight w:val="none"/>
          <w:lang w:val="en-US" w:eastAsia="zh-CN"/>
        </w:rPr>
        <w:t>评审小组</w:t>
      </w:r>
      <w:r>
        <w:rPr>
          <w:rFonts w:hint="eastAsia" w:ascii="宋体" w:hAnsi="宋体" w:eastAsia="宋体" w:cs="宋体"/>
          <w:color w:val="auto"/>
          <w:spacing w:val="0"/>
          <w:sz w:val="21"/>
          <w:szCs w:val="21"/>
          <w:highlight w:val="none"/>
        </w:rPr>
        <w:t>对各投标文件非实质性内容有疑议或异议，或者审查发现明显的文字或计算错误等，及时向评标委员会组长提出。经评标委员会商议认为需要投标人作出必要澄清或说明的，应通知该投标人代表以书面（或通过“政府采购云平台”在线答复）形式作出澄清或说明，投标人的澄清、说明或者补正不得超出投标文件的范围或者改变投标文件的实质性内容；</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w:t>
      </w:r>
      <w:r>
        <w:rPr>
          <w:rFonts w:hint="eastAsia" w:ascii="宋体" w:hAnsi="宋体" w:eastAsia="宋体" w:cs="宋体"/>
          <w:color w:val="auto"/>
          <w:spacing w:val="0"/>
          <w:sz w:val="21"/>
          <w:szCs w:val="21"/>
          <w:highlight w:val="none"/>
          <w:lang w:val="en-US" w:eastAsia="zh-CN"/>
        </w:rPr>
        <w:t>评审小组</w:t>
      </w:r>
      <w:r>
        <w:rPr>
          <w:rFonts w:hint="eastAsia" w:ascii="宋体" w:hAnsi="宋体" w:eastAsia="宋体" w:cs="宋体"/>
          <w:color w:val="auto"/>
          <w:spacing w:val="0"/>
          <w:sz w:val="21"/>
          <w:szCs w:val="21"/>
          <w:highlight w:val="none"/>
        </w:rPr>
        <w:t>对商务、技术部分评审结果进行确认。如发现分项评分超出评分标准范围、客观评分不一致以及存在评分畸高、畸低情形的，应由相关人员当场改正或作出说明；拒不改正又不作说明的，如实记载并存入项目档案资料；</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b/>
          <w:bCs/>
          <w:color w:val="auto"/>
          <w:spacing w:val="0"/>
          <w:sz w:val="21"/>
          <w:szCs w:val="21"/>
          <w:highlight w:val="none"/>
        </w:rPr>
        <w:t>8.报价文件的符合性审查</w:t>
      </w:r>
      <w:r>
        <w:rPr>
          <w:rFonts w:hint="eastAsia" w:ascii="宋体" w:hAnsi="宋体" w:eastAsia="宋体" w:cs="宋体"/>
          <w:color w:val="auto"/>
          <w:spacing w:val="0"/>
          <w:sz w:val="21"/>
          <w:szCs w:val="21"/>
          <w:highlight w:val="none"/>
        </w:rPr>
        <w:t>，对开启的投标文件报价部分的进行有效性、完整性和响应程度等进行审查，确定是否对招标文件作出明确性响应。</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lang w:val="en-US" w:eastAsia="zh-CN"/>
        </w:rPr>
        <w:t>9.</w:t>
      </w:r>
      <w:r>
        <w:rPr>
          <w:rFonts w:hint="eastAsia" w:ascii="宋体" w:hAnsi="宋体" w:eastAsia="宋体" w:cs="宋体"/>
          <w:b/>
          <w:bCs/>
          <w:color w:val="auto"/>
          <w:spacing w:val="0"/>
          <w:sz w:val="21"/>
          <w:szCs w:val="21"/>
          <w:highlight w:val="none"/>
        </w:rPr>
        <w:t>报价评审</w:t>
      </w:r>
      <w:r>
        <w:rPr>
          <w:rFonts w:hint="eastAsia" w:ascii="宋体" w:hAnsi="宋体" w:eastAsia="宋体" w:cs="宋体"/>
          <w:b/>
          <w:bCs/>
          <w:color w:val="auto"/>
          <w:spacing w:val="0"/>
          <w:sz w:val="21"/>
          <w:szCs w:val="21"/>
          <w:highlight w:val="none"/>
          <w:lang w:eastAsia="zh-CN"/>
        </w:rPr>
        <w:t>，</w:t>
      </w:r>
      <w:r>
        <w:rPr>
          <w:rFonts w:hint="eastAsia" w:ascii="宋体" w:hAnsi="宋体" w:eastAsia="宋体" w:cs="宋体"/>
          <w:b/>
          <w:bCs/>
          <w:color w:val="auto"/>
          <w:spacing w:val="0"/>
          <w:sz w:val="21"/>
          <w:szCs w:val="21"/>
          <w:highlight w:val="none"/>
        </w:rPr>
        <w:t>投标</w:t>
      </w:r>
      <w:r>
        <w:rPr>
          <w:rFonts w:hint="eastAsia" w:ascii="宋体" w:hAnsi="宋体" w:eastAsia="宋体" w:cs="宋体"/>
          <w:b/>
          <w:bCs/>
          <w:color w:val="auto"/>
          <w:spacing w:val="0"/>
          <w:sz w:val="21"/>
          <w:szCs w:val="21"/>
          <w:highlight w:val="none"/>
          <w:lang w:eastAsia="zh-CN"/>
        </w:rPr>
        <w:t>报价</w:t>
      </w:r>
      <w:r>
        <w:rPr>
          <w:rFonts w:hint="eastAsia" w:ascii="宋体" w:hAnsi="宋体" w:eastAsia="宋体" w:cs="宋体"/>
          <w:b/>
          <w:bCs/>
          <w:color w:val="auto"/>
          <w:spacing w:val="0"/>
          <w:sz w:val="21"/>
          <w:szCs w:val="21"/>
          <w:highlight w:val="none"/>
        </w:rPr>
        <w:t>文件报价出现前后不一致的，除招标文件另有规定外，按照下列规定修正：</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（1）投标文件中开标一览表内容与投标文件中相应内容不一致的，以开标一览表为准；</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（2）大写金额和小写金额不一致的，以大写金额为准；</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（3）单价金额小数点或者百分比有明显错位的，以开标一览表的总价为准，并修改单价；</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（4）总价金额与按单价汇总金额不一致的，以单价金额计算结果为准。</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同时出现两种以上不一致的，按照前款规定的顺序修正。修正后的报价按照（六）澄清问题的形式第二款的规定经投标人确认后产生约束力，投标人不确认的，其投标无效。</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（四）投标文件的鉴定</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2.</w:t>
      </w:r>
      <w:r>
        <w:rPr>
          <w:rFonts w:hint="eastAsia" w:ascii="宋体" w:hAnsi="宋体" w:eastAsia="宋体" w:cs="宋体"/>
          <w:b/>
          <w:bCs/>
          <w:color w:val="auto"/>
          <w:spacing w:val="0"/>
          <w:sz w:val="21"/>
          <w:szCs w:val="21"/>
          <w:highlight w:val="none"/>
          <w:lang w:eastAsia="zh-CN"/>
        </w:rPr>
        <w:t>投标无效的</w:t>
      </w:r>
      <w:r>
        <w:rPr>
          <w:rFonts w:hint="eastAsia" w:ascii="宋体" w:hAnsi="宋体" w:eastAsia="宋体" w:cs="宋体"/>
          <w:b/>
          <w:bCs/>
          <w:color w:val="auto"/>
          <w:spacing w:val="0"/>
          <w:sz w:val="21"/>
          <w:szCs w:val="21"/>
          <w:highlight w:val="none"/>
        </w:rPr>
        <w:t>情形</w:t>
      </w:r>
    </w:p>
    <w:p>
      <w:pPr>
        <w:keepNext w:val="0"/>
        <w:keepLines w:val="0"/>
        <w:pageBreakBefore w:val="0"/>
        <w:tabs>
          <w:tab w:val="left" w:pos="4085"/>
        </w:tabs>
        <w:kinsoku/>
        <w:wordWrap/>
        <w:overflowPunct/>
        <w:topLinePunct w:val="0"/>
        <w:autoSpaceDE/>
        <w:autoSpaceDN/>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投标文件有下列情形之一的作无效投标处理：</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投标文件未按照招标文件要求签署、盖章的；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投标人不具备招标文件中规定的资格要求的（投标人未提供有效的资格文件的，视为投标人不具备招标文件中规定的资格要求</w:t>
      </w:r>
      <w:r>
        <w:rPr>
          <w:rFonts w:hint="eastAsia" w:ascii="宋体" w:hAnsi="宋体" w:eastAsia="宋体" w:cs="宋体"/>
          <w:color w:val="auto"/>
          <w:spacing w:val="0"/>
          <w:sz w:val="21"/>
          <w:szCs w:val="21"/>
          <w:highlight w:val="none"/>
          <w:lang w:eastAsia="zh-CN"/>
        </w:rPr>
        <w:t>）；</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（3）经查询存在不良信用记录的。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lang w:eastAsia="zh-CN"/>
        </w:rPr>
        <w:t>）单位负责人为同一人或者存在直接控股、管理关系的不同供应商参加同一合同项下的政府采购活动的（均无效）；</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lang w:eastAsia="zh-CN"/>
        </w:rPr>
        <w:t>）《法定代表人身份证明书》与提供的身份证复印件信息不符的；《法定代表人授权委托书》与提供的身份证复印件信息不符的；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lang w:eastAsia="zh-CN"/>
        </w:rPr>
        <w:t>）授权代表非投标单位正式职工的（以社保证明为准，如授权代表为离退休返聘人员的，需提供退休证明及单位聘用证明），法定代表人及个体工商户除外；</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7</w:t>
      </w:r>
      <w:r>
        <w:rPr>
          <w:rFonts w:hint="eastAsia" w:ascii="宋体" w:hAnsi="宋体" w:eastAsia="宋体" w:cs="宋体"/>
          <w:color w:val="auto"/>
          <w:spacing w:val="0"/>
          <w:sz w:val="21"/>
          <w:szCs w:val="21"/>
          <w:highlight w:val="none"/>
          <w:lang w:eastAsia="zh-CN"/>
        </w:rPr>
        <w:t>）投标文件关键内容模糊、无法辨认的；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eastAsia="宋体" w:cs="宋体"/>
          <w:spacing w:val="0"/>
          <w:sz w:val="21"/>
          <w:lang w:eastAsia="zh-CN"/>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投标人仅提交备份投标文件，没有在电子交易平台传输递交投标文件的</w:t>
      </w:r>
      <w:r>
        <w:rPr>
          <w:rFonts w:hint="eastAsia" w:ascii="宋体" w:hAnsi="宋体" w:eastAsia="宋体" w:cs="宋体"/>
          <w:color w:val="auto"/>
          <w:spacing w:val="0"/>
          <w:sz w:val="21"/>
          <w:szCs w:val="21"/>
          <w:highlight w:val="none"/>
        </w:rPr>
        <w:t>；</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9</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投标文件存在一个或一个以上备选（替代）投标方案的</w:t>
      </w:r>
      <w:r>
        <w:rPr>
          <w:rFonts w:hint="eastAsia" w:ascii="宋体" w:hAnsi="宋体" w:eastAsia="宋体" w:cs="宋体"/>
          <w:color w:val="auto"/>
          <w:spacing w:val="0"/>
          <w:sz w:val="21"/>
          <w:szCs w:val="21"/>
          <w:highlight w:val="none"/>
          <w:lang w:eastAsia="zh-CN"/>
        </w:rPr>
        <w:t>；</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10</w:t>
      </w:r>
      <w:r>
        <w:rPr>
          <w:rFonts w:hint="eastAsia" w:ascii="宋体" w:hAnsi="宋体" w:eastAsia="宋体" w:cs="宋体"/>
          <w:color w:val="auto"/>
          <w:spacing w:val="0"/>
          <w:sz w:val="21"/>
          <w:szCs w:val="21"/>
          <w:highlight w:val="none"/>
          <w:lang w:eastAsia="zh-CN"/>
        </w:rPr>
        <w:t>）同一标的物或本次招标产品(服务)内的主要产品(重要组成部分)出现商务技术文件资料、报价文件资料描述不一致或前后描述不一致，经评标委员会认定后为无法评审的；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11</w:t>
      </w:r>
      <w:r>
        <w:rPr>
          <w:rFonts w:hint="eastAsia" w:ascii="宋体" w:hAnsi="宋体" w:eastAsia="宋体" w:cs="宋体"/>
          <w:color w:val="auto"/>
          <w:spacing w:val="0"/>
          <w:sz w:val="21"/>
          <w:szCs w:val="21"/>
          <w:highlight w:val="none"/>
          <w:lang w:eastAsia="zh-CN"/>
        </w:rPr>
        <w:t>）未按招标文件规定的格式填写，或对招标服务或技术或产品等要求未详细应答或应答内容不全、有缺失的,经评标委员会认定为无法评审的；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12</w:t>
      </w:r>
      <w:r>
        <w:rPr>
          <w:rFonts w:hint="eastAsia" w:ascii="宋体" w:hAnsi="宋体" w:eastAsia="宋体" w:cs="宋体"/>
          <w:color w:val="auto"/>
          <w:spacing w:val="0"/>
          <w:sz w:val="21"/>
          <w:szCs w:val="21"/>
          <w:highlight w:val="none"/>
          <w:lang w:eastAsia="zh-CN"/>
        </w:rPr>
        <w:t>）投标文件标注的响应或偏离情况与事实不符，或提供了虚假材料的；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13</w:t>
      </w:r>
      <w:r>
        <w:rPr>
          <w:rFonts w:hint="eastAsia" w:ascii="宋体" w:hAnsi="宋体" w:eastAsia="宋体" w:cs="宋体"/>
          <w:color w:val="auto"/>
          <w:spacing w:val="0"/>
          <w:sz w:val="21"/>
          <w:szCs w:val="21"/>
          <w:highlight w:val="none"/>
          <w:lang w:eastAsia="zh-CN"/>
        </w:rPr>
        <w:t>）不响应或擅自改变本招标文件要求或投标文件有采购人不能接受的附加条件的；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14</w:t>
      </w:r>
      <w:r>
        <w:rPr>
          <w:rFonts w:hint="eastAsia" w:ascii="宋体" w:hAnsi="宋体" w:eastAsia="宋体" w:cs="宋体"/>
          <w:color w:val="auto"/>
          <w:spacing w:val="0"/>
          <w:sz w:val="21"/>
          <w:szCs w:val="21"/>
          <w:highlight w:val="none"/>
          <w:lang w:eastAsia="zh-CN"/>
        </w:rPr>
        <w:t>）评审委员会认为投标人报价明显低于其他合格投标人的报价，有可能影响服务质量或者不能诚信履约的，应当要求其在合理时间内提供书面说明，必要时提供相关证明材料；投标人不能证明其报价合理性的，评审委员会应当将其作为无效投标或者无效响应处理；</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15</w:t>
      </w:r>
      <w:r>
        <w:rPr>
          <w:rFonts w:hint="eastAsia" w:ascii="宋体" w:hAnsi="宋体" w:eastAsia="宋体" w:cs="宋体"/>
          <w:color w:val="auto"/>
          <w:spacing w:val="0"/>
          <w:sz w:val="21"/>
          <w:szCs w:val="21"/>
          <w:highlight w:val="none"/>
          <w:lang w:eastAsia="zh-CN"/>
        </w:rPr>
        <w:t>）报价超过招标文件中规定的预算金额或最高限价的；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16</w:t>
      </w:r>
      <w:r>
        <w:rPr>
          <w:rFonts w:hint="eastAsia" w:ascii="宋体" w:hAnsi="宋体" w:eastAsia="宋体" w:cs="宋体"/>
          <w:color w:val="auto"/>
          <w:spacing w:val="0"/>
          <w:sz w:val="21"/>
          <w:szCs w:val="21"/>
          <w:highlight w:val="none"/>
          <w:lang w:eastAsia="zh-CN"/>
        </w:rPr>
        <w:t>）投标文件出现不是唯一的、有选择性投标报价的；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17</w:t>
      </w:r>
      <w:r>
        <w:rPr>
          <w:rFonts w:hint="eastAsia" w:ascii="宋体" w:hAnsi="宋体" w:eastAsia="宋体" w:cs="宋体"/>
          <w:color w:val="auto"/>
          <w:spacing w:val="0"/>
          <w:sz w:val="21"/>
          <w:szCs w:val="21"/>
          <w:highlight w:val="none"/>
          <w:lang w:eastAsia="zh-CN"/>
        </w:rPr>
        <w:t>）投标文件“商务技术文件资料”部分中出现《开标一览表》相关内容的；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18</w:t>
      </w:r>
      <w:r>
        <w:rPr>
          <w:rFonts w:hint="eastAsia" w:ascii="宋体" w:hAnsi="宋体" w:eastAsia="宋体" w:cs="宋体"/>
          <w:color w:val="auto"/>
          <w:spacing w:val="0"/>
          <w:sz w:val="21"/>
          <w:szCs w:val="21"/>
          <w:highlight w:val="none"/>
          <w:lang w:eastAsia="zh-CN"/>
        </w:rPr>
        <w:t>）采购人拟采购的产品属于政府强制采购的节能产品品目清单范围的，投标人未按招标文件要求提供国家确定的认证机构出具的、处于有效期之内的节能产品认证证书的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19</w:t>
      </w:r>
      <w:r>
        <w:rPr>
          <w:rFonts w:hint="eastAsia" w:ascii="宋体" w:hAnsi="宋体" w:eastAsia="宋体" w:cs="宋体"/>
          <w:color w:val="auto"/>
          <w:spacing w:val="0"/>
          <w:sz w:val="21"/>
          <w:szCs w:val="21"/>
          <w:highlight w:val="none"/>
          <w:lang w:eastAsia="zh-CN"/>
        </w:rPr>
        <w:t>）投标人对根据修正原则修正后的报价不确认的；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20</w:t>
      </w:r>
      <w:r>
        <w:rPr>
          <w:rFonts w:hint="eastAsia" w:ascii="宋体" w:hAnsi="宋体" w:eastAsia="宋体" w:cs="宋体"/>
          <w:color w:val="auto"/>
          <w:spacing w:val="0"/>
          <w:sz w:val="21"/>
          <w:szCs w:val="21"/>
          <w:highlight w:val="none"/>
          <w:lang w:eastAsia="zh-CN"/>
        </w:rPr>
        <w:t>）报价一经涂改，未在涂改处加盖投标单位公章或者未经法定代表人或其授权代表签字或盖章的；</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textAlignment w:val="auto"/>
        <w:outlineLvl w:val="9"/>
        <w:rPr>
          <w:rFonts w:hint="eastAsia" w:eastAsia="宋体" w:cs="宋体"/>
          <w:spacing w:val="0"/>
          <w:sz w:val="21"/>
          <w:lang w:eastAsia="zh-CN"/>
        </w:rPr>
      </w:pPr>
      <w:r>
        <w:rPr>
          <w:rFonts w:hint="eastAsia" w:ascii="宋体" w:hAnsi="宋体" w:eastAsia="宋体" w:cs="宋体"/>
          <w:spacing w:val="0"/>
          <w:sz w:val="21"/>
          <w:szCs w:val="21"/>
        </w:rPr>
        <w:t>（</w:t>
      </w:r>
      <w:r>
        <w:rPr>
          <w:rFonts w:hint="eastAsia" w:ascii="宋体" w:hAnsi="宋体" w:eastAsia="宋体" w:cs="宋体"/>
          <w:spacing w:val="0"/>
          <w:sz w:val="21"/>
          <w:szCs w:val="21"/>
          <w:lang w:val="en-US" w:eastAsia="zh-CN"/>
        </w:rPr>
        <w:t>21</w:t>
      </w:r>
      <w:r>
        <w:rPr>
          <w:rFonts w:hint="eastAsia" w:ascii="宋体" w:hAnsi="宋体" w:eastAsia="宋体" w:cs="宋体"/>
          <w:spacing w:val="0"/>
          <w:sz w:val="21"/>
          <w:szCs w:val="21"/>
        </w:rPr>
        <w:t>）违反国家或政府部门相关法律、法规、文件规定的。</w:t>
      </w:r>
    </w:p>
    <w:p>
      <w:pPr>
        <w:keepNext w:val="0"/>
        <w:keepLines w:val="0"/>
        <w:pageBreakBefore w:val="0"/>
        <w:widowControl/>
        <w:kinsoku/>
        <w:wordWrap/>
        <w:overflowPunct/>
        <w:topLinePunct w:val="0"/>
        <w:autoSpaceDE w:val="0"/>
        <w:autoSpaceDN w:val="0"/>
        <w:bidi w:val="0"/>
        <w:snapToGrid/>
        <w:spacing w:line="360" w:lineRule="auto"/>
        <w:ind w:right="0" w:rightChars="0" w:firstLine="422" w:firstLineChars="200"/>
        <w:jc w:val="left"/>
        <w:textAlignment w:val="auto"/>
        <w:outlineLvl w:val="9"/>
        <w:rPr>
          <w:rFonts w:ascii="宋体" w:hAnsi="宋体" w:eastAsia="宋体" w:cs="宋体"/>
          <w:b/>
          <w:spacing w:val="0"/>
          <w:sz w:val="21"/>
          <w:szCs w:val="21"/>
        </w:rPr>
      </w:pPr>
      <w:r>
        <w:rPr>
          <w:rFonts w:hint="eastAsia" w:ascii="宋体" w:hAnsi="宋体" w:eastAsia="宋体" w:cs="宋体"/>
          <w:b/>
          <w:spacing w:val="0"/>
          <w:sz w:val="21"/>
          <w:szCs w:val="21"/>
          <w:lang w:val="en-US" w:eastAsia="zh-CN"/>
        </w:rPr>
        <w:t>3</w:t>
      </w:r>
      <w:r>
        <w:rPr>
          <w:rFonts w:hint="eastAsia" w:ascii="宋体" w:hAnsi="宋体" w:eastAsia="宋体" w:cs="宋体"/>
          <w:b/>
          <w:spacing w:val="0"/>
          <w:sz w:val="21"/>
          <w:szCs w:val="21"/>
        </w:rPr>
        <w:t>.有下列情形之一的，视为投标人串通投标，其投标无效，由采购人或采购代理机构上报采购监督管理部门，视情列入不良行为记录名单，在一至三年内禁止参加政府采购活动：</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textAlignment w:val="auto"/>
        <w:outlineLvl w:val="9"/>
        <w:rPr>
          <w:rFonts w:ascii="宋体" w:hAnsi="宋体" w:eastAsia="宋体" w:cs="宋体"/>
          <w:spacing w:val="0"/>
          <w:sz w:val="21"/>
          <w:szCs w:val="21"/>
        </w:rPr>
      </w:pPr>
      <w:r>
        <w:rPr>
          <w:rFonts w:hint="eastAsia" w:ascii="宋体" w:hAnsi="宋体" w:eastAsia="宋体" w:cs="宋体"/>
          <w:spacing w:val="0"/>
          <w:sz w:val="21"/>
          <w:szCs w:val="21"/>
        </w:rPr>
        <w:t>（1）不同投标人的投标文件由同一单位或者个人编制；</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textAlignment w:val="auto"/>
        <w:outlineLvl w:val="9"/>
        <w:rPr>
          <w:rFonts w:ascii="宋体" w:hAnsi="宋体" w:eastAsia="宋体" w:cs="宋体"/>
          <w:spacing w:val="0"/>
          <w:sz w:val="21"/>
          <w:szCs w:val="21"/>
        </w:rPr>
      </w:pPr>
      <w:r>
        <w:rPr>
          <w:rFonts w:hint="eastAsia" w:ascii="宋体" w:hAnsi="宋体" w:eastAsia="宋体" w:cs="宋体"/>
          <w:spacing w:val="0"/>
          <w:sz w:val="21"/>
          <w:szCs w:val="21"/>
        </w:rPr>
        <w:t>（2）不同投标人委托同一单位或者个人办理投标事宜；</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textAlignment w:val="auto"/>
        <w:outlineLvl w:val="9"/>
        <w:rPr>
          <w:rFonts w:ascii="宋体" w:hAnsi="宋体" w:eastAsia="宋体" w:cs="宋体"/>
          <w:spacing w:val="0"/>
          <w:sz w:val="21"/>
          <w:szCs w:val="21"/>
        </w:rPr>
      </w:pPr>
      <w:r>
        <w:rPr>
          <w:rFonts w:hint="eastAsia" w:ascii="宋体" w:hAnsi="宋体" w:eastAsia="宋体" w:cs="宋体"/>
          <w:spacing w:val="0"/>
          <w:sz w:val="21"/>
          <w:szCs w:val="21"/>
        </w:rPr>
        <w:t>（3）不同投标人的投标文件载明的项目管理成员或者联系人员为同一人；</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textAlignment w:val="auto"/>
        <w:outlineLvl w:val="9"/>
        <w:rPr>
          <w:rFonts w:ascii="宋体" w:hAnsi="宋体" w:eastAsia="宋体" w:cs="宋体"/>
          <w:spacing w:val="0"/>
          <w:sz w:val="21"/>
          <w:szCs w:val="21"/>
        </w:rPr>
      </w:pPr>
      <w:r>
        <w:rPr>
          <w:rFonts w:hint="eastAsia" w:ascii="宋体" w:hAnsi="宋体" w:eastAsia="宋体" w:cs="宋体"/>
          <w:spacing w:val="0"/>
          <w:sz w:val="21"/>
          <w:szCs w:val="21"/>
        </w:rPr>
        <w:t>（4）不同投标人的投标文件异常一致或者投标报价呈规律性差异；</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textAlignment w:val="auto"/>
        <w:outlineLvl w:val="9"/>
        <w:rPr>
          <w:rFonts w:ascii="宋体" w:hAnsi="宋体" w:eastAsia="宋体" w:cs="宋体"/>
          <w:spacing w:val="0"/>
          <w:sz w:val="21"/>
          <w:szCs w:val="21"/>
        </w:rPr>
      </w:pPr>
      <w:r>
        <w:rPr>
          <w:rFonts w:hint="eastAsia" w:ascii="宋体" w:hAnsi="宋体" w:eastAsia="宋体" w:cs="宋体"/>
          <w:spacing w:val="0"/>
          <w:sz w:val="21"/>
          <w:szCs w:val="21"/>
        </w:rPr>
        <w:t>（5）不同投标人的投标文件相互混装；</w:t>
      </w:r>
    </w:p>
    <w:p>
      <w:pPr>
        <w:keepNext w:val="0"/>
        <w:keepLines w:val="0"/>
        <w:pageBreakBefore w:val="0"/>
        <w:widowControl/>
        <w:kinsoku/>
        <w:wordWrap/>
        <w:overflowPunct/>
        <w:topLinePunct w:val="0"/>
        <w:autoSpaceDE w:val="0"/>
        <w:autoSpaceDN w:val="0"/>
        <w:bidi w:val="0"/>
        <w:snapToGrid/>
        <w:spacing w:line="360" w:lineRule="auto"/>
        <w:ind w:right="0" w:rightChars="0" w:firstLine="420" w:firstLineChars="200"/>
        <w:jc w:val="left"/>
        <w:textAlignment w:val="auto"/>
        <w:outlineLvl w:val="9"/>
        <w:rPr>
          <w:rFonts w:hint="default" w:eastAsia="宋体" w:cs="宋体"/>
          <w:spacing w:val="0"/>
          <w:sz w:val="21"/>
          <w:lang w:val="en-US" w:eastAsia="zh-CN"/>
        </w:rPr>
      </w:pPr>
      <w:r>
        <w:rPr>
          <w:rFonts w:hint="eastAsia" w:ascii="宋体" w:hAnsi="宋体" w:eastAsia="宋体" w:cs="宋体"/>
          <w:spacing w:val="0"/>
          <w:sz w:val="21"/>
          <w:szCs w:val="21"/>
        </w:rPr>
        <w:t>（6）法律、法规、规章等规定的其他情形。</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（五）废标情形</w:t>
      </w:r>
    </w:p>
    <w:p>
      <w:pPr>
        <w:keepNext w:val="0"/>
        <w:keepLines w:val="0"/>
        <w:pageBreakBefore w:val="0"/>
        <w:kinsoku/>
        <w:wordWrap/>
        <w:overflowPunct/>
        <w:topLinePunct w:val="0"/>
        <w:bidi w:val="0"/>
        <w:adjustRightInd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1.在招标采购中，出现下列情形之一的，本项目废标：</w:t>
      </w:r>
    </w:p>
    <w:p>
      <w:pPr>
        <w:keepNext w:val="0"/>
        <w:keepLines w:val="0"/>
        <w:pageBreakBefore w:val="0"/>
        <w:kinsoku/>
        <w:wordWrap/>
        <w:overflowPunct/>
        <w:topLinePunct w:val="0"/>
        <w:bidi w:val="0"/>
        <w:adjustRightInd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符合专业条件的投标人或者对招标文件作实质响应的投标人不足三家的；</w:t>
      </w:r>
    </w:p>
    <w:p>
      <w:pPr>
        <w:keepNext w:val="0"/>
        <w:keepLines w:val="0"/>
        <w:pageBreakBefore w:val="0"/>
        <w:kinsoku/>
        <w:wordWrap/>
        <w:overflowPunct/>
        <w:topLinePunct w:val="0"/>
        <w:bidi w:val="0"/>
        <w:adjustRightInd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出现影响采购公正的违法、违规行为的；</w:t>
      </w:r>
    </w:p>
    <w:p>
      <w:pPr>
        <w:keepNext w:val="0"/>
        <w:keepLines w:val="0"/>
        <w:pageBreakBefore w:val="0"/>
        <w:kinsoku/>
        <w:wordWrap/>
        <w:overflowPunct/>
        <w:topLinePunct w:val="0"/>
        <w:bidi w:val="0"/>
        <w:adjustRightInd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投标人的报价均超过了采购预算</w:t>
      </w:r>
      <w:r>
        <w:rPr>
          <w:rFonts w:hint="eastAsia" w:ascii="宋体" w:hAnsi="宋体" w:eastAsia="宋体" w:cs="宋体"/>
          <w:color w:val="auto"/>
          <w:spacing w:val="0"/>
          <w:sz w:val="21"/>
          <w:szCs w:val="21"/>
          <w:highlight w:val="none"/>
          <w:lang w:eastAsia="zh-CN"/>
        </w:rPr>
        <w:t>（或最高限价）</w:t>
      </w:r>
      <w:r>
        <w:rPr>
          <w:rFonts w:hint="eastAsia" w:ascii="宋体" w:hAnsi="宋体" w:eastAsia="宋体" w:cs="宋体"/>
          <w:color w:val="auto"/>
          <w:spacing w:val="0"/>
          <w:sz w:val="21"/>
          <w:szCs w:val="21"/>
          <w:highlight w:val="none"/>
        </w:rPr>
        <w:t>，采购人不能支付的；</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因重大变故，采购任务取消的。</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（六）澄清问题的形式</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r>
        <w:rPr>
          <w:rFonts w:hint="eastAsia" w:ascii="宋体" w:hAnsi="宋体" w:eastAsia="宋体" w:cs="宋体"/>
          <w:color w:val="auto"/>
          <w:spacing w:val="0"/>
          <w:sz w:val="21"/>
          <w:szCs w:val="21"/>
          <w:highlight w:val="none"/>
          <w:lang w:eastAsia="zh-CN"/>
        </w:rPr>
        <w:t>.</w:t>
      </w:r>
      <w:r>
        <w:rPr>
          <w:rFonts w:eastAsia="宋体" w:cs="宋体"/>
          <w:color w:val="auto"/>
          <w:spacing w:val="0"/>
          <w:sz w:val="21"/>
          <w:highlight w:val="none"/>
        </w:rPr>
        <w:fldChar w:fldCharType="begin"/>
      </w:r>
      <w:r>
        <w:rPr>
          <w:rFonts w:eastAsia="宋体" w:cs="宋体"/>
          <w:color w:val="auto"/>
          <w:spacing w:val="0"/>
          <w:sz w:val="21"/>
          <w:highlight w:val="none"/>
        </w:rPr>
        <w:instrText xml:space="preserve"> HYPERLINK "mailto: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采用书面形式的澄清、说明或者更正，投标人应在规定时间内（不得少于半小时）通过指定的电子邮箱（646289109@qq.com" </w:instrText>
      </w:r>
      <w:r>
        <w:rPr>
          <w:rFonts w:eastAsia="宋体" w:cs="宋体"/>
          <w:color w:val="auto"/>
          <w:spacing w:val="0"/>
          <w:sz w:val="21"/>
          <w:highlight w:val="none"/>
        </w:rPr>
        <w:fldChar w:fldCharType="separate"/>
      </w:r>
      <w:r>
        <w:rPr>
          <w:rFonts w:hint="eastAsia" w:ascii="宋体" w:hAnsi="宋体" w:eastAsia="宋体" w:cs="宋体"/>
          <w:color w:val="auto"/>
          <w:spacing w:val="0"/>
          <w:sz w:val="21"/>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采用书面形式的澄清、说明或者更正，投标人应在规定时间内通过指定的电子邮箱（1149193324@qq.com</w:t>
      </w:r>
      <w:r>
        <w:rPr>
          <w:rFonts w:hint="eastAsia" w:ascii="宋体" w:hAnsi="宋体" w:eastAsia="宋体" w:cs="宋体"/>
          <w:color w:val="auto"/>
          <w:spacing w:val="0"/>
          <w:sz w:val="21"/>
          <w:szCs w:val="21"/>
          <w:highlight w:val="none"/>
        </w:rPr>
        <w:fldChar w:fldCharType="end"/>
      </w:r>
      <w:r>
        <w:rPr>
          <w:rFonts w:hint="eastAsia" w:ascii="宋体" w:hAnsi="宋体" w:eastAsia="宋体" w:cs="宋体"/>
          <w:color w:val="auto"/>
          <w:spacing w:val="0"/>
          <w:sz w:val="21"/>
          <w:szCs w:val="21"/>
          <w:highlight w:val="none"/>
        </w:rPr>
        <w:t>）提交。</w:t>
      </w:r>
    </w:p>
    <w:p>
      <w:pPr>
        <w:keepNext w:val="0"/>
        <w:keepLines w:val="0"/>
        <w:pageBreakBefore w:val="0"/>
        <w:kinsoku/>
        <w:wordWrap/>
        <w:overflowPunct/>
        <w:topLinePunct w:val="0"/>
        <w:bidi w:val="0"/>
        <w:snapToGrid/>
        <w:spacing w:line="360" w:lineRule="auto"/>
        <w:ind w:right="0" w:rightChars="0" w:firstLine="422" w:firstLineChars="200"/>
        <w:jc w:val="left"/>
        <w:textAlignment w:val="auto"/>
        <w:outlineLvl w:val="9"/>
        <w:rPr>
          <w:rFonts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w:t>
      </w:r>
      <w:r>
        <w:rPr>
          <w:rFonts w:hint="eastAsia" w:ascii="宋体" w:hAnsi="宋体" w:eastAsia="宋体" w:cs="宋体"/>
          <w:b/>
          <w:color w:val="auto"/>
          <w:spacing w:val="0"/>
          <w:sz w:val="21"/>
          <w:szCs w:val="21"/>
          <w:highlight w:val="none"/>
          <w:lang w:eastAsia="zh-CN"/>
        </w:rPr>
        <w:t>七</w:t>
      </w:r>
      <w:r>
        <w:rPr>
          <w:rFonts w:hint="eastAsia" w:ascii="宋体" w:hAnsi="宋体" w:eastAsia="宋体" w:cs="宋体"/>
          <w:b/>
          <w:color w:val="auto"/>
          <w:spacing w:val="0"/>
          <w:sz w:val="21"/>
          <w:szCs w:val="21"/>
          <w:highlight w:val="none"/>
        </w:rPr>
        <w:t>）评标原则和评标办法</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2.评标中因评标委员会成员缺席、回避或者健康等特殊原因导致评标委员会组成不符合规定的，依法补足后继续评标。被更换的评标委员会成员所作出的评标意见无效。</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eastAsia="宋体" w:cs="宋体"/>
          <w:color w:val="auto"/>
          <w:spacing w:val="0"/>
          <w:sz w:val="21"/>
          <w:highlight w:val="none"/>
        </w:rPr>
      </w:pPr>
      <w:r>
        <w:rPr>
          <w:rFonts w:hint="eastAsia" w:ascii="宋体" w:hAnsi="宋体" w:eastAsia="宋体" w:cs="宋体"/>
          <w:color w:val="auto"/>
          <w:spacing w:val="0"/>
          <w:sz w:val="21"/>
          <w:szCs w:val="21"/>
          <w:highlight w:val="none"/>
        </w:rPr>
        <w:t>4.评标办法。本项目评标办法是综合评分法，具体评标内容及评分标准等详见《评分办法》。</w:t>
      </w:r>
    </w:p>
    <w:p>
      <w:pPr>
        <w:keepNext w:val="0"/>
        <w:keepLines w:val="0"/>
        <w:pageBreakBefore w:val="0"/>
        <w:numPr>
          <w:ilvl w:val="0"/>
          <w:numId w:val="6"/>
        </w:numPr>
        <w:kinsoku/>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t>定 标</w:t>
      </w:r>
    </w:p>
    <w:p>
      <w:pPr>
        <w:pStyle w:val="14"/>
        <w:keepNext w:val="0"/>
        <w:keepLines w:val="0"/>
        <w:pageBreakBefore w:val="0"/>
        <w:widowControl w:val="0"/>
        <w:tabs>
          <w:tab w:val="left" w:pos="1440"/>
        </w:tabs>
        <w:kinsoku/>
        <w:wordWrap/>
        <w:overflowPunct/>
        <w:topLinePunct w:val="0"/>
        <w:bidi w:val="0"/>
        <w:snapToGrid/>
        <w:spacing w:line="360" w:lineRule="auto"/>
        <w:ind w:left="0" w:leftChars="0"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1.采购代理机构自评标结束之日起2个工作日内将评标报告送交采购人。采购人收到评标报告之日起5个工作日内在评标报告推荐的中标候选人确定中标人。</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ascii="宋体" w:hAnsi="宋体" w:eastAsia="宋体" w:cs="宋体"/>
          <w:b/>
          <w:color w:val="auto"/>
          <w:spacing w:val="0"/>
          <w:sz w:val="21"/>
          <w:highlight w:val="none"/>
        </w:rPr>
      </w:pPr>
      <w:r>
        <w:rPr>
          <w:rFonts w:hint="eastAsia" w:ascii="宋体" w:hAnsi="宋体" w:eastAsia="宋体" w:cs="宋体"/>
          <w:color w:val="auto"/>
          <w:spacing w:val="0"/>
          <w:sz w:val="21"/>
          <w:szCs w:val="21"/>
          <w:highlight w:val="none"/>
        </w:rPr>
        <w:t>2.采购代理机构自中标人确定之日起2个工作日内，发出中标通知书，并在浙江政府采购网（</w:t>
      </w:r>
      <w:r>
        <w:rPr>
          <w:rFonts w:eastAsia="宋体" w:cs="宋体"/>
          <w:color w:val="auto"/>
          <w:spacing w:val="0"/>
          <w:sz w:val="21"/>
          <w:highlight w:val="none"/>
        </w:rPr>
        <w:fldChar w:fldCharType="begin"/>
      </w:r>
      <w:r>
        <w:rPr>
          <w:rFonts w:eastAsia="宋体" w:cs="宋体"/>
          <w:color w:val="auto"/>
          <w:spacing w:val="0"/>
          <w:sz w:val="21"/>
          <w:highlight w:val="none"/>
        </w:rPr>
        <w:instrText xml:space="preserve"> HYPERLINK "http://www.zjzfcg.gov.cn/" </w:instrText>
      </w:r>
      <w:r>
        <w:rPr>
          <w:rFonts w:eastAsia="宋体" w:cs="宋体"/>
          <w:color w:val="auto"/>
          <w:spacing w:val="0"/>
          <w:sz w:val="21"/>
          <w:highlight w:val="none"/>
        </w:rPr>
        <w:fldChar w:fldCharType="separate"/>
      </w:r>
      <w:r>
        <w:rPr>
          <w:rFonts w:hint="eastAsia" w:ascii="宋体" w:hAnsi="宋体" w:eastAsia="宋体" w:cs="宋体"/>
          <w:color w:val="auto"/>
          <w:spacing w:val="0"/>
          <w:sz w:val="21"/>
          <w:szCs w:val="21"/>
          <w:highlight w:val="none"/>
        </w:rPr>
        <w:t>http://zfcg.czt.zj.gov.cn</w:t>
      </w:r>
      <w:r>
        <w:rPr>
          <w:rFonts w:hint="eastAsia" w:ascii="宋体" w:hAnsi="宋体" w:eastAsia="宋体" w:cs="宋体"/>
          <w:color w:val="auto"/>
          <w:spacing w:val="0"/>
          <w:sz w:val="21"/>
          <w:szCs w:val="21"/>
          <w:highlight w:val="none"/>
        </w:rPr>
        <w:fldChar w:fldCharType="end"/>
      </w:r>
      <w:r>
        <w:rPr>
          <w:rFonts w:hint="eastAsia" w:ascii="宋体" w:hAnsi="宋体" w:eastAsia="宋体" w:cs="宋体"/>
          <w:color w:val="auto"/>
          <w:spacing w:val="0"/>
          <w:sz w:val="21"/>
          <w:szCs w:val="21"/>
          <w:highlight w:val="none"/>
        </w:rPr>
        <w:t>）等相关网站或媒体上公告中标结果</w:t>
      </w:r>
    </w:p>
    <w:p>
      <w:pPr>
        <w:keepNext w:val="0"/>
        <w:keepLines w:val="0"/>
        <w:pageBreakBefore w:val="0"/>
        <w:kinsoku/>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t>七、合同的授予</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3．履约担保</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3.1 合同协议书签署后15天内，中标人应向招标人提交</w:t>
      </w:r>
      <w:r>
        <w:rPr>
          <w:rFonts w:hint="eastAsia" w:ascii="宋体" w:hAnsi="宋体" w:eastAsia="宋体" w:cs="宋体"/>
          <w:b/>
          <w:bCs/>
          <w:color w:val="auto"/>
          <w:spacing w:val="0"/>
          <w:sz w:val="21"/>
          <w:szCs w:val="21"/>
          <w:highlight w:val="none"/>
          <w:u w:val="single"/>
        </w:rPr>
        <w:t>中标价1%</w:t>
      </w:r>
      <w:r>
        <w:rPr>
          <w:rFonts w:hint="eastAsia" w:ascii="宋体" w:hAnsi="宋体" w:eastAsia="宋体" w:cs="宋体"/>
          <w:color w:val="auto"/>
          <w:spacing w:val="0"/>
          <w:sz w:val="21"/>
          <w:szCs w:val="21"/>
          <w:highlight w:val="none"/>
          <w:u w:val="none"/>
        </w:rPr>
        <w:t>的</w:t>
      </w:r>
      <w:r>
        <w:rPr>
          <w:rFonts w:hint="eastAsia" w:ascii="宋体" w:hAnsi="宋体" w:eastAsia="宋体" w:cs="宋体"/>
          <w:color w:val="auto"/>
          <w:spacing w:val="0"/>
          <w:sz w:val="21"/>
          <w:szCs w:val="21"/>
          <w:highlight w:val="none"/>
        </w:rPr>
        <w:t>履约保证金到招标人指定的帐户。未按规定提交履约保证金的招标人有权取消中标人的资格，履约保证金不计利息；</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3.2 履约保证金的退回：项目</w:t>
      </w:r>
      <w:r>
        <w:rPr>
          <w:rFonts w:hint="eastAsia" w:ascii="宋体" w:hAnsi="宋体" w:eastAsia="宋体" w:cs="宋体"/>
          <w:bCs/>
          <w:color w:val="auto"/>
          <w:spacing w:val="0"/>
          <w:sz w:val="21"/>
          <w:szCs w:val="21"/>
          <w:highlight w:val="none"/>
        </w:rPr>
        <w:t>完成全部培训任务并对培训对象考核完成，经采购单位对培训质量考评合格，全部培训资料归集整理移交后</w:t>
      </w:r>
      <w:r>
        <w:rPr>
          <w:rFonts w:hint="eastAsia" w:ascii="宋体" w:hAnsi="宋体" w:eastAsia="宋体" w:cs="宋体"/>
          <w:color w:val="auto"/>
          <w:spacing w:val="0"/>
          <w:sz w:val="21"/>
          <w:szCs w:val="21"/>
          <w:highlight w:val="none"/>
        </w:rPr>
        <w:t>并符合招标文件的全部要求后30天内退还(无息)；如有未履约的则相应扣除；</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20" w:firstLineChars="200"/>
        <w:jc w:val="left"/>
        <w:textAlignment w:val="auto"/>
        <w:outlineLvl w:val="9"/>
        <w:rPr>
          <w:rFonts w:ascii="宋体" w:hAnsi="宋体" w:eastAsia="宋体" w:cs="宋体"/>
          <w:b/>
          <w:color w:val="auto"/>
          <w:spacing w:val="0"/>
          <w:sz w:val="21"/>
          <w:highlight w:val="none"/>
        </w:rPr>
      </w:pPr>
      <w:r>
        <w:rPr>
          <w:rFonts w:hint="eastAsia" w:ascii="宋体" w:hAnsi="宋体" w:eastAsia="宋体" w:cs="宋体"/>
          <w:color w:val="auto"/>
          <w:spacing w:val="0"/>
          <w:sz w:val="21"/>
          <w:szCs w:val="21"/>
          <w:highlight w:val="none"/>
        </w:rPr>
        <w:t>3.3 招标人有权从履约保证金中扣除因中标人违约而导致经济损失，且中标人应在接到扣除履约保证金通知后一周内须补足履约保证金数额，保证服务期内履约保证金数额的完整。</w:t>
      </w:r>
    </w:p>
    <w:p>
      <w:pPr>
        <w:keepNext w:val="0"/>
        <w:keepLines w:val="0"/>
        <w:pageBreakBefore w:val="0"/>
        <w:kinsoku/>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ascii="宋体" w:hAnsi="宋体" w:eastAsia="宋体" w:cs="宋体"/>
          <w:b/>
          <w:color w:val="auto"/>
          <w:spacing w:val="0"/>
          <w:sz w:val="21"/>
          <w:highlight w:val="none"/>
        </w:rPr>
      </w:pPr>
      <w:r>
        <w:rPr>
          <w:rFonts w:hint="eastAsia" w:ascii="宋体" w:hAnsi="宋体" w:eastAsia="宋体" w:cs="宋体"/>
          <w:b/>
          <w:color w:val="auto"/>
          <w:spacing w:val="0"/>
          <w:sz w:val="21"/>
          <w:highlight w:val="none"/>
        </w:rPr>
        <w:t>八、可中止电子交易活动的情形</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采购过程中出现以下情形，导致电子交易平台无法正常运行，或者无法保证电子交易的公平、公正和安全时，采购代理机构可中止电子交易活动：</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1.电子交易平台发生故障而无法登录访问的；</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2.电子交易平台应用或数据库出现错误，不能进行正常操作的；</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3.电子交易平台发现严重安全漏洞，有潜在泄密危险的；</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4.病毒发作导致不能进行正常操作的；</w:t>
      </w:r>
    </w:p>
    <w:p>
      <w:pPr>
        <w:keepNext w:val="0"/>
        <w:keepLines w:val="0"/>
        <w:pageBreakBefore w:val="0"/>
        <w:widowControl w:val="0"/>
        <w:kinsoku/>
        <w:wordWrap/>
        <w:overflowPunct/>
        <w:topLinePunct w:val="0"/>
        <w:bidi w:val="0"/>
        <w:snapToGrid/>
        <w:spacing w:line="360" w:lineRule="auto"/>
        <w:ind w:right="0" w:rightChars="0" w:firstLine="420" w:firstLineChars="200"/>
        <w:jc w:val="left"/>
        <w:textAlignment w:val="auto"/>
        <w:outlineLvl w:val="9"/>
        <w:rPr>
          <w:rFonts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5.其他无法保证电子交易的公平、公正和安全的情况。</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20" w:firstLineChars="200"/>
        <w:jc w:val="left"/>
        <w:textAlignment w:val="auto"/>
        <w:outlineLvl w:val="9"/>
        <w:rPr>
          <w:rFonts w:hint="eastAsia" w:eastAsia="宋体" w:cs="宋体"/>
          <w:spacing w:val="0"/>
          <w:sz w:val="21"/>
          <w:szCs w:val="21"/>
          <w:lang w:val="zh-CN"/>
        </w:rPr>
      </w:pPr>
      <w:r>
        <w:rPr>
          <w:rFonts w:hint="eastAsia" w:ascii="宋体" w:hAnsi="宋体" w:eastAsia="宋体" w:cs="宋体"/>
          <w:color w:val="auto"/>
          <w:spacing w:val="0"/>
          <w:sz w:val="21"/>
          <w:szCs w:val="21"/>
          <w:highlight w:val="none"/>
        </w:rPr>
        <w:t>出现前款规定情形，不影响采购公平、公正性的，采购代理机构可以待上述情形消除后继续组织电子交易活动；影响或可能影响采购公平、公正性的，应当重新采购。</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422" w:firstLineChars="200"/>
        <w:jc w:val="left"/>
        <w:textAlignment w:val="auto"/>
        <w:outlineLvl w:val="9"/>
        <w:rPr>
          <w:rFonts w:hint="eastAsia" w:ascii="宋体" w:hAnsi="宋体" w:eastAsia="宋体" w:cs="宋体"/>
          <w:b/>
          <w:color w:val="auto"/>
          <w:sz w:val="21"/>
          <w:szCs w:val="21"/>
          <w:highlight w:val="none"/>
          <w:lang w:val="zh-CN"/>
        </w:rPr>
      </w:pPr>
    </w:p>
    <w:p>
      <w:pPr>
        <w:numPr>
          <w:ilvl w:val="0"/>
          <w:numId w:val="0"/>
        </w:numPr>
        <w:autoSpaceDE w:val="0"/>
        <w:autoSpaceDN w:val="0"/>
        <w:adjustRightInd w:val="0"/>
        <w:spacing w:line="400" w:lineRule="exact"/>
        <w:jc w:val="center"/>
        <w:outlineLvl w:val="0"/>
        <w:rPr>
          <w:rFonts w:hint="eastAsia" w:ascii="宋体" w:hAnsi="宋体" w:eastAsia="宋体" w:cs="宋体"/>
          <w:b/>
          <w:color w:val="auto"/>
          <w:sz w:val="36"/>
          <w:szCs w:val="36"/>
          <w:highlight w:val="none"/>
          <w:lang w:val="zh-CN"/>
        </w:rPr>
      </w:pPr>
    </w:p>
    <w:p>
      <w:pPr>
        <w:numPr>
          <w:ilvl w:val="0"/>
          <w:numId w:val="0"/>
        </w:numPr>
        <w:autoSpaceDE w:val="0"/>
        <w:autoSpaceDN w:val="0"/>
        <w:adjustRightInd w:val="0"/>
        <w:spacing w:line="400" w:lineRule="exact"/>
        <w:jc w:val="center"/>
        <w:outlineLvl w:val="0"/>
        <w:rPr>
          <w:rFonts w:hint="eastAsia" w:ascii="宋体" w:hAnsi="宋体" w:eastAsia="宋体" w:cs="宋体"/>
          <w:b/>
          <w:color w:val="auto"/>
          <w:sz w:val="36"/>
          <w:szCs w:val="36"/>
          <w:highlight w:val="none"/>
          <w:lang w:val="zh-CN"/>
        </w:rPr>
      </w:pPr>
    </w:p>
    <w:p>
      <w:pPr>
        <w:numPr>
          <w:ilvl w:val="0"/>
          <w:numId w:val="0"/>
        </w:numPr>
        <w:autoSpaceDE w:val="0"/>
        <w:autoSpaceDN w:val="0"/>
        <w:adjustRightInd w:val="0"/>
        <w:spacing w:line="240" w:lineRule="auto"/>
        <w:jc w:val="both"/>
        <w:outlineLvl w:val="0"/>
        <w:rPr>
          <w:rFonts w:hint="eastAsia" w:ascii="宋体" w:hAnsi="宋体" w:eastAsia="宋体" w:cs="宋体"/>
          <w:b/>
          <w:color w:val="auto"/>
          <w:sz w:val="21"/>
          <w:szCs w:val="21"/>
          <w:highlight w:val="none"/>
          <w:lang w:val="zh-CN"/>
        </w:rPr>
      </w:pPr>
    </w:p>
    <w:p>
      <w:pPr>
        <w:numPr>
          <w:ilvl w:val="0"/>
          <w:numId w:val="0"/>
        </w:numPr>
        <w:autoSpaceDE w:val="0"/>
        <w:autoSpaceDN w:val="0"/>
        <w:adjustRightInd w:val="0"/>
        <w:spacing w:line="240" w:lineRule="auto"/>
        <w:jc w:val="both"/>
        <w:outlineLvl w:val="0"/>
        <w:rPr>
          <w:rFonts w:hint="eastAsia" w:ascii="宋体" w:hAnsi="宋体" w:eastAsia="宋体" w:cs="宋体"/>
          <w:b/>
          <w:color w:val="auto"/>
          <w:sz w:val="21"/>
          <w:szCs w:val="21"/>
          <w:highlight w:val="none"/>
          <w:lang w:val="zh-CN"/>
        </w:rPr>
      </w:pPr>
    </w:p>
    <w:p>
      <w:pPr>
        <w:numPr>
          <w:ilvl w:val="0"/>
          <w:numId w:val="0"/>
        </w:numPr>
        <w:autoSpaceDE w:val="0"/>
        <w:autoSpaceDN w:val="0"/>
        <w:adjustRightInd w:val="0"/>
        <w:spacing w:line="240" w:lineRule="auto"/>
        <w:jc w:val="both"/>
        <w:outlineLvl w:val="0"/>
        <w:rPr>
          <w:rFonts w:hint="eastAsia" w:ascii="宋体" w:hAnsi="宋体" w:eastAsia="宋体" w:cs="宋体"/>
          <w:b/>
          <w:color w:val="auto"/>
          <w:sz w:val="21"/>
          <w:szCs w:val="21"/>
          <w:highlight w:val="none"/>
          <w:lang w:val="zh-CN"/>
        </w:rPr>
      </w:pPr>
    </w:p>
    <w:p>
      <w:pPr>
        <w:numPr>
          <w:ilvl w:val="0"/>
          <w:numId w:val="0"/>
        </w:numPr>
        <w:autoSpaceDE w:val="0"/>
        <w:autoSpaceDN w:val="0"/>
        <w:adjustRightInd w:val="0"/>
        <w:spacing w:line="240" w:lineRule="auto"/>
        <w:jc w:val="both"/>
        <w:outlineLvl w:val="0"/>
        <w:rPr>
          <w:rFonts w:hint="eastAsia" w:ascii="宋体" w:hAnsi="宋体" w:eastAsia="宋体" w:cs="宋体"/>
          <w:b/>
          <w:color w:val="auto"/>
          <w:sz w:val="21"/>
          <w:szCs w:val="21"/>
          <w:highlight w:val="none"/>
          <w:lang w:val="zh-CN"/>
        </w:rPr>
      </w:pPr>
    </w:p>
    <w:p>
      <w:pPr>
        <w:numPr>
          <w:ilvl w:val="0"/>
          <w:numId w:val="0"/>
        </w:numPr>
        <w:autoSpaceDE w:val="0"/>
        <w:autoSpaceDN w:val="0"/>
        <w:adjustRightInd w:val="0"/>
        <w:spacing w:line="360" w:lineRule="auto"/>
        <w:jc w:val="center"/>
        <w:outlineLvl w:val="0"/>
        <w:rPr>
          <w:rFonts w:hint="eastAsia" w:ascii="宋体" w:hAnsi="宋体" w:eastAsia="宋体" w:cs="宋体"/>
          <w:b/>
          <w:color w:val="auto"/>
          <w:sz w:val="36"/>
          <w:szCs w:val="36"/>
          <w:highlight w:val="none"/>
          <w:lang w:val="zh-CN"/>
        </w:rPr>
      </w:pPr>
    </w:p>
    <w:p>
      <w:pPr>
        <w:numPr>
          <w:ilvl w:val="0"/>
          <w:numId w:val="0"/>
        </w:numPr>
        <w:autoSpaceDE w:val="0"/>
        <w:autoSpaceDN w:val="0"/>
        <w:adjustRightInd w:val="0"/>
        <w:spacing w:line="360" w:lineRule="auto"/>
        <w:jc w:val="center"/>
        <w:outlineLvl w:val="0"/>
        <w:rPr>
          <w:rFonts w:hint="eastAsia" w:ascii="宋体" w:hAnsi="宋体" w:eastAsia="宋体" w:cs="宋体"/>
          <w:b/>
          <w:color w:val="auto"/>
          <w:sz w:val="36"/>
          <w:szCs w:val="36"/>
          <w:highlight w:val="none"/>
          <w:lang w:val="zh-CN"/>
        </w:rPr>
      </w:pPr>
    </w:p>
    <w:p>
      <w:pPr>
        <w:numPr>
          <w:ilvl w:val="0"/>
          <w:numId w:val="0"/>
        </w:numPr>
        <w:autoSpaceDE w:val="0"/>
        <w:autoSpaceDN w:val="0"/>
        <w:adjustRightInd w:val="0"/>
        <w:spacing w:line="360" w:lineRule="auto"/>
        <w:jc w:val="center"/>
        <w:outlineLvl w:val="0"/>
        <w:rPr>
          <w:rFonts w:hint="eastAsia" w:ascii="宋体" w:hAnsi="宋体" w:eastAsia="宋体" w:cs="宋体"/>
          <w:b/>
          <w:color w:val="auto"/>
          <w:sz w:val="36"/>
          <w:szCs w:val="36"/>
          <w:highlight w:val="none"/>
          <w:lang w:val="zh-CN"/>
        </w:rPr>
      </w:pPr>
    </w:p>
    <w:p>
      <w:pPr>
        <w:numPr>
          <w:ilvl w:val="0"/>
          <w:numId w:val="0"/>
        </w:numPr>
        <w:autoSpaceDE w:val="0"/>
        <w:autoSpaceDN w:val="0"/>
        <w:adjustRightInd w:val="0"/>
        <w:spacing w:line="360" w:lineRule="auto"/>
        <w:jc w:val="both"/>
        <w:outlineLvl w:val="0"/>
        <w:rPr>
          <w:rFonts w:hint="eastAsia" w:ascii="宋体" w:hAnsi="宋体" w:eastAsia="宋体" w:cs="宋体"/>
          <w:b/>
          <w:color w:val="auto"/>
          <w:sz w:val="36"/>
          <w:szCs w:val="36"/>
          <w:highlight w:val="none"/>
          <w:lang w:val="zh-CN"/>
        </w:rPr>
      </w:pPr>
    </w:p>
    <w:p>
      <w:pPr>
        <w:numPr>
          <w:ilvl w:val="0"/>
          <w:numId w:val="0"/>
        </w:numPr>
        <w:autoSpaceDE w:val="0"/>
        <w:autoSpaceDN w:val="0"/>
        <w:adjustRightInd w:val="0"/>
        <w:spacing w:line="240" w:lineRule="auto"/>
        <w:jc w:val="both"/>
        <w:outlineLvl w:val="0"/>
        <w:rPr>
          <w:rFonts w:hint="eastAsia" w:ascii="宋体" w:hAnsi="宋体" w:eastAsia="宋体" w:cs="宋体"/>
          <w:b/>
          <w:color w:val="auto"/>
          <w:sz w:val="21"/>
          <w:szCs w:val="21"/>
          <w:highlight w:val="none"/>
          <w:lang w:val="zh-CN"/>
        </w:rPr>
        <w:sectPr>
          <w:footerReference r:id="rId7" w:type="default"/>
          <w:pgSz w:w="11905" w:h="16838"/>
          <w:pgMar w:top="1247" w:right="1247" w:bottom="1247" w:left="1247" w:header="907" w:footer="737" w:gutter="0"/>
          <w:pgNumType w:fmt="decimal" w:start="1"/>
          <w:cols w:space="0" w:num="1"/>
          <w:docGrid w:type="lines" w:linePitch="319" w:charSpace="0"/>
        </w:sectPr>
      </w:pPr>
    </w:p>
    <w:p>
      <w:pPr>
        <w:numPr>
          <w:ilvl w:val="0"/>
          <w:numId w:val="0"/>
        </w:numPr>
        <w:autoSpaceDE w:val="0"/>
        <w:autoSpaceDN w:val="0"/>
        <w:adjustRightInd w:val="0"/>
        <w:spacing w:line="240" w:lineRule="auto"/>
        <w:jc w:val="both"/>
        <w:outlineLvl w:val="0"/>
        <w:rPr>
          <w:rFonts w:hint="eastAsia" w:ascii="宋体" w:hAnsi="宋体" w:eastAsia="宋体" w:cs="宋体"/>
          <w:b/>
          <w:color w:val="auto"/>
          <w:sz w:val="21"/>
          <w:szCs w:val="21"/>
          <w:highlight w:val="none"/>
          <w:lang w:val="zh-CN"/>
        </w:rPr>
      </w:pPr>
    </w:p>
    <w:p>
      <w:pPr>
        <w:numPr>
          <w:ilvl w:val="0"/>
          <w:numId w:val="0"/>
        </w:numPr>
        <w:autoSpaceDE w:val="0"/>
        <w:autoSpaceDN w:val="0"/>
        <w:adjustRightInd w:val="0"/>
        <w:spacing w:line="360" w:lineRule="auto"/>
        <w:jc w:val="center"/>
        <w:outlineLvl w:val="0"/>
        <w:rPr>
          <w:rFonts w:hint="eastAsia"/>
          <w:color w:val="auto"/>
          <w:sz w:val="36"/>
          <w:szCs w:val="36"/>
          <w:highlight w:val="none"/>
        </w:rPr>
      </w:pPr>
      <w:r>
        <w:rPr>
          <w:rFonts w:hint="eastAsia" w:ascii="宋体" w:hAnsi="宋体" w:eastAsia="宋体" w:cs="宋体"/>
          <w:b/>
          <w:color w:val="auto"/>
          <w:sz w:val="36"/>
          <w:szCs w:val="36"/>
          <w:highlight w:val="none"/>
          <w:lang w:val="zh-CN"/>
        </w:rPr>
        <w:t>第三章   采购内容及要求</w:t>
      </w:r>
      <w:bookmarkStart w:id="24" w:name="_Toc42488700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napToGrid/>
          <w:kern w:val="2"/>
          <w:sz w:val="21"/>
          <w:szCs w:val="21"/>
          <w:lang w:val="en-US" w:eastAsia="zh-CN" w:bidi="ar-SA"/>
        </w:rPr>
        <w:t>为持续推进城镇“污水零直排区”建设，不断提升全省城镇“污水零直排区”建设工作数字化管理水平，从2023年8月8日起，上线启用了浙江省城镇“污水零直排区” 建设数字化全过程动态监管系统，并下达了相关任务要求</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二、采购内容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lang w:val="en-US" w:eastAsia="zh-CN" w:bidi="ar-SA"/>
        </w:rPr>
        <w:t>1.</w:t>
      </w:r>
      <w:r>
        <w:rPr>
          <w:rFonts w:hint="eastAsia" w:ascii="宋体" w:hAnsi="宋体" w:eastAsia="宋体" w:cs="宋体"/>
          <w:snapToGrid/>
          <w:kern w:val="2"/>
          <w:sz w:val="21"/>
          <w:szCs w:val="21"/>
          <w:highlight w:val="none"/>
          <w:lang w:val="en-US" w:eastAsia="zh-CN" w:bidi="ar-SA"/>
        </w:rPr>
        <w:t>柯城区府山街道区域内部分排水单元、雨污水管网进行采集、定位和信息收集；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highlight w:val="none"/>
          <w:lang w:val="en-US" w:eastAsia="zh-CN" w:bidi="ar-SA"/>
        </w:rPr>
        <w:t>2.柯城区府山街道区</w:t>
      </w:r>
      <w:r>
        <w:rPr>
          <w:rFonts w:hint="eastAsia" w:ascii="宋体" w:hAnsi="宋体" w:eastAsia="宋体" w:cs="宋体"/>
          <w:snapToGrid/>
          <w:kern w:val="2"/>
          <w:sz w:val="21"/>
          <w:szCs w:val="21"/>
          <w:lang w:val="en-US" w:eastAsia="zh-CN" w:bidi="ar-SA"/>
        </w:rPr>
        <w:t>域内排水单元、雨污水进行数据坐标转换和处理，同时按照技术规范分成一、二、三、四级管网进行系统导入；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napToGrid/>
          <w:kern w:val="2"/>
          <w:sz w:val="21"/>
          <w:szCs w:val="21"/>
          <w:lang w:val="en-US" w:eastAsia="zh-CN" w:bidi="ar-SA"/>
        </w:rPr>
      </w:pPr>
      <w:r>
        <w:rPr>
          <w:rFonts w:hint="eastAsia" w:ascii="宋体" w:hAnsi="宋体" w:eastAsia="宋体" w:cs="宋体"/>
          <w:snapToGrid/>
          <w:kern w:val="2"/>
          <w:sz w:val="21"/>
          <w:szCs w:val="21"/>
          <w:lang w:val="en-US" w:eastAsia="zh-CN" w:bidi="ar-SA"/>
        </w:rPr>
        <w:t>3.协助采购单位完成“污水零直排区”建设数字化全过程动态监管系统日常项目导入和管理，同时对乡镇及相关工作人员进行周期培训和定期技术指导；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napToGrid/>
          <w:kern w:val="2"/>
          <w:sz w:val="21"/>
          <w:szCs w:val="21"/>
          <w:lang w:val="en-US" w:eastAsia="zh-CN" w:bidi="ar-SA"/>
        </w:rPr>
        <w:t>4.对柯城区府山街道区域内雨污水管网重点位置布置监测设备。</w:t>
      </w:r>
    </w:p>
    <w:p>
      <w:pPr>
        <w:pStyle w:val="31"/>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2" w:firstLineChars="200"/>
        <w:jc w:val="left"/>
        <w:outlineLvl w:val="9"/>
        <w:rPr>
          <w:rStyle w:val="37"/>
          <w:rFonts w:hint="eastAsia" w:ascii="仿宋" w:hAnsi="仿宋" w:eastAsia="宋体" w:cs="宋体"/>
          <w:bCs w:val="0"/>
          <w:color w:val="auto"/>
          <w:sz w:val="21"/>
          <w:szCs w:val="24"/>
        </w:rPr>
      </w:pPr>
      <w:r>
        <w:rPr>
          <w:rFonts w:hint="eastAsia" w:ascii="宋体" w:hAnsi="宋体" w:eastAsia="宋体" w:cs="宋体"/>
          <w:b/>
          <w:bCs/>
          <w:color w:val="auto"/>
          <w:sz w:val="21"/>
          <w:szCs w:val="21"/>
          <w:lang w:val="en-US" w:eastAsia="zh-CN"/>
        </w:rPr>
        <w:t>三、采购内容与要求</w:t>
      </w:r>
      <w:r>
        <w:rPr>
          <w:rFonts w:hint="eastAsia" w:ascii="仿宋" w:hAnsi="仿宋" w:eastAsia="宋体" w:cs="宋体"/>
          <w:b/>
          <w:color w:val="auto"/>
          <w:kern w:val="2"/>
          <w:sz w:val="21"/>
          <w:szCs w:val="24"/>
          <w:lang w:eastAsia="zh-CN"/>
        </w:rPr>
        <w:t>（</w:t>
      </w:r>
      <w:r>
        <w:rPr>
          <w:rFonts w:hint="eastAsia" w:ascii="仿宋" w:hAnsi="仿宋" w:eastAsia="宋体" w:cs="宋体"/>
          <w:b/>
          <w:color w:val="auto"/>
          <w:kern w:val="2"/>
          <w:sz w:val="21"/>
          <w:szCs w:val="24"/>
          <w:lang w:val="en-US" w:eastAsia="zh-CN"/>
        </w:rPr>
        <w:t>包括但不局限于以下内容。以下参数如涉及品牌的不作要求，仅供参考</w:t>
      </w:r>
      <w:r>
        <w:rPr>
          <w:rFonts w:hint="eastAsia" w:ascii="仿宋" w:hAnsi="仿宋" w:eastAsia="宋体" w:cs="宋体"/>
          <w:b/>
          <w:color w:val="auto"/>
          <w:kern w:val="2"/>
          <w:sz w:val="21"/>
          <w:szCs w:val="24"/>
          <w:lang w:eastAsia="zh-CN"/>
        </w:rPr>
        <w:t>）。</w:t>
      </w:r>
    </w:p>
    <w:tbl>
      <w:tblPr>
        <w:tblStyle w:val="34"/>
        <w:tblW w:w="100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724"/>
        <w:gridCol w:w="1586"/>
        <w:gridCol w:w="5479"/>
        <w:gridCol w:w="491"/>
        <w:gridCol w:w="64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技术参数及规格</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数据采集</w:t>
            </w: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管网(一、二、三、四级)</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点状设施、测绘点号、道路名称、坐标、井特征、地面高程、井盖形状、井盖规格、井盖材质、井室深、是否有安全网。</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数据处理</w:t>
            </w: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“污水零直排区”系统原始数据坐标和经纬度转换</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集整理现有的市政管网图、老旧小区管网改造图等，并按照正确的位置进行整合，梳理所有管网数据，并对数据上的属性、标注进行分类归纳，将各种坐标数据的图纸先转换大地2000坐标，由国家2000坐标系转经纬度坐标服务。</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“污水零直排区”内管道数据按照《浙江省城镇“污水零直排区”数字化建设数据采集和编码应用规范》对雨（污）管道分一、二、三、四级处理服务。</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水管线分级。按照采集规范并对照影像图对雨水管线逐条分析，划分为一二三四级，约120km管线。雨水井点分级。对照雨水管线分级情况及影像图对雨水井进行逐点分析，划分为一二三四级，约8000个点.污水管线分级。按照采集规范并对照影像图对污水管线逐条分析，划分为一二三四级，约100km管线。污水井点分级。对照雨水管线分级情况及影像图对污水井进行逐点分析，划分为一二三四级，约8000个点。</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“污水零直排区”内排水设施数据为AutoCAD应用中DWG格式转表数据库（excel）文件格式服务。</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级正确后，按照模版字段，通过专业软件，将管线、井点的相关信息（坐标、级别、所属街道等）逐条、逐点填写，通过专业软件进行复核水流方向，管线是否存在交叉、偏移等属性问题，通过专业软件将所有管线、井点数据转换为.xls格式，即点表、线表，分别为雨水井表、雨水管线表；污水井表、污水管线表，按照《城市地下管线探测技术规程》的相关要求，采集到的排水设施数据使用*.xls格式进行存储。</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“污水零直排区”内提质增效资料整理服务。</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收集项目前期资料（立项批复、设计书等），跟进项目进度收集进度资料（施工照片、合同等），归纳整理项目验收评估资料。注：府山街道涉及污水零直排的所有资料。</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数据维护</w:t>
            </w: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“污水零直排区”内提质增效资料填报、导入服务。</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查阶段：填报项目基本信息填报，问题照片格式转换解析上传、问题描述完善等，设计阶段：填报设计基本信息，项目设计资料扫描上传、设计概算书扫描拆解上传，建设阶段：填报施工基本信息，施工计划排期填写项目阶段进度，施工资料扫描上传、设计资料扫描上传，施工过程照片格式转换解析上传等，评估阶段：填报完善实施方案内容，组织机构清单，管理制度文件扫描上传，项目实施情况资料补充等，验收阶段：填报项目验收信息，竣工照片格式转换解析上传，工程支付资料（工程款、服务费发票复印件）及其他材料（工程验收单/竣工验收单等材料）扫描上传等。</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“污水零直排区”内排水设施数据录入服务。</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排水单元（小区、机关单位等）基本信息整理录入，入河口信息基本信息整理录入，入湖口基本信息整理录入。</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“污水零直排区”系统人员培训</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开展业务单位相关人员的培训，培训内容包括：系统整体介绍、系统操作流程、系统操作规范、系统具体功能等一系列操作内容进行培训。每四周组织开展一次线上系统实际操作培训，结合业务单位相关人员对系统的功能、操作规范有一定的了解，并且使用过程中也碰到了一系列的问题，因此将针对不同类型的用户进行针对性培训，包括系统运维管理培训、系统操作培训。该阶段培训将更注重上机操作，有针对性的对系统运维、系统操作培训。每三个月组织一次线下业务单位相关人员开展有针对性的培训课程，强化对系统的使用能力。</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“污水零直排区”系统日常维护</w:t>
            </w:r>
          </w:p>
        </w:tc>
        <w:tc>
          <w:tcPr>
            <w:tcW w:w="5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 7×16 小时技术支持服务，根据项目实际需要提供维护、网络维护及远程支持，包括各种软件系统故障及对各种突发事件采取应急措施等，服务响应时间为 2 小时。提供电话提供解决方案，或者利用远程维护方式解决问题。若远程方式不能解决故障问题，在下一工作日派人到现场上门服务，排除故障，并分析故障原因，提出防范措施。提供系统的跟踪检测、日常维护和管理，确保系统的稳定运行和数据安全。包括系统更新、用户权限管理、数据备份和恢复等。提供常规系统功能服务维护、用户变更、人员管理等。</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438" w:type="dxa"/>
            <w:tcBorders>
              <w:top w:val="single" w:color="000000" w:sz="4" w:space="0"/>
              <w:left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5个排水口监测点</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水体颜色、漂浮物、排水口监测摄像机</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单目臻全彩枪球机，采用双镜头设计，兼顾全景细节；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支持排污口监测智能算法，支持排污口排水检测、水体颜色异常检测、漂浮物检测；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适用于工业污染源废水、自来水厂、污水处理厂、江河湖泊排污口、入海排污口等场景；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全景采用1个 F1.0大光圈全彩镜头，细节采用1/1.8＂大倍率镜头，高清成像；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支持内置水尺读取智能算法、支持全天24小时自动读取标准水尺获取水位数据、支持SL 651-2014 水文通讯规约；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支持翻斗式雨量计接入和雨量数据上报；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支持除雾配置功能，内置加热玻璃，有效除雾；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细节路支持周界、水位检测、AI开放平台，默认水位检测，全景路支持周界；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mart事件：支持全景路对设定区域进行布防，当检测到目标时联动特写摄像机对目标进行跟踪及报警，实现周界布防。支持细节路对设定区域进行布防；支持声光警戒：报警联动白光闪烁报警和声音报警，声音内容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支持点击全景画面联动特写镜头，手动跟踪运动目标；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支持全景路2560×1440@30fps高清画面输出，细节路最大2560×1440@30fps高清画面输出；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宽动态：支持120 dB超宽动态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卫星定位：支持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陀螺仪：支持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电子罗盘：支持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内置扬声器：支持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网络接口：支持100 M网络数据,RJ45网口,自适应网络数据；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SD卡扩展：内置MicroSD卡插槽，支持MicroSD/MicroSDHC/MicroSDXC卡，最大支持256 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报警：7路报警输入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音频：1路音频输入，音频峰值：2~2.4 V[p-p]，输入阻抗：1 kΩ ± 10%</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RS-485：采用半双工模式，支持自适应HIKVISION，PELCO-P和PELCO-D（可添加）协议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恢复出厂设置：支持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测量距离：≤100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测量落差：0~40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分辨力：1 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检测精度：±2 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电源：DC：12 V/5 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工作温湿度：-40 ℃~70 ℃；湿度小于95%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喇叭温度-30 ℃~55 ℃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雨刷：支持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除雾：支持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尺寸：Ø243 mm × 424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重量：设备重量6.930 kg，带包装重量9.845 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功耗：最大功耗：34 W（其中【全景】加热6 W，补外灯3 W；【细节】加热6 W，补外灯6 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防护：IP67；6000 V防雷、防浪涌、防突波，符合GB/T17626.2/3/4/5/6四级标准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4米球机立杆（挑臂2米）</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1、材质：镀锌管材（喷漆），厚度：2.0mm，底座加脚筋，立杆高4米，挑臂（横杆）长2米。2、含安装、调试。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太阳能供电系统</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1、电池类型：全新三元锂电池，是否可充电：是，三元锂电芯，标称容量：280AH，充电电压：12.6V，最小容量：278AH（保护预留容量），能量：3108Wh    标称电压：11.1V，出货电压：12.4-12.6V，MPPT控制器 支持胶体电池，密封电池，开口电池，锂电池等不同类型电池充电程序。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具有限流充电模式，当电池板功率过大，充电电流大于额定电流时，控制器自动降低充电功率，使其工作在额定充电电流。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可支持容性负载瞬间大电流启动。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支持蓄电池电压自动识别。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具有故障LED指示、液晶显示异常信息，方便用户确定系统故障。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支持历史数据存储，存储时间长达1年。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自带LCD 屏显示功能，可以查看设备运行数据和状态，同时可支持控制器参数的更改。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支持标准modebus协议，满足不同场合通讯需求。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内置过温保护机制，当温度超过设备设定值时充电电流随温度线性下降，从而减小控制器的温升，避免控制器高温损坏。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具有温度补偿功能，自动调整充放电参数，提高蓄电池使用寿命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TVS防雷保护。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50*40*18cm普通配电箱（含元器件），含安装、调试。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立杆基坑开挖、浇筑、混凝土浇筑材料</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立杆基坑开挖（0.2m³/个）、浇筑（砂子、水泥0.2m³/个，水泥0.075t/个）、混凝土浇筑材料（含预埋件、人工、材料、搬运）。</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链路专线（20MB)</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1、链路专线（20MB)；2、含安装、调试。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电导率+COD+RTU数据采集终端机</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电导率传感器</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1、0~5000us/cm，分辨率：1uS/cm，测量准确度1%，自动温度补偿，温度测量范围0~50℃，测量精度0.1℃，316L不锈钢套筒，上端NPT3/4外丝螺纹，线长10m。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2、含安装辅材、配件、安装、调试。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COD传感器</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测量原理：UV254nm紫外光，量程范围：0-500mg/L，分 辨  率：0.01mg/L，示值误差：&lt;5%，稳定性能：±3%FS/Y，自动温度补偿，温度漂移：±0.1%FS/℃(温度补偿范围内)，响应时间：30秒内达到90%以上，供电电压：12VDC，功率：&lt;1W，输出信号：RS485(标准Modbus RTU协议)，轮巡时间：≥50ms，工作条件：介质温度0-60℃，安装螺纹：上端3/4NPT，主要材质：316L不锈钢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防护等级：IP68线缆长度：标配10m；2、含安装辅材、配件、安装、调试。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RTU数据采集终端机</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对外12V供电，定时采集唤醒，数据超限加报，支持蓝牙、远程设参升级，支持MQTTS/MQTT/HTTP，铸铝外壳，2路RS485，超低功耗设计、IP68防护等级。锂电池提供一年免费质保。2、含安装辅材、配件、安装、调试。</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定向物联网卡</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向服务器中心固定地址传输数据</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设备维护费（传感器维护、摄像机维护、异常现场处理、备件更换、传感器清洗、传感器校准、标定）</w:t>
            </w: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设备异常报警技术人员现场处理（共12套设备）。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注：设备异常处理报警现场处理：主要是传感器会受到污水中的垃圾、固体污染物堵塞、掩埋等直接影响设备使用，是需要现场进行清理处理。</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21</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RTU数据采集终端机锂电池更换维护（共12套设备）。           1.锂电池更换维护：设备使用的是一次性锂电池，电池使用周期根据设备采集数据频率、数据上次频率相关，按照省治水办要求数据实时采集、2小时上传一次频率测算。               2.更换的锂电池组（原装电池）：                      2.1电池类型：锂-亚型高容量电池组；                     2.2输出电压：3.6V；                                   2.3电池容量：152Ah；                                         2.4连续输出电流：&gt;2A，连续输出功率：&gt;7W；                             2.5脉冲输出电路：&gt;4A，脉冲输出功率：&gt;12W；                           2.6电池盒外形尺寸：200*120*75mm）；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COD、电导率传感器清洗（共24个传感器）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主要是传感器是浸在污水中，污水中会有油污、污泥等附着物，附着在传感器监测玻璃片上影响设备正常数据监测工作。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内容：1.传感器外表面清洁：用自来水清洗传感器的外表面，如果仍有碎屑残留，用湿润的软布进行擦拭，对于一些顽固的污垢，可以在自来水中加入一些专用洗涤液来清洗；2.传感器测量窗面清洁：使用细毛刷或细棉签棒进行光窗刷洗、避免使用锐器进行刮擦，以免划坏光窗；3.检查传感器的线缆：正常工作时线缆不应绷紧，否则长期可能使线缆内部电线断裂，造成传感器工作异常；  4.将传感器部分浸泡在专用洗涤剂或弱酸中15分钟，然后再用蒸馏水将电极清洗干净。5.不可使用硬物接触测量电极表面，更不能用任何物品擦拭电极表面，否则将造成测量不准，需要重新校准，严重时会影响到传感器的测量范围。 6.清洗后的传感器表面及光窗无碎屑、其他附着物残留</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COD传感器备件更换（共12个传感器）。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1.备件（刮刷、密封圈）更换：主要是传感器浸在污水中，污水具有腐蚀性，刮刷和密封圈是塑料材质（易损件）均需要定期巡检根据老化程度进行更换（根据污水腐蚀浓度不定时更换）。</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2.更换的传感器备件刮刷：不锈钢支架、内六角1mm螺母、刮条耐腐蚀、高温材质。 密封圈：HACH密封圈规格6.07*1.78mm、耐腐蚀、高温材质。）</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8" w:hRule="atLeast"/>
        </w:trPr>
        <w:tc>
          <w:tcPr>
            <w:tcW w:w="438"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val="0"/>
              <w:overflowPunct/>
              <w:topLinePunct w:val="0"/>
              <w:autoSpaceDE/>
              <w:autoSpaceDN/>
              <w:bidi w:val="0"/>
              <w:adjustRightInd/>
              <w:snapToGrid/>
              <w:spacing w:line="360" w:lineRule="auto"/>
              <w:jc w:val="left"/>
              <w:outlineLvl w:val="9"/>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COD、电导率传感器校准、标定（共24个传感器）。     主要是传感器长时间运行工作、水质污染浓度变化不稳定等因素影响，传感器检测数据会存在误差漂移，需要现场进行校准及标定液进行标定，电导率标定液和COD标定液是调制配方产品，具有极短的使用时效和不能重复使用特点。                                              1.COD校准及标定：获取 COD 两个校准参数 K、B。(为防止探头老化等因素造成 COD 值偏差，校准公式 CODfinal=K*COD +B，一般默认值为：K=1;B=0。) 可以从起始地址为 0x1100 的连续 4 个 MODBUS 寄存器中读取 COD 用户校准参数 K、B，从设备地址0x01, 返回的 K=1.0，B=0.0 为例说明获取 COD 用户校准参数命令的请求帧和应答帧。获取 COD 用户校准参数命令请求帧，获取 COD 用户校准参数命令应答帧。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备注: K、B：小端存储模式浮点数；设置两个校准参数 K、B。可以通过起始地址为 0x1100 的连续 4 个 MODBUS 寄存器设置 COD 用户校准参数 K、B。以从设备地址 0x01, K=1.0，B=0.0 为例说明设置 COD 用户校准参数命令的请求帧和应答帧。设置 COD 用户校准参数命令请求帧备注: K，B：小端存储模式浮点数，设置 COD 用户校准参数命令应答帧。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（1）所需器具及原料①器具：分析天平、药匙、50mL烧杯、100mL量筒、玻璃棒、移液枪、1L容量瓶；②原材料：KHP(邻苯二甲酸氢钾、C8H5KO4)，CAS#877-24-7，作为环境研究常用的染色剂,可用来做COD校准；去离子水。   （2）配置方法①准确称量1.2754g的KHP放入1000mL的烧瓶。用蒸馏水或去离子水定容至最高刻度、摇匀，得到1500mg/L浓度COD标液；②取100mL①中标液注入1000mL量程的烧瓶里，然后用蒸馏水或去离子水定容至最高刻度、摇匀，得到150mg/L浓度COD标液；③其他浓度标液可按稀释方法计算并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导率校准及标定：校准需要准备84uS、146uS、1413uS、12880uS四种标液，校准过程如下：使用去离子水将电极清洗干净并用滤纸吸干残留水分，将电极置于干燥空气中，等待测量值稳定，使用16功能码，向21号寄存器写入数值0；使用去离子水将电极清洗干净并用滤纸吸干残留水分，将电极置于84uS/cm电导率标液中，等待电极测量稳定，使用16功能码，向23号寄存器写入数值84；使用去离子水将电极清洗干净并用滤纸吸干残留水分，将电极置于146uS/cm电导率标液中，等待电极测量稳定，使用16功能码，向25号寄存器写入数值146；使用去离子水将电极清洗干净并用滤纸吸干残留水分，将电极置于1413uS/cm电导率标液中，等待电极测量稳定，使用16功能码，向27号寄存器写入数值1413；使用去离子水将电极清洗干净并用滤纸吸干残留水分，将电极置于12880uS/cm电导率标液中，等待电极测量稳定，使用16功能码，向31号寄存器写入数值12880；校准时，推荐在25℃校准，否则会引入少量温补误差。</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val="0"/>
              <w:overflowPunct/>
              <w:topLinePunct w:val="0"/>
              <w:autoSpaceDE/>
              <w:autoSpaceDN/>
              <w:bidi w:val="0"/>
              <w:adjustRightInd/>
              <w:snapToGrid/>
              <w:spacing w:line="360" w:lineRule="auto"/>
              <w:jc w:val="left"/>
              <w:outlineLvl w:val="9"/>
              <w:rPr>
                <w:rFonts w:hint="eastAsia" w:ascii="宋体" w:hAnsi="宋体" w:eastAsia="宋体" w:cs="宋体"/>
                <w:i w:val="0"/>
                <w:iCs w:val="0"/>
                <w:color w:val="000000"/>
                <w:sz w:val="21"/>
                <w:szCs w:val="21"/>
                <w:u w:val="none"/>
              </w:rPr>
            </w:pPr>
          </w:p>
        </w:tc>
        <w:tc>
          <w:tcPr>
            <w:tcW w:w="5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摄像机、太阳能供电系统维护（共5套）。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注：摄像机维护：主要是设备安装在室外露天环境，设备的电、网线老化较快，易出现漏电、短路安全隐患。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太阳能供电系统维护：太阳能板会因灰尘或落叶、树枝遮挡，会影响正常使用。蓄电池使用时间增长储电能力下降，也需进行更换（含备品备件）维护，保证设备能够正常运行。</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center"/>
              <w:outlineLvl w:val="9"/>
              <w:rPr>
                <w:rFonts w:hint="eastAsia" w:ascii="宋体" w:hAnsi="宋体" w:eastAsia="宋体" w:cs="宋体"/>
                <w:i w:val="0"/>
                <w:iCs w:val="0"/>
                <w:color w:val="000000"/>
                <w:kern w:val="0"/>
                <w:sz w:val="21"/>
                <w:szCs w:val="21"/>
                <w:u w:val="none"/>
                <w:lang w:val="en-US" w:eastAsia="zh-CN" w:bidi="ar"/>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、服务要求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投标人须具有完善的管理及售后服务体系，拥有较强的专业技术人员；</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2.服务期限：项目合同签订后，3个月内完成雨污水管网信息采集、数据坐标转换、数据处理、系统导入，设备安装调试、接入系统、指导培训工作并完成项目验收；验收通过后进入3年运维期。</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3.投标产品需无缝对接“浙江省城镇“污水零直排区”建设数字化全过程动态监管系统”平台，实现各项智能报警事件、视频数据等信息无缝上传，由此产生的费用由中标单位承担；</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outlineLvl w:val="9"/>
        <w:rPr>
          <w:rFonts w:hint="eastAsia" w:ascii="仿宋" w:hAnsi="仿宋" w:eastAsia="仿宋" w:cs="仿宋"/>
          <w:b/>
          <w:bCs/>
          <w:color w:val="FF0000"/>
          <w:kern w:val="2"/>
          <w:sz w:val="28"/>
          <w:szCs w:val="28"/>
          <w:highlight w:val="yellow"/>
          <w:lang w:val="en-US" w:eastAsia="zh-CN" w:bidi="ar-SA"/>
        </w:rPr>
      </w:pPr>
      <w:r>
        <w:rPr>
          <w:rFonts w:hint="eastAsia" w:ascii="宋体" w:hAnsi="宋体" w:eastAsia="宋体" w:cs="宋体"/>
          <w:b/>
          <w:bCs/>
          <w:color w:val="auto"/>
          <w:sz w:val="21"/>
          <w:szCs w:val="21"/>
          <w:highlight w:val="none"/>
          <w:lang w:val="en-US" w:eastAsia="zh-CN"/>
        </w:rPr>
        <w:t>4.本项目涉及设备（产品）的质保期不得少于1年（若设备原厂商提供更长质保期，则按最长的质保期执行），质保期从验收合格交付使用之日起算；在质保期内，中标人应负责对其提供的设备进行现场维修、损坏件更换，不收取额外费用，响应时间必须满足采购人工作正常运行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rPr>
        <w:t>履约保证金的形式：通过中标人的基本账户以电汇或保函方式缴纳，如履约保证金采用保函形式的，保函必须由采购人认可的国有银行或国有性质保险公司出具。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履约保证金的金额：中标价的1%，不计利息。</w:t>
      </w:r>
    </w:p>
    <w:p>
      <w:pPr>
        <w:keepNext w:val="0"/>
        <w:keepLines w:val="0"/>
        <w:pageBreakBefore w:val="0"/>
        <w:widowControl w:val="0"/>
        <w:tabs>
          <w:tab w:val="left" w:pos="363"/>
        </w:tabs>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eastAsia="宋体" w:cs="宋体"/>
          <w:sz w:val="21"/>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rPr>
        <w:t>履约保证金的缴纳时间：成交通知书发出后15日内。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FF0000"/>
          <w:sz w:val="21"/>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rPr>
        <w:t>退</w:t>
      </w:r>
      <w:r>
        <w:rPr>
          <w:rFonts w:hint="eastAsia" w:ascii="宋体" w:hAnsi="宋体" w:eastAsia="宋体" w:cs="宋体"/>
          <w:sz w:val="21"/>
          <w:szCs w:val="21"/>
          <w:lang w:val="zh-CN"/>
        </w:rPr>
        <w:t>履约担保在合同条款约定期间内或者服务质量保证期内不予退还或者应完全有效，待服务期满后，无质量、服务问题，由采购人向中标人无息退还。</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bCs/>
          <w:color w:val="auto"/>
          <w:sz w:val="36"/>
          <w:szCs w:val="36"/>
          <w:highlight w:val="none"/>
        </w:rPr>
        <w:sectPr>
          <w:pgSz w:w="11905" w:h="16838"/>
          <w:pgMar w:top="1247" w:right="1247" w:bottom="1247" w:left="1247" w:header="907" w:footer="737" w:gutter="0"/>
          <w:pgNumType w:fmt="decimal"/>
          <w:cols w:space="0" w:num="1"/>
          <w:docGrid w:type="lines" w:linePitch="319" w:charSpace="0"/>
        </w:sect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付款方式：合同生效后达到支付条件后按采购程序7个工作日内支付合同价扣除设备维护费后的40%，项目完成并通过验收后15个工作日内甲方支付至合同价扣除设备维护费后的80%；服务期满后15个工作日内甲方支付合同剩余的费用。（具体以合同签订条款为准）</w:t>
      </w:r>
    </w:p>
    <w:p>
      <w:pPr>
        <w:pStyle w:val="33"/>
        <w:pageBreakBefore w:val="0"/>
        <w:widowControl w:val="0"/>
        <w:tabs>
          <w:tab w:val="left" w:pos="900"/>
        </w:tabs>
        <w:kinsoku/>
        <w:wordWrap/>
        <w:overflowPunct/>
        <w:topLinePunct w:val="0"/>
        <w:bidi w:val="0"/>
        <w:spacing w:line="240" w:lineRule="auto"/>
        <w:ind w:left="0" w:leftChars="0" w:firstLine="0" w:firstLineChars="0"/>
        <w:jc w:val="center"/>
        <w:rPr>
          <w:rFonts w:hint="eastAsia" w:ascii="宋体" w:hAnsi="宋体" w:eastAsia="宋体" w:cs="宋体"/>
          <w:b/>
          <w:bCs/>
          <w:color w:val="auto"/>
          <w:sz w:val="21"/>
          <w:szCs w:val="21"/>
          <w:highlight w:val="none"/>
        </w:rPr>
      </w:pPr>
    </w:p>
    <w:p>
      <w:pPr>
        <w:pStyle w:val="33"/>
        <w:pageBreakBefore w:val="0"/>
        <w:widowControl w:val="0"/>
        <w:tabs>
          <w:tab w:val="left" w:pos="900"/>
        </w:tabs>
        <w:kinsoku/>
        <w:wordWrap/>
        <w:overflowPunct/>
        <w:topLinePunct w:val="0"/>
        <w:bidi w:val="0"/>
        <w:spacing w:line="360" w:lineRule="auto"/>
        <w:ind w:left="0" w:leftChars="0" w:firstLine="0" w:firstLineChars="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第四章</w:t>
      </w:r>
      <w:r>
        <w:rPr>
          <w:rFonts w:hint="eastAsia" w:ascii="宋体" w:hAnsi="宋体" w:eastAsia="宋体" w:cs="宋体"/>
          <w:b/>
          <w:bCs/>
          <w:color w:val="auto"/>
          <w:sz w:val="36"/>
          <w:szCs w:val="36"/>
          <w:highlight w:val="none"/>
          <w:lang w:val="en-US"/>
        </w:rPr>
        <w:t xml:space="preserve">    </w:t>
      </w:r>
      <w:r>
        <w:rPr>
          <w:rFonts w:hint="eastAsia" w:ascii="宋体" w:hAnsi="宋体" w:eastAsia="宋体" w:cs="宋体"/>
          <w:b/>
          <w:bCs/>
          <w:color w:val="auto"/>
          <w:sz w:val="36"/>
          <w:szCs w:val="36"/>
          <w:highlight w:val="none"/>
        </w:rPr>
        <w:t>合同</w:t>
      </w:r>
      <w:bookmarkEnd w:id="24"/>
      <w:bookmarkStart w:id="25" w:name="_Hlt75236193"/>
      <w:bookmarkEnd w:id="25"/>
      <w:r>
        <w:rPr>
          <w:rFonts w:hint="eastAsia" w:ascii="宋体" w:hAnsi="宋体" w:eastAsia="宋体" w:cs="宋体"/>
          <w:b/>
          <w:bCs/>
          <w:color w:val="auto"/>
          <w:sz w:val="36"/>
          <w:szCs w:val="36"/>
          <w:highlight w:val="none"/>
        </w:rPr>
        <w:t>范本</w:t>
      </w:r>
    </w:p>
    <w:p>
      <w:pPr>
        <w:pStyle w:val="12"/>
        <w:keepNext w:val="0"/>
        <w:keepLines w:val="0"/>
        <w:pageBreakBefore w:val="0"/>
        <w:widowControl w:val="0"/>
        <w:kinsoku/>
        <w:wordWrap/>
        <w:overflowPunct/>
        <w:topLinePunct w:val="0"/>
        <w:bidi w:val="0"/>
        <w:snapToGrid/>
        <w:spacing w:after="0" w:line="360" w:lineRule="auto"/>
        <w:ind w:firstLine="422" w:firstLineChars="200"/>
        <w:jc w:val="left"/>
        <w:outlineLvl w:val="9"/>
        <w:rPr>
          <w:rFonts w:hint="eastAsia" w:ascii="宋体" w:hAnsi="宋体" w:eastAsia="宋体" w:cs="宋体"/>
          <w:sz w:val="21"/>
          <w:szCs w:val="21"/>
        </w:rPr>
      </w:pPr>
      <w:r>
        <w:rPr>
          <w:rFonts w:hint="eastAsia" w:ascii="宋体" w:hAnsi="宋体" w:eastAsia="宋体" w:cs="宋体"/>
          <w:b/>
          <w:color w:val="auto"/>
          <w:sz w:val="21"/>
          <w:szCs w:val="21"/>
          <w:highlight w:val="none"/>
        </w:rPr>
        <w:t>（本合同为样稿，最终稿由甲乙双方协商后确定，但不允许偏离招投标文件。）</w:t>
      </w:r>
    </w:p>
    <w:p>
      <w:pPr>
        <w:keepNext w:val="0"/>
        <w:keepLines w:val="0"/>
        <w:pageBreakBefore w:val="0"/>
        <w:widowControl w:val="0"/>
        <w:kinsoku/>
        <w:wordWrap/>
        <w:overflowPunct/>
        <w:topLinePunct w:val="0"/>
        <w:autoSpaceDE/>
        <w:autoSpaceDN/>
        <w:bidi w:val="0"/>
        <w:snapToGrid/>
        <w:spacing w:line="360" w:lineRule="auto"/>
        <w:jc w:val="left"/>
        <w:outlineLvl w:val="9"/>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甲方（采购人）： </w:t>
      </w:r>
      <w:r>
        <w:rPr>
          <w:rFonts w:hint="eastAsia" w:ascii="宋体" w:hAnsi="宋体" w:eastAsia="宋体" w:cs="宋体"/>
          <w:bCs w:val="0"/>
          <w:color w:val="auto"/>
          <w:sz w:val="21"/>
          <w:szCs w:val="21"/>
          <w:u w:val="single"/>
        </w:rPr>
        <w:t xml:space="preserve">                                 </w:t>
      </w:r>
      <w:r>
        <w:rPr>
          <w:rFonts w:hint="eastAsia" w:ascii="宋体" w:hAnsi="宋体" w:eastAsia="宋体" w:cs="宋体"/>
          <w:bCs w:val="0"/>
          <w:color w:val="auto"/>
          <w:sz w:val="21"/>
          <w:szCs w:val="21"/>
        </w:rPr>
        <w:t xml:space="preserve">           </w:t>
      </w:r>
    </w:p>
    <w:p>
      <w:pPr>
        <w:keepNext w:val="0"/>
        <w:keepLines w:val="0"/>
        <w:pageBreakBefore w:val="0"/>
        <w:widowControl w:val="0"/>
        <w:kinsoku/>
        <w:wordWrap/>
        <w:overflowPunct/>
        <w:topLinePunct w:val="0"/>
        <w:autoSpaceDE/>
        <w:autoSpaceDN/>
        <w:bidi w:val="0"/>
        <w:snapToGrid/>
        <w:spacing w:line="360" w:lineRule="auto"/>
        <w:jc w:val="left"/>
        <w:outlineLvl w:val="9"/>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乙方（中标</w:t>
      </w:r>
      <w:r>
        <w:rPr>
          <w:rFonts w:hint="eastAsia" w:ascii="宋体" w:hAnsi="宋体" w:eastAsia="宋体" w:cs="宋体"/>
          <w:bCs w:val="0"/>
          <w:color w:val="auto"/>
          <w:sz w:val="21"/>
          <w:szCs w:val="21"/>
          <w:lang w:val="en-US" w:eastAsia="zh-CN"/>
        </w:rPr>
        <w:t>单位</w:t>
      </w:r>
      <w:r>
        <w:rPr>
          <w:rFonts w:hint="eastAsia" w:ascii="宋体" w:hAnsi="宋体" w:eastAsia="宋体" w:cs="宋体"/>
          <w:bCs w:val="0"/>
          <w:color w:val="auto"/>
          <w:sz w:val="21"/>
          <w:szCs w:val="21"/>
        </w:rPr>
        <w:t>）：</w:t>
      </w:r>
      <w:r>
        <w:rPr>
          <w:rFonts w:hint="eastAsia" w:ascii="宋体" w:hAnsi="宋体" w:eastAsia="宋体" w:cs="宋体"/>
          <w:bCs w:val="0"/>
          <w:color w:val="auto"/>
          <w:sz w:val="21"/>
          <w:szCs w:val="21"/>
          <w:u w:val="single"/>
        </w:rPr>
        <w:t xml:space="preserve">                              </w:t>
      </w:r>
      <w:r>
        <w:rPr>
          <w:rFonts w:hint="eastAsia" w:ascii="宋体" w:hAnsi="宋体" w:eastAsia="宋体" w:cs="宋体"/>
          <w:bCs w:val="0"/>
          <w:color w:val="auto"/>
          <w:sz w:val="21"/>
          <w:szCs w:val="21"/>
        </w:rPr>
        <w:t xml:space="preserve">    </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乙方于</w:t>
      </w:r>
      <w:r>
        <w:rPr>
          <w:rFonts w:hint="eastAsia" w:ascii="宋体" w:hAnsi="宋体" w:eastAsia="宋体" w:cs="宋体"/>
          <w:kern w:val="0"/>
          <w:sz w:val="21"/>
          <w:szCs w:val="21"/>
          <w:u w:val="single"/>
        </w:rPr>
        <w:t>202</w:t>
      </w:r>
      <w:r>
        <w:rPr>
          <w:rFonts w:hint="eastAsia" w:ascii="宋体" w:hAnsi="宋体" w:eastAsia="宋体" w:cs="宋体"/>
          <w:kern w:val="0"/>
          <w:sz w:val="21"/>
          <w:szCs w:val="21"/>
          <w:u w:val="single"/>
          <w:lang w:val="en-US" w:eastAsia="zh-CN"/>
        </w:rPr>
        <w:t>4</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日参加了甲方组织的</w:t>
      </w:r>
      <w:r>
        <w:rPr>
          <w:rFonts w:hint="eastAsia" w:ascii="宋体" w:hAnsi="宋体" w:eastAsia="宋体" w:cs="宋体"/>
          <w:kern w:val="0"/>
          <w:sz w:val="21"/>
          <w:szCs w:val="21"/>
          <w:u w:val="single"/>
        </w:rPr>
        <w:t xml:space="preserve">                      （项目名称）项目编号</w:t>
      </w:r>
      <w:r>
        <w:rPr>
          <w:rFonts w:hint="eastAsia" w:ascii="宋体" w:hAnsi="宋体" w:eastAsia="宋体" w:cs="宋体"/>
          <w:kern w:val="0"/>
          <w:sz w:val="21"/>
          <w:szCs w:val="21"/>
          <w:u w:val="none"/>
          <w:lang w:val="en-US" w:eastAsia="zh-CN"/>
        </w:rPr>
        <w:t>的招投标</w:t>
      </w:r>
      <w:r>
        <w:rPr>
          <w:rFonts w:hint="eastAsia" w:ascii="宋体" w:hAnsi="宋体" w:eastAsia="宋体" w:cs="宋体"/>
          <w:kern w:val="0"/>
          <w:sz w:val="21"/>
          <w:szCs w:val="21"/>
          <w:u w:val="none"/>
        </w:rPr>
        <w:t>活动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经评审小组评审，确定</w:t>
      </w:r>
      <w:r>
        <w:rPr>
          <w:rFonts w:hint="eastAsia" w:ascii="宋体" w:hAnsi="宋体" w:eastAsia="宋体" w:cs="宋体"/>
          <w:kern w:val="0"/>
          <w:sz w:val="21"/>
          <w:szCs w:val="21"/>
          <w:u w:val="single"/>
          <w:lang w:val="en-US" w:eastAsia="zh-CN"/>
        </w:rPr>
        <w:t xml:space="preserve">   （乙方）             </w:t>
      </w:r>
      <w:r>
        <w:rPr>
          <w:rFonts w:hint="eastAsia" w:ascii="宋体" w:hAnsi="宋体" w:eastAsia="宋体" w:cs="宋体"/>
          <w:kern w:val="0"/>
          <w:sz w:val="21"/>
          <w:szCs w:val="21"/>
        </w:rPr>
        <w:t>为成交</w:t>
      </w:r>
      <w:r>
        <w:rPr>
          <w:rFonts w:hint="eastAsia" w:ascii="宋体" w:hAnsi="宋体" w:eastAsia="宋体" w:cs="宋体"/>
          <w:kern w:val="0"/>
          <w:sz w:val="21"/>
          <w:szCs w:val="21"/>
          <w:lang w:val="en-US" w:eastAsia="zh-CN"/>
        </w:rPr>
        <w:t>供应商</w:t>
      </w:r>
      <w:r>
        <w:rPr>
          <w:rFonts w:hint="eastAsia" w:ascii="宋体" w:hAnsi="宋体" w:eastAsia="宋体" w:cs="宋体"/>
          <w:color w:val="auto"/>
          <w:sz w:val="21"/>
          <w:szCs w:val="21"/>
          <w:highlight w:val="none"/>
        </w:rPr>
        <w:t>。甲</w:t>
      </w:r>
      <w:r>
        <w:rPr>
          <w:rFonts w:hint="eastAsia" w:ascii="宋体" w:hAnsi="宋体" w:eastAsia="宋体" w:cs="宋体"/>
          <w:kern w:val="0"/>
          <w:sz w:val="21"/>
          <w:szCs w:val="21"/>
          <w:lang w:val="en-US" w:eastAsia="zh-CN"/>
        </w:rPr>
        <w:t>、乙双方依据《中华人民共和国政府采购法》、《中华人民共和国民法典》，在平等自愿的基础上，同意按照下面的条款和条件，签署本合同。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autoSpaceDE/>
        <w:autoSpaceDN/>
        <w:bidi w:val="0"/>
        <w:snapToGrid/>
        <w:spacing w:line="360" w:lineRule="auto"/>
        <w:ind w:leftChars="0" w:firstLine="422" w:firstLineChars="200"/>
        <w:jc w:val="left"/>
        <w:outlineLvl w:val="9"/>
        <w:rPr>
          <w:rFonts w:hint="eastAsia" w:ascii="宋体" w:hAnsi="宋体" w:eastAsia="宋体" w:cs="宋体"/>
          <w:b/>
          <w:color w:val="000000"/>
          <w:sz w:val="21"/>
          <w:szCs w:val="21"/>
        </w:rPr>
      </w:pPr>
      <w:bookmarkStart w:id="26" w:name="_Toc32549"/>
      <w:r>
        <w:rPr>
          <w:rFonts w:hint="eastAsia" w:ascii="宋体" w:hAnsi="宋体" w:eastAsia="宋体" w:cs="宋体"/>
          <w:b/>
          <w:color w:val="000000"/>
          <w:sz w:val="21"/>
          <w:szCs w:val="21"/>
        </w:rPr>
        <w:t>一、合同文件</w:t>
      </w:r>
      <w:bookmarkEnd w:id="26"/>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textAlignment w:val="baseline"/>
        <w:outlineLvl w:val="9"/>
        <w:rPr>
          <w:rFonts w:hint="eastAsia" w:ascii="宋体" w:hAnsi="宋体" w:eastAsia="宋体" w:cs="宋体"/>
          <w:color w:val="000000"/>
          <w:sz w:val="21"/>
          <w:szCs w:val="21"/>
        </w:rPr>
      </w:pPr>
      <w:r>
        <w:rPr>
          <w:rFonts w:hint="eastAsia" w:ascii="宋体" w:hAnsi="宋体" w:eastAsia="宋体" w:cs="宋体"/>
          <w:sz w:val="21"/>
          <w:szCs w:val="21"/>
        </w:rPr>
        <w:t>下列文件构成本合同的组成部分，应该认为是一个整体，彼此相互解释，相</w:t>
      </w:r>
      <w:r>
        <w:rPr>
          <w:rFonts w:hint="eastAsia" w:ascii="宋体" w:hAnsi="宋体" w:eastAsia="宋体" w:cs="宋体"/>
          <w:color w:val="000000"/>
          <w:sz w:val="21"/>
          <w:szCs w:val="21"/>
        </w:rPr>
        <w:t>互补</w:t>
      </w:r>
      <w:r>
        <w:rPr>
          <w:rFonts w:hint="eastAsia" w:ascii="宋体" w:hAnsi="宋体" w:eastAsia="宋体" w:cs="宋体"/>
          <w:sz w:val="21"/>
          <w:szCs w:val="21"/>
        </w:rPr>
        <w:t>充。组成合同的多个文件的优先支配地位的次序如下：</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sz w:val="21"/>
          <w:szCs w:val="21"/>
        </w:rPr>
        <w:t>a.本合同书；　</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sz w:val="21"/>
          <w:szCs w:val="21"/>
        </w:rPr>
        <w:t>b.成交通知书；</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sz w:val="21"/>
          <w:szCs w:val="21"/>
        </w:rPr>
        <w:t>c.变更补充文件；</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sz w:val="21"/>
          <w:szCs w:val="21"/>
        </w:rPr>
        <w:t>d.成交人</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文件（包括询标记录）；</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sz w:val="21"/>
          <w:szCs w:val="21"/>
        </w:rPr>
        <w:t>e.采购文件(含澄清修改文件) 。</w:t>
      </w:r>
    </w:p>
    <w:p>
      <w:pPr>
        <w:keepNext w:val="0"/>
        <w:keepLines w:val="0"/>
        <w:pageBreakBefore w:val="0"/>
        <w:widowControl w:val="0"/>
        <w:numPr>
          <w:ilvl w:val="0"/>
          <w:numId w:val="0"/>
        </w:numPr>
        <w:tabs>
          <w:tab w:val="left" w:pos="453"/>
        </w:tabs>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color w:val="auto"/>
          <w:sz w:val="21"/>
          <w:szCs w:val="21"/>
          <w:highlight w:val="none"/>
        </w:rPr>
      </w:pPr>
      <w:bookmarkStart w:id="27" w:name="_Toc18335"/>
      <w:bookmarkStart w:id="28" w:name="_Toc14014"/>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合同标的物</w:t>
      </w:r>
      <w:bookmarkEnd w:id="27"/>
      <w:bookmarkEnd w:id="28"/>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本合同标的物名称及数量：【</w:t>
      </w:r>
      <w:r>
        <w:rPr>
          <w:rFonts w:hint="eastAsia" w:ascii="宋体" w:hAnsi="宋体" w:eastAsia="宋体" w:cs="宋体"/>
          <w:color w:val="auto"/>
          <w:sz w:val="21"/>
          <w:szCs w:val="21"/>
          <w:highlight w:val="none"/>
          <w:u w:val="single"/>
        </w:rPr>
        <w:t>服务内容可附后</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firstLine="422" w:firstLineChars="200"/>
        <w:jc w:val="left"/>
        <w:outlineLvl w:val="9"/>
        <w:rPr>
          <w:rFonts w:hint="eastAsia" w:ascii="宋体" w:hAnsi="宋体" w:eastAsia="宋体" w:cs="宋体"/>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合同</w:t>
      </w:r>
      <w:r>
        <w:rPr>
          <w:rFonts w:hint="eastAsia" w:ascii="宋体" w:hAnsi="宋体" w:eastAsia="宋体" w:cs="宋体"/>
          <w:b/>
          <w:bCs/>
          <w:color w:val="auto"/>
          <w:sz w:val="21"/>
          <w:szCs w:val="21"/>
        </w:rPr>
        <w:t>金额</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b/>
          <w:bCs/>
          <w:sz w:val="21"/>
          <w:szCs w:val="21"/>
        </w:rPr>
      </w:pPr>
      <w:r>
        <w:rPr>
          <w:rFonts w:hint="eastAsia" w:ascii="宋体" w:hAnsi="宋体" w:eastAsia="宋体" w:cs="宋体"/>
          <w:color w:val="auto"/>
          <w:sz w:val="21"/>
          <w:szCs w:val="21"/>
        </w:rPr>
        <w:t>本合同总价款(大写)：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b/>
          <w:bCs/>
          <w:color w:val="auto"/>
          <w:sz w:val="21"/>
          <w:szCs w:val="21"/>
        </w:rPr>
        <w:t>。</w:t>
      </w:r>
      <w:r>
        <w:rPr>
          <w:rFonts w:hint="eastAsia" w:ascii="宋体" w:hAnsi="宋体" w:eastAsia="宋体" w:cs="宋体"/>
          <w:b/>
          <w:bCs/>
          <w:sz w:val="21"/>
          <w:szCs w:val="21"/>
        </w:rPr>
        <w:t>具体报价清单详见合同附件。</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合同总价包括各项管理服务、劳务、技术支持与培训、售后服务与维保、检测验收、专利、利润、税金、保险、设备</w:t>
      </w:r>
      <w:r>
        <w:rPr>
          <w:rFonts w:hint="eastAsia" w:ascii="宋体" w:hAnsi="宋体" w:eastAsia="宋体" w:cs="宋体"/>
          <w:color w:val="auto"/>
          <w:sz w:val="21"/>
          <w:szCs w:val="21"/>
          <w:lang w:eastAsia="zh-CN"/>
        </w:rPr>
        <w:t>、设备</w:t>
      </w:r>
      <w:r>
        <w:rPr>
          <w:rFonts w:hint="eastAsia" w:ascii="宋体" w:hAnsi="宋体" w:eastAsia="宋体" w:cs="宋体"/>
          <w:color w:val="auto"/>
          <w:sz w:val="21"/>
          <w:szCs w:val="21"/>
        </w:rPr>
        <w:t>租赁、完成本项目的其它费用和政策性文件规定及合同包含的所有风险、责任等所有费用</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、服务期限</w:t>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r>
        <w:rPr>
          <w:rFonts w:hint="eastAsia" w:ascii="宋体" w:hAnsi="宋体" w:eastAsia="宋体" w:cs="宋体"/>
          <w:b w:val="0"/>
          <w:bCs w:val="0"/>
          <w:sz w:val="21"/>
          <w:szCs w:val="21"/>
          <w:u w:val="none"/>
          <w:lang w:val="en-US" w:eastAsia="zh-CN"/>
        </w:rPr>
        <w:t>（</w:t>
      </w:r>
      <w:r>
        <w:rPr>
          <w:rFonts w:hint="eastAsia" w:ascii="宋体" w:hAnsi="宋体" w:eastAsia="宋体" w:cs="宋体"/>
          <w:kern w:val="0"/>
          <w:sz w:val="21"/>
          <w:szCs w:val="21"/>
        </w:rPr>
        <w:t>自合同签订</w:t>
      </w:r>
      <w:r>
        <w:rPr>
          <w:rFonts w:hint="eastAsia" w:ascii="宋体" w:hAnsi="宋体" w:eastAsia="宋体" w:cs="宋体"/>
          <w:kern w:val="0"/>
          <w:sz w:val="21"/>
          <w:szCs w:val="21"/>
          <w:lang w:val="en-US" w:eastAsia="zh-CN"/>
        </w:rPr>
        <w:t>生效</w:t>
      </w:r>
      <w:r>
        <w:rPr>
          <w:rFonts w:hint="eastAsia" w:ascii="宋体" w:hAnsi="宋体" w:eastAsia="宋体" w:cs="宋体"/>
          <w:kern w:val="0"/>
          <w:sz w:val="21"/>
          <w:szCs w:val="21"/>
        </w:rPr>
        <w:t>之日起算</w:t>
      </w:r>
      <w:r>
        <w:rPr>
          <w:rFonts w:hint="eastAsia" w:ascii="宋体" w:hAnsi="宋体" w:eastAsia="宋体" w:cs="宋体"/>
          <w:b w:val="0"/>
          <w:bCs w:val="0"/>
          <w:sz w:val="21"/>
          <w:szCs w:val="21"/>
          <w:u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付款方式：</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bCs/>
          <w:color w:val="auto"/>
          <w:sz w:val="21"/>
          <w:szCs w:val="36"/>
          <w:highlight w:val="none"/>
          <w:lang w:eastAsia="zh-CN"/>
        </w:rPr>
      </w:pPr>
      <w:r>
        <w:rPr>
          <w:rFonts w:hint="eastAsia" w:ascii="宋体" w:hAnsi="宋体" w:eastAsia="宋体" w:cs="宋体"/>
          <w:color w:val="auto"/>
          <w:sz w:val="21"/>
          <w:szCs w:val="21"/>
          <w:highlight w:val="none"/>
        </w:rPr>
        <w:t>合同生效后达到支付条件后按采购程序7个工作日内支付合同价扣除设备维护费后的40%，项目完成并通过验收后15个工作日内甲方支付至合同价扣除设备维护费后的80%；服务期满后15个工作日内甲方支付合同剩余的费用。（具体以合同签订条款为准）</w:t>
      </w:r>
      <w:r>
        <w:rPr>
          <w:rFonts w:hint="eastAsia" w:ascii="宋体" w:hAnsi="宋体" w:eastAsia="宋体" w:cs="宋体"/>
          <w:b w:val="0"/>
          <w:color w:val="auto"/>
          <w:kern w:val="0"/>
          <w:sz w:val="21"/>
          <w:szCs w:val="21"/>
          <w:highlight w:val="none"/>
          <w:lang w:eastAsia="zh-CN" w:bidi="ar"/>
        </w:rPr>
        <w:t>。</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、技术资料</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1.乙方应按招标文件规定的时间向甲方提供有关技术资料。</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没有甲方事先书面同意，乙方不得将由甲方提供的有关合同或任何合同条文、资料、计划、样品等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3.乙方应当对全部作业情况建立完整的电子档案资料，在合同正常终止后全部移交给招标单位保管。</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4.与本项目有关的资料及数据中涉及国家保密的内容，均要求按照《国家保密法》及相关法律法规执行。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5.乙方应遵守相关保密法律、法规，确保招标单位及项目建设方的信息安全。</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、知识产权</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乙方应保证提供服务过程中不会侵犯任何第三方的知识产权。</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rPr>
        <w:t>、履约保证金</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textAlignment w:val="auto"/>
        <w:outlineLvl w:val="9"/>
        <w:rPr>
          <w:rStyle w:val="92"/>
          <w:rFonts w:hint="eastAsia" w:ascii="宋体" w:hAnsi="宋体" w:eastAsia="宋体" w:cs="宋体"/>
          <w:sz w:val="21"/>
          <w:szCs w:val="21"/>
          <w:highlight w:val="yellow"/>
        </w:rPr>
      </w:pPr>
      <w:r>
        <w:rPr>
          <w:rStyle w:val="92"/>
          <w:rFonts w:hint="eastAsia" w:ascii="宋体" w:hAnsi="宋体" w:eastAsia="宋体" w:cs="宋体"/>
          <w:sz w:val="21"/>
          <w:szCs w:val="21"/>
        </w:rPr>
        <w:t>1.履约保证金的形式：通过中标人的基本账户以电汇或保函方式缴纳，如履约保证金采用保函形式的，保函必须由采购人认可的国有银行或国有性质保险公司出具。</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textAlignment w:val="auto"/>
        <w:outlineLvl w:val="9"/>
        <w:rPr>
          <w:rStyle w:val="92"/>
          <w:rFonts w:hint="eastAsia" w:ascii="宋体" w:hAnsi="宋体" w:eastAsia="宋体" w:cs="宋体"/>
          <w:sz w:val="21"/>
          <w:szCs w:val="21"/>
        </w:rPr>
      </w:pPr>
      <w:r>
        <w:rPr>
          <w:rStyle w:val="92"/>
          <w:rFonts w:hint="eastAsia" w:ascii="宋体" w:hAnsi="宋体" w:eastAsia="宋体" w:cs="宋体"/>
          <w:sz w:val="21"/>
          <w:szCs w:val="21"/>
        </w:rPr>
        <w:t>2.履约保证金的金额：中标价的1%，不计利息。</w:t>
      </w:r>
    </w:p>
    <w:p>
      <w:pPr>
        <w:keepNext w:val="0"/>
        <w:keepLines w:val="0"/>
        <w:pageBreakBefore w:val="0"/>
        <w:widowControl w:val="0"/>
        <w:kinsoku/>
        <w:wordWrap/>
        <w:overflowPunct/>
        <w:topLinePunct w:val="0"/>
        <w:autoSpaceDE/>
        <w:autoSpaceDN/>
        <w:bidi w:val="0"/>
        <w:snapToGrid/>
        <w:spacing w:line="360" w:lineRule="auto"/>
        <w:ind w:leftChars="0" w:firstLine="420" w:firstLineChars="200"/>
        <w:jc w:val="left"/>
        <w:textAlignment w:val="auto"/>
        <w:outlineLvl w:val="9"/>
        <w:rPr>
          <w:rStyle w:val="92"/>
          <w:rFonts w:hint="eastAsia" w:ascii="宋体" w:hAnsi="宋体" w:eastAsia="宋体" w:cs="宋体"/>
          <w:sz w:val="21"/>
          <w:szCs w:val="21"/>
        </w:rPr>
      </w:pPr>
      <w:r>
        <w:rPr>
          <w:rStyle w:val="92"/>
          <w:rFonts w:hint="eastAsia" w:ascii="宋体" w:hAnsi="宋体" w:eastAsia="宋体" w:cs="宋体"/>
          <w:sz w:val="21"/>
          <w:szCs w:val="21"/>
        </w:rPr>
        <w:t>3.履约保证金的缴纳时间：成交通知书发出后15日内。</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textAlignment w:val="auto"/>
        <w:outlineLvl w:val="9"/>
        <w:rPr>
          <w:rFonts w:hint="eastAsia" w:ascii="宋体" w:hAnsi="宋体" w:eastAsia="宋体" w:cs="宋体"/>
          <w:color w:val="auto"/>
          <w:sz w:val="21"/>
          <w:szCs w:val="21"/>
          <w:highlight w:val="none"/>
          <w:lang w:eastAsia="zh-CN"/>
        </w:rPr>
      </w:pPr>
      <w:r>
        <w:rPr>
          <w:rStyle w:val="92"/>
          <w:rFonts w:hint="eastAsia" w:ascii="宋体" w:hAnsi="宋体" w:eastAsia="宋体" w:cs="宋体"/>
          <w:sz w:val="21"/>
          <w:szCs w:val="21"/>
        </w:rPr>
        <w:t>4.</w:t>
      </w:r>
      <w:r>
        <w:rPr>
          <w:rStyle w:val="92"/>
          <w:rFonts w:hint="eastAsia" w:ascii="宋体" w:hAnsi="宋体" w:eastAsia="宋体" w:cs="宋体"/>
          <w:sz w:val="21"/>
          <w:szCs w:val="21"/>
          <w:lang w:val="zh-CN"/>
        </w:rPr>
        <w:t>退履约担保在合同条款约定期间内或者服务质量保证期内不予退还或者应完全有效，待服务期满</w:t>
      </w:r>
      <w:r>
        <w:rPr>
          <w:rStyle w:val="92"/>
          <w:rFonts w:hint="eastAsia" w:ascii="宋体" w:hAnsi="宋体" w:eastAsia="宋体" w:cs="宋体"/>
          <w:sz w:val="21"/>
          <w:szCs w:val="21"/>
          <w:highlight w:val="none"/>
          <w:lang w:val="zh-CN"/>
        </w:rPr>
        <w:t>后，无质量、服务问题，由采购人向中标人无息退还。</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、转包或分包</w:t>
      </w:r>
    </w:p>
    <w:p>
      <w:pPr>
        <w:keepNext w:val="0"/>
        <w:keepLines w:val="0"/>
        <w:pageBreakBefore w:val="0"/>
        <w:widowControl/>
        <w:kinsoku/>
        <w:wordWrap/>
        <w:overflowPunct/>
        <w:topLinePunct w:val="0"/>
        <w:autoSpaceDE w:val="0"/>
        <w:autoSpaceDN w:val="0"/>
        <w:bidi w:val="0"/>
        <w:snapToGrid/>
        <w:spacing w:line="360" w:lineRule="auto"/>
        <w:ind w:firstLine="420" w:firstLineChars="200"/>
        <w:jc w:val="left"/>
        <w:textAlignment w:val="auto"/>
        <w:outlineLvl w:val="9"/>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1.本项目不允许转包或分包。</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十</w:t>
      </w:r>
      <w:r>
        <w:rPr>
          <w:rFonts w:hint="eastAsia" w:ascii="宋体" w:hAnsi="宋体" w:eastAsia="宋体" w:cs="宋体"/>
          <w:b/>
          <w:bCs/>
          <w:color w:val="auto"/>
          <w:sz w:val="21"/>
          <w:szCs w:val="21"/>
        </w:rPr>
        <w:t>、甲方权利和义务</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根据甲方要求及乙方投标文件中的承诺，对乙方提供的服务及履行本合同情况实行验收考核。</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因采购方项目需求或突发事件或重大活动，甲方需调动乙方人员、设备时，乙方应无条件服从安排予以配合。  </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、乙方权利和义务</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乙方根据甲方招标文件的要求及投标文件所作的承诺，积极主动保质保量地完成衢州市衢江区区域自动气象站和负氧离子站日常维修维护服务项目工作；包含在站点管理系统做好日常维护登记、任务完成后需签字确认《客户服务受理跟踪单》；</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接受并主动配合甲方及行业管理部门的服务监督和检查，按甲方或相关主管部门的规范要求，提供相应的维护服务，并做好拍照、笔记记录；</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服务范围之外的突击性、突发性工作，乙方须服从甲方的安排，不得无故拖延；</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项目实施区域内甲方其他设施设备应保持完好，因乙方操作不当而损坏的设施设备应负责修复或照价赔偿；</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若项目维护服务期内，出现灾害性天气或人为破坏而导致设备损坏、丢失等现象，乙方不需要负责承担对设备的赔偿。</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如甲方的观测装备发生故障，乙方在接到甲方通知后须在24小时内到达甲方现场进行抢修；乙方需按照甲方规定每月对观测装备进行巡检，一旦有不可控制的突发状况，需在第一时间通知甲方。</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乙方须保证设备数据传输及时率（每月平均）在95%以上；如遇重大故障需返厂维修则乙方应提供备用观测设备以保证数据观测与传输。</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乙方需保障在服务期间乙方人员的安全责任，若产生事故，由乙方负责。</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二</w:t>
      </w:r>
      <w:r>
        <w:rPr>
          <w:rFonts w:hint="eastAsia" w:ascii="宋体" w:hAnsi="宋体" w:eastAsia="宋体" w:cs="宋体"/>
          <w:b/>
          <w:bCs/>
          <w:color w:val="auto"/>
          <w:sz w:val="21"/>
          <w:szCs w:val="21"/>
        </w:rPr>
        <w:t>、税费</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三</w:t>
      </w:r>
      <w:r>
        <w:rPr>
          <w:rFonts w:hint="eastAsia" w:ascii="宋体" w:hAnsi="宋体" w:eastAsia="宋体" w:cs="宋体"/>
          <w:b/>
          <w:bCs/>
          <w:color w:val="auto"/>
          <w:sz w:val="21"/>
          <w:szCs w:val="21"/>
        </w:rPr>
        <w:t>、质量保证及后续服务</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1.乙方应按采购文件规定向甲方提供服务。</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2.乙方提供的服务成果在服务质量保证期内发生问题，乙方应负责免费提供后续服务。对达不到要求者，根据实际情况，经双方协商，可按以下办法处理：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2.1重做：由乙方承担所发生的全部费用。</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2.2贬值处理：由甲乙双方合议定价。</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2.3解除合同。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3.如在服务过程中发生问题，乙方在接到甲方通知后在8小时内到达甲方现场。</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4.在服务质量保证期内，乙方应对出现的质量及安全问题负责处理解决并承担一切费用。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违反本合同约定，造成本合同不能履行或不能完全履行，由违约方承担违约责任，违约方应按合同法赔偿对方经济损失。</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乙方的工作与服务完全达不到本项目要求的，乙方应负责根据合同及甲方的要求采取相应的处理措施，并承担由此发生的一切损失和费用；造成甲方工作延误和其他损失的，甲方需负相应的赔偿责任</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五</w:t>
      </w:r>
      <w:r>
        <w:rPr>
          <w:rFonts w:hint="eastAsia" w:ascii="宋体" w:hAnsi="宋体" w:eastAsia="宋体" w:cs="宋体"/>
          <w:b/>
          <w:bCs/>
          <w:color w:val="auto"/>
          <w:sz w:val="21"/>
          <w:szCs w:val="21"/>
        </w:rPr>
        <w:t>、不可抗力事件处理</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bidi w:val="0"/>
        <w:snapToGrid/>
        <w:spacing w:line="360" w:lineRule="auto"/>
        <w:ind w:firstLine="422" w:firstLineChars="200"/>
        <w:jc w:val="left"/>
        <w:outlineLvl w:val="9"/>
        <w:rPr>
          <w:rFonts w:hint="eastAsia" w:ascii="宋体" w:hAnsi="宋体" w:eastAsia="宋体" w:cs="宋体"/>
          <w:b/>
          <w:bCs w:val="0"/>
          <w:color w:val="auto"/>
          <w:sz w:val="21"/>
          <w:szCs w:val="21"/>
          <w:highlight w:val="none"/>
        </w:rPr>
      </w:pPr>
      <w:bookmarkStart w:id="29" w:name="_Toc30710"/>
      <w:bookmarkStart w:id="30" w:name="_Toc30771"/>
      <w:r>
        <w:rPr>
          <w:rFonts w:hint="eastAsia" w:ascii="宋体" w:hAnsi="宋体" w:eastAsia="宋体" w:cs="宋体"/>
          <w:b/>
          <w:bCs w:val="0"/>
          <w:color w:val="auto"/>
          <w:sz w:val="21"/>
          <w:szCs w:val="21"/>
          <w:highlight w:val="none"/>
          <w:lang w:val="en-US" w:eastAsia="zh-CN"/>
        </w:rPr>
        <w:t>十六、</w:t>
      </w:r>
      <w:r>
        <w:rPr>
          <w:rFonts w:hint="eastAsia" w:ascii="宋体" w:hAnsi="宋体" w:eastAsia="宋体" w:cs="宋体"/>
          <w:b/>
          <w:bCs w:val="0"/>
          <w:color w:val="auto"/>
          <w:sz w:val="21"/>
          <w:szCs w:val="21"/>
          <w:highlight w:val="none"/>
        </w:rPr>
        <w:t>解决争议的方法</w:t>
      </w:r>
      <w:bookmarkEnd w:id="29"/>
      <w:bookmarkEnd w:id="30"/>
    </w:p>
    <w:p>
      <w:pPr>
        <w:keepNext w:val="0"/>
        <w:keepLines w:val="0"/>
        <w:pageBreakBefore w:val="0"/>
        <w:widowControl w:val="0"/>
        <w:kinsoku/>
        <w:wordWrap/>
        <w:overflowPunct/>
        <w:topLinePunct w:val="0"/>
        <w:bidi w:val="0"/>
        <w:snapToGrid/>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因合同履行中发生的争议，可通过合同当事人双方友好协商解决。如自协商开始之起15日内得不到解决，双方应将争议提交政府采购监管部门调解。调解不成的，可向甲方所在地人民法院提起诉讼。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2" w:firstLineChars="200"/>
        <w:jc w:val="left"/>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、合同生效及其它</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2.本合同未尽事宜，遵照《民法典》有关条文执行。</w:t>
      </w:r>
    </w:p>
    <w:p>
      <w:pPr>
        <w:keepNext w:val="0"/>
        <w:keepLines w:val="0"/>
        <w:pageBreakBefore w:val="0"/>
        <w:widowControl w:val="0"/>
        <w:kinsoku/>
        <w:wordWrap/>
        <w:overflowPunct/>
        <w:topLinePunct w:val="0"/>
        <w:autoSpaceDE/>
        <w:autoSpaceDN/>
        <w:bidi w:val="0"/>
        <w:adjustRightInd w:val="0"/>
        <w:snapToGrid/>
        <w:spacing w:line="360" w:lineRule="auto"/>
        <w:ind w:leftChars="0"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3.本合同一式四份，双方各执二份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甲方（盖章）：                 乙方（盖章）：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法定代表人：                   法定代表人：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或授权代表（签字）：           或授权受委托人（签字）：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地址：                         地址：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邮编：                         邮编：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传真：                         传真：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9"/>
        <w:rPr>
          <w:rFonts w:ascii="宋体" w:hAnsi="宋体" w:eastAsia="宋体" w:cs="宋体"/>
          <w:kern w:val="0"/>
          <w:sz w:val="21"/>
          <w:szCs w:val="21"/>
        </w:rPr>
      </w:pPr>
      <w:r>
        <w:rPr>
          <w:rFonts w:hint="eastAsia" w:ascii="宋体" w:hAnsi="宋体" w:eastAsia="宋体" w:cs="宋体"/>
          <w:kern w:val="0"/>
          <w:sz w:val="21"/>
          <w:szCs w:val="21"/>
        </w:rPr>
        <w:t xml:space="preserve">帐号：                         帐号： </w:t>
      </w:r>
    </w:p>
    <w:p>
      <w:pPr>
        <w:pStyle w:val="12"/>
        <w:rPr>
          <w:rFonts w:hint="eastAsia"/>
        </w:rPr>
      </w:pPr>
    </w:p>
    <w:p>
      <w:pPr>
        <w:pStyle w:val="27"/>
        <w:rPr>
          <w:rFonts w:hint="eastAsia"/>
        </w:rPr>
      </w:pPr>
    </w:p>
    <w:p>
      <w:pPr>
        <w:rPr>
          <w:rFonts w:hint="eastAsia"/>
        </w:rPr>
      </w:pPr>
    </w:p>
    <w:p>
      <w:pPr>
        <w:pStyle w:val="33"/>
        <w:rPr>
          <w:rFonts w:hint="eastAsia"/>
        </w:rPr>
      </w:pPr>
    </w:p>
    <w:p>
      <w:pPr>
        <w:pStyle w:val="12"/>
        <w:rPr>
          <w:rFonts w:hint="eastAsia"/>
        </w:rPr>
      </w:pPr>
    </w:p>
    <w:p>
      <w:pPr>
        <w:pStyle w:val="13"/>
        <w:rPr>
          <w:rFonts w:hint="eastAsia"/>
        </w:rPr>
      </w:pPr>
    </w:p>
    <w:p>
      <w:pPr>
        <w:pStyle w:val="27"/>
        <w:rPr>
          <w:rFonts w:hint="eastAsia"/>
        </w:rPr>
      </w:pPr>
    </w:p>
    <w:p>
      <w:pPr>
        <w:rPr>
          <w:rFonts w:hint="eastAsia"/>
        </w:rPr>
      </w:pPr>
    </w:p>
    <w:p>
      <w:pPr>
        <w:pStyle w:val="33"/>
        <w:rPr>
          <w:rFonts w:hint="eastAsia"/>
        </w:rPr>
      </w:pPr>
    </w:p>
    <w:p>
      <w:pPr>
        <w:pStyle w:val="12"/>
        <w:rPr>
          <w:rFonts w:hint="eastAsia"/>
        </w:rPr>
      </w:pPr>
    </w:p>
    <w:p>
      <w:pPr>
        <w:rPr>
          <w:rFonts w:hint="eastAsia"/>
        </w:rPr>
      </w:pPr>
    </w:p>
    <w:p>
      <w:pPr>
        <w:rPr>
          <w:rFonts w:hint="eastAsia"/>
        </w:rPr>
        <w:sectPr>
          <w:pgSz w:w="11905" w:h="16838"/>
          <w:pgMar w:top="1247" w:right="1247" w:bottom="1247" w:left="1247" w:header="907" w:footer="737" w:gutter="0"/>
          <w:pgNumType w:fmt="decimal"/>
          <w:cols w:space="0" w:num="1"/>
          <w:docGrid w:type="lines" w:linePitch="319" w:charSpace="0"/>
        </w:sectPr>
      </w:pPr>
    </w:p>
    <w:p>
      <w:pPr>
        <w:rPr>
          <w:rFonts w:hint="eastAsia"/>
        </w:rPr>
        <w:sectPr>
          <w:type w:val="continuous"/>
          <w:pgSz w:w="11905" w:h="16838"/>
          <w:pgMar w:top="1247" w:right="1247" w:bottom="1247" w:left="1247" w:header="907" w:footer="737" w:gutter="0"/>
          <w:pgNumType w:fmt="decimal"/>
          <w:cols w:space="0" w:num="1"/>
          <w:docGrid w:type="lines" w:linePitch="319" w:charSpace="0"/>
        </w:sectPr>
      </w:pPr>
    </w:p>
    <w:p>
      <w:pPr>
        <w:rPr>
          <w:rFonts w:hint="eastAsia"/>
        </w:rPr>
      </w:pPr>
    </w:p>
    <w:p>
      <w:pPr>
        <w:pStyle w:val="12"/>
        <w:tabs>
          <w:tab w:val="left" w:pos="8460"/>
          <w:tab w:val="left" w:pos="8640"/>
        </w:tabs>
        <w:spacing w:after="0" w:line="440" w:lineRule="exact"/>
        <w:ind w:right="25" w:rightChars="12" w:firstLine="723" w:firstLineChars="200"/>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第五章   评分办法</w:t>
      </w:r>
    </w:p>
    <w:p>
      <w:pPr>
        <w:keepNext w:val="0"/>
        <w:keepLines w:val="0"/>
        <w:pageBreakBefore w:val="0"/>
        <w:widowControl/>
        <w:kinsoku/>
        <w:wordWrap/>
        <w:overflowPunct/>
        <w:topLinePunct w:val="0"/>
        <w:autoSpaceDE w:val="0"/>
        <w:autoSpaceDN w:val="0"/>
        <w:bidi w:val="0"/>
        <w:snapToGrid/>
        <w:spacing w:line="360" w:lineRule="auto"/>
        <w:ind w:firstLine="422" w:firstLineChars="200"/>
        <w:jc w:val="left"/>
        <w:textAlignment w:val="auto"/>
        <w:outlineLvl w:val="9"/>
        <w:rPr>
          <w:rFonts w:hint="eastAsia" w:ascii="宋体" w:hAnsi="宋体" w:eastAsia="宋体" w:cs="宋体"/>
          <w:b/>
          <w:color w:val="auto"/>
          <w:sz w:val="21"/>
          <w:szCs w:val="21"/>
        </w:rPr>
      </w:pPr>
      <w:bookmarkStart w:id="31" w:name="_Toc17578"/>
      <w:bookmarkStart w:id="32" w:name="_Toc522530064"/>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、评标原则</w:t>
      </w:r>
    </w:p>
    <w:p>
      <w:pPr>
        <w:keepNext w:val="0"/>
        <w:keepLines w:val="0"/>
        <w:pageBreakBefore w:val="0"/>
        <w:widowControl/>
        <w:kinsoku/>
        <w:wordWrap/>
        <w:overflowPunct/>
        <w:topLinePunct w:val="0"/>
        <w:autoSpaceDE w:val="0"/>
        <w:autoSpaceDN w:val="0"/>
        <w:bidi w:val="0"/>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工作遵循公平、公正、科学、择优原则和诚实、信誉、效率的服务原则。本着科学、严谨的态度，认真进行评标。择优选用，推进技术进步，确保工程质量、交货按期，节约投资，最大限度的保护当事人权益。严格按照</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的商务、技术要求，对响应文件进行综合评定，提出优选方案，编写评标报告。对落标单位，</w:t>
      </w: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rPr>
        <w:t>不做任何落标解释。</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不得以任何方式干扰招投标工作的进行，一经发现其响应文件将被拒绝。</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sz w:val="21"/>
          <w:szCs w:val="21"/>
          <w:lang w:val="zh-CN"/>
        </w:rPr>
      </w:pPr>
      <w:bookmarkStart w:id="33" w:name="_Toc476644266"/>
      <w:bookmarkStart w:id="34" w:name="_Toc476644721"/>
      <w:r>
        <w:rPr>
          <w:rFonts w:hint="eastAsia" w:ascii="宋体" w:hAnsi="宋体" w:eastAsia="宋体" w:cs="宋体"/>
          <w:b/>
          <w:bCs/>
          <w:color w:val="auto"/>
          <w:sz w:val="21"/>
          <w:szCs w:val="21"/>
          <w:lang w:val="zh-CN"/>
        </w:rPr>
        <w:t>二、评标委员会的组成</w:t>
      </w:r>
      <w:bookmarkEnd w:id="33"/>
      <w:bookmarkEnd w:id="34"/>
    </w:p>
    <w:p>
      <w:pPr>
        <w:keepNext w:val="0"/>
        <w:keepLines w:val="0"/>
        <w:pageBreakBefore w:val="0"/>
        <w:widowControl/>
        <w:kinsoku/>
        <w:wordWrap/>
        <w:overflowPunct/>
        <w:topLinePunct w:val="0"/>
        <w:autoSpaceDE w:val="0"/>
        <w:autoSpaceDN w:val="0"/>
        <w:bidi w:val="0"/>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1.评标委员会由采购人依法组建，共5人组成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评标委员会对投标文件进行评审。</w:t>
      </w:r>
    </w:p>
    <w:p>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在线</w:t>
      </w:r>
      <w:r>
        <w:rPr>
          <w:rFonts w:hint="eastAsia" w:ascii="宋体" w:hAnsi="宋体" w:eastAsia="宋体" w:cs="宋体"/>
          <w:color w:val="auto"/>
          <w:sz w:val="21"/>
          <w:szCs w:val="21"/>
        </w:rPr>
        <w:t>询标期间，投标人法</w:t>
      </w:r>
      <w:r>
        <w:rPr>
          <w:rFonts w:hint="eastAsia" w:ascii="宋体" w:hAnsi="宋体" w:eastAsia="宋体" w:cs="宋体"/>
          <w:color w:val="auto"/>
          <w:sz w:val="21"/>
          <w:szCs w:val="21"/>
          <w:lang w:val="en-US" w:eastAsia="zh-CN"/>
        </w:rPr>
        <w:t>定代表人</w:t>
      </w:r>
      <w:r>
        <w:rPr>
          <w:rFonts w:hint="eastAsia" w:ascii="宋体" w:hAnsi="宋体" w:eastAsia="宋体" w:cs="宋体"/>
          <w:color w:val="auto"/>
          <w:sz w:val="21"/>
          <w:szCs w:val="21"/>
        </w:rPr>
        <w:t>或法定代表人授权委托</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必须</w:t>
      </w:r>
      <w:r>
        <w:rPr>
          <w:rFonts w:hint="eastAsia" w:ascii="宋体" w:hAnsi="宋体" w:eastAsia="宋体" w:cs="宋体"/>
          <w:color w:val="auto"/>
          <w:sz w:val="21"/>
          <w:szCs w:val="21"/>
          <w:lang w:eastAsia="zh-CN"/>
        </w:rPr>
        <w:t>在线，</w:t>
      </w:r>
      <w:r>
        <w:rPr>
          <w:rFonts w:hint="eastAsia" w:ascii="宋体" w:hAnsi="宋体" w:eastAsia="宋体" w:cs="宋体"/>
          <w:color w:val="auto"/>
          <w:sz w:val="21"/>
          <w:szCs w:val="21"/>
        </w:rPr>
        <w:t>负责解答有关事宜。如不在</w:t>
      </w:r>
      <w:r>
        <w:rPr>
          <w:rFonts w:hint="eastAsia" w:ascii="宋体" w:hAnsi="宋体" w:eastAsia="宋体" w:cs="宋体"/>
          <w:color w:val="auto"/>
          <w:sz w:val="21"/>
          <w:szCs w:val="21"/>
          <w:lang w:eastAsia="zh-CN"/>
        </w:rPr>
        <w:t>线或未在规定时间内回复</w:t>
      </w:r>
      <w:r>
        <w:rPr>
          <w:rFonts w:hint="eastAsia" w:ascii="宋体" w:hAnsi="宋体" w:eastAsia="宋体" w:cs="宋体"/>
          <w:color w:val="auto"/>
          <w:sz w:val="21"/>
          <w:szCs w:val="21"/>
        </w:rPr>
        <w:t>，则事后不得对采购过程及结果提出异议。</w:t>
      </w:r>
    </w:p>
    <w:p>
      <w:pPr>
        <w:keepNext w:val="0"/>
        <w:keepLines w:val="0"/>
        <w:pageBreakBefore w:val="0"/>
        <w:widowControl/>
        <w:kinsoku/>
        <w:wordWrap/>
        <w:overflowPunct/>
        <w:topLinePunct w:val="0"/>
        <w:autoSpaceDE w:val="0"/>
        <w:autoSpaceDN w:val="0"/>
        <w:bidi w:val="0"/>
        <w:snapToGrid/>
        <w:spacing w:line="360" w:lineRule="auto"/>
        <w:ind w:firstLine="422" w:firstLineChars="200"/>
        <w:jc w:val="lef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、评标</w:t>
      </w:r>
      <w:r>
        <w:rPr>
          <w:rFonts w:hint="eastAsia" w:ascii="宋体" w:hAnsi="宋体" w:eastAsia="宋体" w:cs="宋体"/>
          <w:b/>
          <w:color w:val="auto"/>
          <w:sz w:val="21"/>
          <w:szCs w:val="21"/>
          <w:lang w:val="en-US" w:eastAsia="zh-CN"/>
        </w:rPr>
        <w:t>方法</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本项目采用综合评分法，即以投标人完全响应招标文件设定的全部责任条款为前提。由评标委员会按招标文件中规定的各项因素进行综合评审，确定综合得分最高的投标人为</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。如最高综合得分相同，投标报价低者为</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；如综合得分和投标报价均相同，则采购单位现场抽签确定</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。计算结果按四舍五入</w:t>
      </w:r>
      <w:r>
        <w:rPr>
          <w:rFonts w:hint="eastAsia" w:ascii="宋体" w:hAnsi="宋体" w:eastAsia="宋体" w:cs="宋体"/>
          <w:color w:val="auto"/>
          <w:sz w:val="21"/>
          <w:szCs w:val="21"/>
          <w:lang w:eastAsia="zh-CN"/>
        </w:rPr>
        <w:t>，保留两位小数</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评标标准</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各投标人的综合得分为商务技术得分和报价得分之和，总分为100分，其中：商务技术分</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分，报价得分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kinsoku/>
        <w:wordWrap/>
        <w:overflowPunct/>
        <w:topLinePunct w:val="0"/>
        <w:autoSpaceDE w:val="0"/>
        <w:autoSpaceDN w:val="0"/>
        <w:bidi w:val="0"/>
        <w:snapToGrid/>
        <w:spacing w:line="360" w:lineRule="auto"/>
        <w:ind w:firstLine="422"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.1商务技术</w:t>
      </w:r>
      <w:r>
        <w:rPr>
          <w:rFonts w:hint="eastAsia" w:ascii="宋体" w:hAnsi="宋体" w:eastAsia="宋体" w:cs="宋体"/>
          <w:b/>
          <w:bCs/>
          <w:color w:val="auto"/>
          <w:sz w:val="21"/>
          <w:szCs w:val="21"/>
          <w:lang w:eastAsia="zh-CN"/>
        </w:rPr>
        <w:t>分</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90</w:t>
      </w:r>
      <w:r>
        <w:rPr>
          <w:rFonts w:hint="eastAsia" w:ascii="宋体" w:hAnsi="宋体" w:eastAsia="宋体" w:cs="宋体"/>
          <w:b/>
          <w:bCs/>
          <w:color w:val="auto"/>
          <w:sz w:val="21"/>
          <w:szCs w:val="21"/>
        </w:rPr>
        <w:t>分）：</w:t>
      </w:r>
    </w:p>
    <w:p>
      <w:pPr>
        <w:pStyle w:val="43"/>
        <w:keepNext w:val="0"/>
        <w:keepLines w:val="0"/>
        <w:pageBreakBefore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商务技术分中</w:t>
      </w:r>
      <w:r>
        <w:rPr>
          <w:rFonts w:hint="eastAsia" w:ascii="宋体" w:hAnsi="宋体" w:eastAsia="宋体" w:cs="宋体"/>
          <w:color w:val="auto"/>
          <w:sz w:val="21"/>
          <w:szCs w:val="21"/>
        </w:rPr>
        <w:t>资信</w:t>
      </w:r>
      <w:r>
        <w:rPr>
          <w:rFonts w:hint="eastAsia" w:ascii="宋体" w:hAnsi="宋体" w:eastAsia="宋体" w:cs="宋体"/>
          <w:color w:val="auto"/>
          <w:sz w:val="21"/>
          <w:szCs w:val="21"/>
          <w:lang w:eastAsia="zh-CN"/>
        </w:rPr>
        <w:t>评分由评标委员会统一打分，</w:t>
      </w:r>
      <w:r>
        <w:rPr>
          <w:rFonts w:hint="eastAsia" w:ascii="宋体" w:hAnsi="宋体" w:eastAsia="宋体" w:cs="宋体"/>
          <w:color w:val="auto"/>
          <w:sz w:val="21"/>
          <w:szCs w:val="21"/>
        </w:rPr>
        <w:t>技术评分按照评标委员会成员的独立评分结果汇总后的算术平均分计算。</w:t>
      </w:r>
    </w:p>
    <w:p>
      <w:pPr>
        <w:keepNext w:val="0"/>
        <w:keepLines w:val="0"/>
        <w:pageBreakBefore w:val="0"/>
        <w:widowControl/>
        <w:kinsoku/>
        <w:wordWrap/>
        <w:overflowPunct/>
        <w:topLinePunct w:val="0"/>
        <w:autoSpaceDE w:val="0"/>
        <w:autoSpaceDN w:val="0"/>
        <w:bidi w:val="0"/>
        <w:snapToGrid/>
        <w:spacing w:line="360" w:lineRule="auto"/>
        <w:ind w:firstLine="422"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 xml:space="preserve">.2 </w:t>
      </w:r>
      <w:r>
        <w:rPr>
          <w:rFonts w:hint="eastAsia" w:ascii="宋体" w:hAnsi="宋体" w:eastAsia="宋体" w:cs="宋体"/>
          <w:b/>
          <w:bCs/>
          <w:color w:val="auto"/>
          <w:sz w:val="21"/>
          <w:szCs w:val="21"/>
          <w:lang w:eastAsia="zh-CN"/>
        </w:rPr>
        <w:t>报价</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分）：</w:t>
      </w:r>
    </w:p>
    <w:p>
      <w:pPr>
        <w:keepNext w:val="0"/>
        <w:keepLines w:val="0"/>
        <w:pageBreakBefore w:val="0"/>
        <w:widowControl/>
        <w:kinsoku/>
        <w:wordWrap/>
        <w:overflowPunct/>
        <w:topLinePunct w:val="0"/>
        <w:autoSpaceDE w:val="0"/>
        <w:autoSpaceDN w:val="0"/>
        <w:bidi w:val="0"/>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.1报价得分采用低价优先法</w:t>
      </w:r>
      <w:r>
        <w:rPr>
          <w:rFonts w:hint="eastAsia" w:ascii="宋体" w:hAnsi="宋体" w:eastAsia="宋体" w:cs="宋体"/>
          <w:color w:val="auto"/>
          <w:sz w:val="21"/>
          <w:szCs w:val="21"/>
          <w:lang w:eastAsia="zh-CN"/>
        </w:rPr>
        <w:t>计算</w:t>
      </w:r>
      <w:r>
        <w:rPr>
          <w:rFonts w:hint="eastAsia" w:ascii="宋体" w:hAnsi="宋体" w:eastAsia="宋体" w:cs="宋体"/>
          <w:color w:val="auto"/>
          <w:sz w:val="21"/>
          <w:szCs w:val="21"/>
        </w:rPr>
        <w:t>，即满足招标文件要求且投标价格最低的投标报价为评标基准价。</w:t>
      </w:r>
    </w:p>
    <w:p>
      <w:pPr>
        <w:keepNext w:val="0"/>
        <w:keepLines w:val="0"/>
        <w:pageBreakBefore w:val="0"/>
        <w:widowControl/>
        <w:kinsoku/>
        <w:wordWrap/>
        <w:overflowPunct/>
        <w:topLinePunct w:val="0"/>
        <w:autoSpaceDE w:val="0"/>
        <w:autoSpaceDN w:val="0"/>
        <w:bidi w:val="0"/>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.2报价得分按下列公式计算：</w:t>
      </w:r>
    </w:p>
    <w:p>
      <w:pPr>
        <w:keepNext w:val="0"/>
        <w:keepLines w:val="0"/>
        <w:pageBreakBefore w:val="0"/>
        <w:widowControl/>
        <w:kinsoku/>
        <w:wordWrap/>
        <w:overflowPunct/>
        <w:topLinePunct w:val="0"/>
        <w:autoSpaceDE w:val="0"/>
        <w:autoSpaceDN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rPr>
        <w:t>报价得分=（评标基准价 / 投标报价）×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%×100</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结果四舍五入，保留两位小数。</w:t>
      </w:r>
    </w:p>
    <w:p>
      <w:pPr>
        <w:keepNext w:val="0"/>
        <w:keepLines w:val="0"/>
        <w:pageBreakBefore w:val="0"/>
        <w:numPr>
          <w:ilvl w:val="0"/>
          <w:numId w:val="0"/>
        </w:numPr>
        <w:tabs>
          <w:tab w:val="left" w:pos="706"/>
        </w:tabs>
        <w:kinsoku/>
        <w:wordWrap/>
        <w:overflowPunct/>
        <w:topLinePunct w:val="0"/>
        <w:bidi w:val="0"/>
        <w:snapToGrid/>
        <w:spacing w:before="0" w:after="0" w:line="360" w:lineRule="auto"/>
        <w:ind w:firstLine="420" w:firstLineChars="200"/>
        <w:jc w:val="left"/>
        <w:textAlignment w:val="auto"/>
        <w:outlineLvl w:val="9"/>
        <w:rPr>
          <w:rFonts w:hint="eastAsia" w:ascii="宋体" w:hAnsi="宋体" w:eastAsia="宋体" w:cs="宋体"/>
          <w:color w:val="auto"/>
          <w:sz w:val="21"/>
          <w:szCs w:val="21"/>
          <w:highlight w:val="none"/>
        </w:rPr>
      </w:pPr>
      <w:bookmarkStart w:id="35" w:name="_Toc16406"/>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评分细则</w:t>
      </w:r>
      <w:bookmarkEnd w:id="31"/>
      <w:bookmarkEnd w:id="32"/>
      <w:bookmarkEnd w:id="35"/>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74"/>
        <w:gridCol w:w="690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评分项目</w:t>
            </w:r>
          </w:p>
        </w:tc>
        <w:tc>
          <w:tcPr>
            <w:tcW w:w="690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评分细则</w:t>
            </w:r>
          </w:p>
        </w:tc>
        <w:tc>
          <w:tcPr>
            <w:tcW w:w="891" w:type="dxa"/>
            <w:noWrap w:val="0"/>
            <w:vAlign w:val="center"/>
          </w:tcPr>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4"/>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b/>
                <w:bCs w:val="0"/>
                <w:color w:val="auto"/>
                <w:szCs w:val="21"/>
                <w:highlight w:val="none"/>
              </w:rPr>
              <w:t>商务技术部分（</w:t>
            </w:r>
            <w:r>
              <w:rPr>
                <w:rFonts w:hint="eastAsia" w:ascii="宋体" w:hAnsi="宋体" w:eastAsia="宋体" w:cs="宋体"/>
                <w:b/>
                <w:bCs w:val="0"/>
                <w:color w:val="auto"/>
                <w:szCs w:val="21"/>
                <w:highlight w:val="none"/>
                <w:lang w:val="en-US" w:eastAsia="zh-CN"/>
              </w:rPr>
              <w:t>90</w:t>
            </w:r>
            <w:r>
              <w:rPr>
                <w:rFonts w:hint="eastAsia" w:ascii="宋体" w:hAnsi="宋体" w:eastAsia="宋体" w:cs="宋体"/>
                <w:b/>
                <w:bCs w:val="0"/>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p>
        </w:tc>
        <w:tc>
          <w:tcPr>
            <w:tcW w:w="117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技术力量</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highlight w:val="none"/>
                <w:vertAlign w:val="baseline"/>
                <w:lang w:val="en-US" w:eastAsia="zh-CN"/>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8</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拟派</w:t>
            </w:r>
            <w:r>
              <w:rPr>
                <w:rFonts w:hint="eastAsia" w:ascii="宋体" w:hAnsi="宋体" w:eastAsia="宋体" w:cs="宋体"/>
                <w:bCs/>
                <w:color w:val="auto"/>
                <w:kern w:val="0"/>
                <w:sz w:val="21"/>
                <w:szCs w:val="21"/>
              </w:rPr>
              <w:t>项目负责人具有高级及以上工程师职称的得</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分</w:t>
            </w:r>
            <w:r>
              <w:rPr>
                <w:rFonts w:hint="eastAsia" w:ascii="宋体" w:hAnsi="宋体" w:eastAsia="宋体" w:cs="宋体"/>
                <w:bCs/>
                <w:color w:val="auto"/>
                <w:kern w:val="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bCs/>
                <w:color w:val="auto"/>
                <w:kern w:val="0"/>
                <w:sz w:val="21"/>
                <w:szCs w:val="21"/>
              </w:rPr>
              <w:t>(注：须提供相关证书及</w:t>
            </w:r>
            <w:r>
              <w:rPr>
                <w:rFonts w:hint="eastAsia" w:ascii="宋体" w:hAnsi="宋体" w:eastAsia="宋体" w:cs="宋体"/>
                <w:bCs/>
                <w:color w:val="auto"/>
                <w:kern w:val="0"/>
                <w:sz w:val="21"/>
                <w:szCs w:val="21"/>
                <w:lang w:eastAsia="zh-CN"/>
              </w:rPr>
              <w:t>本单位</w:t>
            </w:r>
            <w:r>
              <w:rPr>
                <w:rFonts w:hint="eastAsia" w:ascii="宋体" w:hAnsi="宋体" w:eastAsia="宋体" w:cs="宋体"/>
                <w:bCs/>
                <w:color w:val="auto"/>
                <w:kern w:val="0"/>
                <w:sz w:val="21"/>
                <w:szCs w:val="21"/>
              </w:rPr>
              <w:t>近三个月</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2024年1月至3月</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社保证明扫描件，否则不得分）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p>
        </w:tc>
        <w:tc>
          <w:tcPr>
            <w:tcW w:w="117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vertAlign w:val="baseline"/>
                <w:lang w:val="en-US" w:eastAsia="zh-CN"/>
              </w:rPr>
            </w:pPr>
          </w:p>
        </w:tc>
        <w:tc>
          <w:tcPr>
            <w:tcW w:w="6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拟投入本项目的项目团队（除项目负责人）整体能力情况及人员配置合理性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团队人员到岗及时性承诺（0-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napToGrid/>
              <w:spacing w:line="360" w:lineRule="auto"/>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2.团队人员中具有城市地下管线探测项目经理的得2分；</w:t>
            </w:r>
          </w:p>
          <w:p>
            <w:pPr>
              <w:keepNext w:val="0"/>
              <w:keepLines w:val="0"/>
              <w:pageBreakBefore w:val="0"/>
              <w:kinsoku/>
              <w:wordWrap/>
              <w:overflowPunct/>
              <w:topLinePunct w:val="0"/>
              <w:bidi w:val="0"/>
              <w:snapToGrid/>
              <w:spacing w:line="360" w:lineRule="auto"/>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3.团队人员中具有市政排水管道检测与评估证书的得2分；</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Cs/>
                <w:color w:val="auto"/>
                <w:kern w:val="0"/>
                <w:sz w:val="21"/>
                <w:szCs w:val="21"/>
                <w:highlight w:val="none"/>
              </w:rPr>
              <w:t>(注：须提供以上人员相关证书及</w:t>
            </w:r>
            <w:r>
              <w:rPr>
                <w:rFonts w:hint="eastAsia" w:ascii="宋体" w:hAnsi="宋体" w:eastAsia="宋体" w:cs="宋体"/>
                <w:bCs/>
                <w:color w:val="auto"/>
                <w:kern w:val="0"/>
                <w:sz w:val="21"/>
                <w:szCs w:val="21"/>
                <w:highlight w:val="none"/>
                <w:lang w:eastAsia="zh-CN"/>
              </w:rPr>
              <w:t>本单位</w:t>
            </w:r>
            <w:r>
              <w:rPr>
                <w:rFonts w:hint="eastAsia" w:ascii="宋体" w:hAnsi="宋体" w:eastAsia="宋体" w:cs="宋体"/>
                <w:bCs/>
                <w:color w:val="auto"/>
                <w:kern w:val="0"/>
                <w:sz w:val="21"/>
                <w:szCs w:val="21"/>
                <w:highlight w:val="none"/>
              </w:rPr>
              <w:t>近三个月</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2024年1月至3月</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社保证明扫描件，否则不得分）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FF0000"/>
                <w:sz w:val="21"/>
                <w:szCs w:val="21"/>
                <w:highlight w:val="yellow"/>
                <w:vertAlign w:val="baseline"/>
                <w:lang w:val="en-US" w:eastAsia="zh-CN"/>
              </w:rPr>
            </w:pPr>
            <w:r>
              <w:rPr>
                <w:rFonts w:hint="eastAsia" w:ascii="宋体" w:hAnsi="宋体" w:eastAsia="宋体" w:cs="宋体"/>
                <w:sz w:val="21"/>
                <w:szCs w:val="21"/>
                <w:vertAlign w:val="baseline"/>
                <w:lang w:val="en-US" w:eastAsia="zh-CN"/>
              </w:rPr>
              <w:t>2</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软件著作权证书</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投标人具备主管部门颁发的相关污水零直排或排水管网或污水管网类软件著作权证书的，每提供一个得1分，最高得3分。</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vertAlign w:val="baseline"/>
                <w:lang w:val="en-US" w:eastAsia="zh-CN"/>
              </w:rPr>
              <w:t>软件著作权证书是有效期内的，并提供</w:t>
            </w:r>
            <w:r>
              <w:rPr>
                <w:rFonts w:hint="eastAsia" w:ascii="宋体" w:hAnsi="宋体" w:eastAsia="宋体" w:cs="宋体"/>
                <w:color w:val="auto"/>
                <w:kern w:val="0"/>
                <w:sz w:val="21"/>
                <w:szCs w:val="21"/>
                <w:highlight w:val="none"/>
                <w:lang w:bidi="ar"/>
              </w:rPr>
              <w:t>原件扫描件</w:t>
            </w:r>
            <w:r>
              <w:rPr>
                <w:rFonts w:hint="eastAsia" w:ascii="宋体" w:hAnsi="宋体" w:eastAsia="宋体" w:cs="宋体"/>
                <w:color w:val="auto"/>
                <w:sz w:val="21"/>
                <w:szCs w:val="21"/>
                <w:highlight w:val="none"/>
                <w:vertAlign w:val="baseline"/>
                <w:lang w:val="en-US" w:eastAsia="zh-CN"/>
              </w:rPr>
              <w:t>，</w:t>
            </w:r>
            <w:r>
              <w:rPr>
                <w:rFonts w:hint="eastAsia" w:ascii="宋体" w:hAnsi="宋体" w:eastAsia="宋体" w:cs="宋体"/>
                <w:bCs/>
                <w:color w:val="auto"/>
                <w:kern w:val="0"/>
                <w:sz w:val="21"/>
                <w:szCs w:val="21"/>
                <w:highlight w:val="none"/>
              </w:rPr>
              <w:t>否则不得分</w:t>
            </w:r>
            <w:r>
              <w:rPr>
                <w:rFonts w:hint="eastAsia" w:ascii="宋体" w:hAnsi="宋体" w:eastAsia="宋体" w:cs="宋体"/>
                <w:color w:val="auto"/>
                <w:sz w:val="21"/>
                <w:szCs w:val="21"/>
                <w:highlight w:val="none"/>
              </w:rPr>
              <w:t>）</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0-3</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综合能力</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highlight w:val="none"/>
                <w:vertAlign w:val="baseline"/>
                <w:lang w:val="en-US" w:eastAsia="zh-CN"/>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投标人具有有效</w:t>
            </w:r>
            <w:r>
              <w:rPr>
                <w:rFonts w:hint="eastAsia" w:ascii="宋体" w:hAnsi="宋体" w:eastAsia="宋体" w:cs="宋体"/>
                <w:color w:val="auto"/>
                <w:kern w:val="0"/>
                <w:sz w:val="21"/>
                <w:szCs w:val="21"/>
                <w:highlight w:val="none"/>
                <w:lang w:eastAsia="zh-CN"/>
              </w:rPr>
              <w:t>的信息系统建设和服务能力等级证书的</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（注：须提供有效的证书原件扫描件，</w:t>
            </w:r>
            <w:r>
              <w:rPr>
                <w:rFonts w:hint="eastAsia" w:ascii="宋体" w:hAnsi="宋体" w:eastAsia="宋体" w:cs="宋体"/>
                <w:bCs/>
                <w:color w:val="auto"/>
                <w:kern w:val="0"/>
                <w:sz w:val="21"/>
                <w:szCs w:val="21"/>
                <w:highlight w:val="none"/>
              </w:rPr>
              <w:t>否则不得分</w:t>
            </w:r>
            <w:r>
              <w:rPr>
                <w:rFonts w:hint="eastAsia" w:ascii="宋体" w:hAnsi="宋体" w:eastAsia="宋体" w:cs="宋体"/>
                <w:color w:val="auto"/>
                <w:kern w:val="0"/>
                <w:sz w:val="21"/>
                <w:szCs w:val="21"/>
                <w:highlight w:val="none"/>
                <w:lang w:bidi="ar"/>
              </w:rPr>
              <w:t>）</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0-2</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业绩</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1</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投标人自202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年1月1日以来</w:t>
            </w:r>
            <w:r>
              <w:rPr>
                <w:rFonts w:hint="eastAsia" w:ascii="宋体" w:hAnsi="宋体" w:eastAsia="宋体" w:cs="宋体"/>
                <w:color w:val="auto"/>
                <w:kern w:val="0"/>
                <w:sz w:val="21"/>
                <w:szCs w:val="21"/>
                <w:highlight w:val="none"/>
                <w:lang w:val="en-US" w:eastAsia="zh-CN"/>
              </w:rPr>
              <w:t>（合同签订时间为准）承担过</w:t>
            </w:r>
            <w:r>
              <w:rPr>
                <w:rFonts w:hint="eastAsia" w:ascii="宋体" w:hAnsi="宋体" w:eastAsia="宋体" w:cs="宋体"/>
                <w:color w:val="auto"/>
                <w:kern w:val="0"/>
                <w:sz w:val="21"/>
                <w:szCs w:val="21"/>
                <w:highlight w:val="none"/>
                <w:lang w:eastAsia="zh-CN"/>
              </w:rPr>
              <w:t>类似项目业绩的每个得0.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分，最多得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eastAsia="zh-CN"/>
              </w:rPr>
              <w:t>（注：提供合同原件扫描件，</w:t>
            </w:r>
            <w:r>
              <w:rPr>
                <w:rFonts w:hint="eastAsia" w:ascii="宋体" w:hAnsi="宋体" w:eastAsia="宋体" w:cs="宋体"/>
                <w:bCs/>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0-1</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662"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174" w:type="dxa"/>
            <w:vMerge w:val="restart"/>
            <w:noWrap w:val="0"/>
            <w:vAlign w:val="center"/>
          </w:tcPr>
          <w:p>
            <w:pPr>
              <w:keepNext w:val="0"/>
              <w:keepLines w:val="0"/>
              <w:pageBreakBefore w:val="0"/>
              <w:tabs>
                <w:tab w:val="left" w:pos="6264"/>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实施方案</w:t>
            </w:r>
          </w:p>
          <w:p>
            <w:pPr>
              <w:keepNext w:val="0"/>
              <w:keepLines w:val="0"/>
              <w:pageBreakBefore w:val="0"/>
              <w:tabs>
                <w:tab w:val="left" w:pos="6264"/>
              </w:tabs>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12</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1.排水单元、雨污水管网采集、定位和信息收集实施方案；</w:t>
            </w:r>
          </w:p>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（1）方案内容详实，逻辑缜密，具有针对性，可实施性强的得4-6分；（2）方案内容较详实，基本能符合采购需要，针对性，可实施性一般的得2-4</w:t>
            </w:r>
            <w:r>
              <w:rPr>
                <w:rFonts w:hint="eastAsia" w:ascii="宋体" w:hAnsi="宋体" w:eastAsia="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（3）方案存在缺陷的，得0-2</w:t>
            </w:r>
            <w:r>
              <w:rPr>
                <w:rFonts w:hint="eastAsia" w:ascii="宋体" w:hAnsi="宋体" w:eastAsia="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2"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p>
        </w:tc>
        <w:tc>
          <w:tcPr>
            <w:tcW w:w="117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Cs w:val="0"/>
                <w:color w:val="auto"/>
                <w:sz w:val="21"/>
                <w:szCs w:val="21"/>
                <w:highlight w:val="none"/>
                <w:lang w:val="zh-CN"/>
              </w:rPr>
            </w:pPr>
          </w:p>
        </w:tc>
        <w:tc>
          <w:tcPr>
            <w:tcW w:w="6900" w:type="dxa"/>
            <w:noWrap w:val="0"/>
            <w:vAlign w:val="center"/>
          </w:tcPr>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2.排水单元、雨污水进行数据坐标转换和处理，按照技术规范分成一、二、三、四级管网实施方案；</w:t>
            </w:r>
          </w:p>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（1）方案内容详实，逻辑缜密，具有针对性，可实施性强的得4-6分；（2）方案内容较详实，基本能符合采购需要，针对性，可实施性一般的得2-4</w:t>
            </w:r>
            <w:r>
              <w:rPr>
                <w:rFonts w:hint="eastAsia" w:ascii="宋体" w:hAnsi="宋体" w:eastAsia="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（3）方案存在缺陷的，得0-2</w:t>
            </w:r>
            <w:r>
              <w:rPr>
                <w:rFonts w:hint="eastAsia" w:ascii="宋体" w:hAnsi="宋体" w:eastAsia="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11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0"/>
                <w:sz w:val="21"/>
                <w:szCs w:val="21"/>
                <w:lang w:bidi="ar"/>
              </w:rPr>
            </w:pPr>
            <w:r>
              <w:rPr>
                <w:rFonts w:hint="eastAsia" w:ascii="宋体" w:hAnsi="宋体" w:eastAsia="宋体" w:cs="宋体"/>
                <w:color w:val="auto"/>
                <w:kern w:val="0"/>
                <w:sz w:val="21"/>
                <w:szCs w:val="21"/>
                <w:lang w:eastAsia="zh-CN" w:bidi="ar"/>
              </w:rPr>
              <w:t>进度</w:t>
            </w:r>
            <w:r>
              <w:rPr>
                <w:rFonts w:hint="eastAsia" w:ascii="宋体" w:hAnsi="宋体" w:eastAsia="宋体" w:cs="宋体"/>
                <w:kern w:val="0"/>
                <w:sz w:val="21"/>
                <w:szCs w:val="21"/>
                <w:lang w:bidi="ar"/>
              </w:rPr>
              <w:t>保障</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措施方案</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0"/>
                <w:sz w:val="21"/>
                <w:szCs w:val="21"/>
                <w:lang w:eastAsia="zh-CN" w:bidi="ar"/>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szCs w:val="21"/>
                <w:lang w:val="zh-CN"/>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eastAsia="宋体" w:cs="宋体"/>
                <w:bCs/>
                <w:szCs w:val="21"/>
                <w:lang w:eastAsia="zh-CN"/>
              </w:rPr>
              <w:t>的</w:t>
            </w:r>
            <w:r>
              <w:rPr>
                <w:rFonts w:hint="eastAsia" w:ascii="宋体" w:hAnsi="宋体" w:eastAsia="宋体" w:cs="宋体"/>
                <w:bCs w:val="0"/>
                <w:color w:val="auto"/>
                <w:sz w:val="21"/>
                <w:szCs w:val="21"/>
                <w:highlight w:val="none"/>
              </w:rPr>
              <w:t>进度</w:t>
            </w:r>
            <w:r>
              <w:rPr>
                <w:rFonts w:hint="eastAsia" w:ascii="宋体" w:hAnsi="宋体" w:eastAsia="宋体" w:cs="宋体"/>
                <w:bCs w:val="0"/>
                <w:color w:val="auto"/>
                <w:sz w:val="21"/>
                <w:szCs w:val="21"/>
                <w:highlight w:val="none"/>
                <w:lang w:val="en-US" w:eastAsia="zh-CN"/>
              </w:rPr>
              <w:t>计划及</w:t>
            </w:r>
            <w:r>
              <w:rPr>
                <w:rFonts w:hint="eastAsia" w:ascii="宋体" w:hAnsi="宋体" w:cs="宋体"/>
                <w:color w:val="auto"/>
                <w:kern w:val="0"/>
                <w:sz w:val="21"/>
                <w:szCs w:val="21"/>
                <w:lang w:eastAsia="zh-CN" w:bidi="ar"/>
              </w:rPr>
              <w:t>进度</w:t>
            </w:r>
            <w:r>
              <w:rPr>
                <w:rFonts w:hint="eastAsia" w:ascii="宋体" w:hAnsi="宋体" w:cs="宋体"/>
                <w:kern w:val="0"/>
                <w:sz w:val="21"/>
                <w:szCs w:val="21"/>
                <w:lang w:bidi="ar"/>
              </w:rPr>
              <w:t>保障</w:t>
            </w:r>
            <w:r>
              <w:rPr>
                <w:rFonts w:hint="eastAsia" w:ascii="宋体" w:hAnsi="宋体" w:cs="宋体"/>
                <w:kern w:val="0"/>
                <w:sz w:val="21"/>
                <w:szCs w:val="21"/>
                <w:lang w:val="en-US" w:eastAsia="zh-CN" w:bidi="ar"/>
              </w:rPr>
              <w:t>措施</w:t>
            </w:r>
            <w:r>
              <w:rPr>
                <w:rFonts w:hint="eastAsia" w:ascii="宋体" w:hAnsi="宋体" w:eastAsia="宋体" w:cs="宋体"/>
                <w:bCs/>
                <w:szCs w:val="21"/>
                <w:lang w:val="zh-CN"/>
              </w:rPr>
              <w:t>进行综合打分。</w:t>
            </w:r>
          </w:p>
          <w:p>
            <w:pPr>
              <w:keepNext w:val="0"/>
              <w:keepLines w:val="0"/>
              <w:pageBreakBefore w:val="0"/>
              <w:numPr>
                <w:ilvl w:val="0"/>
                <w:numId w:val="8"/>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cs="宋体"/>
                <w:kern w:val="0"/>
                <w:sz w:val="21"/>
                <w:szCs w:val="21"/>
                <w:lang w:val="en-US" w:eastAsia="zh-CN" w:bidi="ar"/>
              </w:rPr>
              <w:t>方案</w:t>
            </w:r>
            <w:r>
              <w:rPr>
                <w:rFonts w:hint="eastAsia" w:ascii="宋体" w:hAnsi="宋体" w:eastAsia="宋体" w:cs="宋体"/>
                <w:color w:val="auto"/>
                <w:kern w:val="0"/>
                <w:sz w:val="21"/>
                <w:szCs w:val="21"/>
                <w:lang w:val="en-US" w:eastAsia="zh-CN" w:bidi="ar"/>
              </w:rPr>
              <w:t>方案内容详实，逻辑缜密，具有针对性，可实施性强的得4-6分；</w:t>
            </w:r>
          </w:p>
          <w:p>
            <w:pPr>
              <w:keepNext w:val="0"/>
              <w:keepLines w:val="0"/>
              <w:pageBreakBefore w:val="0"/>
              <w:numPr>
                <w:ilvl w:val="0"/>
                <w:numId w:val="8"/>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cs="宋体"/>
                <w:kern w:val="0"/>
                <w:sz w:val="21"/>
                <w:szCs w:val="21"/>
                <w:lang w:bidi="ar"/>
              </w:rPr>
            </w:pPr>
            <w:r>
              <w:rPr>
                <w:rFonts w:hint="eastAsia" w:ascii="宋体" w:hAnsi="宋体" w:eastAsia="宋体" w:cs="宋体"/>
                <w:color w:val="auto"/>
                <w:kern w:val="0"/>
                <w:sz w:val="21"/>
                <w:szCs w:val="21"/>
                <w:lang w:val="en-US" w:eastAsia="zh-CN" w:bidi="ar"/>
              </w:rPr>
              <w:t>方案内容较详实，基本能符合采购需要，针对性，可实施性一般的得2-4</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8"/>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cs="宋体"/>
                <w:kern w:val="0"/>
                <w:sz w:val="21"/>
                <w:szCs w:val="21"/>
                <w:lang w:bidi="ar"/>
              </w:rPr>
            </w:pPr>
            <w:r>
              <w:rPr>
                <w:rFonts w:hint="eastAsia" w:ascii="宋体" w:hAnsi="宋体" w:eastAsia="宋体" w:cs="宋体"/>
                <w:color w:val="auto"/>
                <w:kern w:val="0"/>
                <w:sz w:val="21"/>
                <w:szCs w:val="21"/>
                <w:lang w:val="en-US" w:eastAsia="zh-CN" w:bidi="ar"/>
              </w:rPr>
              <w:t>方案存在缺陷的，得0-2</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0"/>
                <w:sz w:val="21"/>
                <w:szCs w:val="21"/>
                <w:lang w:bidi="ar"/>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w:t>
            </w:r>
          </w:p>
        </w:tc>
        <w:tc>
          <w:tcPr>
            <w:tcW w:w="1174" w:type="dxa"/>
            <w:noWrap w:val="0"/>
            <w:vAlign w:val="center"/>
          </w:tcPr>
          <w:p>
            <w:pPr>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kern w:val="0"/>
                <w:szCs w:val="21"/>
              </w:rPr>
            </w:pPr>
            <w:r>
              <w:rPr>
                <w:rFonts w:hint="eastAsia" w:ascii="宋体" w:hAnsi="宋体" w:eastAsia="宋体" w:cs="宋体"/>
                <w:kern w:val="0"/>
                <w:szCs w:val="21"/>
              </w:rPr>
              <w:t>质量保证与质量控制措施</w:t>
            </w:r>
          </w:p>
          <w:p>
            <w:pPr>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7</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szCs w:val="21"/>
                <w:lang w:val="zh-CN"/>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cs="宋体"/>
                <w:kern w:val="0"/>
                <w:sz w:val="21"/>
                <w:szCs w:val="21"/>
                <w:lang w:bidi="ar"/>
              </w:rPr>
              <w:t>质量保证方案</w:t>
            </w:r>
            <w:r>
              <w:rPr>
                <w:rFonts w:hint="eastAsia" w:ascii="宋体" w:hAnsi="宋体" w:eastAsia="宋体" w:cs="宋体"/>
                <w:bCs/>
                <w:szCs w:val="21"/>
                <w:lang w:val="zh-CN"/>
              </w:rPr>
              <w:t>进行综合打分。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（1）方案内容详实，逻辑缜密，具有针对性，可实施性强的得5-7分；（2）方案内容较详实，基本能符合采购需要，针对性，可实施性一般的得3-5</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（3）方案存在缺陷的，得0-3</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0-7</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保密措施</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szCs w:val="21"/>
                <w:lang w:val="zh-CN"/>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eastAsia="宋体" w:cs="宋体"/>
                <w:sz w:val="21"/>
                <w:szCs w:val="21"/>
                <w:vertAlign w:val="baseline"/>
                <w:lang w:val="en-US" w:eastAsia="zh-CN"/>
              </w:rPr>
              <w:t>保密措施方案</w:t>
            </w:r>
            <w:r>
              <w:rPr>
                <w:rFonts w:hint="eastAsia" w:ascii="宋体" w:hAnsi="宋体" w:eastAsia="宋体" w:cs="宋体"/>
                <w:bCs/>
                <w:szCs w:val="21"/>
                <w:lang w:val="zh-CN"/>
              </w:rPr>
              <w:t>进行综合打分。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（1）方案内容详实，逻辑缜密，具有针对性，可实施性强的得4-6分；（2）方案内容较详实，基本能符合采购需要，针对性，可实施性一般的得2-4</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（3）方案存在缺陷的，得0-2</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项目管理</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制度</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numPr>
                <w:ilvl w:val="0"/>
                <w:numId w:val="0"/>
              </w:numPr>
              <w:tabs>
                <w:tab w:val="left" w:pos="6264"/>
              </w:tabs>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szCs w:val="21"/>
                <w:lang w:val="zh-CN"/>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eastAsia="宋体" w:cs="宋体"/>
                <w:bCs/>
                <w:szCs w:val="21"/>
                <w:lang w:eastAsia="zh-CN"/>
              </w:rPr>
              <w:t>的</w:t>
            </w:r>
            <w:r>
              <w:rPr>
                <w:rFonts w:hint="eastAsia" w:ascii="宋体" w:hAnsi="宋体" w:eastAsia="宋体" w:cs="宋体"/>
                <w:sz w:val="21"/>
                <w:szCs w:val="21"/>
                <w:vertAlign w:val="baseline"/>
                <w:lang w:val="en-US" w:eastAsia="zh-CN"/>
              </w:rPr>
              <w:t>项目管理制度</w:t>
            </w:r>
            <w:r>
              <w:rPr>
                <w:rFonts w:hint="eastAsia" w:ascii="宋体" w:hAnsi="宋体" w:eastAsia="宋体" w:cs="宋体"/>
                <w:bCs/>
                <w:szCs w:val="21"/>
                <w:lang w:val="zh-CN"/>
              </w:rPr>
              <w:t>进行综合打分。</w:t>
            </w:r>
          </w:p>
          <w:p>
            <w:pPr>
              <w:keepNext w:val="0"/>
              <w:keepLines w:val="0"/>
              <w:pageBreakBefore w:val="0"/>
              <w:widowControl/>
              <w:numPr>
                <w:ilvl w:val="0"/>
                <w:numId w:val="9"/>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sz w:val="21"/>
                <w:szCs w:val="21"/>
                <w:vertAlign w:val="baseline"/>
                <w:lang w:val="en-US" w:eastAsia="zh-CN"/>
              </w:rPr>
              <w:t>管理</w:t>
            </w:r>
            <w:r>
              <w:rPr>
                <w:rFonts w:hint="eastAsia" w:ascii="宋体" w:hAnsi="宋体" w:eastAsia="宋体" w:cs="宋体"/>
                <w:color w:val="auto"/>
                <w:kern w:val="0"/>
                <w:sz w:val="21"/>
                <w:szCs w:val="21"/>
                <w:lang w:val="en-US" w:eastAsia="zh-CN" w:bidi="ar"/>
              </w:rPr>
              <w:t>制度内容详实，逻辑缜密，具有针对性，可实施性强的得4-6分；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sz w:val="21"/>
                <w:szCs w:val="21"/>
                <w:vertAlign w:val="baseline"/>
                <w:lang w:val="en-US" w:eastAsia="zh-CN"/>
              </w:rPr>
              <w:t>管理</w:t>
            </w:r>
            <w:r>
              <w:rPr>
                <w:rFonts w:hint="eastAsia" w:ascii="宋体" w:hAnsi="宋体" w:eastAsia="宋体" w:cs="宋体"/>
                <w:color w:val="auto"/>
                <w:kern w:val="0"/>
                <w:sz w:val="21"/>
                <w:szCs w:val="21"/>
                <w:lang w:val="en-US" w:eastAsia="zh-CN" w:bidi="ar"/>
              </w:rPr>
              <w:t>制度内容较详实，基本能符合采购需要，针对性，可实施性一般的得2-4</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sz w:val="21"/>
                <w:szCs w:val="21"/>
                <w:vertAlign w:val="baseline"/>
                <w:lang w:val="en-US" w:eastAsia="zh-CN"/>
              </w:rPr>
              <w:t>管理</w:t>
            </w:r>
            <w:r>
              <w:rPr>
                <w:rFonts w:hint="eastAsia" w:ascii="宋体" w:hAnsi="宋体" w:eastAsia="宋体" w:cs="宋体"/>
                <w:color w:val="auto"/>
                <w:kern w:val="0"/>
                <w:sz w:val="21"/>
                <w:szCs w:val="21"/>
                <w:lang w:val="en-US" w:eastAsia="zh-CN" w:bidi="ar"/>
              </w:rPr>
              <w:t>制度存在缺陷的，得0-2</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培训方案</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szCs w:val="21"/>
                <w:lang w:val="zh-CN"/>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eastAsia="宋体" w:cs="宋体"/>
                <w:bCs/>
                <w:szCs w:val="21"/>
                <w:lang w:eastAsia="zh-CN"/>
              </w:rPr>
              <w:t>的</w:t>
            </w:r>
            <w:r>
              <w:rPr>
                <w:rFonts w:hint="eastAsia" w:ascii="宋体" w:hAnsi="宋体" w:eastAsia="宋体" w:cs="宋体"/>
                <w:kern w:val="2"/>
                <w:sz w:val="21"/>
                <w:szCs w:val="21"/>
                <w:vertAlign w:val="baseline"/>
                <w:lang w:val="en-US" w:eastAsia="zh-CN" w:bidi="ar-SA"/>
              </w:rPr>
              <w:t>培训方案</w:t>
            </w:r>
            <w:r>
              <w:rPr>
                <w:rFonts w:hint="eastAsia" w:ascii="宋体" w:hAnsi="宋体" w:eastAsia="宋体" w:cs="宋体"/>
                <w:bCs/>
                <w:color w:val="auto"/>
                <w:kern w:val="2"/>
                <w:sz w:val="21"/>
                <w:szCs w:val="24"/>
                <w:highlight w:val="none"/>
                <w:lang w:val="en-US" w:eastAsia="zh-CN" w:bidi="ar-SA"/>
              </w:rPr>
              <w:t>包括培训内容、培训频次、培训目标及培训的形式</w:t>
            </w:r>
            <w:r>
              <w:rPr>
                <w:rFonts w:hint="eastAsia" w:ascii="宋体" w:hAnsi="宋体" w:eastAsia="宋体" w:cs="宋体"/>
                <w:bCs/>
                <w:szCs w:val="21"/>
                <w:lang w:val="zh-CN"/>
              </w:rPr>
              <w:t>进行综合打分。</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（1）方案内容详实，逻辑缜密，具有针对性，可实施性强的得4-6分；（2）方案内容较详实，基本能符合采购需要，针对性，可实施性一般的得2-4</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（3）方案存在缺陷的，得0-2</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服务承诺</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szCs w:val="21"/>
                <w:lang w:val="zh-CN"/>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eastAsia="宋体" w:cs="宋体"/>
                <w:bCs/>
                <w:szCs w:val="21"/>
                <w:lang w:eastAsia="zh-CN"/>
              </w:rPr>
              <w:t>的</w:t>
            </w:r>
            <w:r>
              <w:rPr>
                <w:rFonts w:hint="eastAsia" w:ascii="宋体" w:hAnsi="宋体" w:cs="宋体"/>
                <w:kern w:val="2"/>
                <w:sz w:val="21"/>
                <w:szCs w:val="21"/>
                <w:vertAlign w:val="baseline"/>
                <w:lang w:val="en-US" w:eastAsia="zh-CN" w:bidi="ar-SA"/>
              </w:rPr>
              <w:t>服务承诺</w:t>
            </w:r>
            <w:r>
              <w:rPr>
                <w:rFonts w:hint="eastAsia" w:ascii="宋体" w:hAnsi="宋体" w:eastAsia="宋体" w:cs="宋体"/>
                <w:bCs/>
                <w:szCs w:val="21"/>
                <w:lang w:val="zh-CN"/>
              </w:rPr>
              <w:t>进行综合打分。</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（1）承诺内容详实，逻辑缜密，具有针对性，可实施性强的得4-6分；（2）承诺内容较详实，基本能符合采购需要，针对性，可实施性一般的得2-4</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（3）承诺存在缺陷的，得0-2</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kern w:val="0"/>
                <w:sz w:val="21"/>
                <w:szCs w:val="21"/>
                <w:lang w:val="en-US" w:eastAsia="zh-CN" w:bidi="ar"/>
              </w:rPr>
              <w:t>（4）未提供相关描述不得分。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售后服务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方案</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9</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kinsoku/>
              <w:overflowPunct/>
              <w:topLinePunct w:val="0"/>
              <w:bidi w:val="0"/>
              <w:snapToGrid w:val="0"/>
              <w:spacing w:line="360" w:lineRule="auto"/>
              <w:ind w:firstLine="420" w:firstLineChars="200"/>
              <w:jc w:val="left"/>
              <w:textAlignment w:val="auto"/>
              <w:outlineLvl w:val="9"/>
              <w:rPr>
                <w:rFonts w:ascii="宋体" w:hAnsi="宋体" w:eastAsia="宋体" w:cs="宋体"/>
                <w:kern w:val="0"/>
                <w:szCs w:val="21"/>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eastAsia="宋体" w:cs="宋体"/>
                <w:bCs/>
                <w:szCs w:val="21"/>
                <w:lang w:eastAsia="zh-CN"/>
              </w:rPr>
              <w:t>的</w:t>
            </w:r>
            <w:r>
              <w:rPr>
                <w:rFonts w:hint="eastAsia" w:ascii="宋体" w:hAnsi="宋体" w:eastAsia="宋体" w:cs="宋体"/>
                <w:kern w:val="2"/>
                <w:sz w:val="21"/>
                <w:szCs w:val="21"/>
                <w:vertAlign w:val="baseline"/>
                <w:lang w:val="en-US" w:eastAsia="zh-CN" w:bidi="ar-SA"/>
              </w:rPr>
              <w:t>售后服务</w:t>
            </w:r>
            <w:r>
              <w:rPr>
                <w:rFonts w:hint="eastAsia" w:ascii="宋体" w:hAnsi="宋体" w:eastAsia="宋体" w:cs="宋体"/>
                <w:szCs w:val="21"/>
              </w:rPr>
              <w:t>方案</w:t>
            </w:r>
            <w:r>
              <w:rPr>
                <w:rFonts w:hint="eastAsia" w:ascii="宋体" w:hAnsi="宋体" w:eastAsia="宋体" w:cs="宋体"/>
                <w:kern w:val="0"/>
                <w:szCs w:val="21"/>
              </w:rPr>
              <w:t>主要包括但不限于下列内容：</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维护期及服务方式；</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Cs/>
                <w:szCs w:val="21"/>
                <w:lang w:val="zh-CN"/>
              </w:rPr>
            </w:pPr>
            <w:r>
              <w:rPr>
                <w:rFonts w:hint="eastAsia" w:ascii="宋体" w:hAnsi="宋体" w:eastAsia="宋体" w:cs="宋体"/>
                <w:bCs/>
                <w:color w:val="auto"/>
                <w:kern w:val="2"/>
                <w:sz w:val="21"/>
                <w:szCs w:val="24"/>
                <w:highlight w:val="none"/>
                <w:lang w:val="en-US" w:eastAsia="zh-CN" w:bidi="ar-SA"/>
              </w:rPr>
              <w:t>故障响应修复时间方式及保障措施；</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Cs/>
                <w:szCs w:val="21"/>
                <w:lang w:val="zh-CN"/>
              </w:rPr>
            </w:pPr>
            <w:r>
              <w:rPr>
                <w:rFonts w:hint="eastAsia" w:ascii="宋体" w:hAnsi="宋体" w:eastAsia="宋体" w:cs="宋体"/>
                <w:bCs/>
                <w:color w:val="auto"/>
                <w:kern w:val="2"/>
                <w:sz w:val="21"/>
                <w:szCs w:val="24"/>
                <w:highlight w:val="none"/>
                <w:lang w:val="en-US" w:eastAsia="zh-CN" w:bidi="ar-SA"/>
              </w:rPr>
              <w:t>应急响应</w:t>
            </w:r>
            <w:r>
              <w:rPr>
                <w:rFonts w:hint="eastAsia" w:ascii="宋体" w:hAnsi="宋体" w:eastAsia="宋体" w:cs="宋体"/>
                <w:bCs w:val="0"/>
                <w:color w:val="auto"/>
                <w:sz w:val="21"/>
                <w:szCs w:val="21"/>
                <w:highlight w:val="none"/>
                <w:lang w:val="en-US" w:eastAsia="zh-CN"/>
              </w:rPr>
              <w:t>措施</w:t>
            </w:r>
            <w:r>
              <w:rPr>
                <w:rFonts w:hint="eastAsia" w:ascii="宋体" w:hAnsi="宋体" w:eastAsia="宋体" w:cs="宋体"/>
                <w:bCs/>
                <w:szCs w:val="21"/>
                <w:lang w:val="zh-CN"/>
              </w:rPr>
              <w:t>。</w:t>
            </w:r>
          </w:p>
          <w:p>
            <w:pPr>
              <w:pStyle w:val="13"/>
              <w:keepNext w:val="0"/>
              <w:keepLines w:val="0"/>
              <w:pageBreakBefore w:val="0"/>
              <w:kinsoku/>
              <w:overflowPunct/>
              <w:topLinePunct w:val="0"/>
              <w:bidi w:val="0"/>
              <w:spacing w:line="360" w:lineRule="auto"/>
              <w:jc w:val="left"/>
              <w:textAlignment w:val="auto"/>
              <w:outlineLvl w:val="9"/>
              <w:rPr>
                <w:rFonts w:hint="eastAsia"/>
                <w:lang w:val="en-US" w:eastAsia="zh-CN"/>
              </w:rPr>
            </w:pPr>
            <w:r>
              <w:rPr>
                <w:rFonts w:hint="eastAsia" w:ascii="宋体" w:hAnsi="宋体" w:eastAsia="宋体" w:cs="宋体"/>
                <w:bCs w:val="0"/>
                <w:color w:val="auto"/>
                <w:sz w:val="21"/>
                <w:szCs w:val="21"/>
                <w:highlight w:val="none"/>
                <w:lang w:val="en-US" w:eastAsia="zh-CN"/>
              </w:rPr>
              <w:t>上述3项内容每项3分；每项评审内容针对性强、内容完整、条理清晰、符合本项目采购需求，得3分；每项评审内容针对性较强、内容较完整、条理较清晰、基本满足本项目采购需求，得2分；每项评审内容虽然进行了阐述但并未完全贴合采购需求，得1分；每项评审内容未进行阐述或阐述内容无法满足采购需求，得0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0-9</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174" w:type="dxa"/>
            <w:noWrap w:val="0"/>
            <w:vAlign w:val="center"/>
          </w:tcPr>
          <w:p>
            <w:pPr>
              <w:keepNext w:val="0"/>
              <w:keepLines w:val="0"/>
              <w:pageBreakBefore w:val="0"/>
              <w:kinsoku/>
              <w:overflowPunct/>
              <w:topLinePunct w:val="0"/>
              <w:bidi w:val="0"/>
              <w:spacing w:line="360" w:lineRule="auto"/>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合理化</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建议</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6</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kinsoku/>
              <w:overflowPunct/>
              <w:topLinePunct w:val="0"/>
              <w:bidi w:val="0"/>
              <w:spacing w:line="360" w:lineRule="auto"/>
              <w:jc w:val="left"/>
              <w:textAlignment w:val="auto"/>
              <w:outlineLvl w:val="9"/>
              <w:rPr>
                <w:rFonts w:hint="eastAsia" w:ascii="宋体" w:hAnsi="宋体" w:eastAsia="宋体" w:cs="宋体"/>
                <w:bCs/>
                <w:szCs w:val="21"/>
                <w:lang w:val="zh-CN"/>
              </w:rPr>
            </w:pPr>
            <w:r>
              <w:rPr>
                <w:rFonts w:hint="eastAsia" w:ascii="宋体" w:hAnsi="宋体" w:eastAsia="宋体" w:cs="宋体"/>
                <w:bCs/>
                <w:szCs w:val="21"/>
                <w:lang w:val="zh-CN"/>
              </w:rPr>
              <w:t>根据投标人</w:t>
            </w:r>
            <w:r>
              <w:rPr>
                <w:rFonts w:hint="eastAsia" w:ascii="宋体" w:hAnsi="宋体" w:eastAsia="宋体" w:cs="宋体"/>
                <w:bCs/>
                <w:szCs w:val="21"/>
              </w:rPr>
              <w:t>提供针对本项目</w:t>
            </w:r>
            <w:r>
              <w:rPr>
                <w:rFonts w:hint="eastAsia" w:ascii="宋体" w:hAnsi="宋体" w:eastAsia="宋体" w:cs="宋体"/>
                <w:bCs/>
                <w:szCs w:val="21"/>
                <w:lang w:eastAsia="zh-CN"/>
              </w:rPr>
              <w:t>的</w:t>
            </w:r>
            <w:r>
              <w:rPr>
                <w:rFonts w:hint="eastAsia" w:ascii="宋体" w:hAnsi="宋体" w:eastAsia="宋体" w:cs="宋体"/>
                <w:kern w:val="2"/>
                <w:sz w:val="21"/>
                <w:szCs w:val="21"/>
                <w:vertAlign w:val="baseline"/>
                <w:lang w:val="en-US" w:eastAsia="zh-CN" w:bidi="ar-SA"/>
              </w:rPr>
              <w:t>合理化建议</w:t>
            </w:r>
            <w:r>
              <w:rPr>
                <w:rFonts w:hint="eastAsia" w:ascii="宋体" w:hAnsi="宋体" w:eastAsia="宋体" w:cs="宋体"/>
                <w:bCs/>
                <w:szCs w:val="21"/>
                <w:lang w:val="zh-CN"/>
              </w:rPr>
              <w:t>进行综合打分。</w:t>
            </w:r>
          </w:p>
          <w:p>
            <w:pPr>
              <w:keepNext w:val="0"/>
              <w:keepLines w:val="0"/>
              <w:pageBreakBefore w:val="0"/>
              <w:numPr>
                <w:ilvl w:val="0"/>
                <w:numId w:val="11"/>
              </w:numPr>
              <w:kinsoku/>
              <w:wordWrap/>
              <w:overflowPunct/>
              <w:topLinePunct w:val="0"/>
              <w:autoSpaceDE/>
              <w:autoSpaceDN/>
              <w:bidi w:val="0"/>
              <w:adjustRightInd/>
              <w:snapToGrid/>
              <w:spacing w:line="360" w:lineRule="auto"/>
              <w:ind w:leftChars="0" w:firstLine="0" w:firstLineChars="0"/>
              <w:jc w:val="left"/>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建议内容详实，逻辑缜密，具有针对性，可实施性强的得4-6分；</w:t>
            </w:r>
          </w:p>
          <w:p>
            <w:pPr>
              <w:keepNext w:val="0"/>
              <w:keepLines w:val="0"/>
              <w:pageBreakBefore w:val="0"/>
              <w:numPr>
                <w:ilvl w:val="0"/>
                <w:numId w:val="11"/>
              </w:numPr>
              <w:kinsoku/>
              <w:wordWrap/>
              <w:overflowPunct/>
              <w:topLinePunct w:val="0"/>
              <w:autoSpaceDE/>
              <w:autoSpaceDN/>
              <w:bidi w:val="0"/>
              <w:adjustRightInd/>
              <w:snapToGrid/>
              <w:spacing w:line="360" w:lineRule="auto"/>
              <w:ind w:leftChars="0"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方案内容较详实，基本能符合采购需要，针对性，可实施性一般的得2-4</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11"/>
              </w:numPr>
              <w:kinsoku/>
              <w:wordWrap/>
              <w:overflowPunct/>
              <w:topLinePunct w:val="0"/>
              <w:autoSpaceDE/>
              <w:autoSpaceDN/>
              <w:bidi w:val="0"/>
              <w:adjustRightInd/>
              <w:snapToGrid/>
              <w:spacing w:line="360" w:lineRule="auto"/>
              <w:ind w:leftChars="0"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方案存在缺陷的，得0-2</w:t>
            </w:r>
            <w:r>
              <w:rPr>
                <w:rFonts w:hint="eastAsia" w:ascii="宋体" w:hAnsi="宋体" w:cs="宋体"/>
                <w:color w:val="auto"/>
                <w:kern w:val="0"/>
                <w:sz w:val="21"/>
                <w:szCs w:val="21"/>
                <w:lang w:bidi="ar"/>
              </w:rPr>
              <w:t>（含）</w:t>
            </w:r>
            <w:r>
              <w:rPr>
                <w:rFonts w:hint="eastAsia" w:ascii="宋体" w:hAnsi="宋体" w:eastAsia="宋体" w:cs="宋体"/>
                <w:color w:val="auto"/>
                <w:kern w:val="0"/>
                <w:sz w:val="21"/>
                <w:szCs w:val="21"/>
                <w:lang w:val="en-US" w:eastAsia="zh-CN" w:bidi="ar"/>
              </w:rPr>
              <w:t>分；</w:t>
            </w:r>
          </w:p>
          <w:p>
            <w:pPr>
              <w:keepNext w:val="0"/>
              <w:keepLines w:val="0"/>
              <w:pageBreakBefore w:val="0"/>
              <w:numPr>
                <w:ilvl w:val="0"/>
                <w:numId w:val="11"/>
              </w:numPr>
              <w:kinsoku/>
              <w:wordWrap/>
              <w:overflowPunct/>
              <w:topLinePunct w:val="0"/>
              <w:autoSpaceDE/>
              <w:autoSpaceDN/>
              <w:bidi w:val="0"/>
              <w:adjustRightInd/>
              <w:snapToGrid/>
              <w:spacing w:line="360" w:lineRule="auto"/>
              <w:ind w:leftChars="0"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未提供相关描述不得分。</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0-6</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14</w:t>
            </w:r>
          </w:p>
        </w:tc>
        <w:tc>
          <w:tcPr>
            <w:tcW w:w="117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项目演示</w:t>
            </w: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12</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项目演示，提供不超过</w:t>
            </w:r>
            <w:r>
              <w:rPr>
                <w:rFonts w:hint="eastAsia" w:ascii="宋体" w:hAnsi="宋体" w:eastAsia="宋体" w:cs="宋体"/>
                <w:kern w:val="0"/>
                <w:sz w:val="21"/>
                <w:szCs w:val="21"/>
                <w:highlight w:val="none"/>
                <w:lang w:val="en-US" w:eastAsia="zh-CN" w:bidi="ar"/>
              </w:rPr>
              <w:t>15</w:t>
            </w:r>
            <w:r>
              <w:rPr>
                <w:rFonts w:hint="eastAsia" w:ascii="宋体" w:hAnsi="宋体" w:eastAsia="宋体" w:cs="宋体"/>
                <w:kern w:val="0"/>
                <w:sz w:val="21"/>
                <w:szCs w:val="21"/>
                <w:highlight w:val="none"/>
                <w:lang w:bidi="ar"/>
              </w:rPr>
              <w:t>分钟的演示视频（本项不提供不得分），演示形式不限，演示内容要求如下：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sz w:val="21"/>
                <w:szCs w:val="21"/>
                <w:lang w:eastAsia="zh-CN"/>
              </w:rPr>
            </w:pP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ascii="宋体" w:hAnsi="宋体" w:eastAsia="宋体" w:cs="宋体"/>
                <w:color w:val="auto"/>
                <w:sz w:val="21"/>
                <w:szCs w:val="21"/>
              </w:rPr>
              <w:t>县（市、区）和镇（街道）数据填报操作演示：展示镇（街道）用户通过业务系统进行数据的导入、检查和预览以及县（市、区）用户对数据进行审核的过程，保障数据录入的准确性。（0-6分）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感知设备实时监测数据演示：展示已安装的智能感知设备实时监测、异常预警等功能，具体包括</w:t>
            </w:r>
            <w:r>
              <w:rPr>
                <w:rFonts w:hint="eastAsia" w:ascii="宋体" w:hAnsi="宋体" w:eastAsia="宋体" w:cs="宋体"/>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sz w:val="21"/>
                <w:szCs w:val="21"/>
                <w:lang w:eastAsia="zh-CN"/>
              </w:rPr>
            </w:pPr>
            <w:r>
              <w:rPr>
                <w:rFonts w:ascii="宋体" w:hAnsi="宋体" w:eastAsia="宋体" w:cs="宋体"/>
                <w:color w:val="auto"/>
                <w:sz w:val="21"/>
                <w:szCs w:val="21"/>
              </w:rPr>
              <w:t>（1）已安装设备的监测点位可在天地图中查看分布情况，并用红色和蓝色表示设备监测状态，红色表示设备处于预警状态，蓝色表示设备处于正常状态；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0-2分</w:t>
            </w:r>
            <w:r>
              <w:rPr>
                <w:rFonts w:hint="eastAsia" w:ascii="宋体" w:hAnsi="宋体" w:eastAsia="宋体" w:cs="宋体"/>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sz w:val="21"/>
                <w:szCs w:val="21"/>
                <w:lang w:eastAsia="zh-CN"/>
              </w:rPr>
            </w:pPr>
            <w:r>
              <w:rPr>
                <w:rFonts w:ascii="宋体" w:hAnsi="宋体" w:eastAsia="宋体" w:cs="宋体"/>
                <w:color w:val="auto"/>
                <w:sz w:val="21"/>
                <w:szCs w:val="21"/>
              </w:rPr>
              <w:t>（2）展示设备列表，设备列表按设备类型进行划分，在设备列表点击具体设备可查看设备的实时数据、设备预警的处置记录以及设备的基本信息；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0-2分</w:t>
            </w:r>
            <w:r>
              <w:rPr>
                <w:rFonts w:hint="eastAsia" w:ascii="宋体" w:hAnsi="宋体" w:eastAsia="宋体" w:cs="宋体"/>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ascii="宋体" w:hAnsi="宋体" w:eastAsia="宋体" w:cs="宋体"/>
                <w:color w:val="auto"/>
                <w:sz w:val="21"/>
                <w:szCs w:val="21"/>
              </w:rPr>
              <w:t>（3）展示设备预警功能完善，设置预警值，设备监测超过预警值发送预警消息至所管辖的镇（街道）以及运维单位，当问题处置完成后解除预警。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auto"/>
                <w:kern w:val="0"/>
                <w:sz w:val="21"/>
                <w:szCs w:val="21"/>
                <w:highlight w:val="none"/>
                <w:lang w:val="en-US" w:eastAsia="zh-CN" w:bidi="ar"/>
              </w:rPr>
              <w:t>注：</w:t>
            </w:r>
            <w:r>
              <w:rPr>
                <w:rFonts w:hint="eastAsia" w:ascii="宋体" w:hAnsi="宋体" w:eastAsia="宋体" w:cs="宋体"/>
                <w:kern w:val="0"/>
                <w:sz w:val="21"/>
                <w:szCs w:val="21"/>
                <w:highlight w:val="none"/>
                <w:lang w:bidi="ar"/>
              </w:rPr>
              <w:t>演示视频</w:t>
            </w:r>
            <w:r>
              <w:rPr>
                <w:rFonts w:hint="eastAsia" w:ascii="宋体" w:hAnsi="宋体" w:eastAsia="宋体" w:cs="宋体"/>
                <w:kern w:val="0"/>
                <w:sz w:val="21"/>
                <w:szCs w:val="21"/>
                <w:highlight w:val="none"/>
                <w:lang w:eastAsia="zh-CN" w:bidi="ar"/>
              </w:rPr>
              <w:t>存入</w:t>
            </w:r>
            <w:r>
              <w:rPr>
                <w:rFonts w:hint="eastAsia" w:ascii="宋体" w:hAnsi="宋体" w:eastAsia="宋体" w:cs="宋体"/>
                <w:kern w:val="0"/>
                <w:sz w:val="21"/>
                <w:szCs w:val="21"/>
                <w:highlight w:val="none"/>
                <w:lang w:val="en-US" w:eastAsia="zh-CN" w:bidi="ar"/>
              </w:rPr>
              <w:t>U盘并密封包装（外包装处注明项目名称、投标单位名称、联系人、联系方式加盖公章）后寄至代理公司。</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0-12</w:t>
            </w:r>
            <w:r>
              <w:rPr>
                <w:rFonts w:hint="eastAsia" w:ascii="宋体" w:hAnsi="宋体" w:eastAsia="宋体" w:cs="宋体"/>
                <w:bCs w:val="0"/>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0" w:type="auto"/>
            <w:gridSpan w:val="4"/>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b/>
                <w:bCs w:val="0"/>
                <w:color w:val="auto"/>
                <w:sz w:val="21"/>
                <w:szCs w:val="21"/>
                <w:highlight w:val="none"/>
              </w:rPr>
              <w:t>报价部分（</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117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right="0" w:rightChars="0" w:firstLine="0" w:firstLineChars="0"/>
              <w:jc w:val="center"/>
              <w:textAlignment w:val="auto"/>
              <w:outlineLvl w:val="9"/>
              <w:rPr>
                <w:rStyle w:val="71"/>
                <w:rFonts w:hint="eastAsia" w:ascii="宋体" w:hAnsi="宋体" w:eastAsia="宋体" w:cs="宋体"/>
                <w:b w:val="0"/>
                <w:bCs w:val="0"/>
                <w:color w:val="auto"/>
                <w:sz w:val="21"/>
                <w:szCs w:val="21"/>
                <w:highlight w:val="none"/>
              </w:rPr>
            </w:pPr>
            <w:r>
              <w:rPr>
                <w:rStyle w:val="71"/>
                <w:rFonts w:hint="eastAsia" w:ascii="宋体" w:hAnsi="宋体" w:eastAsia="宋体" w:cs="宋体"/>
                <w:b w:val="0"/>
                <w:bCs w:val="0"/>
                <w:color w:val="auto"/>
                <w:sz w:val="21"/>
                <w:szCs w:val="21"/>
                <w:highlight w:val="none"/>
              </w:rPr>
              <w:t>报    价</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z w:val="21"/>
                <w:szCs w:val="21"/>
                <w:highlight w:val="none"/>
                <w:vertAlign w:val="baseline"/>
                <w:lang w:val="en-US" w:eastAsia="zh-CN"/>
              </w:rPr>
            </w:pPr>
            <w:r>
              <w:rPr>
                <w:rFonts w:hint="eastAsia" w:ascii="宋体" w:hAnsi="宋体" w:eastAsia="宋体" w:cs="宋体"/>
                <w:bCs w:val="0"/>
                <w:color w:val="auto"/>
                <w:sz w:val="21"/>
                <w:szCs w:val="21"/>
                <w:highlight w:val="none"/>
                <w:lang w:val="zh-CN"/>
              </w:rPr>
              <w:t>（</w:t>
            </w:r>
            <w:r>
              <w:rPr>
                <w:rFonts w:hint="eastAsia" w:ascii="宋体" w:hAnsi="宋体" w:eastAsia="宋体" w:cs="宋体"/>
                <w:bCs w:val="0"/>
                <w:color w:val="auto"/>
                <w:sz w:val="21"/>
                <w:szCs w:val="21"/>
                <w:highlight w:val="none"/>
                <w:lang w:val="en-US" w:eastAsia="zh-CN"/>
              </w:rPr>
              <w:t>10</w:t>
            </w:r>
            <w:r>
              <w:rPr>
                <w:rFonts w:hint="eastAsia" w:ascii="宋体" w:hAnsi="宋体" w:eastAsia="宋体" w:cs="宋体"/>
                <w:bCs w:val="0"/>
                <w:color w:val="auto"/>
                <w:sz w:val="21"/>
                <w:szCs w:val="21"/>
                <w:highlight w:val="none"/>
                <w:lang w:val="zh-CN"/>
              </w:rPr>
              <w:t>分）</w:t>
            </w:r>
          </w:p>
        </w:tc>
        <w:tc>
          <w:tcPr>
            <w:tcW w:w="6900" w:type="dxa"/>
            <w:noWrap w:val="0"/>
            <w:vAlign w:val="center"/>
          </w:tcPr>
          <w:p>
            <w:pPr>
              <w:keepNext w:val="0"/>
              <w:keepLines w:val="0"/>
              <w:pageBreakBefore w:val="0"/>
              <w:widowControl/>
              <w:kinsoku/>
              <w:wordWrap/>
              <w:overflowPunct/>
              <w:topLinePunct w:val="0"/>
              <w:bidi w:val="0"/>
              <w:snapToGrid/>
              <w:spacing w:line="360" w:lineRule="auto"/>
              <w:ind w:left="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Cs w:val="0"/>
                <w:color w:val="auto"/>
                <w:sz w:val="21"/>
                <w:szCs w:val="21"/>
                <w:highlight w:val="none"/>
              </w:rPr>
              <w:t>满足招标文件要求且投标价格最低的投标报价为评标基准价，其价格分为满分，其他投标人的价格分统一按下列公式计算（按四舍五入取至小数点后两位）：</w:t>
            </w:r>
            <w:r>
              <w:rPr>
                <w:rFonts w:hint="eastAsia" w:ascii="宋体" w:hAnsi="宋体" w:eastAsia="宋体" w:cs="宋体"/>
                <w:color w:val="auto"/>
                <w:sz w:val="21"/>
                <w:szCs w:val="21"/>
                <w:highlight w:val="none"/>
              </w:rPr>
              <w:t>报价得分=（评标基准价 / 投标报价）×</w:t>
            </w:r>
            <w:r>
              <w:rPr>
                <w:rFonts w:hint="eastAsia" w:ascii="宋体" w:hAnsi="宋体" w:eastAsia="宋体" w:cs="宋体"/>
                <w:color w:val="auto"/>
                <w:sz w:val="21"/>
                <w:szCs w:val="21"/>
                <w:highlight w:val="none"/>
                <w:lang w:val="en-US" w:eastAsia="zh-CN"/>
              </w:rPr>
              <w:t>10</w:t>
            </w:r>
          </w:p>
        </w:tc>
        <w:tc>
          <w:tcPr>
            <w:tcW w:w="8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0-10</w:t>
            </w:r>
            <w:r>
              <w:rPr>
                <w:rFonts w:hint="eastAsia" w:ascii="宋体" w:hAnsi="宋体" w:eastAsia="宋体" w:cs="宋体"/>
                <w:bCs w:val="0"/>
                <w:color w:val="auto"/>
                <w:sz w:val="21"/>
                <w:szCs w:val="21"/>
                <w:highlight w:val="none"/>
                <w:lang w:val="zh-CN"/>
              </w:rPr>
              <w:t>分</w:t>
            </w:r>
          </w:p>
        </w:tc>
      </w:tr>
    </w:tbl>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.关于政府采购活动的规定</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.1根据《</w:t>
      </w:r>
      <w:r>
        <w:rPr>
          <w:rFonts w:hint="eastAsia" w:ascii="宋体" w:hAnsi="宋体" w:eastAsia="宋体" w:cs="宋体"/>
          <w:b/>
          <w:color w:val="auto"/>
          <w:sz w:val="21"/>
          <w:szCs w:val="21"/>
          <w:highlight w:val="none"/>
        </w:rPr>
        <w:t>中小企业划型标准规定》（工信部联企业[2011]300号）、</w:t>
      </w:r>
      <w:r>
        <w:rPr>
          <w:rFonts w:hint="eastAsia" w:ascii="宋体" w:hAnsi="宋体" w:eastAsia="宋体" w:cs="宋体"/>
          <w:b/>
          <w:color w:val="auto"/>
          <w:sz w:val="21"/>
          <w:szCs w:val="21"/>
          <w:highlight w:val="none"/>
          <w:lang w:val="en-US" w:eastAsia="zh-CN"/>
        </w:rPr>
        <w:t>《政府采购促进中小企业发展管理办法》 （财库[2020]46号）、《浙江省财政厅关于进一步发挥政府采购政策功能全力推动经济稳进提质的通知》（浙财采监[2022]3号）、《浙江省财政厅关于进一步加大政府采购支持中小企业力度助力扎实稳住经济的通知》（浙财采监[2022]8</w:t>
      </w:r>
      <w:r>
        <w:rPr>
          <w:rFonts w:hint="eastAsia" w:ascii="宋体" w:hAnsi="宋体" w:eastAsia="宋体" w:cs="宋体"/>
          <w:b/>
          <w:bCs w:val="0"/>
          <w:color w:val="auto"/>
          <w:sz w:val="21"/>
          <w:szCs w:val="21"/>
          <w:highlight w:val="none"/>
          <w:lang w:val="en-US" w:eastAsia="zh-CN"/>
        </w:rPr>
        <w:t>号）、</w:t>
      </w:r>
      <w:r>
        <w:rPr>
          <w:rFonts w:hint="eastAsia" w:ascii="宋体" w:hAnsi="宋体" w:eastAsia="宋体" w:cs="宋体"/>
          <w:b/>
          <w:bCs w:val="0"/>
          <w:color w:val="auto"/>
          <w:sz w:val="21"/>
          <w:szCs w:val="21"/>
          <w:highlight w:val="none"/>
          <w:lang w:bidi="zh-CN"/>
        </w:rPr>
        <w:t>《关于进一步加大政府采购支持中小企业力度通知》（财库[2022]</w:t>
      </w:r>
      <w:r>
        <w:rPr>
          <w:rFonts w:hint="eastAsia" w:ascii="宋体" w:hAnsi="宋体" w:eastAsia="宋体" w:cs="宋体"/>
          <w:b/>
          <w:bCs w:val="0"/>
          <w:color w:val="auto"/>
          <w:sz w:val="21"/>
          <w:szCs w:val="21"/>
          <w:highlight w:val="none"/>
          <w:lang w:val="en-US" w:bidi="zh-CN"/>
        </w:rPr>
        <w:t>19号</w:t>
      </w:r>
      <w:r>
        <w:rPr>
          <w:rFonts w:hint="eastAsia" w:ascii="宋体" w:hAnsi="宋体" w:eastAsia="宋体" w:cs="宋体"/>
          <w:b/>
          <w:bCs w:val="0"/>
          <w:color w:val="auto"/>
          <w:sz w:val="21"/>
          <w:szCs w:val="21"/>
          <w:highlight w:val="none"/>
          <w:lang w:bidi="zh-CN"/>
        </w:rPr>
        <w:t>）</w:t>
      </w:r>
      <w:r>
        <w:rPr>
          <w:rFonts w:hint="eastAsia" w:ascii="宋体" w:hAnsi="宋体" w:eastAsia="宋体" w:cs="宋体"/>
          <w:b/>
          <w:bCs w:val="0"/>
          <w:color w:val="auto"/>
          <w:sz w:val="21"/>
          <w:szCs w:val="21"/>
          <w:highlight w:val="none"/>
        </w:rPr>
        <w:t>的有关规定</w:t>
      </w:r>
      <w:r>
        <w:rPr>
          <w:rFonts w:hint="eastAsia" w:ascii="宋体" w:hAnsi="宋体" w:eastAsia="宋体" w:cs="宋体"/>
          <w:b/>
          <w:bCs w:val="0"/>
          <w:color w:val="auto"/>
          <w:sz w:val="21"/>
          <w:szCs w:val="21"/>
          <w:highlight w:val="none"/>
          <w:lang w:eastAsia="zh-CN"/>
        </w:rPr>
        <w:t>执行</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 在政府采购活动中，投标人提供的货物、工程或者服务符合下列情形的，享受中小企业扶持政策：</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4.2.1 在货物采购项目中，货物由中小企业制造，即货物由中小企业生产且使用 该中小企业商号或者注册商标；</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4.2.2 在工程采购项目中，工程由中小企业承建，即工程施工单位为中小企业；</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4.2.3 在服务采购项目中，服务由中小企业承接，即提供服务的人员为中小企业依照《中华人民共和国劳动合同法》订立劳动合同的从业人员。</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在货物采购项目中，投标人提供的货物既有中小企业制造货物，也有大型企业制造货物的，不享受中小企业扶持政策。</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以联合体形式参加政府采购活动，联合体各方均为中小企业的，联合体视同中小企 业。其中，联合体各方均为小微企业的，联合体视同小微企业。</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4.3</w:t>
      </w:r>
      <w:r>
        <w:rPr>
          <w:rFonts w:hint="eastAsia" w:ascii="宋体" w:hAnsi="宋体" w:eastAsia="宋体" w:cs="宋体"/>
          <w:bCs/>
          <w:color w:val="auto"/>
          <w:sz w:val="21"/>
          <w:szCs w:val="21"/>
          <w:highlight w:val="none"/>
        </w:rPr>
        <w:t>《政府采购促进中小企业发展管理办法》所称中小企业（含中型、小型、微型企业，下同）应当同时符合以下条件：</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（1）符合中小企业划分标准；</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（2）提供本企业制造的货物、承担的工程或者服务，或者提供其他中小企业制造的货物。本项所称货物不包括使用大型企业注册商标的货物。</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本办法所称中小企业划分标准，是指国务院有关部门根据企业从业人员、营业收入、资产总额等指标制定的中小企业划型标准。</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小型、微型企业提供中型企业制造的货物的，视同为中型企业。</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.2小型、微型企业参加投标时，应提供《中小企业声明函》。</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.4残疾人福利性单位：符合《财政部 民政部 中国残疾人联合会关于促进残疾人就业政府采购政策的通知》（财库〔2017〕 141号）的规定的单位。</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5未提供证明材料的投标人将不享受评审中价格扣除优惠。（中标供应商为小微企业、残疾人福利性单位、监狱企业的，应当随中标结果同时公告其《中小企业声明函》、《残疾人福利性单位声明函》、《监狱企业声明函》，接受社会监督。）</w:t>
      </w:r>
    </w:p>
    <w:p>
      <w:pPr>
        <w:pStyle w:val="7"/>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因本项目已是专门面向中小企业进行采购，根据文件规定专门面向中小企业采购的项目或者标项，不再执行价格评审优惠的扶持政策。</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修改评标结果 </w:t>
      </w:r>
    </w:p>
    <w:p>
      <w:pPr>
        <w:keepNext w:val="0"/>
        <w:keepLines w:val="0"/>
        <w:pageBreakBefore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评标结果汇总完成后，除下列情形外，任何人不得修改评标结果： </w:t>
      </w:r>
    </w:p>
    <w:p>
      <w:pPr>
        <w:keepNext w:val="0"/>
        <w:keepLines w:val="0"/>
        <w:pageBreakBefore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（1）分值汇总计算错误的；</w:t>
      </w:r>
    </w:p>
    <w:p>
      <w:pPr>
        <w:keepNext w:val="0"/>
        <w:keepLines w:val="0"/>
        <w:pageBreakBefore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（2）分项评分超出评分标准范围的； </w:t>
      </w:r>
    </w:p>
    <w:p>
      <w:pPr>
        <w:keepNext w:val="0"/>
        <w:keepLines w:val="0"/>
        <w:pageBreakBefore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（3）评审小组成员对客观评审因素评分不一致的； </w:t>
      </w:r>
    </w:p>
    <w:p>
      <w:pPr>
        <w:pStyle w:val="13"/>
        <w:keepNext w:val="0"/>
        <w:keepLines w:val="0"/>
        <w:pageBreakBefore w:val="0"/>
        <w:kinsoku/>
        <w:wordWrap/>
        <w:overflowPunct/>
        <w:topLinePunct w:val="0"/>
        <w:bidi w:val="0"/>
        <w:snapToGrid/>
        <w:spacing w:after="0" w:line="360" w:lineRule="auto"/>
        <w:ind w:firstLine="422" w:firstLineChars="200"/>
        <w:jc w:val="left"/>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（4）经评审小组认定评分畸高、畸低的。</w:t>
      </w:r>
      <w:bookmarkStart w:id="36" w:name="_Toc424887010"/>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lang w:val="zh-CN"/>
        </w:rPr>
        <w:t>定标办法</w:t>
      </w:r>
    </w:p>
    <w:p>
      <w:pPr>
        <w:keepNext w:val="0"/>
        <w:keepLines w:val="0"/>
        <w:pageBreakBefore w:val="0"/>
        <w:kinsoku/>
        <w:wordWrap/>
        <w:overflowPunct/>
        <w:topLinePunct w:val="0"/>
        <w:bidi w:val="0"/>
        <w:snapToGrid/>
        <w:spacing w:line="360" w:lineRule="auto"/>
        <w:ind w:right="0" w:rightChars="0" w:firstLine="420" w:firstLineChars="200"/>
        <w:jc w:val="left"/>
        <w:textAlignment w:val="auto"/>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1</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本次招标由评标委员会推荐中标候选人，采购单位根据评标委员会的推荐结果进行最终确认。</w:t>
      </w:r>
    </w:p>
    <w:p>
      <w:pPr>
        <w:keepNext w:val="0"/>
        <w:keepLines w:val="0"/>
        <w:pageBreakBefore w:val="0"/>
        <w:kinsoku/>
        <w:wordWrap/>
        <w:overflowPunct/>
        <w:topLinePunct w:val="0"/>
        <w:bidi w:val="0"/>
        <w:snapToGrid/>
        <w:spacing w:line="360" w:lineRule="auto"/>
        <w:ind w:left="0" w:right="0" w:rightChars="0" w:firstLine="420" w:firstLineChars="200"/>
        <w:jc w:val="left"/>
        <w:textAlignment w:val="auto"/>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rPr>
        <w:t>评标委员会依据法律、法规及招标文件有关规定在有效标中按投标人的最终得分【即</w:t>
      </w:r>
      <w:r>
        <w:rPr>
          <w:rFonts w:hint="eastAsia" w:ascii="宋体" w:hAnsi="宋体" w:eastAsia="宋体" w:cs="宋体"/>
          <w:bCs w:val="0"/>
          <w:color w:val="auto"/>
          <w:sz w:val="21"/>
          <w:szCs w:val="21"/>
          <w:highlight w:val="none"/>
          <w:lang w:eastAsia="zh-CN"/>
        </w:rPr>
        <w:t>商务技术</w:t>
      </w:r>
      <w:r>
        <w:rPr>
          <w:rFonts w:hint="eastAsia" w:ascii="宋体" w:hAnsi="宋体" w:eastAsia="宋体" w:cs="宋体"/>
          <w:bCs w:val="0"/>
          <w:color w:val="auto"/>
          <w:sz w:val="21"/>
          <w:szCs w:val="21"/>
          <w:highlight w:val="none"/>
        </w:rPr>
        <w:t>分与报价分之和】）</w:t>
      </w:r>
      <w:r>
        <w:rPr>
          <w:rFonts w:hint="eastAsia" w:ascii="宋体" w:hAnsi="宋体" w:eastAsia="宋体" w:cs="宋体"/>
          <w:bCs w:val="0"/>
          <w:color w:val="auto"/>
          <w:sz w:val="21"/>
          <w:szCs w:val="21"/>
          <w:highlight w:val="none"/>
          <w:lang w:eastAsia="zh-CN"/>
        </w:rPr>
        <w:t>由</w:t>
      </w:r>
      <w:r>
        <w:rPr>
          <w:rFonts w:hint="eastAsia" w:ascii="宋体" w:hAnsi="宋体" w:eastAsia="宋体" w:cs="宋体"/>
          <w:bCs w:val="0"/>
          <w:color w:val="auto"/>
          <w:sz w:val="21"/>
          <w:szCs w:val="21"/>
          <w:highlight w:val="none"/>
        </w:rPr>
        <w:t>高</w:t>
      </w:r>
      <w:r>
        <w:rPr>
          <w:rFonts w:hint="eastAsia" w:ascii="宋体" w:hAnsi="宋体" w:eastAsia="宋体" w:cs="宋体"/>
          <w:bCs w:val="0"/>
          <w:color w:val="auto"/>
          <w:sz w:val="21"/>
          <w:szCs w:val="21"/>
          <w:highlight w:val="none"/>
          <w:lang w:eastAsia="zh-CN"/>
        </w:rPr>
        <w:t>到</w:t>
      </w:r>
      <w:r>
        <w:rPr>
          <w:rFonts w:hint="eastAsia" w:ascii="宋体" w:hAnsi="宋体" w:eastAsia="宋体" w:cs="宋体"/>
          <w:bCs w:val="0"/>
          <w:color w:val="auto"/>
          <w:sz w:val="21"/>
          <w:szCs w:val="21"/>
          <w:highlight w:val="none"/>
        </w:rPr>
        <w:t>低进行排序，综合得分最高的投标人作为本项目的</w:t>
      </w:r>
      <w:r>
        <w:rPr>
          <w:rFonts w:hint="eastAsia" w:ascii="宋体" w:hAnsi="宋体" w:eastAsia="宋体" w:cs="宋体"/>
          <w:bCs w:val="0"/>
          <w:color w:val="auto"/>
          <w:sz w:val="21"/>
          <w:szCs w:val="21"/>
          <w:highlight w:val="none"/>
          <w:lang w:val="en-US" w:eastAsia="zh-CN"/>
        </w:rPr>
        <w:t>第一</w:t>
      </w:r>
      <w:r>
        <w:rPr>
          <w:rFonts w:hint="eastAsia" w:ascii="宋体" w:hAnsi="宋体" w:eastAsia="宋体" w:cs="宋体"/>
          <w:bCs w:val="0"/>
          <w:color w:val="auto"/>
          <w:sz w:val="21"/>
          <w:szCs w:val="21"/>
          <w:highlight w:val="none"/>
        </w:rPr>
        <w:t>中标候选人（得分相同的，按投标报价</w:t>
      </w:r>
      <w:r>
        <w:rPr>
          <w:rFonts w:hint="eastAsia" w:ascii="宋体" w:hAnsi="宋体" w:eastAsia="宋体" w:cs="宋体"/>
          <w:bCs w:val="0"/>
          <w:color w:val="auto"/>
          <w:sz w:val="21"/>
          <w:szCs w:val="21"/>
          <w:highlight w:val="none"/>
          <w:lang w:eastAsia="zh-CN"/>
        </w:rPr>
        <w:t>由低到高顺序</w:t>
      </w:r>
      <w:r>
        <w:rPr>
          <w:rFonts w:hint="eastAsia" w:ascii="宋体" w:hAnsi="宋体" w:eastAsia="宋体" w:cs="宋体"/>
          <w:bCs w:val="0"/>
          <w:color w:val="auto"/>
          <w:sz w:val="21"/>
          <w:szCs w:val="21"/>
          <w:highlight w:val="none"/>
        </w:rPr>
        <w:t>排列；得分且投标报价相同的</w:t>
      </w:r>
      <w:r>
        <w:rPr>
          <w:rFonts w:hint="eastAsia" w:ascii="宋体" w:hAnsi="宋体" w:eastAsia="宋体" w:cs="宋体"/>
          <w:bCs w:val="0"/>
          <w:color w:val="auto"/>
          <w:sz w:val="21"/>
          <w:szCs w:val="21"/>
          <w:highlight w:val="none"/>
          <w:lang w:eastAsia="zh-CN"/>
        </w:rPr>
        <w:t>，由招标人现场抽签产生</w:t>
      </w:r>
      <w:r>
        <w:rPr>
          <w:rFonts w:hint="eastAsia" w:ascii="宋体" w:hAnsi="宋体" w:eastAsia="宋体" w:cs="宋体"/>
          <w:bCs w:val="0"/>
          <w:color w:val="auto"/>
          <w:sz w:val="21"/>
          <w:szCs w:val="21"/>
          <w:highlight w:val="none"/>
          <w:lang w:val="en-US" w:eastAsia="zh-CN"/>
        </w:rPr>
        <w:t>第一</w:t>
      </w:r>
      <w:r>
        <w:rPr>
          <w:rFonts w:hint="eastAsia" w:ascii="宋体" w:hAnsi="宋体" w:eastAsia="宋体" w:cs="宋体"/>
          <w:bCs w:val="0"/>
          <w:color w:val="auto"/>
          <w:sz w:val="21"/>
          <w:szCs w:val="21"/>
          <w:highlight w:val="none"/>
          <w:lang w:eastAsia="zh-CN"/>
        </w:rPr>
        <w:t>中标候选人</w:t>
      </w:r>
      <w:r>
        <w:rPr>
          <w:rFonts w:hint="eastAsia" w:ascii="宋体" w:hAnsi="宋体" w:eastAsia="宋体" w:cs="宋体"/>
          <w:bCs w:val="0"/>
          <w:color w:val="auto"/>
          <w:sz w:val="21"/>
          <w:szCs w:val="21"/>
          <w:highlight w:val="none"/>
        </w:rPr>
        <w:t>）。</w:t>
      </w:r>
    </w:p>
    <w:p>
      <w:pPr>
        <w:keepNext w:val="0"/>
        <w:keepLines w:val="0"/>
        <w:pageBreakBefore w:val="0"/>
        <w:kinsoku/>
        <w:wordWrap/>
        <w:overflowPunct/>
        <w:topLinePunct w:val="0"/>
        <w:bidi w:val="0"/>
        <w:snapToGrid/>
        <w:spacing w:line="360" w:lineRule="auto"/>
        <w:ind w:left="0" w:right="0" w:rightChars="0" w:firstLine="420" w:firstLineChars="200"/>
        <w:jc w:val="left"/>
        <w:textAlignment w:val="auto"/>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rPr>
        <w:t>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w:t>
      </w:r>
      <w:r>
        <w:rPr>
          <w:rFonts w:hint="eastAsia" w:ascii="宋体" w:hAnsi="宋体" w:eastAsia="宋体" w:cs="宋体"/>
          <w:bCs w:val="0"/>
          <w:color w:val="auto"/>
          <w:sz w:val="21"/>
          <w:szCs w:val="21"/>
          <w:highlight w:val="none"/>
          <w:lang w:eastAsia="zh-CN"/>
        </w:rPr>
        <w:t>单位</w:t>
      </w:r>
      <w:r>
        <w:rPr>
          <w:rFonts w:hint="eastAsia" w:ascii="宋体" w:hAnsi="宋体" w:eastAsia="宋体" w:cs="宋体"/>
          <w:bCs w:val="0"/>
          <w:color w:val="auto"/>
          <w:sz w:val="21"/>
          <w:szCs w:val="21"/>
          <w:highlight w:val="none"/>
        </w:rPr>
        <w:t>可以按照评标委员会提出的中标候选人名单排序依次确定其他中标候选人为中标人</w:t>
      </w:r>
      <w:r>
        <w:rPr>
          <w:rFonts w:hint="eastAsia" w:ascii="宋体" w:hAnsi="宋体" w:eastAsia="宋体" w:cs="宋体"/>
          <w:bCs w:val="0"/>
          <w:color w:val="auto"/>
          <w:sz w:val="21"/>
          <w:szCs w:val="21"/>
          <w:highlight w:val="none"/>
          <w:lang w:eastAsia="zh-CN"/>
        </w:rPr>
        <w:t>或者</w:t>
      </w:r>
      <w:r>
        <w:rPr>
          <w:rFonts w:hint="eastAsia" w:ascii="宋体" w:hAnsi="宋体" w:eastAsia="宋体" w:cs="宋体"/>
          <w:bCs w:val="0"/>
          <w:color w:val="auto"/>
          <w:sz w:val="21"/>
          <w:szCs w:val="21"/>
          <w:highlight w:val="none"/>
        </w:rPr>
        <w:t>重新招标。</w:t>
      </w:r>
    </w:p>
    <w:p>
      <w:pPr>
        <w:keepNext w:val="0"/>
        <w:keepLines w:val="0"/>
        <w:pageBreakBefore w:val="0"/>
        <w:widowControl/>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val="zh-CN"/>
        </w:rPr>
        <w:t>、</w:t>
      </w:r>
      <w:bookmarkStart w:id="37" w:name="_Toc221356905"/>
      <w:bookmarkStart w:id="38" w:name="_Toc221356968"/>
      <w:r>
        <w:rPr>
          <w:rFonts w:hint="eastAsia" w:ascii="宋体" w:hAnsi="宋体" w:eastAsia="宋体" w:cs="宋体"/>
          <w:b/>
          <w:bCs/>
          <w:sz w:val="21"/>
          <w:szCs w:val="21"/>
          <w:highlight w:val="none"/>
          <w:lang w:val="zh-CN"/>
        </w:rPr>
        <w:t>投标人义务</w:t>
      </w:r>
      <w:bookmarkEnd w:id="37"/>
      <w:bookmarkEnd w:id="38"/>
    </w:p>
    <w:p>
      <w:pPr>
        <w:keepNext w:val="0"/>
        <w:keepLines w:val="0"/>
        <w:pageBreakBefore w:val="0"/>
        <w:kinsoku/>
        <w:wordWrap/>
        <w:overflowPunct/>
        <w:topLinePunct w:val="0"/>
        <w:bidi w:val="0"/>
        <w:snapToGrid/>
        <w:spacing w:line="360" w:lineRule="auto"/>
        <w:ind w:left="0" w:right="0" w:rightChars="0" w:firstLine="420" w:firstLineChars="200"/>
        <w:jc w:val="left"/>
        <w:textAlignment w:val="auto"/>
        <w:outlineLvl w:val="9"/>
        <w:rPr>
          <w:rFonts w:hint="eastAsia" w:ascii="宋体" w:hAnsi="宋体" w:cs="宋体"/>
          <w:b/>
          <w:color w:val="auto"/>
          <w:sz w:val="21"/>
          <w:szCs w:val="21"/>
          <w:highlight w:val="none"/>
        </w:rPr>
      </w:pPr>
      <w:r>
        <w:rPr>
          <w:rFonts w:hint="eastAsia" w:ascii="宋体" w:hAnsi="宋体" w:eastAsia="宋体" w:cs="宋体"/>
          <w:bCs w:val="0"/>
          <w:color w:val="auto"/>
          <w:sz w:val="21"/>
          <w:szCs w:val="21"/>
          <w:highlight w:val="none"/>
        </w:rPr>
        <w:t>投标人应随时接受评标委员会的询标，解答包括有关的商务、技术问题等。评标结束，所有评标资料存招标人备查。</w:t>
      </w:r>
    </w:p>
    <w:p>
      <w:pPr>
        <w:pStyle w:val="17"/>
        <w:rPr>
          <w:rFonts w:hint="eastAsia"/>
        </w:rPr>
      </w:pPr>
    </w:p>
    <w:p>
      <w:pPr>
        <w:pStyle w:val="16"/>
        <w:snapToGrid w:val="0"/>
        <w:spacing w:line="360" w:lineRule="auto"/>
        <w:jc w:val="center"/>
        <w:outlineLvl w:val="1"/>
        <w:rPr>
          <w:rFonts w:hint="eastAsia" w:ascii="宋体" w:hAnsi="宋体" w:cs="宋体"/>
          <w:b/>
          <w:color w:val="auto"/>
          <w:sz w:val="36"/>
          <w:szCs w:val="36"/>
          <w:highlight w:val="none"/>
        </w:rPr>
      </w:pPr>
    </w:p>
    <w:p>
      <w:pPr>
        <w:pStyle w:val="16"/>
        <w:snapToGrid w:val="0"/>
        <w:spacing w:line="360" w:lineRule="auto"/>
        <w:jc w:val="center"/>
        <w:outlineLvl w:val="1"/>
        <w:rPr>
          <w:rFonts w:hint="eastAsia" w:ascii="宋体" w:hAnsi="宋体" w:cs="宋体"/>
          <w:b/>
          <w:color w:val="auto"/>
          <w:sz w:val="36"/>
          <w:szCs w:val="36"/>
          <w:highlight w:val="none"/>
        </w:rPr>
      </w:pPr>
    </w:p>
    <w:p>
      <w:pPr>
        <w:pStyle w:val="16"/>
        <w:snapToGrid w:val="0"/>
        <w:spacing w:line="360" w:lineRule="auto"/>
        <w:jc w:val="center"/>
        <w:outlineLvl w:val="1"/>
        <w:rPr>
          <w:rFonts w:hint="eastAsia" w:ascii="宋体" w:hAnsi="宋体" w:cs="宋体"/>
          <w:b/>
          <w:color w:val="auto"/>
          <w:sz w:val="36"/>
          <w:szCs w:val="36"/>
          <w:highlight w:val="none"/>
        </w:rPr>
      </w:pPr>
    </w:p>
    <w:p>
      <w:pPr>
        <w:pStyle w:val="16"/>
        <w:snapToGrid w:val="0"/>
        <w:spacing w:line="240" w:lineRule="auto"/>
        <w:jc w:val="both"/>
        <w:outlineLvl w:val="1"/>
        <w:rPr>
          <w:rFonts w:hint="eastAsia" w:ascii="宋体" w:hAnsi="宋体" w:cs="宋体"/>
          <w:b/>
          <w:color w:val="auto"/>
          <w:sz w:val="21"/>
          <w:szCs w:val="21"/>
          <w:highlight w:val="none"/>
        </w:rPr>
      </w:pPr>
    </w:p>
    <w:p>
      <w:pPr>
        <w:pStyle w:val="17"/>
        <w:rPr>
          <w:rFonts w:hint="eastAsia" w:ascii="宋体" w:hAnsi="宋体" w:cs="宋体"/>
          <w:b/>
          <w:color w:val="auto"/>
          <w:sz w:val="21"/>
          <w:szCs w:val="21"/>
          <w:highlight w:val="none"/>
        </w:rPr>
      </w:pPr>
    </w:p>
    <w:p>
      <w:pPr>
        <w:rPr>
          <w:rFonts w:hint="eastAsia"/>
        </w:rPr>
      </w:pPr>
    </w:p>
    <w:p>
      <w:pPr>
        <w:pStyle w:val="16"/>
        <w:snapToGrid w:val="0"/>
        <w:spacing w:line="360" w:lineRule="auto"/>
        <w:jc w:val="center"/>
        <w:outlineLvl w:val="1"/>
        <w:rPr>
          <w:rFonts w:hAnsi="宋体" w:cs="宋体"/>
          <w:b/>
          <w:bCs/>
          <w:color w:val="auto"/>
          <w:sz w:val="36"/>
          <w:szCs w:val="36"/>
          <w:highlight w:val="none"/>
          <w:lang w:val="zh-CN"/>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章</w:t>
      </w:r>
      <w:r>
        <w:rPr>
          <w:rFonts w:hint="eastAsia" w:ascii="宋体" w:hAnsi="宋体" w:cs="宋体"/>
          <w:b/>
          <w:color w:val="auto"/>
          <w:sz w:val="36"/>
          <w:szCs w:val="36"/>
          <w:highlight w:val="none"/>
          <w:lang w:val="en-US" w:eastAsia="zh-CN"/>
        </w:rPr>
        <w:t xml:space="preserve">   </w:t>
      </w:r>
      <w:r>
        <w:rPr>
          <w:rFonts w:hint="eastAsia" w:hAnsi="宋体" w:cs="宋体"/>
          <w:b/>
          <w:bCs/>
          <w:color w:val="auto"/>
          <w:sz w:val="36"/>
          <w:szCs w:val="36"/>
          <w:highlight w:val="none"/>
          <w:lang w:val="zh-CN"/>
        </w:rPr>
        <w:t>投标文件</w:t>
      </w:r>
      <w:bookmarkEnd w:id="36"/>
      <w:bookmarkStart w:id="39" w:name="_Toc20254"/>
      <w:r>
        <w:rPr>
          <w:rFonts w:hint="eastAsia" w:hAnsi="宋体" w:cs="宋体"/>
          <w:b/>
          <w:bCs/>
          <w:color w:val="auto"/>
          <w:sz w:val="36"/>
          <w:szCs w:val="36"/>
          <w:highlight w:val="none"/>
          <w:lang w:val="zh-CN"/>
        </w:rPr>
        <w:t>部分格式</w:t>
      </w:r>
    </w:p>
    <w:p>
      <w:pPr>
        <w:ind w:firstLine="420" w:firstLineChars="200"/>
        <w:rPr>
          <w:rFonts w:ascii="宋体" w:hAnsi="宋体" w:eastAsia="宋体" w:cs="宋体"/>
          <w:color w:val="auto"/>
          <w:kern w:val="0"/>
          <w:sz w:val="21"/>
          <w:szCs w:val="21"/>
          <w:highlight w:val="none"/>
        </w:rPr>
      </w:pPr>
    </w:p>
    <w:p>
      <w:pPr>
        <w:ind w:firstLine="420" w:firstLineChars="200"/>
        <w:rPr>
          <w:rFonts w:ascii="宋体" w:hAnsi="宋体" w:eastAsia="宋体" w:cs="宋体"/>
          <w:color w:val="auto"/>
          <w:kern w:val="0"/>
          <w:sz w:val="21"/>
          <w:szCs w:val="21"/>
          <w:highlight w:val="none"/>
        </w:rPr>
      </w:pPr>
    </w:p>
    <w:p>
      <w:pPr>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：资格</w:t>
      </w:r>
      <w:r>
        <w:rPr>
          <w:rFonts w:hint="eastAsia" w:ascii="宋体" w:hAnsi="宋体" w:eastAsia="宋体" w:cs="宋体"/>
          <w:b/>
          <w:color w:val="auto"/>
          <w:kern w:val="0"/>
          <w:sz w:val="21"/>
          <w:szCs w:val="21"/>
          <w:highlight w:val="none"/>
          <w:lang w:eastAsia="zh-CN"/>
        </w:rPr>
        <w:t>审查</w:t>
      </w:r>
      <w:r>
        <w:rPr>
          <w:rFonts w:hint="eastAsia" w:ascii="宋体" w:hAnsi="宋体" w:eastAsia="宋体" w:cs="宋体"/>
          <w:b/>
          <w:color w:val="auto"/>
          <w:kern w:val="0"/>
          <w:sz w:val="21"/>
          <w:szCs w:val="21"/>
          <w:highlight w:val="none"/>
        </w:rPr>
        <w:t>/商务技术/价格文件的封面格式</w:t>
      </w:r>
    </w:p>
    <w:p>
      <w:pPr>
        <w:spacing w:line="360" w:lineRule="auto"/>
        <w:ind w:firstLine="883" w:firstLineChars="200"/>
        <w:jc w:val="center"/>
        <w:rPr>
          <w:rFonts w:ascii="宋体" w:hAnsi="宋体" w:eastAsia="宋体" w:cs="宋体"/>
          <w:b/>
          <w:color w:val="auto"/>
          <w:sz w:val="44"/>
          <w:szCs w:val="44"/>
          <w:highlight w:val="none"/>
        </w:rPr>
      </w:pPr>
    </w:p>
    <w:p>
      <w:pPr>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lang w:eastAsia="zh-CN"/>
        </w:rPr>
        <w:t>衢州市柯城区府山街道污水零直排管网监测服务采购</w:t>
      </w:r>
      <w:r>
        <w:rPr>
          <w:rFonts w:hint="eastAsia" w:ascii="宋体" w:hAnsi="宋体" w:eastAsia="宋体" w:cs="宋体"/>
          <w:b/>
          <w:bCs/>
          <w:color w:val="auto"/>
          <w:kern w:val="0"/>
          <w:sz w:val="44"/>
          <w:szCs w:val="44"/>
          <w:highlight w:val="none"/>
        </w:rPr>
        <w:t>投标文件</w:t>
      </w:r>
    </w:p>
    <w:p>
      <w:pPr>
        <w:spacing w:line="240" w:lineRule="auto"/>
        <w:jc w:val="center"/>
        <w:rPr>
          <w:rFonts w:hint="eastAsia" w:ascii="宋体" w:hAnsi="宋体" w:eastAsia="宋体" w:cs="宋体"/>
          <w:b/>
          <w:bCs/>
          <w:color w:val="auto"/>
          <w:kern w:val="0"/>
          <w:sz w:val="21"/>
          <w:szCs w:val="21"/>
          <w:highlight w:val="none"/>
        </w:rPr>
      </w:pPr>
    </w:p>
    <w:p>
      <w:pPr>
        <w:spacing w:line="360" w:lineRule="auto"/>
        <w:ind w:firstLine="720" w:firstLineChars="200"/>
        <w:jc w:val="center"/>
        <w:rPr>
          <w:rFonts w:ascii="宋体" w:hAnsi="宋体" w:eastAsia="宋体" w:cs="宋体"/>
          <w:color w:val="auto"/>
          <w:sz w:val="36"/>
          <w:highlight w:val="none"/>
        </w:rPr>
      </w:pPr>
      <w:r>
        <w:rPr>
          <w:rFonts w:hint="eastAsia" w:ascii="宋体" w:hAnsi="宋体" w:eastAsia="宋体" w:cs="宋体"/>
          <w:color w:val="auto"/>
          <w:kern w:val="0"/>
          <w:sz w:val="36"/>
          <w:szCs w:val="36"/>
          <w:highlight w:val="none"/>
        </w:rPr>
        <w:t>资格</w:t>
      </w:r>
      <w:r>
        <w:rPr>
          <w:rFonts w:hint="eastAsia" w:ascii="宋体" w:hAnsi="宋体" w:eastAsia="宋体" w:cs="宋体"/>
          <w:color w:val="auto"/>
          <w:kern w:val="0"/>
          <w:sz w:val="36"/>
          <w:szCs w:val="36"/>
          <w:highlight w:val="none"/>
          <w:lang w:eastAsia="zh-CN"/>
        </w:rPr>
        <w:t>审查</w:t>
      </w:r>
      <w:r>
        <w:rPr>
          <w:rFonts w:hint="eastAsia" w:ascii="宋体" w:hAnsi="宋体" w:eastAsia="宋体" w:cs="宋体"/>
          <w:color w:val="auto"/>
          <w:kern w:val="0"/>
          <w:sz w:val="36"/>
          <w:szCs w:val="36"/>
          <w:highlight w:val="none"/>
        </w:rPr>
        <w:t>/商务技术/报价文件</w:t>
      </w:r>
    </w:p>
    <w:p>
      <w:pPr>
        <w:spacing w:line="960" w:lineRule="exact"/>
        <w:ind w:firstLine="1032" w:firstLineChars="300"/>
        <w:rPr>
          <w:rFonts w:ascii="宋体" w:hAnsi="宋体" w:eastAsia="宋体" w:cs="宋体"/>
          <w:color w:val="auto"/>
          <w:sz w:val="30"/>
          <w:highlight w:val="none"/>
        </w:rPr>
      </w:pPr>
      <w:r>
        <w:rPr>
          <w:rFonts w:hint="eastAsia" w:ascii="宋体" w:hAnsi="宋体" w:eastAsia="宋体" w:cs="宋体"/>
          <w:color w:val="auto"/>
          <w:spacing w:val="22"/>
          <w:kern w:val="0"/>
          <w:sz w:val="30"/>
          <w:highlight w:val="none"/>
        </w:rPr>
        <w:t>项目名称</w:t>
      </w:r>
      <w:r>
        <w:rPr>
          <w:rFonts w:hint="eastAsia" w:ascii="宋体" w:hAnsi="宋体" w:eastAsia="宋体" w:cs="宋体"/>
          <w:color w:val="auto"/>
          <w:spacing w:val="2"/>
          <w:kern w:val="0"/>
          <w:sz w:val="30"/>
          <w:highlight w:val="none"/>
        </w:rPr>
        <w:t>：</w:t>
      </w:r>
      <w:r>
        <w:rPr>
          <w:rFonts w:hint="eastAsia" w:ascii="宋体" w:hAnsi="宋体" w:eastAsia="宋体" w:cs="宋体"/>
          <w:color w:val="auto"/>
          <w:sz w:val="30"/>
          <w:highlight w:val="none"/>
          <w:u w:val="single"/>
        </w:rPr>
        <w:t xml:space="preserve">                                          </w:t>
      </w:r>
    </w:p>
    <w:p>
      <w:pPr>
        <w:spacing w:line="960" w:lineRule="exact"/>
        <w:ind w:firstLine="1032" w:firstLineChars="300"/>
        <w:rPr>
          <w:rFonts w:ascii="宋体" w:hAnsi="宋体" w:eastAsia="宋体" w:cs="宋体"/>
          <w:color w:val="auto"/>
          <w:sz w:val="30"/>
          <w:highlight w:val="none"/>
        </w:rPr>
      </w:pPr>
      <w:r>
        <w:rPr>
          <w:rFonts w:hint="eastAsia" w:ascii="宋体" w:hAnsi="宋体" w:eastAsia="宋体" w:cs="宋体"/>
          <w:color w:val="auto"/>
          <w:spacing w:val="22"/>
          <w:kern w:val="0"/>
          <w:sz w:val="30"/>
          <w:highlight w:val="none"/>
        </w:rPr>
        <w:t>供 应 商</w:t>
      </w:r>
      <w:r>
        <w:rPr>
          <w:rFonts w:hint="eastAsia" w:ascii="宋体" w:hAnsi="宋体" w:eastAsia="宋体" w:cs="宋体"/>
          <w:color w:val="auto"/>
          <w:spacing w:val="105"/>
          <w:kern w:val="0"/>
          <w:sz w:val="30"/>
          <w:highlight w:val="none"/>
        </w:rPr>
        <w:t>：</w:t>
      </w:r>
      <w:r>
        <w:rPr>
          <w:rFonts w:hint="eastAsia" w:ascii="宋体" w:hAnsi="宋体" w:eastAsia="宋体" w:cs="宋体"/>
          <w:color w:val="auto"/>
          <w:sz w:val="30"/>
          <w:highlight w:val="none"/>
          <w:u w:val="single"/>
        </w:rPr>
        <w:t xml:space="preserve">                              （盖章） </w:t>
      </w:r>
      <w:r>
        <w:rPr>
          <w:rFonts w:hint="eastAsia" w:ascii="宋体" w:hAnsi="宋体" w:eastAsia="宋体" w:cs="宋体"/>
          <w:color w:val="auto"/>
          <w:sz w:val="30"/>
          <w:highlight w:val="none"/>
        </w:rPr>
        <w:t xml:space="preserve">   </w:t>
      </w:r>
    </w:p>
    <w:p>
      <w:pPr>
        <w:spacing w:line="960" w:lineRule="exact"/>
        <w:ind w:firstLine="1050" w:firstLineChars="350"/>
        <w:rPr>
          <w:rFonts w:ascii="宋体" w:hAnsi="宋体" w:eastAsia="宋体" w:cs="宋体"/>
          <w:color w:val="auto"/>
          <w:sz w:val="30"/>
          <w:highlight w:val="none"/>
          <w:u w:val="single"/>
        </w:rPr>
      </w:pPr>
      <w:r>
        <w:rPr>
          <w:rFonts w:hint="eastAsia" w:ascii="宋体" w:hAnsi="宋体" w:eastAsia="宋体" w:cs="宋体"/>
          <w:color w:val="auto"/>
          <w:sz w:val="30"/>
          <w:szCs w:val="30"/>
          <w:highlight w:val="none"/>
        </w:rPr>
        <w:t>法定代表人(或授权代表)：</w:t>
      </w:r>
      <w:r>
        <w:rPr>
          <w:rFonts w:hint="eastAsia" w:ascii="宋体" w:hAnsi="宋体" w:eastAsia="宋体" w:cs="宋体"/>
          <w:color w:val="auto"/>
          <w:sz w:val="30"/>
          <w:szCs w:val="30"/>
          <w:highlight w:val="none"/>
          <w:u w:val="single"/>
        </w:rPr>
        <w:t xml:space="preserve">              （签字或盖章</w:t>
      </w:r>
      <w:r>
        <w:rPr>
          <w:rFonts w:hint="eastAsia" w:ascii="宋体" w:hAnsi="宋体" w:eastAsia="宋体" w:cs="宋体"/>
          <w:color w:val="auto"/>
          <w:sz w:val="30"/>
          <w:highlight w:val="none"/>
          <w:u w:val="single"/>
        </w:rPr>
        <w:t>）</w:t>
      </w:r>
    </w:p>
    <w:p>
      <w:pPr>
        <w:spacing w:line="360" w:lineRule="auto"/>
        <w:ind w:firstLine="600" w:firstLineChars="200"/>
        <w:jc w:val="center"/>
        <w:rPr>
          <w:rFonts w:ascii="宋体" w:hAnsi="宋体" w:eastAsia="宋体" w:cs="宋体"/>
          <w:color w:val="auto"/>
          <w:sz w:val="30"/>
          <w:highlight w:val="none"/>
        </w:rPr>
      </w:pPr>
    </w:p>
    <w:p>
      <w:pPr>
        <w:spacing w:line="360" w:lineRule="auto"/>
        <w:ind w:firstLine="600" w:firstLineChars="200"/>
        <w:jc w:val="center"/>
        <w:rPr>
          <w:rFonts w:ascii="宋体" w:hAnsi="宋体" w:eastAsia="宋体" w:cs="宋体"/>
          <w:color w:val="auto"/>
          <w:sz w:val="32"/>
          <w:szCs w:val="32"/>
          <w:highlight w:val="none"/>
        </w:rPr>
      </w:pPr>
      <w:r>
        <w:rPr>
          <w:rFonts w:hint="eastAsia" w:ascii="宋体" w:hAnsi="宋体" w:eastAsia="宋体" w:cs="宋体"/>
          <w:color w:val="auto"/>
          <w:sz w:val="30"/>
          <w:highlight w:val="none"/>
        </w:rPr>
        <w:t>日期：   年   月   日</w:t>
      </w:r>
    </w:p>
    <w:bookmarkEnd w:id="39"/>
    <w:p>
      <w:pPr>
        <w:spacing w:line="480" w:lineRule="exact"/>
        <w:ind w:right="532" w:firstLine="619" w:firstLineChars="200"/>
        <w:jc w:val="center"/>
        <w:rPr>
          <w:rFonts w:ascii="宋体" w:hAnsi="宋体" w:eastAsia="宋体" w:cs="宋体"/>
          <w:b/>
          <w:color w:val="auto"/>
          <w:spacing w:val="-6"/>
          <w:sz w:val="32"/>
          <w:szCs w:val="32"/>
          <w:highlight w:val="none"/>
        </w:rPr>
      </w:pPr>
    </w:p>
    <w:p>
      <w:pPr>
        <w:spacing w:line="480" w:lineRule="exact"/>
        <w:ind w:right="532" w:firstLine="619" w:firstLineChars="200"/>
        <w:jc w:val="center"/>
        <w:rPr>
          <w:rFonts w:ascii="宋体" w:hAnsi="宋体" w:eastAsia="宋体" w:cs="宋体"/>
          <w:b/>
          <w:color w:val="auto"/>
          <w:spacing w:val="-6"/>
          <w:sz w:val="32"/>
          <w:szCs w:val="32"/>
          <w:highlight w:val="none"/>
        </w:rPr>
      </w:pPr>
    </w:p>
    <w:p>
      <w:pPr>
        <w:spacing w:line="480" w:lineRule="exact"/>
        <w:ind w:right="532" w:firstLine="619" w:firstLineChars="200"/>
        <w:jc w:val="center"/>
        <w:rPr>
          <w:rFonts w:ascii="宋体" w:hAnsi="宋体" w:eastAsia="宋体" w:cs="宋体"/>
          <w:b/>
          <w:color w:val="auto"/>
          <w:spacing w:val="-6"/>
          <w:sz w:val="32"/>
          <w:szCs w:val="32"/>
          <w:highlight w:val="none"/>
        </w:rPr>
      </w:pPr>
    </w:p>
    <w:p>
      <w:pPr>
        <w:spacing w:line="480" w:lineRule="exact"/>
        <w:ind w:right="532" w:firstLine="619" w:firstLineChars="200"/>
        <w:jc w:val="center"/>
        <w:rPr>
          <w:rFonts w:ascii="宋体" w:hAnsi="宋体" w:eastAsia="宋体" w:cs="宋体"/>
          <w:b/>
          <w:color w:val="auto"/>
          <w:spacing w:val="-6"/>
          <w:sz w:val="32"/>
          <w:szCs w:val="32"/>
          <w:highlight w:val="none"/>
        </w:rPr>
      </w:pPr>
    </w:p>
    <w:p>
      <w:pPr>
        <w:spacing w:line="480" w:lineRule="exact"/>
        <w:ind w:right="532" w:firstLine="619" w:firstLineChars="200"/>
        <w:jc w:val="center"/>
        <w:rPr>
          <w:rFonts w:ascii="宋体" w:hAnsi="宋体" w:eastAsia="宋体" w:cs="宋体"/>
          <w:b/>
          <w:color w:val="auto"/>
          <w:spacing w:val="-6"/>
          <w:sz w:val="32"/>
          <w:szCs w:val="32"/>
          <w:highlight w:val="none"/>
        </w:rPr>
      </w:pPr>
    </w:p>
    <w:p>
      <w:pPr>
        <w:spacing w:line="480" w:lineRule="exact"/>
        <w:ind w:right="532" w:firstLine="619" w:firstLineChars="200"/>
        <w:jc w:val="center"/>
        <w:rPr>
          <w:rFonts w:ascii="宋体" w:hAnsi="宋体" w:eastAsia="宋体" w:cs="宋体"/>
          <w:b/>
          <w:color w:val="auto"/>
          <w:spacing w:val="-6"/>
          <w:sz w:val="32"/>
          <w:szCs w:val="32"/>
          <w:highlight w:val="none"/>
        </w:rPr>
      </w:pPr>
    </w:p>
    <w:p>
      <w:pPr>
        <w:spacing w:line="480" w:lineRule="exact"/>
        <w:ind w:right="532" w:firstLine="619" w:firstLineChars="200"/>
        <w:jc w:val="center"/>
        <w:rPr>
          <w:rFonts w:ascii="宋体" w:hAnsi="宋体" w:eastAsia="宋体" w:cs="宋体"/>
          <w:b/>
          <w:color w:val="auto"/>
          <w:spacing w:val="-6"/>
          <w:sz w:val="32"/>
          <w:szCs w:val="32"/>
          <w:highlight w:val="none"/>
        </w:rPr>
      </w:pPr>
    </w:p>
    <w:p>
      <w:pPr>
        <w:pStyle w:val="12"/>
        <w:rPr>
          <w:rFonts w:ascii="宋体" w:hAnsi="宋体" w:eastAsia="宋体" w:cs="宋体"/>
          <w:b/>
          <w:color w:val="auto"/>
          <w:spacing w:val="-6"/>
          <w:sz w:val="32"/>
          <w:szCs w:val="32"/>
          <w:highlight w:val="none"/>
        </w:rPr>
      </w:pPr>
    </w:p>
    <w:p/>
    <w:p>
      <w:pPr>
        <w:pStyle w:val="13"/>
        <w:ind w:left="0" w:leftChars="0" w:firstLine="0" w:firstLineChars="0"/>
        <w:rPr>
          <w:rFonts w:hint="eastAsia"/>
        </w:rPr>
      </w:pPr>
    </w:p>
    <w:p>
      <w:pPr>
        <w:jc w:val="center"/>
        <w:rPr>
          <w:rFonts w:hint="eastAsia" w:ascii="宋体" w:hAnsi="宋体" w:eastAsia="宋体" w:cs="宋体"/>
          <w:b/>
          <w:spacing w:val="-6"/>
          <w:sz w:val="21"/>
          <w:szCs w:val="21"/>
        </w:rPr>
      </w:pPr>
    </w:p>
    <w:p>
      <w:pPr>
        <w:jc w:val="center"/>
        <w:rPr>
          <w:rFonts w:hint="eastAsia" w:ascii="宋体" w:hAnsi="宋体" w:eastAsia="宋体" w:cs="宋体"/>
          <w:b/>
          <w:spacing w:val="-6"/>
          <w:sz w:val="36"/>
          <w:szCs w:val="36"/>
        </w:rPr>
      </w:pPr>
      <w:r>
        <w:rPr>
          <w:rFonts w:hint="eastAsia" w:ascii="宋体" w:hAnsi="宋体" w:eastAsia="宋体" w:cs="宋体"/>
          <w:b/>
          <w:spacing w:val="-6"/>
          <w:sz w:val="36"/>
          <w:szCs w:val="36"/>
        </w:rPr>
        <w:t>资格文件</w:t>
      </w:r>
    </w:p>
    <w:p>
      <w:pPr>
        <w:jc w:val="center"/>
        <w:rPr>
          <w:rFonts w:ascii="宋体" w:hAnsi="宋体" w:eastAsia="宋体" w:cs="宋体"/>
          <w:b/>
          <w:spacing w:val="-6"/>
          <w:sz w:val="36"/>
          <w:szCs w:val="36"/>
        </w:rPr>
      </w:pPr>
      <w:r>
        <w:rPr>
          <w:rFonts w:hint="eastAsia" w:ascii="宋体" w:hAnsi="宋体" w:eastAsia="宋体" w:cs="宋体"/>
          <w:b/>
          <w:spacing w:val="-6"/>
          <w:sz w:val="36"/>
          <w:szCs w:val="36"/>
        </w:rPr>
        <w:t>目录</w:t>
      </w:r>
    </w:p>
    <w:p>
      <w:pPr>
        <w:keepNext w:val="0"/>
        <w:keepLines w:val="0"/>
        <w:pageBreakBefore w:val="0"/>
        <w:widowControl w:val="0"/>
        <w:kinsoku/>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snapToGrid w:val="0"/>
          <w:color w:val="auto"/>
          <w:spacing w:val="0"/>
          <w:kern w:val="28"/>
          <w:sz w:val="21"/>
          <w:szCs w:val="21"/>
          <w:highlight w:val="none"/>
        </w:rPr>
      </w:pPr>
      <w:r>
        <w:rPr>
          <w:rFonts w:hint="eastAsia" w:ascii="宋体" w:hAnsi="宋体" w:eastAsia="宋体" w:cs="宋体"/>
          <w:bCs/>
          <w:color w:val="auto"/>
          <w:spacing w:val="0"/>
          <w:sz w:val="21"/>
          <w:szCs w:val="21"/>
          <w:highlight w:val="none"/>
        </w:rPr>
        <w:t>1</w:t>
      </w:r>
      <w:r>
        <w:rPr>
          <w:rFonts w:hint="eastAsia" w:ascii="宋体" w:hAnsi="宋体" w:eastAsia="宋体" w:cs="宋体"/>
          <w:snapToGrid w:val="0"/>
          <w:color w:val="auto"/>
          <w:spacing w:val="0"/>
          <w:kern w:val="28"/>
          <w:sz w:val="21"/>
          <w:szCs w:val="21"/>
          <w:highlight w:val="none"/>
        </w:rPr>
        <w:t>）</w:t>
      </w:r>
      <w:r>
        <w:rPr>
          <w:rFonts w:hint="eastAsia" w:ascii="宋体" w:hAnsi="宋体" w:eastAsia="宋体" w:cs="宋体"/>
          <w:bCs/>
          <w:szCs w:val="21"/>
          <w:lang w:val="zh-TW" w:eastAsia="zh-TW"/>
        </w:rPr>
        <w:t>有效的法人或者其他组织的营业执照(或事业法人登记证书或其它工商等登记证明材料)</w:t>
      </w:r>
    </w:p>
    <w:p>
      <w:pPr>
        <w:keepNext w:val="0"/>
        <w:keepLines w:val="0"/>
        <w:pageBreakBefore w:val="0"/>
        <w:widowControl w:val="0"/>
        <w:kinsoku/>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snapToGrid w:val="0"/>
          <w:color w:val="auto"/>
          <w:spacing w:val="0"/>
          <w:kern w:val="28"/>
          <w:sz w:val="21"/>
          <w:szCs w:val="21"/>
          <w:highlight w:val="none"/>
          <w:lang w:val="zh-TW" w:eastAsia="zh-TW"/>
        </w:rPr>
      </w:pPr>
      <w:r>
        <w:rPr>
          <w:rFonts w:hint="eastAsia" w:ascii="宋体" w:hAnsi="宋体" w:eastAsia="宋体" w:cs="宋体"/>
          <w:snapToGrid w:val="0"/>
          <w:color w:val="auto"/>
          <w:spacing w:val="0"/>
          <w:kern w:val="28"/>
          <w:sz w:val="21"/>
          <w:szCs w:val="21"/>
          <w:highlight w:val="none"/>
          <w:lang w:val="en-US" w:eastAsia="zh-CN"/>
        </w:rPr>
        <w:t>2）</w:t>
      </w:r>
      <w:r>
        <w:rPr>
          <w:rFonts w:hint="eastAsia" w:ascii="宋体" w:hAnsi="宋体" w:eastAsia="宋体" w:cs="宋体"/>
          <w:snapToGrid w:val="0"/>
          <w:color w:val="auto"/>
          <w:spacing w:val="0"/>
          <w:kern w:val="28"/>
          <w:sz w:val="21"/>
          <w:szCs w:val="21"/>
          <w:highlight w:val="none"/>
        </w:rPr>
        <w:t>符合参加政府采购活动应当具备的一般条件的承诺函</w:t>
      </w:r>
      <w:r>
        <w:rPr>
          <w:rFonts w:hint="eastAsia" w:ascii="宋体" w:hAnsi="宋体" w:eastAsia="宋体" w:cs="宋体"/>
          <w:snapToGrid w:val="0"/>
          <w:color w:val="auto"/>
          <w:spacing w:val="0"/>
          <w:kern w:val="28"/>
          <w:sz w:val="21"/>
          <w:szCs w:val="21"/>
          <w:highlight w:val="none"/>
          <w:lang w:val="zh-TW" w:eastAsia="zh-TW"/>
        </w:rPr>
        <w:t>；</w:t>
      </w:r>
    </w:p>
    <w:p>
      <w:pPr>
        <w:keepNext w:val="0"/>
        <w:keepLines w:val="0"/>
        <w:pageBreakBefore w:val="0"/>
        <w:widowControl w:val="0"/>
        <w:kinsoku/>
        <w:overflowPunct/>
        <w:topLinePunct w:val="0"/>
        <w:autoSpaceDE/>
        <w:autoSpaceDN/>
        <w:bidi w:val="0"/>
        <w:adjustRightInd/>
        <w:snapToGrid/>
        <w:spacing w:line="360" w:lineRule="auto"/>
        <w:ind w:left="0" w:leftChars="0" w:right="0" w:firstLine="420" w:firstLineChars="200"/>
        <w:jc w:val="left"/>
        <w:textAlignment w:val="auto"/>
        <w:outlineLvl w:val="9"/>
        <w:rPr>
          <w:rFonts w:ascii="宋体" w:hAnsi="宋体" w:eastAsia="宋体" w:cs="宋体"/>
          <w:color w:val="auto"/>
          <w:spacing w:val="0"/>
          <w:sz w:val="21"/>
          <w:highlight w:val="none"/>
        </w:rPr>
      </w:pPr>
      <w:r>
        <w:rPr>
          <w:rFonts w:hint="eastAsia" w:ascii="宋体" w:hAnsi="宋体" w:eastAsia="宋体" w:cs="宋体"/>
          <w:snapToGrid w:val="0"/>
          <w:color w:val="auto"/>
          <w:spacing w:val="0"/>
          <w:kern w:val="28"/>
          <w:sz w:val="21"/>
          <w:szCs w:val="21"/>
          <w:highlight w:val="none"/>
          <w:lang w:val="en-US" w:eastAsia="zh-CN"/>
        </w:rPr>
        <w:t>3</w:t>
      </w:r>
      <w:r>
        <w:rPr>
          <w:rFonts w:hint="eastAsia" w:ascii="宋体" w:hAnsi="宋体" w:eastAsia="宋体" w:cs="宋体"/>
          <w:snapToGrid w:val="0"/>
          <w:color w:val="auto"/>
          <w:spacing w:val="0"/>
          <w:kern w:val="28"/>
          <w:sz w:val="21"/>
          <w:szCs w:val="21"/>
          <w:highlight w:val="none"/>
        </w:rPr>
        <w:t>）</w:t>
      </w:r>
      <w:r>
        <w:rPr>
          <w:rFonts w:ascii="宋体" w:hAnsi="宋体" w:eastAsia="宋体" w:cs="宋体"/>
          <w:color w:val="auto"/>
          <w:spacing w:val="0"/>
          <w:sz w:val="21"/>
          <w:highlight w:val="none"/>
        </w:rPr>
        <w:t>中小企业声明函</w:t>
      </w:r>
      <w:r>
        <w:rPr>
          <w:rFonts w:hint="eastAsia" w:ascii="宋体" w:hAnsi="宋体" w:eastAsia="宋体" w:cs="宋体"/>
          <w:color w:val="auto"/>
          <w:spacing w:val="0"/>
          <w:sz w:val="21"/>
          <w:highlight w:val="none"/>
          <w:lang w:val="en-US" w:eastAsia="zh-CN"/>
        </w:rPr>
        <w:t>/</w:t>
      </w:r>
      <w:r>
        <w:rPr>
          <w:rFonts w:ascii="宋体" w:hAnsi="宋体" w:eastAsia="宋体" w:cs="宋体"/>
          <w:color w:val="auto"/>
          <w:spacing w:val="0"/>
          <w:sz w:val="21"/>
          <w:highlight w:val="none"/>
        </w:rPr>
        <w:t>监狱企业声明函及其相关的充分的证明材料</w:t>
      </w:r>
      <w:r>
        <w:rPr>
          <w:rFonts w:hint="eastAsia" w:ascii="宋体" w:hAnsi="宋体" w:eastAsia="宋体" w:cs="宋体"/>
          <w:color w:val="auto"/>
          <w:spacing w:val="0"/>
          <w:sz w:val="21"/>
          <w:highlight w:val="none"/>
          <w:lang w:val="en-US" w:eastAsia="zh-CN"/>
        </w:rPr>
        <w:t>/</w:t>
      </w:r>
      <w:r>
        <w:rPr>
          <w:rFonts w:ascii="宋体" w:hAnsi="宋体" w:eastAsia="宋体" w:cs="宋体"/>
          <w:color w:val="auto"/>
          <w:spacing w:val="0"/>
          <w:sz w:val="21"/>
          <w:highlight w:val="none"/>
        </w:rPr>
        <w:t>残疾人福利性单位声明函。</w:t>
      </w:r>
    </w:p>
    <w:p>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left"/>
        <w:textAlignment w:val="auto"/>
        <w:outlineLvl w:val="9"/>
        <w:rPr>
          <w:rFonts w:ascii="宋体" w:hAnsi="宋体" w:eastAsia="宋体" w:cs="宋体"/>
          <w:bCs/>
          <w:szCs w:val="21"/>
          <w:lang w:val="zh-TW"/>
        </w:rPr>
      </w:pPr>
      <w:r>
        <w:rPr>
          <w:rFonts w:hint="eastAsia" w:ascii="宋体" w:hAnsi="宋体" w:eastAsia="宋体" w:cs="宋体"/>
          <w:bCs/>
          <w:szCs w:val="21"/>
          <w:lang w:val="en-US" w:eastAsia="zh-CN"/>
        </w:rPr>
        <w:t>4</w:t>
      </w:r>
      <w:r>
        <w:rPr>
          <w:rFonts w:hint="eastAsia" w:ascii="宋体" w:hAnsi="宋体" w:eastAsia="宋体" w:cs="宋体"/>
          <w:bCs/>
          <w:szCs w:val="21"/>
          <w:lang w:val="zh-TW" w:eastAsia="zh-CN"/>
        </w:rPr>
        <w:t>）</w:t>
      </w:r>
      <w:r>
        <w:rPr>
          <w:rFonts w:hint="eastAsia" w:ascii="宋体" w:hAnsi="宋体" w:eastAsia="宋体" w:cs="宋体"/>
          <w:bCs/>
          <w:szCs w:val="21"/>
          <w:lang w:val="zh-TW" w:eastAsia="zh-TW"/>
        </w:rPr>
        <w:t>法定代表人身份证明或法定代表人授权委托书</w:t>
      </w:r>
      <w:r>
        <w:rPr>
          <w:rFonts w:hint="eastAsia" w:ascii="宋体" w:hAnsi="宋体" w:eastAsia="宋体" w:cs="宋体"/>
          <w:bCs/>
          <w:szCs w:val="21"/>
          <w:lang w:val="zh-TW"/>
        </w:rPr>
        <w:t>；</w:t>
      </w:r>
    </w:p>
    <w:p>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left"/>
        <w:textAlignment w:val="auto"/>
        <w:outlineLvl w:val="9"/>
        <w:rPr>
          <w:rFonts w:hint="eastAsia" w:ascii="宋体" w:hAnsi="宋体" w:eastAsia="宋体" w:cs="宋体"/>
          <w:bCs/>
          <w:szCs w:val="21"/>
          <w:lang w:val="zh-CN" w:eastAsia="zh-TW"/>
        </w:rPr>
      </w:pPr>
      <w:r>
        <w:rPr>
          <w:rFonts w:hint="eastAsia" w:ascii="宋体" w:hAnsi="宋体" w:eastAsia="宋体" w:cs="宋体"/>
          <w:bCs/>
          <w:szCs w:val="21"/>
          <w:lang w:val="en-US" w:eastAsia="zh-CN"/>
        </w:rPr>
        <w:t>5</w:t>
      </w:r>
      <w:r>
        <w:rPr>
          <w:rFonts w:hint="eastAsia" w:ascii="宋体" w:hAnsi="宋体" w:eastAsia="宋体" w:cs="宋体"/>
          <w:bCs/>
          <w:szCs w:val="21"/>
          <w:lang w:val="zh-TW" w:eastAsia="zh-CN"/>
        </w:rPr>
        <w:t>）</w:t>
      </w:r>
      <w:r>
        <w:rPr>
          <w:rFonts w:hint="eastAsia" w:ascii="宋体" w:hAnsi="宋体" w:eastAsia="宋体" w:cs="宋体"/>
          <w:bCs/>
          <w:szCs w:val="21"/>
          <w:lang w:val="zh-TW" w:eastAsia="zh-TW"/>
        </w:rPr>
        <w:t>非联合体的声明函</w:t>
      </w:r>
      <w:r>
        <w:rPr>
          <w:rFonts w:hint="eastAsia" w:ascii="宋体" w:hAnsi="宋体" w:eastAsia="宋体" w:cs="宋体"/>
          <w:bCs/>
          <w:szCs w:val="21"/>
          <w:lang w:val="zh-TW" w:eastAsia="zh-CN"/>
        </w:rPr>
        <w:t>；</w:t>
      </w:r>
    </w:p>
    <w:p>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left"/>
        <w:textAlignment w:val="auto"/>
        <w:outlineLvl w:val="9"/>
        <w:rPr>
          <w:rFonts w:hint="eastAsia" w:ascii="宋体" w:hAnsi="宋体" w:eastAsia="宋体" w:cs="宋体"/>
          <w:bCs/>
          <w:szCs w:val="21"/>
          <w:lang w:val="zh-TW" w:eastAsia="zh-TW"/>
        </w:rPr>
      </w:pPr>
      <w:r>
        <w:rPr>
          <w:rFonts w:hint="eastAsia" w:ascii="宋体" w:hAnsi="宋体" w:eastAsia="宋体" w:cs="宋体"/>
          <w:bCs/>
          <w:szCs w:val="21"/>
          <w:lang w:val="en-US" w:eastAsia="zh-CN"/>
        </w:rPr>
        <w:t>6</w:t>
      </w:r>
      <w:r>
        <w:rPr>
          <w:rFonts w:hint="eastAsia" w:ascii="宋体" w:hAnsi="宋体" w:eastAsia="宋体" w:cs="宋体"/>
          <w:bCs/>
          <w:szCs w:val="21"/>
          <w:lang w:val="zh-TW" w:eastAsia="zh-TW"/>
        </w:rPr>
        <w:t>）其他投标人认为需要的相关资料。</w:t>
      </w:r>
    </w:p>
    <w:p>
      <w:pPr>
        <w:keepNext w:val="0"/>
        <w:keepLines w:val="0"/>
        <w:pageBreakBefore w:val="0"/>
        <w:widowControl w:val="0"/>
        <w:kinsoku/>
        <w:overflowPunct/>
        <w:topLinePunct/>
        <w:autoSpaceDE/>
        <w:autoSpaceDN/>
        <w:bidi w:val="0"/>
        <w:adjustRightInd/>
        <w:snapToGrid/>
        <w:spacing w:line="360" w:lineRule="auto"/>
        <w:ind w:right="0" w:firstLine="480" w:firstLineChars="200"/>
        <w:jc w:val="left"/>
        <w:textAlignment w:val="auto"/>
        <w:outlineLvl w:val="9"/>
        <w:rPr>
          <w:rFonts w:ascii="宋体" w:hAnsi="宋体" w:eastAsia="宋体" w:cs="宋体"/>
          <w:sz w:val="24"/>
          <w:lang w:val="zh-CN"/>
        </w:rPr>
      </w:pPr>
    </w:p>
    <w:p>
      <w:pPr>
        <w:keepNext w:val="0"/>
        <w:keepLines w:val="0"/>
        <w:pageBreakBefore w:val="0"/>
        <w:widowControl w:val="0"/>
        <w:kinsoku/>
        <w:overflowPunct/>
        <w:autoSpaceDE/>
        <w:autoSpaceDN/>
        <w:bidi w:val="0"/>
        <w:adjustRightInd/>
        <w:spacing w:line="360" w:lineRule="auto"/>
        <w:ind w:right="0"/>
        <w:jc w:val="left"/>
        <w:textAlignment w:val="auto"/>
        <w:outlineLvl w:val="9"/>
        <w:rPr>
          <w:rFonts w:hint="eastAsia" w:ascii="宋体" w:hAnsi="宋体" w:eastAsia="宋体" w:cs="宋体"/>
          <w:b/>
          <w:color w:val="auto"/>
          <w:spacing w:val="-6"/>
          <w:sz w:val="32"/>
          <w:szCs w:val="32"/>
          <w:highlight w:val="none"/>
        </w:rPr>
      </w:pPr>
    </w:p>
    <w:p>
      <w:pPr>
        <w:spacing w:line="480" w:lineRule="exact"/>
        <w:ind w:right="532"/>
        <w:jc w:val="both"/>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spacing w:line="480" w:lineRule="exact"/>
        <w:ind w:right="532"/>
        <w:jc w:val="center"/>
        <w:rPr>
          <w:rFonts w:hint="eastAsia" w:ascii="宋体" w:hAnsi="宋体" w:eastAsia="宋体" w:cs="宋体"/>
          <w:b/>
          <w:color w:val="auto"/>
          <w:spacing w:val="-6"/>
          <w:sz w:val="32"/>
          <w:szCs w:val="32"/>
          <w:highlight w:val="none"/>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ascii="宋体" w:hAnsi="宋体" w:eastAsia="宋体" w:cs="宋体"/>
          <w:caps w:val="0"/>
          <w:color w:val="auto"/>
          <w:sz w:val="24"/>
          <w:szCs w:val="24"/>
          <w:highlight w:val="none"/>
          <w:lang w:val="zh-CN"/>
        </w:rPr>
      </w:pPr>
    </w:p>
    <w:p>
      <w:pPr>
        <w:pStyle w:val="22"/>
        <w:rPr>
          <w:rFonts w:hint="eastAsia" w:ascii="宋体" w:hAnsi="宋体" w:eastAsia="宋体" w:cs="宋体"/>
          <w:b/>
          <w:bCs/>
          <w:caps w:val="0"/>
          <w:color w:val="auto"/>
          <w:kern w:val="2"/>
          <w:sz w:val="21"/>
          <w:szCs w:val="21"/>
          <w:highlight w:val="none"/>
          <w:lang w:val="zh-CN" w:eastAsia="zh-CN" w:bidi="ar-SA"/>
        </w:rPr>
      </w:pPr>
    </w:p>
    <w:p>
      <w:pPr>
        <w:pStyle w:val="22"/>
        <w:rPr>
          <w:rFonts w:hint="eastAsia" w:ascii="宋体" w:hAnsi="宋体" w:eastAsia="宋体" w:cs="宋体"/>
          <w:b/>
          <w:bCs/>
          <w:caps w:val="0"/>
          <w:color w:val="auto"/>
          <w:kern w:val="2"/>
          <w:sz w:val="21"/>
          <w:szCs w:val="21"/>
          <w:highlight w:val="none"/>
          <w:lang w:val="zh-CN" w:eastAsia="zh-CN" w:bidi="ar-SA"/>
        </w:rPr>
      </w:pPr>
    </w:p>
    <w:p>
      <w:pPr>
        <w:pStyle w:val="22"/>
        <w:spacing w:line="240" w:lineRule="auto"/>
        <w:rPr>
          <w:rFonts w:hint="eastAsia" w:ascii="宋体" w:hAnsi="宋体" w:eastAsia="宋体" w:cs="宋体"/>
          <w:caps w:val="0"/>
          <w:color w:val="auto"/>
          <w:sz w:val="21"/>
          <w:szCs w:val="21"/>
          <w:highlight w:val="none"/>
          <w:lang w:val="zh-CN"/>
        </w:rPr>
      </w:pPr>
      <w:r>
        <w:rPr>
          <w:rFonts w:hint="eastAsia" w:ascii="宋体" w:hAnsi="宋体" w:eastAsia="宋体" w:cs="宋体"/>
          <w:b/>
          <w:bCs/>
          <w:caps w:val="0"/>
          <w:color w:val="auto"/>
          <w:kern w:val="2"/>
          <w:sz w:val="21"/>
          <w:szCs w:val="21"/>
          <w:highlight w:val="none"/>
          <w:lang w:val="zh-CN" w:eastAsia="zh-CN" w:bidi="ar-SA"/>
        </w:rPr>
        <w:t>附件</w:t>
      </w:r>
      <w:r>
        <w:rPr>
          <w:rFonts w:hint="eastAsia" w:ascii="宋体" w:hAnsi="宋体" w:eastAsia="宋体" w:cs="宋体"/>
          <w:b/>
          <w:bCs/>
          <w:caps w:val="0"/>
          <w:color w:val="auto"/>
          <w:kern w:val="2"/>
          <w:sz w:val="21"/>
          <w:szCs w:val="21"/>
          <w:highlight w:val="none"/>
          <w:lang w:val="en-US" w:eastAsia="zh-CN" w:bidi="ar-SA"/>
        </w:rPr>
        <w:t>2</w:t>
      </w:r>
      <w:r>
        <w:rPr>
          <w:rFonts w:hint="eastAsia" w:ascii="宋体" w:hAnsi="宋体" w:eastAsia="宋体" w:cs="宋体"/>
          <w:b/>
          <w:bCs/>
          <w:caps w:val="0"/>
          <w:color w:val="auto"/>
          <w:kern w:val="2"/>
          <w:sz w:val="21"/>
          <w:szCs w:val="21"/>
          <w:highlight w:val="none"/>
          <w:lang w:val="zh-CN" w:eastAsia="zh-CN" w:bidi="ar-SA"/>
        </w:rPr>
        <w:t>：</w:t>
      </w:r>
      <w:r>
        <w:rPr>
          <w:rFonts w:hint="eastAsia" w:ascii="宋体" w:hAnsi="宋体" w:eastAsia="宋体" w:cs="宋体"/>
          <w:b/>
          <w:color w:val="auto"/>
          <w:kern w:val="0"/>
          <w:sz w:val="21"/>
          <w:szCs w:val="21"/>
          <w:highlight w:val="none"/>
        </w:rPr>
        <w:t>符合参加政府采购活动应当具备的一般条件的承诺函</w:t>
      </w:r>
    </w:p>
    <w:p>
      <w:pPr>
        <w:pStyle w:val="22"/>
        <w:spacing w:line="240" w:lineRule="auto"/>
        <w:rPr>
          <w:rFonts w:hint="eastAsia" w:ascii="宋体" w:hAnsi="宋体" w:eastAsia="宋体" w:cs="宋体"/>
          <w:caps w:val="0"/>
          <w:color w:val="auto"/>
          <w:sz w:val="21"/>
          <w:szCs w:val="21"/>
          <w:highlight w:val="none"/>
          <w:lang w:val="zh-CN"/>
        </w:rPr>
      </w:pPr>
    </w:p>
    <w:p>
      <w:pPr>
        <w:snapToGrid w:val="0"/>
        <w:spacing w:line="240" w:lineRule="auto"/>
        <w:ind w:right="48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符合参加政府采购活动应当具备的一般条件的承诺函</w:t>
      </w:r>
    </w:p>
    <w:p>
      <w:pPr>
        <w:snapToGrid w:val="0"/>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项目编号</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政府采购活动，郑重承诺：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snapToGrid/>
        <w:spacing w:line="360" w:lineRule="auto"/>
        <w:ind w:firstLine="4830" w:firstLineChars="23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投标人名称(电子签名)：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aps w:val="0"/>
          <w:color w:val="auto"/>
          <w:kern w:val="2"/>
          <w:sz w:val="24"/>
          <w:szCs w:val="24"/>
          <w:highlight w:val="none"/>
          <w:lang w:val="zh-CN" w:eastAsia="zh-CN" w:bidi="ar-SA"/>
        </w:rPr>
      </w:pPr>
    </w:p>
    <w:p>
      <w:pPr>
        <w:spacing w:line="360" w:lineRule="auto"/>
        <w:jc w:val="left"/>
        <w:rPr>
          <w:rFonts w:hint="eastAsia" w:ascii="宋体" w:hAnsi="宋体" w:eastAsia="宋体" w:cs="宋体"/>
          <w:b/>
          <w:bCs/>
          <w:caps w:val="0"/>
          <w:color w:val="auto"/>
          <w:kern w:val="2"/>
          <w:sz w:val="24"/>
          <w:szCs w:val="24"/>
          <w:highlight w:val="none"/>
          <w:lang w:val="zh-CN" w:eastAsia="zh-CN" w:bidi="ar-SA"/>
        </w:rPr>
      </w:pPr>
    </w:p>
    <w:p>
      <w:pPr>
        <w:spacing w:line="360" w:lineRule="auto"/>
        <w:jc w:val="left"/>
        <w:rPr>
          <w:rFonts w:hint="eastAsia" w:ascii="宋体" w:hAnsi="宋体" w:eastAsia="宋体" w:cs="宋体"/>
          <w:b/>
          <w:bCs/>
          <w:caps w:val="0"/>
          <w:color w:val="auto"/>
          <w:kern w:val="2"/>
          <w:sz w:val="24"/>
          <w:szCs w:val="24"/>
          <w:highlight w:val="none"/>
          <w:lang w:val="zh-CN" w:eastAsia="zh-CN" w:bidi="ar-SA"/>
        </w:rPr>
      </w:pPr>
    </w:p>
    <w:p>
      <w:pPr>
        <w:spacing w:line="360" w:lineRule="auto"/>
        <w:jc w:val="left"/>
        <w:rPr>
          <w:rFonts w:hint="eastAsia" w:ascii="宋体" w:hAnsi="宋体" w:eastAsia="宋体" w:cs="宋体"/>
          <w:b/>
          <w:bCs/>
          <w:caps w:val="0"/>
          <w:color w:val="auto"/>
          <w:kern w:val="2"/>
          <w:sz w:val="24"/>
          <w:szCs w:val="24"/>
          <w:highlight w:val="none"/>
          <w:lang w:val="zh-CN" w:eastAsia="zh-CN" w:bidi="ar-SA"/>
        </w:rPr>
      </w:pPr>
    </w:p>
    <w:p>
      <w:pPr>
        <w:pageBreakBefore w:val="0"/>
        <w:kinsoku/>
        <w:wordWrap/>
        <w:overflowPunct/>
        <w:topLinePunct w:val="0"/>
        <w:autoSpaceDE/>
        <w:autoSpaceDN/>
        <w:bidi w:val="0"/>
        <w:adjustRightInd/>
        <w:snapToGrid w:val="0"/>
        <w:spacing w:line="360" w:lineRule="auto"/>
        <w:ind w:right="0"/>
        <w:textAlignment w:val="auto"/>
        <w:outlineLvl w:val="9"/>
        <w:rPr>
          <w:rFonts w:hint="eastAsia" w:ascii="宋体" w:hAnsi="宋体" w:eastAsia="宋体" w:cs="宋体"/>
          <w:b/>
          <w:bCs/>
          <w:caps w:val="0"/>
          <w:color w:val="auto"/>
          <w:kern w:val="2"/>
          <w:sz w:val="21"/>
          <w:szCs w:val="21"/>
          <w:highlight w:val="none"/>
          <w:lang w:val="zh-CN" w:eastAsia="zh-CN" w:bidi="ar-SA"/>
        </w:rPr>
      </w:pPr>
    </w:p>
    <w:p>
      <w:pPr>
        <w:pageBreakBefore w:val="0"/>
        <w:kinsoku/>
        <w:wordWrap/>
        <w:overflowPunct/>
        <w:topLinePunct w:val="0"/>
        <w:autoSpaceDE/>
        <w:autoSpaceDN/>
        <w:bidi w:val="0"/>
        <w:adjustRightInd/>
        <w:snapToGrid w:val="0"/>
        <w:spacing w:line="360" w:lineRule="auto"/>
        <w:ind w:right="0"/>
        <w:textAlignment w:val="auto"/>
        <w:outlineLvl w:val="9"/>
        <w:rPr>
          <w:rFonts w:hint="eastAsia" w:ascii="宋体" w:hAnsi="宋体" w:eastAsia="宋体" w:cs="宋体"/>
          <w:b/>
          <w:bCs/>
          <w:caps w:val="0"/>
          <w:color w:val="auto"/>
          <w:kern w:val="2"/>
          <w:sz w:val="21"/>
          <w:szCs w:val="21"/>
          <w:highlight w:val="none"/>
          <w:lang w:val="zh-CN" w:eastAsia="zh-CN" w:bidi="ar-SA"/>
        </w:rPr>
      </w:pPr>
    </w:p>
    <w:p>
      <w:pPr>
        <w:pageBreakBefore w:val="0"/>
        <w:kinsoku/>
        <w:wordWrap/>
        <w:overflowPunct/>
        <w:topLinePunct w:val="0"/>
        <w:autoSpaceDE/>
        <w:autoSpaceDN/>
        <w:bidi w:val="0"/>
        <w:adjustRightInd/>
        <w:snapToGrid w:val="0"/>
        <w:spacing w:line="240" w:lineRule="auto"/>
        <w:ind w:right="0"/>
        <w:textAlignment w:val="auto"/>
        <w:outlineLvl w:val="9"/>
        <w:rPr>
          <w:rFonts w:hint="eastAsia" w:ascii="宋体" w:hAnsi="宋体" w:eastAsia="宋体" w:cs="宋体"/>
          <w:b/>
          <w:bCs/>
          <w:caps w:val="0"/>
          <w:color w:val="auto"/>
          <w:kern w:val="2"/>
          <w:sz w:val="21"/>
          <w:szCs w:val="21"/>
          <w:highlight w:val="none"/>
          <w:lang w:val="zh-CN" w:eastAsia="zh-CN" w:bidi="ar-SA"/>
        </w:rPr>
      </w:pPr>
    </w:p>
    <w:p>
      <w:pPr>
        <w:pageBreakBefore w:val="0"/>
        <w:kinsoku/>
        <w:wordWrap/>
        <w:overflowPunct/>
        <w:topLinePunct w:val="0"/>
        <w:autoSpaceDE/>
        <w:autoSpaceDN/>
        <w:bidi w:val="0"/>
        <w:adjustRightInd/>
        <w:snapToGrid w:val="0"/>
        <w:spacing w:line="360" w:lineRule="auto"/>
        <w:ind w:right="0"/>
        <w:textAlignment w:val="auto"/>
        <w:outlineLvl w:val="9"/>
        <w:rPr>
          <w:rFonts w:ascii="宋体" w:hAnsi="宋体" w:eastAsia="宋体" w:cs="宋体"/>
          <w:b/>
          <w:color w:val="auto"/>
          <w:sz w:val="32"/>
          <w:szCs w:val="32"/>
          <w:highlight w:val="none"/>
        </w:rPr>
      </w:pPr>
      <w:r>
        <w:rPr>
          <w:rFonts w:hint="eastAsia" w:ascii="宋体" w:hAnsi="宋体" w:eastAsia="宋体" w:cs="宋体"/>
          <w:b/>
          <w:bCs/>
          <w:caps w:val="0"/>
          <w:color w:val="auto"/>
          <w:kern w:val="2"/>
          <w:sz w:val="21"/>
          <w:szCs w:val="21"/>
          <w:highlight w:val="none"/>
          <w:lang w:val="zh-CN" w:eastAsia="zh-CN" w:bidi="ar-SA"/>
        </w:rPr>
        <w:t>附件</w:t>
      </w:r>
      <w:r>
        <w:rPr>
          <w:rFonts w:hint="eastAsia" w:ascii="宋体" w:hAnsi="宋体" w:eastAsia="宋体" w:cs="宋体"/>
          <w:b/>
          <w:bCs/>
          <w:caps w:val="0"/>
          <w:color w:val="auto"/>
          <w:kern w:val="2"/>
          <w:sz w:val="21"/>
          <w:szCs w:val="21"/>
          <w:highlight w:val="none"/>
          <w:lang w:val="en-US" w:eastAsia="zh-CN" w:bidi="ar-SA"/>
        </w:rPr>
        <w:t>3</w:t>
      </w:r>
      <w:r>
        <w:rPr>
          <w:rFonts w:hint="eastAsia" w:ascii="宋体" w:hAnsi="宋体" w:eastAsia="宋体" w:cs="宋体"/>
          <w:b/>
          <w:bCs/>
          <w:caps w:val="0"/>
          <w:color w:val="auto"/>
          <w:kern w:val="2"/>
          <w:sz w:val="21"/>
          <w:szCs w:val="21"/>
          <w:highlight w:val="none"/>
          <w:lang w:val="zh-CN" w:eastAsia="zh-CN" w:bidi="ar-SA"/>
        </w:rPr>
        <w:t>：</w:t>
      </w:r>
      <w:r>
        <w:rPr>
          <w:rFonts w:hint="eastAsia" w:ascii="宋体" w:hAnsi="宋体" w:eastAsia="宋体" w:cs="宋体"/>
          <w:b/>
          <w:color w:val="auto"/>
          <w:sz w:val="21"/>
          <w:szCs w:val="21"/>
          <w:highlight w:val="none"/>
        </w:rPr>
        <w:t>法定代表人授权委托书</w:t>
      </w:r>
    </w:p>
    <w:p>
      <w:pPr>
        <w:pStyle w:val="22"/>
      </w:pPr>
    </w:p>
    <w:p>
      <w:pPr>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法定代表人授权委托书</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衢州市柯城区府山街道办事处</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浙江三凌建设项目管理有限公司：</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w:t>
      </w:r>
      <w:r>
        <w:rPr>
          <w:rFonts w:hint="eastAsia" w:ascii="宋体" w:hAnsi="宋体" w:eastAsia="宋体" w:cs="宋体"/>
          <w:color w:val="auto"/>
          <w:sz w:val="21"/>
          <w:szCs w:val="21"/>
          <w:highlight w:val="none"/>
        </w:rPr>
        <w:t>的法定代表人，现委托</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身份证号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为我方授权代表，以我方名义参加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该授权代表无转委托权，特此委托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授权代表身份证复印件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授权代表为投标人在职员工的证明文件（投标人为其缴纳的社保记录或劳务合同等）。</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sz w:val="21"/>
          <w:szCs w:val="21"/>
          <w:highlight w:val="none"/>
        </w:rPr>
        <w:t>：（全称加盖公章）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                     授权代表：（签字或盖章）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授权代表身份证复印件粘贴处（正、反面）</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注：如投标文件由授权代表签字或盖章的，投标文件必须附此授权委托书，否则视为无效投标文件。</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b/>
          <w:color w:val="auto"/>
          <w:sz w:val="21"/>
          <w:szCs w:val="21"/>
          <w:highlight w:val="none"/>
        </w:rPr>
      </w:pPr>
    </w:p>
    <w:p>
      <w:pPr>
        <w:bidi w:val="0"/>
        <w:rPr>
          <w:rFonts w:hint="eastAsia" w:ascii="宋体" w:hAnsi="宋体" w:eastAsia="宋体" w:cs="宋体"/>
          <w:b/>
          <w:color w:val="auto"/>
          <w:sz w:val="21"/>
          <w:szCs w:val="21"/>
          <w:highlight w:val="none"/>
        </w:rPr>
      </w:pPr>
    </w:p>
    <w:p>
      <w:pPr>
        <w:bidi w:val="0"/>
        <w:rPr>
          <w:rFonts w:hint="eastAsia" w:ascii="宋体" w:hAnsi="宋体" w:eastAsia="宋体" w:cs="宋体"/>
          <w:b/>
          <w:color w:val="auto"/>
          <w:sz w:val="21"/>
          <w:szCs w:val="21"/>
          <w:highlight w:val="none"/>
        </w:rPr>
      </w:pPr>
    </w:p>
    <w:p>
      <w:pPr>
        <w:bidi w:val="0"/>
        <w:rPr>
          <w:rFonts w:hint="eastAsia" w:ascii="宋体" w:hAnsi="宋体" w:eastAsia="宋体" w:cs="宋体"/>
          <w:b/>
          <w:color w:val="auto"/>
          <w:sz w:val="21"/>
          <w:szCs w:val="21"/>
          <w:highlight w:val="none"/>
        </w:rPr>
      </w:pPr>
    </w:p>
    <w:p>
      <w:pPr>
        <w:pStyle w:val="33"/>
        <w:spacing w:line="240" w:lineRule="auto"/>
        <w:ind w:left="0" w:leftChars="0" w:firstLine="0" w:firstLineChars="0"/>
      </w:pPr>
    </w:p>
    <w:p>
      <w:pPr>
        <w:pStyle w:val="12"/>
        <w:rPr>
          <w:sz w:val="21"/>
          <w:szCs w:val="21"/>
        </w:rPr>
      </w:pPr>
    </w:p>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：法定代表人身份证明</w:t>
      </w:r>
    </w:p>
    <w:p>
      <w:pPr>
        <w:pStyle w:val="16"/>
        <w:snapToGrid w:val="0"/>
        <w:spacing w:line="360" w:lineRule="auto"/>
        <w:ind w:firstLine="422" w:firstLineChars="200"/>
        <w:jc w:val="center"/>
        <w:rPr>
          <w:rFonts w:hint="eastAsia" w:ascii="宋体" w:hAnsi="宋体" w:eastAsia="宋体" w:cs="宋体"/>
          <w:b/>
          <w:color w:val="auto"/>
          <w:sz w:val="21"/>
          <w:szCs w:val="21"/>
          <w:highlight w:val="none"/>
        </w:rPr>
      </w:pPr>
    </w:p>
    <w:p>
      <w:pPr>
        <w:pStyle w:val="16"/>
        <w:keepNext w:val="0"/>
        <w:keepLines w:val="0"/>
        <w:pageBreakBefore w:val="0"/>
        <w:widowControl w:val="0"/>
        <w:kinsoku/>
        <w:wordWrap/>
        <w:overflowPunct/>
        <w:topLinePunct w:val="0"/>
        <w:autoSpaceDE/>
        <w:autoSpaceDN/>
        <w:bidi w:val="0"/>
        <w:snapToGrid/>
        <w:spacing w:line="360" w:lineRule="auto"/>
        <w:ind w:right="0" w:firstLine="422" w:firstLineChars="200"/>
        <w:jc w:val="center"/>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法定代表人身份证明</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   </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w:t>
      </w:r>
    </w:p>
    <w:p>
      <w:pPr>
        <w:keepNext w:val="0"/>
        <w:keepLines w:val="0"/>
        <w:pageBreakBefore w:val="0"/>
        <w:widowControl w:val="0"/>
        <w:kinsoku/>
        <w:wordWrap/>
        <w:overflowPunct/>
        <w:topLinePunct w:val="0"/>
        <w:autoSpaceDE/>
        <w:autoSpaceDN/>
        <w:bidi w:val="0"/>
        <w:adjustRightInd w:val="0"/>
        <w:snapToGrid/>
        <w:spacing w:line="360" w:lineRule="auto"/>
        <w:ind w:right="0" w:firstLine="39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sz w:val="21"/>
          <w:szCs w:val="21"/>
          <w:highlight w:val="none"/>
        </w:rPr>
        <w:t xml:space="preserve">： （全称加盖公章）   </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法定代表人身份证复印件粘贴处（正、反面）</w:t>
            </w:r>
          </w:p>
        </w:tc>
      </w:tr>
    </w:tbl>
    <w:p>
      <w:pPr>
        <w:spacing w:line="360" w:lineRule="auto"/>
        <w:ind w:firstLine="422" w:firstLineChars="200"/>
        <w:jc w:val="center"/>
        <w:rPr>
          <w:rFonts w:hint="eastAsia" w:ascii="宋体" w:hAnsi="宋体" w:eastAsia="宋体" w:cs="宋体"/>
          <w:b/>
          <w:color w:val="auto"/>
          <w:sz w:val="21"/>
          <w:szCs w:val="21"/>
          <w:highlight w:val="none"/>
        </w:rPr>
      </w:pPr>
    </w:p>
    <w:p>
      <w:pPr>
        <w:spacing w:line="360" w:lineRule="auto"/>
        <w:ind w:firstLine="643" w:firstLineChars="200"/>
        <w:jc w:val="center"/>
        <w:rPr>
          <w:rFonts w:ascii="宋体" w:hAnsi="宋体" w:eastAsia="宋体" w:cs="宋体"/>
          <w:b/>
          <w:color w:val="auto"/>
          <w:sz w:val="32"/>
          <w:szCs w:val="32"/>
          <w:highlight w:val="none"/>
        </w:rPr>
      </w:pPr>
    </w:p>
    <w:p>
      <w:pPr>
        <w:spacing w:line="360" w:lineRule="auto"/>
        <w:ind w:firstLine="643" w:firstLineChars="200"/>
        <w:jc w:val="center"/>
        <w:rPr>
          <w:rFonts w:ascii="宋体" w:hAnsi="宋体" w:eastAsia="宋体" w:cs="宋体"/>
          <w:b/>
          <w:color w:val="auto"/>
          <w:sz w:val="32"/>
          <w:szCs w:val="32"/>
          <w:highlight w:val="none"/>
        </w:rPr>
      </w:pPr>
    </w:p>
    <w:p>
      <w:pPr>
        <w:spacing w:line="360" w:lineRule="auto"/>
        <w:ind w:firstLine="643" w:firstLineChars="200"/>
        <w:jc w:val="center"/>
        <w:rPr>
          <w:rFonts w:ascii="宋体" w:hAnsi="宋体" w:eastAsia="宋体" w:cs="宋体"/>
          <w:b/>
          <w:color w:val="auto"/>
          <w:sz w:val="32"/>
          <w:szCs w:val="32"/>
          <w:highlight w:val="none"/>
        </w:rPr>
      </w:pPr>
    </w:p>
    <w:p>
      <w:pPr>
        <w:spacing w:line="360" w:lineRule="auto"/>
        <w:ind w:firstLine="643" w:firstLineChars="200"/>
        <w:jc w:val="center"/>
        <w:rPr>
          <w:rFonts w:ascii="宋体" w:hAnsi="宋体" w:eastAsia="宋体" w:cs="宋体"/>
          <w:b/>
          <w:color w:val="auto"/>
          <w:sz w:val="32"/>
          <w:szCs w:val="32"/>
          <w:highlight w:val="none"/>
        </w:rPr>
      </w:pPr>
    </w:p>
    <w:p>
      <w:pPr>
        <w:adjustRightInd w:val="0"/>
        <w:snapToGrid w:val="0"/>
        <w:spacing w:line="240" w:lineRule="auto"/>
        <w:rPr>
          <w:rFonts w:hint="eastAsia" w:ascii="宋体" w:hAnsi="宋体" w:eastAsia="宋体" w:cs="宋体"/>
          <w:b/>
          <w:color w:val="auto"/>
          <w:sz w:val="21"/>
          <w:szCs w:val="21"/>
          <w:highlight w:val="none"/>
        </w:rPr>
      </w:pPr>
    </w:p>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：中小企业声明函</w:t>
      </w:r>
    </w:p>
    <w:p>
      <w:pPr>
        <w:pStyle w:val="74"/>
        <w:spacing w:after="0" w:line="240" w:lineRule="auto"/>
        <w:ind w:firstLine="422" w:firstLineChars="200"/>
        <w:rPr>
          <w:rFonts w:hint="eastAsia" w:ascii="宋体" w:hAnsi="宋体" w:eastAsia="宋体" w:cs="宋体"/>
          <w:b/>
          <w:color w:val="auto"/>
          <w:sz w:val="21"/>
          <w:szCs w:val="21"/>
          <w:highlight w:val="none"/>
          <w:lang w:val="en-US" w:eastAsia="zh-CN" w:bidi="ar-SA"/>
        </w:rPr>
      </w:pPr>
      <w:bookmarkStart w:id="40" w:name="bookmark33"/>
      <w:bookmarkStart w:id="41" w:name="bookmark34"/>
      <w:bookmarkStart w:id="42" w:name="bookmark32"/>
    </w:p>
    <w:p>
      <w:pPr>
        <w:pStyle w:val="74"/>
        <w:spacing w:after="0" w:line="240" w:lineRule="auto"/>
        <w:ind w:firstLine="422" w:firstLineChars="200"/>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中小企业声明函（服务）</w:t>
      </w:r>
      <w:bookmarkEnd w:id="40"/>
      <w:bookmarkEnd w:id="41"/>
      <w:bookmarkEnd w:id="42"/>
    </w:p>
    <w:p>
      <w:pPr>
        <w:pStyle w:val="57"/>
        <w:keepNext w:val="0"/>
        <w:keepLines w:val="0"/>
        <w:pageBreakBefore w:val="0"/>
        <w:widowControl w:val="0"/>
        <w:kinsoku/>
        <w:wordWrap/>
        <w:overflowPunct/>
        <w:topLinePunct w:val="0"/>
        <w:autoSpaceDE/>
        <w:autoSpaceDN/>
        <w:bidi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pStyle w:val="57"/>
        <w:keepNext w:val="0"/>
        <w:keepLines w:val="0"/>
        <w:pageBreakBefore w:val="0"/>
        <w:widowControl w:val="0"/>
        <w:tabs>
          <w:tab w:val="left" w:pos="1193"/>
          <w:tab w:val="left" w:pos="6974"/>
        </w:tabs>
        <w:kinsoku/>
        <w:wordWrap/>
        <w:overflowPunct/>
        <w:topLinePunct w:val="0"/>
        <w:autoSpaceDE/>
        <w:autoSpaceDN/>
        <w:bidi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bookmarkStart w:id="43" w:name="bookmark35"/>
      <w:bookmarkEnd w:id="43"/>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u w:val="single"/>
        </w:rPr>
        <w:t>中明确的所属行业）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bidi="zh-CN"/>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bidi="en-US"/>
        </w:rPr>
        <w:t>，</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lang w:eastAsia="zh-CN"/>
        </w:rPr>
        <w:t>；</w:t>
      </w:r>
    </w:p>
    <w:p>
      <w:pPr>
        <w:pStyle w:val="57"/>
        <w:keepNext w:val="0"/>
        <w:keepLines w:val="0"/>
        <w:pageBreakBefore w:val="0"/>
        <w:widowControl w:val="0"/>
        <w:kinsoku/>
        <w:wordWrap/>
        <w:overflowPunct/>
        <w:topLinePunct w:val="0"/>
        <w:autoSpaceDE/>
        <w:autoSpaceDN/>
        <w:bidi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bookmarkStart w:id="44" w:name="bookmark36"/>
      <w:bookmarkEnd w:id="44"/>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57"/>
        <w:keepNext w:val="0"/>
        <w:keepLines w:val="0"/>
        <w:pageBreakBefore w:val="0"/>
        <w:widowControl w:val="0"/>
        <w:kinsoku/>
        <w:wordWrap/>
        <w:overflowPunct/>
        <w:topLinePunct w:val="0"/>
        <w:autoSpaceDE/>
        <w:autoSpaceDN/>
        <w:bidi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keepNext w:val="0"/>
        <w:keepLines w:val="0"/>
        <w:pageBreakBefore w:val="0"/>
        <w:widowControl w:val="0"/>
        <w:tabs>
          <w:tab w:val="left" w:pos="4860"/>
        </w:tabs>
        <w:kinsoku/>
        <w:wordWrap/>
        <w:overflowPunct/>
        <w:topLinePunct w:val="0"/>
        <w:autoSpaceDE/>
        <w:autoSpaceDN/>
        <w:bidi w:val="0"/>
        <w:snapToGrid/>
        <w:spacing w:line="360" w:lineRule="auto"/>
        <w:ind w:right="0" w:firstLine="396" w:firstLineChars="200"/>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spacing w:val="5"/>
          <w:sz w:val="21"/>
          <w:szCs w:val="21"/>
          <w:highlight w:val="none"/>
        </w:rPr>
        <w:t>名称（盖章）：</w:t>
      </w:r>
    </w:p>
    <w:p>
      <w:pPr>
        <w:pStyle w:val="75"/>
        <w:keepNext w:val="0"/>
        <w:keepLines w:val="0"/>
        <w:pageBreakBefore w:val="0"/>
        <w:widowControl w:val="0"/>
        <w:kinsoku/>
        <w:wordWrap/>
        <w:overflowPunct/>
        <w:topLinePunct w:val="0"/>
        <w:autoSpaceDE/>
        <w:autoSpaceDN/>
        <w:bidi w:val="0"/>
        <w:snapToGrid/>
        <w:spacing w:line="360" w:lineRule="auto"/>
        <w:ind w:right="0" w:firstLine="44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日   期：</w:t>
      </w:r>
    </w:p>
    <w:p>
      <w:pPr>
        <w:pStyle w:val="57"/>
        <w:keepNext w:val="0"/>
        <w:keepLines w:val="0"/>
        <w:pageBreakBefore w:val="0"/>
        <w:widowControl w:val="0"/>
        <w:kinsoku/>
        <w:wordWrap/>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b/>
          <w:bCs/>
          <w:color w:val="auto"/>
          <w:sz w:val="21"/>
          <w:szCs w:val="21"/>
          <w:highlight w:val="none"/>
          <w:lang w:val="en-US" w:eastAsia="zh-CN"/>
        </w:rPr>
      </w:pPr>
    </w:p>
    <w:p>
      <w:pPr>
        <w:pStyle w:val="57"/>
        <w:keepNext w:val="0"/>
        <w:keepLines w:val="0"/>
        <w:pageBreakBefore w:val="0"/>
        <w:widowControl w:val="0"/>
        <w:kinsoku/>
        <w:wordWrap/>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jc w:val="left"/>
        <w:textAlignment w:val="auto"/>
        <w:rPr>
          <w:rFonts w:hint="eastAsia" w:ascii="宋体" w:hAnsi="宋体" w:eastAsia="宋体" w:cs="宋体"/>
          <w:b/>
          <w:color w:val="auto"/>
          <w:sz w:val="21"/>
          <w:szCs w:val="21"/>
          <w:highlight w:val="none"/>
        </w:rPr>
      </w:pPr>
    </w:p>
    <w:p>
      <w:pPr>
        <w:adjustRightInd w:val="0"/>
        <w:snapToGrid w:val="0"/>
        <w:spacing w:line="360" w:lineRule="auto"/>
        <w:rPr>
          <w:rFonts w:hint="eastAsia" w:ascii="宋体" w:hAnsi="宋体" w:eastAsia="宋体" w:cs="宋体"/>
          <w:b/>
          <w:color w:val="auto"/>
          <w:sz w:val="21"/>
          <w:szCs w:val="21"/>
          <w:highlight w:val="none"/>
        </w:rPr>
      </w:pPr>
    </w:p>
    <w:p>
      <w:pPr>
        <w:adjustRightInd w:val="0"/>
        <w:snapToGrid w:val="0"/>
        <w:spacing w:line="360" w:lineRule="auto"/>
        <w:rPr>
          <w:rFonts w:hint="eastAsia" w:ascii="宋体" w:hAnsi="宋体" w:eastAsia="宋体" w:cs="宋体"/>
          <w:b/>
          <w:color w:val="auto"/>
          <w:sz w:val="21"/>
          <w:szCs w:val="21"/>
          <w:highlight w:val="none"/>
        </w:rPr>
      </w:pPr>
    </w:p>
    <w:p>
      <w:pPr>
        <w:pStyle w:val="4"/>
        <w:numPr>
          <w:ilvl w:val="0"/>
          <w:numId w:val="0"/>
        </w:numPr>
        <w:ind w:left="280" w:lef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adjustRightInd w:val="0"/>
        <w:snapToGrid w:val="0"/>
        <w:spacing w:line="360" w:lineRule="auto"/>
        <w:rPr>
          <w:rFonts w:hint="eastAsia" w:ascii="宋体" w:hAnsi="宋体" w:eastAsia="宋体" w:cs="宋体"/>
          <w:b/>
          <w:color w:val="auto"/>
          <w:sz w:val="21"/>
          <w:szCs w:val="21"/>
          <w:highlight w:val="none"/>
        </w:rPr>
      </w:pPr>
    </w:p>
    <w:p>
      <w:pPr>
        <w:pStyle w:val="12"/>
        <w:rPr>
          <w:rFonts w:hint="eastAsia"/>
          <w:sz w:val="21"/>
          <w:szCs w:val="21"/>
        </w:rPr>
      </w:pPr>
    </w:p>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：残疾人福利性单位声明函</w:t>
      </w:r>
    </w:p>
    <w:p>
      <w:pPr>
        <w:spacing w:line="588" w:lineRule="exact"/>
        <w:ind w:firstLine="442" w:firstLineChars="200"/>
        <w:jc w:val="center"/>
        <w:outlineLvl w:val="0"/>
        <w:rPr>
          <w:rFonts w:hint="eastAsia" w:ascii="宋体" w:hAnsi="宋体" w:eastAsia="宋体" w:cs="宋体"/>
          <w:b/>
          <w:bCs/>
          <w:color w:val="auto"/>
          <w:spacing w:val="5"/>
          <w:sz w:val="21"/>
          <w:szCs w:val="21"/>
          <w:highlight w:val="none"/>
        </w:rPr>
      </w:pPr>
      <w:bookmarkStart w:id="45" w:name="_Toc4964"/>
    </w:p>
    <w:p>
      <w:pPr>
        <w:spacing w:line="588" w:lineRule="exact"/>
        <w:ind w:firstLine="442" w:firstLineChars="200"/>
        <w:jc w:val="center"/>
        <w:outlineLvl w:val="0"/>
        <w:rPr>
          <w:rFonts w:hint="eastAsia" w:ascii="宋体" w:hAnsi="宋体" w:eastAsia="宋体" w:cs="宋体"/>
          <w:b/>
          <w:bCs/>
          <w:color w:val="auto"/>
          <w:spacing w:val="5"/>
          <w:sz w:val="21"/>
          <w:szCs w:val="21"/>
          <w:highlight w:val="none"/>
        </w:rPr>
      </w:pPr>
      <w:r>
        <w:rPr>
          <w:rFonts w:hint="eastAsia" w:ascii="宋体" w:hAnsi="宋体" w:eastAsia="宋体" w:cs="宋体"/>
          <w:b/>
          <w:bCs/>
          <w:color w:val="auto"/>
          <w:spacing w:val="5"/>
          <w:sz w:val="21"/>
          <w:szCs w:val="21"/>
          <w:highlight w:val="none"/>
        </w:rPr>
        <w:t>残疾人福利性单位声明函</w:t>
      </w:r>
      <w:bookmarkEnd w:id="45"/>
    </w:p>
    <w:p>
      <w:pPr>
        <w:keepNext w:val="0"/>
        <w:keepLines w:val="0"/>
        <w:pageBreakBefore w:val="0"/>
        <w:widowControl w:val="0"/>
        <w:kinsoku/>
        <w:wordWrap/>
        <w:overflowPunct/>
        <w:topLinePunct w:val="0"/>
        <w:autoSpaceDE/>
        <w:autoSpaceDN/>
        <w:bidi w:val="0"/>
        <w:snapToGrid/>
        <w:spacing w:line="360" w:lineRule="auto"/>
        <w:ind w:right="0" w:firstLine="420" w:firstLineChars="200"/>
        <w:jc w:val="center"/>
        <w:textAlignment w:val="auto"/>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【不属于残疾人福利性单位，不用提供此函】</w:t>
      </w:r>
    </w:p>
    <w:p>
      <w:pPr>
        <w:keepNext w:val="0"/>
        <w:keepLines w:val="0"/>
        <w:pageBreakBefore w:val="0"/>
        <w:widowControl w:val="0"/>
        <w:kinsoku/>
        <w:wordWrap/>
        <w:overflowPunct/>
        <w:topLinePunct w:val="0"/>
        <w:autoSpaceDE/>
        <w:autoSpaceDN/>
        <w:bidi w:val="0"/>
        <w:snapToGrid/>
        <w:spacing w:line="360" w:lineRule="auto"/>
        <w:ind w:right="0" w:firstLine="440" w:firstLineChars="200"/>
        <w:jc w:val="left"/>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5"/>
          <w:sz w:val="21"/>
          <w:szCs w:val="21"/>
          <w:highlight w:val="none"/>
        </w:rPr>
        <w:t>本单位郑重声明，根据《财政部民政部中国残疾人联合会关于促进残疾人就业政府采购政策的通知》（财库</w:t>
      </w:r>
      <w:r>
        <w:rPr>
          <w:rFonts w:hint="eastAsia" w:ascii="宋体" w:hAnsi="宋体" w:eastAsia="宋体" w:cs="宋体"/>
          <w:bCs/>
          <w:color w:val="auto"/>
          <w:sz w:val="21"/>
          <w:szCs w:val="21"/>
          <w:highlight w:val="none"/>
        </w:rPr>
        <w:t>〔2017〕141</w:t>
      </w:r>
      <w:r>
        <w:rPr>
          <w:rFonts w:hint="eastAsia" w:ascii="宋体" w:hAnsi="宋体" w:eastAsia="宋体" w:cs="宋体"/>
          <w:bCs/>
          <w:color w:val="auto"/>
          <w:spacing w:val="5"/>
          <w:sz w:val="21"/>
          <w:szCs w:val="21"/>
          <w:highlight w:val="none"/>
        </w:rPr>
        <w:t>号）的规定，本单位为符合条件的残疾人福利性单位，且本单位参加</w:t>
      </w:r>
      <w:r>
        <w:rPr>
          <w:rFonts w:hint="eastAsia" w:ascii="宋体" w:hAnsi="宋体" w:eastAsia="宋体" w:cs="宋体"/>
          <w:bCs/>
          <w:color w:val="auto"/>
          <w:spacing w:val="6"/>
          <w:sz w:val="21"/>
          <w:szCs w:val="21"/>
          <w:highlight w:val="none"/>
        </w:rPr>
        <w:t>______</w:t>
      </w:r>
      <w:r>
        <w:rPr>
          <w:rFonts w:hint="eastAsia" w:ascii="宋体" w:hAnsi="宋体" w:eastAsia="宋体" w:cs="宋体"/>
          <w:bCs/>
          <w:color w:val="auto"/>
          <w:spacing w:val="5"/>
          <w:sz w:val="21"/>
          <w:szCs w:val="21"/>
          <w:highlight w:val="none"/>
        </w:rPr>
        <w:t>单位的</w:t>
      </w:r>
      <w:r>
        <w:rPr>
          <w:rFonts w:hint="eastAsia" w:ascii="宋体" w:hAnsi="宋体" w:eastAsia="宋体" w:cs="宋体"/>
          <w:bCs/>
          <w:color w:val="auto"/>
          <w:spacing w:val="6"/>
          <w:sz w:val="21"/>
          <w:szCs w:val="21"/>
          <w:highlight w:val="none"/>
        </w:rPr>
        <w:t>______</w:t>
      </w:r>
      <w:r>
        <w:rPr>
          <w:rFonts w:hint="eastAsia" w:ascii="宋体" w:hAnsi="宋体" w:eastAsia="宋体" w:cs="宋体"/>
          <w:bCs/>
          <w:color w:val="auto"/>
          <w:spacing w:val="5"/>
          <w:sz w:val="21"/>
          <w:szCs w:val="21"/>
          <w:highlight w:val="none"/>
        </w:rPr>
        <w:t>项目采购活动提供本单位制造的货物（由本单位承担工程</w:t>
      </w: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5"/>
          <w:sz w:val="21"/>
          <w:szCs w:val="21"/>
          <w:highlight w:val="none"/>
        </w:rPr>
        <w:t>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snapToGrid/>
        <w:spacing w:line="360" w:lineRule="auto"/>
        <w:ind w:right="0" w:firstLine="440" w:firstLineChars="200"/>
        <w:jc w:val="left"/>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5"/>
          <w:sz w:val="21"/>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snapToGrid/>
        <w:spacing w:line="360" w:lineRule="auto"/>
        <w:ind w:right="0" w:firstLine="396"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spacing w:val="-6"/>
          <w:sz w:val="21"/>
          <w:szCs w:val="21"/>
          <w:highlight w:val="none"/>
        </w:rPr>
        <w:t>名称（盖章）</w:t>
      </w:r>
      <w:r>
        <w:rPr>
          <w:rFonts w:hint="eastAsia" w:ascii="宋体" w:hAnsi="宋体" w:eastAsia="宋体" w:cs="宋体"/>
          <w:color w:val="auto"/>
          <w:spacing w:val="5"/>
          <w:sz w:val="21"/>
          <w:szCs w:val="21"/>
          <w:highlight w:val="none"/>
        </w:rPr>
        <w:t>：</w:t>
      </w:r>
    </w:p>
    <w:p>
      <w:pPr>
        <w:keepNext w:val="0"/>
        <w:keepLines w:val="0"/>
        <w:pageBreakBefore w:val="0"/>
        <w:widowControl w:val="0"/>
        <w:tabs>
          <w:tab w:val="left" w:pos="4860"/>
        </w:tabs>
        <w:kinsoku/>
        <w:wordWrap/>
        <w:overflowPunct/>
        <w:topLinePunct w:val="0"/>
        <w:autoSpaceDE/>
        <w:autoSpaceDN/>
        <w:bidi w:val="0"/>
        <w:snapToGrid/>
        <w:spacing w:line="360" w:lineRule="auto"/>
        <w:ind w:right="0" w:firstLine="440"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rPr>
        <w:t>日   期：</w:t>
      </w:r>
    </w:p>
    <w:p>
      <w:pPr>
        <w:keepNext w:val="0"/>
        <w:keepLines w:val="0"/>
        <w:pageBreakBefore w:val="0"/>
        <w:widowControl w:val="0"/>
        <w:tabs>
          <w:tab w:val="left" w:pos="4860"/>
        </w:tabs>
        <w:kinsoku/>
        <w:wordWrap/>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widowControl w:val="0"/>
        <w:tabs>
          <w:tab w:val="left" w:pos="4860"/>
        </w:tabs>
        <w:kinsoku/>
        <w:wordWrap/>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p>
    <w:p>
      <w:pPr>
        <w:keepNext w:val="0"/>
        <w:keepLines w:val="0"/>
        <w:pageBreakBefore w:val="0"/>
        <w:widowControl w:val="0"/>
        <w:tabs>
          <w:tab w:val="left" w:pos="4860"/>
        </w:tabs>
        <w:kinsoku/>
        <w:wordWrap/>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如中标，将在中标公示中将此残疾人福利性单位声明函予以公示，接受社会监督；</w:t>
      </w:r>
    </w:p>
    <w:p>
      <w:pPr>
        <w:keepNext w:val="0"/>
        <w:keepLines w:val="0"/>
        <w:pageBreakBefore w:val="0"/>
        <w:widowControl w:val="0"/>
        <w:tabs>
          <w:tab w:val="left" w:pos="4860"/>
        </w:tabs>
        <w:kinsoku/>
        <w:wordWrap/>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供应商提供的《残疾人福利性单位声明函》与事实不符的，依照《政府采购法》第七十七条第一款的规定追究法律责任。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pPr>
        <w:adjustRightInd w:val="0"/>
        <w:snapToGrid w:val="0"/>
        <w:spacing w:line="360" w:lineRule="auto"/>
        <w:ind w:firstLine="422" w:firstLineChars="200"/>
        <w:rPr>
          <w:rFonts w:hint="eastAsia" w:ascii="宋体" w:hAnsi="宋体" w:eastAsia="宋体" w:cs="宋体"/>
          <w:b/>
          <w:color w:val="auto"/>
          <w:sz w:val="21"/>
          <w:szCs w:val="21"/>
          <w:highlight w:val="none"/>
        </w:rPr>
      </w:pPr>
    </w:p>
    <w:p>
      <w:pPr>
        <w:adjustRightInd w:val="0"/>
        <w:snapToGrid w:val="0"/>
        <w:spacing w:line="360" w:lineRule="auto"/>
        <w:ind w:firstLine="422" w:firstLineChars="200"/>
        <w:rPr>
          <w:rFonts w:hint="eastAsia" w:ascii="宋体" w:hAnsi="宋体" w:eastAsia="宋体" w:cs="宋体"/>
          <w:b/>
          <w:color w:val="auto"/>
          <w:sz w:val="21"/>
          <w:szCs w:val="21"/>
          <w:highlight w:val="none"/>
        </w:rPr>
      </w:pPr>
    </w:p>
    <w:p>
      <w:pPr>
        <w:adjustRightInd w:val="0"/>
        <w:snapToGrid w:val="0"/>
        <w:spacing w:line="360" w:lineRule="auto"/>
        <w:ind w:firstLine="422" w:firstLineChars="200"/>
        <w:rPr>
          <w:rFonts w:hint="eastAsia" w:ascii="宋体" w:hAnsi="宋体" w:eastAsia="宋体" w:cs="宋体"/>
          <w:b/>
          <w:color w:val="auto"/>
          <w:sz w:val="21"/>
          <w:szCs w:val="21"/>
          <w:highlight w:val="none"/>
        </w:rPr>
      </w:pPr>
    </w:p>
    <w:p>
      <w:pPr>
        <w:adjustRightInd w:val="0"/>
        <w:snapToGrid w:val="0"/>
        <w:spacing w:line="360" w:lineRule="auto"/>
        <w:ind w:firstLine="422" w:firstLineChars="200"/>
        <w:rPr>
          <w:rFonts w:hint="eastAsia" w:ascii="宋体" w:hAnsi="宋体" w:eastAsia="宋体" w:cs="宋体"/>
          <w:b/>
          <w:color w:val="auto"/>
          <w:sz w:val="21"/>
          <w:szCs w:val="21"/>
          <w:highlight w:val="none"/>
        </w:rPr>
      </w:pPr>
    </w:p>
    <w:p>
      <w:pPr>
        <w:adjustRightInd w:val="0"/>
        <w:snapToGrid w:val="0"/>
        <w:spacing w:line="360" w:lineRule="auto"/>
        <w:ind w:firstLine="422" w:firstLineChars="200"/>
        <w:rPr>
          <w:rFonts w:hint="eastAsia" w:ascii="宋体" w:hAnsi="宋体" w:eastAsia="宋体" w:cs="宋体"/>
          <w:b/>
          <w:color w:val="auto"/>
          <w:sz w:val="21"/>
          <w:szCs w:val="21"/>
          <w:highlight w:val="none"/>
        </w:rPr>
      </w:pPr>
    </w:p>
    <w:p>
      <w:pPr>
        <w:adjustRightInd w:val="0"/>
        <w:snapToGrid w:val="0"/>
        <w:spacing w:line="360" w:lineRule="auto"/>
        <w:ind w:firstLine="422" w:firstLineChars="200"/>
        <w:rPr>
          <w:rFonts w:hint="eastAsia" w:ascii="宋体" w:hAnsi="宋体" w:eastAsia="宋体" w:cs="宋体"/>
          <w:b/>
          <w:color w:val="auto"/>
          <w:sz w:val="21"/>
          <w:szCs w:val="21"/>
          <w:highlight w:val="none"/>
        </w:rPr>
      </w:pPr>
    </w:p>
    <w:p>
      <w:pPr>
        <w:adjustRightInd w:val="0"/>
        <w:snapToGrid w:val="0"/>
        <w:spacing w:line="360" w:lineRule="auto"/>
        <w:rPr>
          <w:rFonts w:hint="eastAsia" w:ascii="宋体" w:hAnsi="宋体" w:eastAsia="宋体" w:cs="宋体"/>
          <w:b/>
          <w:color w:val="auto"/>
          <w:sz w:val="21"/>
          <w:szCs w:val="21"/>
          <w:highlight w:val="none"/>
        </w:rPr>
      </w:pPr>
    </w:p>
    <w:p>
      <w:pPr>
        <w:adjustRightInd w:val="0"/>
        <w:snapToGrid w:val="0"/>
        <w:spacing w:line="240" w:lineRule="auto"/>
        <w:rPr>
          <w:rFonts w:hint="eastAsia" w:ascii="宋体" w:hAnsi="宋体" w:eastAsia="宋体" w:cs="宋体"/>
          <w:b/>
          <w:color w:val="auto"/>
          <w:sz w:val="21"/>
          <w:szCs w:val="21"/>
          <w:highlight w:val="none"/>
        </w:rPr>
      </w:pPr>
    </w:p>
    <w:p>
      <w:pPr>
        <w:adjustRightInd w:val="0"/>
        <w:snapToGrid w:val="0"/>
        <w:spacing w:line="240" w:lineRule="auto"/>
        <w:rPr>
          <w:rFonts w:hint="eastAsia" w:ascii="宋体" w:hAnsi="宋体" w:eastAsia="宋体" w:cs="宋体"/>
          <w:b/>
          <w:color w:val="auto"/>
          <w:sz w:val="21"/>
          <w:szCs w:val="21"/>
          <w:highlight w:val="none"/>
        </w:rPr>
      </w:pPr>
    </w:p>
    <w:p>
      <w:pPr>
        <w:adjustRightInd w:val="0"/>
        <w:snapToGri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监狱企业声明函</w:t>
      </w:r>
    </w:p>
    <w:p>
      <w:pPr>
        <w:snapToGrid w:val="0"/>
        <w:ind w:firstLine="422" w:firstLineChars="200"/>
        <w:jc w:val="center"/>
        <w:rPr>
          <w:rStyle w:val="71"/>
          <w:rFonts w:hint="eastAsia" w:ascii="宋体" w:hAnsi="宋体" w:eastAsia="宋体" w:cs="宋体"/>
          <w:color w:val="auto"/>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center"/>
        <w:textAlignment w:val="auto"/>
        <w:rPr>
          <w:rStyle w:val="71"/>
          <w:rFonts w:hint="eastAsia" w:ascii="宋体" w:hAnsi="宋体" w:eastAsia="宋体" w:cs="宋体"/>
          <w:color w:val="auto"/>
          <w:sz w:val="21"/>
          <w:szCs w:val="21"/>
          <w:highlight w:val="none"/>
          <w:lang w:val="zh-CN"/>
        </w:rPr>
      </w:pPr>
      <w:r>
        <w:rPr>
          <w:rStyle w:val="71"/>
          <w:rFonts w:hint="eastAsia" w:ascii="宋体" w:hAnsi="宋体" w:eastAsia="宋体" w:cs="宋体"/>
          <w:color w:val="auto"/>
          <w:sz w:val="21"/>
          <w:szCs w:val="21"/>
          <w:highlight w:val="none"/>
          <w:lang w:val="zh-CN"/>
        </w:rPr>
        <w:t>监狱企业声明函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【不属于监狱企业，不用提供此函】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Style w:val="71"/>
          <w:rFonts w:hint="eastAsia" w:ascii="宋体" w:hAnsi="宋体" w:eastAsia="宋体" w:cs="宋体"/>
          <w:color w:val="auto"/>
          <w:sz w:val="21"/>
          <w:szCs w:val="21"/>
          <w:highlight w:val="none"/>
        </w:rPr>
      </w:pPr>
      <w:r>
        <w:rPr>
          <w:rStyle w:val="71"/>
          <w:rFonts w:hint="eastAsia" w:ascii="宋体" w:hAnsi="宋体" w:eastAsia="宋体" w:cs="宋体"/>
          <w:color w:val="auto"/>
          <w:sz w:val="21"/>
          <w:szCs w:val="21"/>
          <w:highlight w:val="none"/>
        </w:rPr>
        <w:t>本企业郑重声明，根据《关于政府采购支持监狱企业发展有关问题的通知》（财库[2014]68号）的规定，本企业为</w:t>
      </w:r>
      <w:r>
        <w:rPr>
          <w:rStyle w:val="71"/>
          <w:rFonts w:hint="eastAsia" w:ascii="宋体" w:hAnsi="宋体" w:eastAsia="宋体" w:cs="宋体"/>
          <w:color w:val="auto"/>
          <w:sz w:val="21"/>
          <w:szCs w:val="21"/>
          <w:highlight w:val="none"/>
          <w:u w:val="single"/>
        </w:rPr>
        <w:t>监狱企业</w:t>
      </w:r>
      <w:r>
        <w:rPr>
          <w:rStyle w:val="71"/>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Style w:val="71"/>
          <w:rFonts w:hint="eastAsia" w:ascii="宋体" w:hAnsi="宋体" w:eastAsia="宋体" w:cs="宋体"/>
          <w:color w:val="auto"/>
          <w:sz w:val="21"/>
          <w:szCs w:val="21"/>
          <w:highlight w:val="none"/>
        </w:rPr>
      </w:pPr>
      <w:r>
        <w:rPr>
          <w:rStyle w:val="71"/>
          <w:rFonts w:hint="eastAsia" w:ascii="宋体" w:hAnsi="宋体" w:eastAsia="宋体" w:cs="宋体"/>
          <w:color w:val="auto"/>
          <w:sz w:val="21"/>
          <w:szCs w:val="21"/>
          <w:highlight w:val="none"/>
        </w:rPr>
        <w:t>根据上述标准，我企业属于</w:t>
      </w:r>
      <w:r>
        <w:rPr>
          <w:rStyle w:val="71"/>
          <w:rFonts w:hint="eastAsia" w:ascii="宋体" w:hAnsi="宋体" w:eastAsia="宋体" w:cs="宋体"/>
          <w:color w:val="auto"/>
          <w:sz w:val="21"/>
          <w:szCs w:val="21"/>
          <w:highlight w:val="none"/>
          <w:u w:val="single"/>
        </w:rPr>
        <w:t>监狱企业</w:t>
      </w:r>
      <w:r>
        <w:rPr>
          <w:rStyle w:val="71"/>
          <w:rFonts w:hint="eastAsia" w:ascii="宋体" w:hAnsi="宋体" w:eastAsia="宋体" w:cs="宋体"/>
          <w:color w:val="auto"/>
          <w:sz w:val="21"/>
          <w:szCs w:val="21"/>
          <w:highlight w:val="none"/>
        </w:rPr>
        <w:t>的理由为：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Style w:val="71"/>
          <w:rFonts w:hint="eastAsia" w:ascii="宋体" w:hAnsi="宋体" w:eastAsia="宋体" w:cs="宋体"/>
          <w:color w:val="auto"/>
          <w:sz w:val="21"/>
          <w:szCs w:val="21"/>
          <w:highlight w:val="none"/>
        </w:rPr>
      </w:pPr>
      <w:r>
        <w:rPr>
          <w:rStyle w:val="71"/>
          <w:rFonts w:hint="eastAsia" w:ascii="宋体" w:hAnsi="宋体" w:eastAsia="宋体" w:cs="宋体"/>
          <w:color w:val="auto"/>
          <w:sz w:val="21"/>
          <w:szCs w:val="21"/>
          <w:highlight w:val="none"/>
        </w:rPr>
        <w:t>本企业为参加（项目名称：</w:t>
      </w:r>
      <w:r>
        <w:rPr>
          <w:rStyle w:val="71"/>
          <w:rFonts w:hint="eastAsia" w:ascii="宋体" w:hAnsi="宋体" w:eastAsia="宋体" w:cs="宋体"/>
          <w:color w:val="auto"/>
          <w:sz w:val="21"/>
          <w:szCs w:val="21"/>
          <w:highlight w:val="none"/>
          <w:u w:val="single"/>
        </w:rPr>
        <w:t xml:space="preserve">              </w:t>
      </w:r>
      <w:r>
        <w:rPr>
          <w:rStyle w:val="71"/>
          <w:rFonts w:hint="eastAsia" w:ascii="宋体" w:hAnsi="宋体" w:eastAsia="宋体" w:cs="宋体"/>
          <w:color w:val="auto"/>
          <w:sz w:val="21"/>
          <w:szCs w:val="21"/>
          <w:highlight w:val="none"/>
        </w:rPr>
        <w:t>）（项目编号：</w:t>
      </w:r>
      <w:r>
        <w:rPr>
          <w:rStyle w:val="71"/>
          <w:rFonts w:hint="eastAsia" w:ascii="宋体" w:hAnsi="宋体" w:eastAsia="宋体" w:cs="宋体"/>
          <w:color w:val="auto"/>
          <w:sz w:val="21"/>
          <w:szCs w:val="21"/>
          <w:highlight w:val="none"/>
          <w:u w:val="single"/>
        </w:rPr>
        <w:t xml:space="preserve">             </w:t>
      </w:r>
      <w:r>
        <w:rPr>
          <w:rStyle w:val="71"/>
          <w:rFonts w:hint="eastAsia" w:ascii="宋体" w:hAnsi="宋体" w:eastAsia="宋体" w:cs="宋体"/>
          <w:color w:val="auto"/>
          <w:sz w:val="21"/>
          <w:szCs w:val="21"/>
          <w:highlight w:val="none"/>
        </w:rPr>
        <w:t>）采购活动提供本企业的产品。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Style w:val="71"/>
          <w:rFonts w:hint="eastAsia" w:ascii="宋体" w:hAnsi="宋体" w:eastAsia="宋体" w:cs="宋体"/>
          <w:color w:val="auto"/>
          <w:sz w:val="21"/>
          <w:szCs w:val="21"/>
          <w:highlight w:val="none"/>
        </w:rPr>
      </w:pPr>
      <w:r>
        <w:rPr>
          <w:rStyle w:val="71"/>
          <w:rFonts w:hint="eastAsia" w:ascii="宋体" w:hAnsi="宋体" w:eastAsia="宋体" w:cs="宋体"/>
          <w:color w:val="auto"/>
          <w:sz w:val="21"/>
          <w:szCs w:val="21"/>
          <w:highlight w:val="none"/>
        </w:rPr>
        <w:t>本企业对上述声明的真实性负责。如有虚假，将依法承担相应责任。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宋体" w:hAnsi="宋体" w:eastAsia="宋体" w:cs="宋体"/>
          <w:color w:val="auto"/>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9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spacing w:val="-6"/>
          <w:sz w:val="21"/>
          <w:szCs w:val="21"/>
          <w:highlight w:val="none"/>
        </w:rPr>
        <w:t>名称（盖章）</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Style w:val="71"/>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Style w:val="71"/>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Style w:val="71"/>
          <w:rFonts w:hint="eastAsia" w:ascii="宋体" w:hAnsi="宋体" w:eastAsia="宋体" w:cs="宋体"/>
          <w:color w:val="auto"/>
          <w:sz w:val="21"/>
          <w:szCs w:val="21"/>
          <w:highlight w:val="none"/>
        </w:rPr>
      </w:pPr>
      <w:r>
        <w:rPr>
          <w:rStyle w:val="71"/>
          <w:rFonts w:hint="eastAsia" w:ascii="宋体" w:hAnsi="宋体" w:eastAsia="宋体" w:cs="宋体"/>
          <w:color w:val="auto"/>
          <w:sz w:val="21"/>
          <w:szCs w:val="21"/>
          <w:highlight w:val="none"/>
        </w:rPr>
        <w:t>备注说明：</w:t>
      </w:r>
      <w:r>
        <w:rPr>
          <w:rFonts w:hint="eastAsia" w:ascii="宋体" w:hAnsi="宋体" w:eastAsia="宋体" w:cs="宋体"/>
          <w:b/>
          <w:color w:val="auto"/>
          <w:kern w:val="0"/>
          <w:sz w:val="21"/>
          <w:szCs w:val="21"/>
          <w:highlight w:val="none"/>
          <w:lang w:val="zh-CN"/>
        </w:rPr>
        <w:t>供应商</w:t>
      </w:r>
      <w:r>
        <w:rPr>
          <w:rStyle w:val="71"/>
          <w:rFonts w:hint="eastAsia" w:ascii="宋体" w:hAnsi="宋体" w:eastAsia="宋体" w:cs="宋体"/>
          <w:color w:val="auto"/>
          <w:sz w:val="21"/>
          <w:szCs w:val="21"/>
          <w:highlight w:val="none"/>
        </w:rPr>
        <w:t>为监狱企业的提供此函。</w:t>
      </w:r>
    </w:p>
    <w:p>
      <w:pPr>
        <w:pStyle w:val="33"/>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Style w:val="71"/>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rPr>
          <w:rFonts w:hAnsi="宋体" w:cs="宋体"/>
          <w:b/>
          <w:color w:val="auto"/>
          <w:sz w:val="24"/>
          <w:szCs w:val="24"/>
          <w:highlight w:val="none"/>
        </w:rPr>
      </w:pPr>
    </w:p>
    <w:p>
      <w:pPr>
        <w:pStyle w:val="33"/>
        <w:rPr>
          <w:rFonts w:hAnsi="宋体" w:cs="宋体"/>
          <w:b/>
          <w:color w:val="auto"/>
          <w:sz w:val="24"/>
          <w:szCs w:val="24"/>
          <w:highlight w:val="none"/>
        </w:rPr>
      </w:pPr>
    </w:p>
    <w:p>
      <w:pPr>
        <w:pStyle w:val="12"/>
        <w:rPr>
          <w:rFonts w:hAnsi="宋体" w:cs="宋体"/>
          <w:b/>
          <w:color w:val="auto"/>
          <w:sz w:val="24"/>
          <w:szCs w:val="24"/>
          <w:highlight w:val="none"/>
        </w:rPr>
      </w:pPr>
    </w:p>
    <w:p>
      <w:pPr>
        <w:pStyle w:val="13"/>
        <w:rPr>
          <w:rFonts w:hAnsi="宋体" w:cs="宋体"/>
          <w:b/>
          <w:color w:val="auto"/>
          <w:sz w:val="24"/>
          <w:szCs w:val="24"/>
          <w:highlight w:val="none"/>
        </w:rPr>
      </w:pPr>
    </w:p>
    <w:p>
      <w:pPr>
        <w:adjustRightInd w:val="0"/>
        <w:snapToGrid w:val="0"/>
        <w:spacing w:line="240" w:lineRule="auto"/>
        <w:rPr>
          <w:rFonts w:hint="eastAsia" w:ascii="宋体" w:hAnsi="宋体" w:eastAsia="宋体" w:cs="宋体"/>
          <w:b/>
          <w:color w:val="auto"/>
          <w:sz w:val="21"/>
          <w:szCs w:val="21"/>
          <w:highlight w:val="none"/>
          <w:lang w:val="en-US" w:eastAsia="zh-CN"/>
        </w:rPr>
      </w:pPr>
    </w:p>
    <w:p>
      <w:pPr>
        <w:adjustRightInd w:val="0"/>
        <w:snapToGrid w:val="0"/>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附件8：非联合体的声明函</w:t>
      </w:r>
    </w:p>
    <w:p>
      <w:pPr>
        <w:pStyle w:val="16"/>
        <w:snapToGrid w:val="0"/>
        <w:spacing w:line="360" w:lineRule="auto"/>
        <w:ind w:firstLine="422" w:firstLineChars="200"/>
        <w:jc w:val="center"/>
        <w:rPr>
          <w:rFonts w:hAnsi="宋体" w:cs="宋体"/>
          <w:b/>
          <w:color w:val="auto"/>
          <w:sz w:val="21"/>
          <w:szCs w:val="21"/>
          <w:highlight w:val="none"/>
        </w:rPr>
      </w:pPr>
    </w:p>
    <w:p>
      <w:pPr>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非联合体的声明函</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（采购人）：</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独立参加</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 xml:space="preserve">政府采购活动，未与其他单位组成联合体。 </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本公司对上述声明的真实性负责。如有虚假，将依法承担相应责任。 </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特此声明！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ascii="宋体" w:hAnsi="宋体" w:eastAsia="宋体" w:cs="宋体"/>
          <w:color w:val="auto"/>
          <w:kern w:val="0"/>
          <w:sz w:val="21"/>
          <w:szCs w:val="21"/>
          <w:highlight w:val="none"/>
          <w:u w:val="single"/>
          <w:lang w:val="zh-CN"/>
        </w:rPr>
      </w:pPr>
      <w:r>
        <w:rPr>
          <w:rFonts w:hint="eastAsia" w:ascii="宋体" w:hAnsi="宋体" w:eastAsia="宋体" w:cs="宋体"/>
          <w:bCs w:val="0"/>
          <w:color w:val="auto"/>
          <w:kern w:val="0"/>
          <w:sz w:val="21"/>
          <w:szCs w:val="21"/>
          <w:highlight w:val="none"/>
          <w:lang w:val="zh-CN"/>
        </w:rPr>
        <w:t>投标人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（全称加盖公章）      </w:t>
      </w:r>
      <w:r>
        <w:rPr>
          <w:rFonts w:hint="eastAsia" w:ascii="宋体" w:hAnsi="宋体" w:eastAsia="宋体" w:cs="宋体"/>
          <w:color w:val="auto"/>
          <w:kern w:val="0"/>
          <w:sz w:val="21"/>
          <w:szCs w:val="21"/>
          <w:highlight w:val="none"/>
          <w:u w:val="single"/>
          <w:lang w:val="zh-CN"/>
        </w:rPr>
        <w:t xml:space="preserve"> </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eastAsia="宋体" w:cs="宋体"/>
          <w:b/>
          <w:color w:val="auto"/>
          <w:sz w:val="24"/>
          <w:szCs w:val="24"/>
          <w:highlight w:val="none"/>
        </w:rPr>
      </w:pPr>
    </w:p>
    <w:p>
      <w:pPr>
        <w:adjustRightInd w:val="0"/>
        <w:snapToGrid w:val="0"/>
        <w:spacing w:line="360" w:lineRule="auto"/>
        <w:ind w:firstLine="482" w:firstLineChars="200"/>
        <w:rPr>
          <w:rFonts w:ascii="宋体" w:hAnsi="宋体" w:eastAsia="宋体" w:cs="宋体"/>
          <w:b/>
          <w:color w:val="auto"/>
          <w:sz w:val="24"/>
          <w:szCs w:val="24"/>
          <w:highlight w:val="none"/>
        </w:rPr>
      </w:pPr>
    </w:p>
    <w:p>
      <w:pPr>
        <w:rPr>
          <w:rFonts w:hAnsi="宋体" w:cs="宋体"/>
          <w:b/>
          <w:color w:val="auto"/>
          <w:sz w:val="24"/>
          <w:szCs w:val="24"/>
          <w:highlight w:val="none"/>
        </w:rPr>
      </w:pPr>
    </w:p>
    <w:p>
      <w:pPr>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pStyle w:val="16"/>
        <w:snapToGrid w:val="0"/>
        <w:spacing w:line="360" w:lineRule="auto"/>
        <w:ind w:firstLine="482" w:firstLineChars="200"/>
        <w:outlineLvl w:val="1"/>
        <w:rPr>
          <w:rFonts w:hAnsi="宋体" w:cs="宋体"/>
          <w:b/>
          <w:color w:val="auto"/>
          <w:sz w:val="24"/>
          <w:szCs w:val="24"/>
          <w:highlight w:val="none"/>
        </w:rPr>
      </w:pPr>
    </w:p>
    <w:p>
      <w:pPr>
        <w:rPr>
          <w:rFonts w:hAnsi="宋体" w:cs="宋体"/>
          <w:b/>
          <w:color w:val="auto"/>
          <w:sz w:val="24"/>
          <w:szCs w:val="24"/>
          <w:highlight w:val="none"/>
        </w:rPr>
      </w:pPr>
    </w:p>
    <w:p>
      <w:pPr>
        <w:rPr>
          <w:rFonts w:hAnsi="宋体" w:cs="宋体"/>
          <w:b/>
          <w:color w:val="auto"/>
          <w:sz w:val="24"/>
          <w:szCs w:val="24"/>
          <w:highlight w:val="none"/>
        </w:rPr>
      </w:pPr>
    </w:p>
    <w:p>
      <w:pPr>
        <w:pStyle w:val="33"/>
        <w:rPr>
          <w:rFonts w:hAnsi="宋体" w:cs="宋体"/>
          <w:b/>
          <w:color w:val="auto"/>
          <w:sz w:val="24"/>
          <w:szCs w:val="24"/>
          <w:highlight w:val="none"/>
        </w:rPr>
      </w:pPr>
    </w:p>
    <w:p>
      <w:pPr>
        <w:pStyle w:val="12"/>
        <w:rPr>
          <w:rFonts w:hAnsi="宋体" w:cs="宋体"/>
          <w:b/>
          <w:color w:val="auto"/>
          <w:sz w:val="24"/>
          <w:szCs w:val="24"/>
          <w:highlight w:val="none"/>
        </w:rPr>
      </w:pPr>
    </w:p>
    <w:p>
      <w:pPr>
        <w:pStyle w:val="13"/>
        <w:rPr>
          <w:rFonts w:hAnsi="宋体" w:cs="宋体"/>
          <w:b/>
          <w:color w:val="auto"/>
          <w:sz w:val="24"/>
          <w:szCs w:val="24"/>
          <w:highlight w:val="none"/>
        </w:rPr>
      </w:pPr>
    </w:p>
    <w:p>
      <w:pPr>
        <w:pStyle w:val="27"/>
        <w:rPr>
          <w:rFonts w:hAnsi="宋体" w:cs="宋体"/>
          <w:b/>
          <w:color w:val="auto"/>
          <w:sz w:val="24"/>
          <w:szCs w:val="24"/>
          <w:highlight w:val="none"/>
        </w:rPr>
      </w:pPr>
    </w:p>
    <w:p>
      <w:pPr>
        <w:rPr>
          <w:rFonts w:hAnsi="宋体" w:cs="宋体"/>
          <w:b/>
          <w:color w:val="auto"/>
          <w:sz w:val="24"/>
          <w:szCs w:val="24"/>
          <w:highlight w:val="none"/>
        </w:rPr>
      </w:pPr>
    </w:p>
    <w:p>
      <w:pPr>
        <w:pStyle w:val="33"/>
        <w:rPr>
          <w:rFonts w:hAnsi="宋体" w:cs="宋体"/>
          <w:b/>
          <w:color w:val="auto"/>
          <w:sz w:val="24"/>
          <w:szCs w:val="24"/>
          <w:highlight w:val="none"/>
        </w:rPr>
      </w:pPr>
    </w:p>
    <w:p>
      <w:pPr>
        <w:pStyle w:val="12"/>
        <w:rPr>
          <w:rFonts w:hAnsi="宋体" w:cs="宋体"/>
          <w:b/>
          <w:color w:val="auto"/>
          <w:sz w:val="24"/>
          <w:szCs w:val="24"/>
          <w:highlight w:val="none"/>
        </w:rPr>
      </w:pPr>
    </w:p>
    <w:p>
      <w:pPr>
        <w:pStyle w:val="13"/>
        <w:rPr>
          <w:rFonts w:hAnsi="宋体" w:cs="宋体"/>
          <w:b/>
          <w:color w:val="auto"/>
          <w:sz w:val="24"/>
          <w:szCs w:val="24"/>
          <w:highlight w:val="none"/>
        </w:rPr>
      </w:pPr>
    </w:p>
    <w:p>
      <w:pPr>
        <w:pStyle w:val="27"/>
        <w:rPr>
          <w:rFonts w:hAnsi="宋体" w:cs="宋体"/>
          <w:b/>
          <w:color w:val="auto"/>
          <w:sz w:val="24"/>
          <w:szCs w:val="24"/>
          <w:highlight w:val="none"/>
        </w:rPr>
      </w:pPr>
    </w:p>
    <w:p>
      <w:pPr>
        <w:rPr>
          <w:rFonts w:hAnsi="宋体" w:cs="宋体"/>
          <w:b/>
          <w:color w:val="auto"/>
          <w:sz w:val="24"/>
          <w:szCs w:val="24"/>
          <w:highlight w:val="none"/>
        </w:rPr>
      </w:pPr>
    </w:p>
    <w:p>
      <w:pPr>
        <w:pStyle w:val="33"/>
        <w:rPr>
          <w:rFonts w:hAnsi="宋体" w:cs="宋体"/>
          <w:b/>
          <w:color w:val="auto"/>
          <w:sz w:val="24"/>
          <w:szCs w:val="24"/>
          <w:highlight w:val="none"/>
        </w:rPr>
      </w:pPr>
    </w:p>
    <w:p>
      <w:pPr>
        <w:pStyle w:val="12"/>
        <w:rPr>
          <w:rFonts w:hAnsi="宋体" w:cs="宋体"/>
          <w:b/>
          <w:color w:val="auto"/>
          <w:sz w:val="24"/>
          <w:szCs w:val="24"/>
          <w:highlight w:val="none"/>
        </w:rPr>
      </w:pPr>
    </w:p>
    <w:p>
      <w:pPr>
        <w:pStyle w:val="13"/>
        <w:rPr>
          <w:rFonts w:hAnsi="宋体" w:cs="宋体"/>
          <w:b/>
          <w:color w:val="auto"/>
          <w:sz w:val="24"/>
          <w:szCs w:val="24"/>
          <w:highlight w:val="none"/>
        </w:rPr>
      </w:pPr>
    </w:p>
    <w:p>
      <w:pPr>
        <w:pStyle w:val="27"/>
        <w:rPr>
          <w:rFonts w:hAnsi="宋体" w:cs="宋体"/>
          <w:b/>
          <w:color w:val="auto"/>
          <w:sz w:val="24"/>
          <w:szCs w:val="24"/>
          <w:highlight w:val="none"/>
        </w:rPr>
      </w:pPr>
    </w:p>
    <w:p>
      <w:pPr>
        <w:rPr>
          <w:rFonts w:hAnsi="宋体" w:cs="宋体"/>
          <w:b/>
          <w:color w:val="auto"/>
          <w:sz w:val="24"/>
          <w:szCs w:val="24"/>
          <w:highlight w:val="none"/>
        </w:rPr>
      </w:pPr>
    </w:p>
    <w:p>
      <w:pPr>
        <w:pStyle w:val="33"/>
        <w:rPr>
          <w:rFonts w:hAnsi="宋体" w:cs="宋体"/>
          <w:b/>
          <w:color w:val="auto"/>
          <w:sz w:val="24"/>
          <w:szCs w:val="24"/>
          <w:highlight w:val="none"/>
        </w:rPr>
      </w:pPr>
    </w:p>
    <w:p>
      <w:pPr>
        <w:pStyle w:val="12"/>
      </w:pPr>
    </w:p>
    <w:p>
      <w:pPr>
        <w:pStyle w:val="27"/>
        <w:ind w:left="0" w:leftChars="0" w:firstLine="0" w:firstLineChars="0"/>
        <w:rPr>
          <w:rFonts w:hint="eastAsia"/>
        </w:rPr>
      </w:pPr>
    </w:p>
    <w:p>
      <w:pPr>
        <w:pStyle w:val="16"/>
        <w:snapToGrid w:val="0"/>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：投标函</w:t>
      </w:r>
    </w:p>
    <w:p>
      <w:pPr>
        <w:pStyle w:val="16"/>
        <w:snapToGrid w:val="0"/>
        <w:spacing w:line="360" w:lineRule="auto"/>
        <w:ind w:firstLine="422" w:firstLineChars="200"/>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投标函</w:t>
      </w:r>
    </w:p>
    <w:p>
      <w:pPr>
        <w:pStyle w:val="98"/>
        <w:keepNext w:val="0"/>
        <w:keepLines w:val="0"/>
        <w:pageBreakBefore w:val="0"/>
        <w:kinsoku/>
        <w:wordWrap/>
        <w:overflowPunct/>
        <w:topLinePunct w:val="0"/>
        <w:autoSpaceDE/>
        <w:autoSpaceDN/>
        <w:bidi w:val="0"/>
        <w:adjustRightInd/>
        <w:snapToGrid/>
        <w:spacing w:after="0" w:afterLines="0" w:line="312"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bookmarkStart w:id="46" w:name="_Toc4141"/>
      <w:bookmarkStart w:id="47" w:name="_Toc8841"/>
      <w:bookmarkStart w:id="48" w:name="_Toc522530058"/>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p>
    <w:p>
      <w:pPr>
        <w:pStyle w:val="98"/>
        <w:keepNext w:val="0"/>
        <w:keepLines w:val="0"/>
        <w:pageBreakBefore w:val="0"/>
        <w:kinsoku/>
        <w:wordWrap/>
        <w:overflowPunct/>
        <w:topLinePunct w:val="0"/>
        <w:autoSpaceDE/>
        <w:autoSpaceDN/>
        <w:bidi w:val="0"/>
        <w:adjustRightInd/>
        <w:snapToGrid/>
        <w:spacing w:after="0" w:afterLines="0"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根据贵方招标文件（</w:t>
      </w:r>
      <w:r>
        <w:rPr>
          <w:rFonts w:hint="eastAsia" w:ascii="宋体" w:hAnsi="宋体" w:eastAsia="宋体" w:cs="宋体"/>
          <w:b/>
          <w:color w:val="auto"/>
          <w:sz w:val="21"/>
          <w:szCs w:val="21"/>
          <w:highlight w:val="none"/>
          <w:u w:val="single"/>
        </w:rPr>
        <w:t>填写</w:t>
      </w:r>
      <w:r>
        <w:rPr>
          <w:rFonts w:hint="eastAsia" w:ascii="宋体" w:hAnsi="宋体" w:eastAsia="宋体" w:cs="宋体"/>
          <w:b/>
          <w:color w:val="auto"/>
          <w:sz w:val="21"/>
          <w:szCs w:val="21"/>
          <w:highlight w:val="none"/>
          <w:u w:val="single"/>
          <w:lang w:eastAsia="zh-CN"/>
        </w:rPr>
        <w:t>项目编号</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）的要求，正式授权</w:t>
      </w:r>
      <w:r>
        <w:rPr>
          <w:rFonts w:hint="eastAsia" w:ascii="宋体" w:hAnsi="宋体" w:eastAsia="宋体" w:cs="宋体"/>
          <w:b/>
          <w:color w:val="auto"/>
          <w:sz w:val="21"/>
          <w:szCs w:val="21"/>
          <w:highlight w:val="none"/>
          <w:u w:val="single"/>
        </w:rPr>
        <w:t>（全权代表姓名    、单位    、职务   ）</w:t>
      </w:r>
      <w:r>
        <w:rPr>
          <w:rFonts w:hint="eastAsia" w:ascii="宋体" w:hAnsi="宋体" w:eastAsia="宋体" w:cs="宋体"/>
          <w:color w:val="auto"/>
          <w:sz w:val="21"/>
          <w:szCs w:val="21"/>
          <w:highlight w:val="none"/>
        </w:rPr>
        <w:t>代表投标人</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 xml:space="preserve">填写单位    、地址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提交投标文件。</w:t>
      </w:r>
    </w:p>
    <w:p>
      <w:pPr>
        <w:pStyle w:val="98"/>
        <w:keepNext w:val="0"/>
        <w:keepLines w:val="0"/>
        <w:pageBreakBefore w:val="0"/>
        <w:kinsoku/>
        <w:wordWrap/>
        <w:overflowPunct/>
        <w:topLinePunct w:val="0"/>
        <w:autoSpaceDE/>
        <w:autoSpaceDN/>
        <w:bidi w:val="0"/>
        <w:adjustRightInd/>
        <w:snapToGrid/>
        <w:spacing w:after="0" w:afterLines="0"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我方已完全明白招标文件的所有条款要求，兹声明同意如下：</w:t>
      </w:r>
    </w:p>
    <w:p>
      <w:pPr>
        <w:pStyle w:val="6"/>
        <w:keepNext w:val="0"/>
        <w:keepLines w:val="0"/>
        <w:pageBreakBefore w:val="0"/>
        <w:numPr>
          <w:ilvl w:val="0"/>
          <w:numId w:val="0"/>
        </w:numPr>
        <w:kinsoku/>
        <w:wordWrap/>
        <w:overflowPunct/>
        <w:topLinePunct w:val="0"/>
        <w:autoSpaceDE/>
        <w:autoSpaceDN/>
        <w:bidi w:val="0"/>
        <w:adjustRightInd/>
        <w:snapToGrid/>
        <w:spacing w:line="312"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我方同意在投标人</w:t>
      </w:r>
      <w:r>
        <w:rPr>
          <w:rFonts w:hint="eastAsia" w:ascii="宋体" w:hAnsi="宋体" w:eastAsia="宋体" w:cs="宋体"/>
          <w:color w:val="auto"/>
          <w:kern w:val="44"/>
          <w:sz w:val="21"/>
          <w:szCs w:val="21"/>
          <w:highlight w:val="none"/>
        </w:rPr>
        <w:t>须知</w:t>
      </w:r>
      <w:r>
        <w:rPr>
          <w:rFonts w:hint="eastAsia" w:ascii="宋体" w:hAnsi="宋体" w:eastAsia="宋体" w:cs="宋体"/>
          <w:color w:val="auto"/>
          <w:sz w:val="21"/>
          <w:szCs w:val="21"/>
          <w:highlight w:val="none"/>
        </w:rPr>
        <w:t>规定的开标日期起遵守本投标文件中的承诺且在投标有效期满之前均具</w:t>
      </w:r>
    </w:p>
    <w:p>
      <w:pPr>
        <w:pStyle w:val="6"/>
        <w:keepNext w:val="0"/>
        <w:keepLines w:val="0"/>
        <w:pageBreakBefore w:val="0"/>
        <w:numPr>
          <w:ilvl w:val="0"/>
          <w:numId w:val="0"/>
        </w:numPr>
        <w:kinsoku/>
        <w:wordWrap/>
        <w:overflowPunct/>
        <w:topLinePunct w:val="0"/>
        <w:autoSpaceDE/>
        <w:autoSpaceDN/>
        <w:bidi w:val="0"/>
        <w:adjustRightInd/>
        <w:snapToGrid/>
        <w:spacing w:line="312"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有约束力。</w:t>
      </w:r>
    </w:p>
    <w:p>
      <w:pPr>
        <w:pStyle w:val="98"/>
        <w:keepNext w:val="0"/>
        <w:keepLines w:val="0"/>
        <w:pageBreakBefore w:val="0"/>
        <w:kinsoku/>
        <w:wordWrap/>
        <w:overflowPunct/>
        <w:topLinePunct w:val="0"/>
        <w:autoSpaceDE/>
        <w:autoSpaceDN/>
        <w:bidi w:val="0"/>
        <w:adjustRightInd/>
        <w:snapToGrid/>
        <w:spacing w:after="0" w:afterLines="0"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2.我方承诺已经具备《中华人民共和国政府采购法》中规定的参加政府采购活动的供应商应当具备的条件。</w:t>
      </w:r>
    </w:p>
    <w:p>
      <w:pPr>
        <w:pStyle w:val="98"/>
        <w:keepNext w:val="0"/>
        <w:keepLines w:val="0"/>
        <w:pageBreakBefore w:val="0"/>
        <w:kinsoku/>
        <w:wordWrap/>
        <w:overflowPunct/>
        <w:topLinePunct w:val="0"/>
        <w:autoSpaceDE/>
        <w:autoSpaceDN/>
        <w:bidi w:val="0"/>
        <w:adjustRightInd/>
        <w:snapToGrid/>
        <w:spacing w:after="0" w:afterLines="0"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3.本公司投标文件中填列的技术参数、服务、配置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数量等相关内容都是真实、准确的。保证在本次项目中所提供的资料全部真实和合法。同意向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提供可能另外要求的与投标有关的任何数据或资料。</w:t>
      </w:r>
    </w:p>
    <w:p>
      <w:pPr>
        <w:pStyle w:val="98"/>
        <w:keepNext w:val="0"/>
        <w:keepLines w:val="0"/>
        <w:pageBreakBefore w:val="0"/>
        <w:kinsoku/>
        <w:wordWrap/>
        <w:overflowPunct/>
        <w:topLinePunct w:val="0"/>
        <w:autoSpaceDE/>
        <w:autoSpaceDN/>
        <w:bidi w:val="0"/>
        <w:adjustRightInd/>
        <w:snapToGrid/>
        <w:spacing w:after="0" w:afterLines="0"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4.我方理解贵方将不受你们所收到的最低报价的约束。</w:t>
      </w:r>
    </w:p>
    <w:p>
      <w:pPr>
        <w:pStyle w:val="6"/>
        <w:keepNext w:val="0"/>
        <w:keepLines w:val="0"/>
        <w:pageBreakBefore w:val="0"/>
        <w:numPr>
          <w:ilvl w:val="0"/>
          <w:numId w:val="0"/>
        </w:numPr>
        <w:kinsoku/>
        <w:wordWrap/>
        <w:overflowPunct/>
        <w:topLinePunct w:val="0"/>
        <w:autoSpaceDE/>
        <w:autoSpaceDN/>
        <w:bidi w:val="0"/>
        <w:adjustRightInd/>
        <w:snapToGrid/>
        <w:spacing w:line="312"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5.本投标自开标之日（投标截止之日）起90天内有效。</w:t>
      </w:r>
    </w:p>
    <w:p>
      <w:pPr>
        <w:pStyle w:val="98"/>
        <w:keepNext w:val="0"/>
        <w:keepLines w:val="0"/>
        <w:pageBreakBefore w:val="0"/>
        <w:kinsoku/>
        <w:wordWrap/>
        <w:overflowPunct/>
        <w:topLinePunct w:val="0"/>
        <w:autoSpaceDE/>
        <w:autoSpaceDN/>
        <w:bidi w:val="0"/>
        <w:adjustRightInd/>
        <w:snapToGrid/>
        <w:spacing w:after="0" w:afterLines="0"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napToGrid/>
        <w:spacing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rPr>
        <w:t>供虚假材料谋取中标、成交的；</w:t>
      </w:r>
    </w:p>
    <w:p>
      <w:pPr>
        <w:keepNext w:val="0"/>
        <w:keepLines w:val="0"/>
        <w:pageBreakBefore w:val="0"/>
        <w:kinsoku/>
        <w:wordWrap/>
        <w:overflowPunct/>
        <w:topLinePunct w:val="0"/>
        <w:autoSpaceDE/>
        <w:autoSpaceDN/>
        <w:bidi w:val="0"/>
        <w:adjustRightInd/>
        <w:snapToGrid/>
        <w:spacing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采取不正当手段诋毁、排挤其他供应商的；</w:t>
      </w:r>
    </w:p>
    <w:p>
      <w:pPr>
        <w:keepNext w:val="0"/>
        <w:keepLines w:val="0"/>
        <w:pageBreakBefore w:val="0"/>
        <w:kinsoku/>
        <w:wordWrap/>
        <w:overflowPunct/>
        <w:topLinePunct w:val="0"/>
        <w:autoSpaceDE/>
        <w:autoSpaceDN/>
        <w:bidi w:val="0"/>
        <w:adjustRightInd/>
        <w:snapToGrid/>
        <w:spacing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w:t>
      </w:r>
      <w:r>
        <w:rPr>
          <w:rFonts w:hint="eastAsia" w:ascii="宋体" w:hAnsi="宋体" w:eastAsia="宋体" w:cs="宋体"/>
          <w:color w:val="auto"/>
          <w:sz w:val="21"/>
          <w:szCs w:val="21"/>
          <w:highlight w:val="none"/>
        </w:rPr>
        <w:t>与采购人、其它供应商或者采购代理机构恶意串通的；</w:t>
      </w:r>
    </w:p>
    <w:p>
      <w:pPr>
        <w:keepNext w:val="0"/>
        <w:keepLines w:val="0"/>
        <w:pageBreakBefore w:val="0"/>
        <w:kinsoku/>
        <w:wordWrap/>
        <w:overflowPunct/>
        <w:topLinePunct w:val="0"/>
        <w:autoSpaceDE/>
        <w:autoSpaceDN/>
        <w:bidi w:val="0"/>
        <w:adjustRightInd/>
        <w:snapToGrid/>
        <w:spacing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向采购人、采购代理机构行贿或者提供其他不正当利益的；</w:t>
      </w:r>
    </w:p>
    <w:p>
      <w:pPr>
        <w:keepNext w:val="0"/>
        <w:keepLines w:val="0"/>
        <w:pageBreakBefore w:val="0"/>
        <w:kinsoku/>
        <w:wordWrap/>
        <w:overflowPunct/>
        <w:topLinePunct w:val="0"/>
        <w:autoSpaceDE/>
        <w:autoSpaceDN/>
        <w:bidi w:val="0"/>
        <w:adjustRightInd/>
        <w:snapToGrid/>
        <w:spacing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在招标采购过程中与采购人进行协商谈判的；</w:t>
      </w:r>
    </w:p>
    <w:p>
      <w:pPr>
        <w:keepNext w:val="0"/>
        <w:keepLines w:val="0"/>
        <w:pageBreakBefore w:val="0"/>
        <w:kinsoku/>
        <w:wordWrap/>
        <w:overflowPunct/>
        <w:topLinePunct w:val="0"/>
        <w:autoSpaceDE/>
        <w:autoSpaceDN/>
        <w:bidi w:val="0"/>
        <w:adjustRightInd/>
        <w:snapToGrid/>
        <w:spacing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w:t>
      </w:r>
      <w:r>
        <w:rPr>
          <w:rFonts w:hint="eastAsia" w:ascii="宋体" w:hAnsi="宋体" w:eastAsia="宋体" w:cs="宋体"/>
          <w:color w:val="auto"/>
          <w:sz w:val="21"/>
          <w:szCs w:val="21"/>
          <w:highlight w:val="none"/>
        </w:rPr>
        <w:t>拒绝有关部门监督检查或提供虚假情况的。</w:t>
      </w:r>
    </w:p>
    <w:p>
      <w:pPr>
        <w:keepNext w:val="0"/>
        <w:keepLines w:val="0"/>
        <w:pageBreakBefore w:val="0"/>
        <w:kinsoku/>
        <w:wordWrap/>
        <w:overflowPunct/>
        <w:topLinePunct w:val="0"/>
        <w:autoSpaceDE/>
        <w:autoSpaceDN/>
        <w:bidi w:val="0"/>
        <w:adjustRightInd/>
        <w:snapToGrid/>
        <w:spacing w:line="312"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供应商有前款第</w:t>
      </w: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6.6</w:t>
      </w:r>
      <w:r>
        <w:rPr>
          <w:rFonts w:hint="eastAsia" w:ascii="宋体" w:hAnsi="宋体" w:eastAsia="宋体" w:cs="宋体"/>
          <w:color w:val="auto"/>
          <w:sz w:val="21"/>
          <w:szCs w:val="21"/>
          <w:highlight w:val="none"/>
        </w:rPr>
        <w:t>项情形之一的，中标、成交无效。</w:t>
      </w:r>
    </w:p>
    <w:p>
      <w:pPr>
        <w:pStyle w:val="98"/>
        <w:keepNext w:val="0"/>
        <w:keepLines w:val="0"/>
        <w:pageBreakBefore w:val="0"/>
        <w:kinsoku/>
        <w:wordWrap/>
        <w:overflowPunct/>
        <w:topLinePunct w:val="0"/>
        <w:autoSpaceDE/>
        <w:autoSpaceDN/>
        <w:bidi w:val="0"/>
        <w:adjustRightInd/>
        <w:snapToGrid/>
        <w:spacing w:after="0" w:afterLines="0" w:line="312"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邮政编码：</w:t>
      </w:r>
    </w:p>
    <w:p>
      <w:pPr>
        <w:pStyle w:val="98"/>
        <w:keepNext w:val="0"/>
        <w:keepLines w:val="0"/>
        <w:pageBreakBefore w:val="0"/>
        <w:kinsoku/>
        <w:wordWrap/>
        <w:overflowPunct/>
        <w:topLinePunct w:val="0"/>
        <w:autoSpaceDE/>
        <w:autoSpaceDN/>
        <w:bidi w:val="0"/>
        <w:adjustRightInd/>
        <w:snapToGrid/>
        <w:spacing w:after="0" w:afterLines="0" w:line="312"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传真：</w:t>
      </w:r>
    </w:p>
    <w:p>
      <w:pPr>
        <w:pStyle w:val="98"/>
        <w:keepNext w:val="0"/>
        <w:keepLines w:val="0"/>
        <w:pageBreakBefore w:val="0"/>
        <w:kinsoku/>
        <w:wordWrap/>
        <w:overflowPunct/>
        <w:topLinePunct w:val="0"/>
        <w:autoSpaceDE/>
        <w:autoSpaceDN/>
        <w:bidi w:val="0"/>
        <w:adjustRightInd/>
        <w:snapToGrid/>
        <w:spacing w:after="0" w:afterLines="0" w:line="312"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帐号：</w:t>
      </w:r>
    </w:p>
    <w:p>
      <w:pPr>
        <w:keepNext w:val="0"/>
        <w:keepLines w:val="0"/>
        <w:pageBreakBefore w:val="0"/>
        <w:kinsoku/>
        <w:wordWrap/>
        <w:overflowPunct/>
        <w:topLinePunct w:val="0"/>
        <w:autoSpaceDE/>
        <w:autoSpaceDN/>
        <w:bidi w:val="0"/>
        <w:adjustRightInd w:val="0"/>
        <w:snapToGrid/>
        <w:spacing w:line="312" w:lineRule="auto"/>
        <w:ind w:left="0" w:firstLine="420" w:firstLineChars="200"/>
        <w:jc w:val="left"/>
        <w:textAlignment w:val="auto"/>
        <w:rPr>
          <w:rFonts w:ascii="宋体" w:hAnsi="宋体" w:eastAsia="宋体" w:cs="宋体"/>
          <w:kern w:val="0"/>
          <w:szCs w:val="21"/>
          <w:lang w:val="zh-TW" w:eastAsia="zh-TW"/>
        </w:rPr>
      </w:pPr>
      <w:r>
        <w:rPr>
          <w:rFonts w:hint="eastAsia" w:ascii="宋体" w:hAnsi="宋体" w:eastAsia="宋体" w:cs="宋体"/>
          <w:kern w:val="0"/>
          <w:szCs w:val="21"/>
          <w:lang w:val="zh-CN"/>
        </w:rPr>
        <w:t>投标人</w:t>
      </w:r>
      <w:r>
        <w:rPr>
          <w:rFonts w:hint="eastAsia" w:ascii="宋体" w:hAnsi="宋体" w:eastAsia="宋体" w:cs="宋体"/>
          <w:szCs w:val="21"/>
        </w:rPr>
        <w:t>：</w:t>
      </w:r>
      <w:r>
        <w:rPr>
          <w:rFonts w:hint="eastAsia" w:ascii="宋体" w:hAnsi="宋体" w:eastAsia="宋体" w:cs="宋体"/>
          <w:szCs w:val="21"/>
          <w:u w:val="single"/>
        </w:rPr>
        <w:t>（全称加盖公章）</w:t>
      </w:r>
    </w:p>
    <w:p>
      <w:pPr>
        <w:keepNext w:val="0"/>
        <w:keepLines w:val="0"/>
        <w:pageBreakBefore w:val="0"/>
        <w:kinsoku/>
        <w:wordWrap/>
        <w:overflowPunct/>
        <w:topLinePunct w:val="0"/>
        <w:autoSpaceDE/>
        <w:autoSpaceDN/>
        <w:bidi w:val="0"/>
        <w:adjustRightInd w:val="0"/>
        <w:snapToGrid/>
        <w:spacing w:line="312" w:lineRule="auto"/>
        <w:ind w:left="0" w:firstLine="420" w:firstLineChars="200"/>
        <w:jc w:val="left"/>
        <w:textAlignment w:val="auto"/>
        <w:rPr>
          <w:rFonts w:ascii="宋体" w:hAnsi="宋体" w:eastAsia="宋体" w:cs="宋体"/>
          <w:kern w:val="0"/>
          <w:szCs w:val="21"/>
        </w:rPr>
      </w:pPr>
      <w:r>
        <w:rPr>
          <w:rFonts w:hint="eastAsia" w:ascii="宋体" w:hAnsi="宋体" w:eastAsia="宋体" w:cs="宋体"/>
          <w:kern w:val="0"/>
          <w:szCs w:val="21"/>
          <w:lang w:val="zh-TW" w:eastAsia="zh-TW"/>
        </w:rPr>
        <w:t>法定代表人（或</w:t>
      </w:r>
      <w:r>
        <w:rPr>
          <w:rFonts w:hint="eastAsia" w:ascii="宋体" w:hAnsi="宋体" w:eastAsia="宋体" w:cs="宋体"/>
          <w:szCs w:val="21"/>
        </w:rPr>
        <w:t>授权代表</w:t>
      </w:r>
      <w:r>
        <w:rPr>
          <w:rFonts w:hint="eastAsia" w:ascii="宋体" w:hAnsi="宋体" w:eastAsia="宋体" w:cs="宋体"/>
          <w:kern w:val="0"/>
          <w:szCs w:val="21"/>
          <w:lang w:val="zh-TW" w:eastAsia="zh-TW"/>
        </w:rPr>
        <w:t>）</w:t>
      </w:r>
      <w:r>
        <w:rPr>
          <w:rFonts w:hint="eastAsia" w:ascii="宋体" w:hAnsi="宋体" w:eastAsia="宋体" w:cs="宋体"/>
          <w:kern w:val="0"/>
          <w:szCs w:val="21"/>
          <w:lang w:val="zh-CN"/>
        </w:rPr>
        <w:t>：</w:t>
      </w:r>
      <w:r>
        <w:rPr>
          <w:rFonts w:hint="eastAsia" w:ascii="宋体" w:hAnsi="宋体" w:eastAsia="宋体" w:cs="宋体"/>
          <w:kern w:val="0"/>
          <w:szCs w:val="21"/>
          <w:u w:val="single"/>
          <w:lang w:val="zh-CN"/>
        </w:rPr>
        <w:t xml:space="preserve">（签字或盖章） </w:t>
      </w:r>
    </w:p>
    <w:p>
      <w:pPr>
        <w:keepNext w:val="0"/>
        <w:keepLines w:val="0"/>
        <w:pageBreakBefore w:val="0"/>
        <w:kinsoku/>
        <w:wordWrap/>
        <w:overflowPunct/>
        <w:topLinePunct w:val="0"/>
        <w:autoSpaceDE/>
        <w:autoSpaceDN/>
        <w:bidi w:val="0"/>
        <w:adjustRightInd w:val="0"/>
        <w:snapToGrid/>
        <w:spacing w:line="312" w:lineRule="auto"/>
        <w:ind w:left="0" w:firstLine="420" w:firstLineChars="200"/>
        <w:jc w:val="left"/>
        <w:textAlignment w:val="auto"/>
        <w:rPr>
          <w:rFonts w:ascii="宋体" w:hAnsi="宋体" w:eastAsia="宋体" w:cs="宋体"/>
          <w:kern w:val="0"/>
          <w:szCs w:val="21"/>
          <w:lang w:val="zh-CN"/>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月</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日</w:t>
      </w:r>
    </w:p>
    <w:p>
      <w:pPr>
        <w:keepNext w:val="0"/>
        <w:keepLines w:val="0"/>
        <w:pageBreakBefore w:val="0"/>
        <w:kinsoku/>
        <w:wordWrap/>
        <w:overflowPunct/>
        <w:topLinePunct w:val="0"/>
        <w:autoSpaceDE/>
        <w:autoSpaceDN/>
        <w:bidi w:val="0"/>
        <w:adjustRightInd w:val="0"/>
        <w:snapToGrid/>
        <w:spacing w:line="360" w:lineRule="auto"/>
        <w:ind w:left="0" w:firstLine="482" w:firstLineChars="200"/>
        <w:jc w:val="left"/>
        <w:textAlignment w:val="auto"/>
        <w:rPr>
          <w:rFonts w:hint="eastAsia" w:ascii="宋体" w:hAnsi="宋体" w:eastAsia="宋体" w:cs="宋体"/>
          <w:b/>
          <w:color w:val="auto"/>
          <w:sz w:val="24"/>
          <w:szCs w:val="24"/>
          <w:highlight w:val="none"/>
        </w:rPr>
      </w:pPr>
    </w:p>
    <w:p>
      <w:pPr>
        <w:adjustRightInd w:val="0"/>
        <w:snapToGrid w:val="0"/>
        <w:spacing w:line="240" w:lineRule="auto"/>
        <w:jc w:val="left"/>
        <w:rPr>
          <w:rFonts w:hint="eastAsia" w:ascii="宋体" w:hAnsi="宋体" w:eastAsia="宋体" w:cs="宋体"/>
          <w:b/>
          <w:color w:val="auto"/>
          <w:sz w:val="21"/>
          <w:szCs w:val="21"/>
          <w:highlight w:val="none"/>
        </w:rPr>
      </w:pPr>
    </w:p>
    <w:p>
      <w:pPr>
        <w:adjustRightInd w:val="0"/>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：开标一览表</w:t>
      </w:r>
      <w:bookmarkEnd w:id="46"/>
      <w:bookmarkEnd w:id="47"/>
      <w:bookmarkEnd w:id="48"/>
    </w:p>
    <w:p>
      <w:pPr>
        <w:pStyle w:val="3"/>
        <w:numPr>
          <w:ilvl w:val="0"/>
          <w:numId w:val="0"/>
        </w:numPr>
        <w:tabs>
          <w:tab w:val="left" w:pos="706"/>
          <w:tab w:val="clear" w:pos="1080"/>
        </w:tabs>
        <w:spacing w:before="0" w:after="0"/>
        <w:ind w:firstLine="422" w:firstLineChars="200"/>
        <w:jc w:val="center"/>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开标一览表</w:t>
      </w:r>
    </w:p>
    <w:p>
      <w:pPr>
        <w:keepNext w:val="0"/>
        <w:keepLines w:val="0"/>
        <w:pageBreakBefore w:val="0"/>
        <w:kinsoku/>
        <w:overflowPunct/>
        <w:topLinePunct w:val="0"/>
        <w:autoSpaceDE/>
        <w:autoSpaceDN/>
        <w:bidi w:val="0"/>
        <w:adjustRightInd w:val="0"/>
        <w:snapToGrid/>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衢州市柯城区府山街道办事处</w:t>
      </w:r>
      <w:r>
        <w:rPr>
          <w:rFonts w:hint="eastAsia" w:ascii="宋体" w:hAnsi="宋体" w:eastAsia="宋体" w:cs="宋体"/>
          <w:color w:val="auto"/>
          <w:sz w:val="21"/>
          <w:szCs w:val="21"/>
          <w:highlight w:val="none"/>
        </w:rPr>
        <w:t>：</w:t>
      </w:r>
    </w:p>
    <w:p>
      <w:pPr>
        <w:keepNext w:val="0"/>
        <w:keepLines w:val="0"/>
        <w:pageBreakBefore w:val="0"/>
        <w:kinsoku/>
        <w:overflowPunct/>
        <w:topLinePunct w:val="0"/>
        <w:autoSpaceDE/>
        <w:autoSpaceDN/>
        <w:bidi w:val="0"/>
        <w:adjustRightInd w:val="0"/>
        <w:snapToGrid/>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浙江三凌建设项目管理有限公司：</w:t>
      </w:r>
    </w:p>
    <w:p>
      <w:pPr>
        <w:keepNext w:val="0"/>
        <w:keepLines w:val="0"/>
        <w:pageBreakBefore w:val="0"/>
        <w:kinsoku/>
        <w:overflowPunct/>
        <w:topLinePunct w:val="0"/>
        <w:autoSpaceDE/>
        <w:autoSpaceDN/>
        <w:bidi w:val="0"/>
        <w:snapToGrid/>
        <w:spacing w:line="360" w:lineRule="auto"/>
        <w:ind w:right="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按贵方招标文件要求，如你方接受本投标文件，我方承诺按照如下开标一览表的价格完成</w:t>
      </w:r>
      <w:r>
        <w:rPr>
          <w:rFonts w:hint="eastAsia" w:ascii="宋体" w:hAnsi="宋体" w:eastAsia="宋体" w:cs="宋体"/>
          <w:color w:val="auto"/>
          <w:kern w:val="0"/>
          <w:sz w:val="21"/>
          <w:szCs w:val="21"/>
          <w:highlight w:val="none"/>
          <w:u w:val="single"/>
          <w:lang w:val="zh-CN"/>
        </w:rPr>
        <w:t>衢州市柯城区府山街道污水零直排管网监测服务采购</w:t>
      </w:r>
      <w:r>
        <w:rPr>
          <w:rFonts w:hint="eastAsia" w:ascii="宋体" w:hAnsi="宋体" w:eastAsia="宋体" w:cs="宋体"/>
          <w:color w:val="auto"/>
          <w:sz w:val="21"/>
          <w:szCs w:val="21"/>
          <w:highlight w:val="none"/>
          <w:u w:val="single"/>
        </w:rPr>
        <w:t>（项目编号：   ）</w:t>
      </w:r>
      <w:r>
        <w:rPr>
          <w:rFonts w:hint="eastAsia" w:ascii="宋体" w:hAnsi="宋体" w:eastAsia="宋体" w:cs="宋体"/>
          <w:color w:val="auto"/>
          <w:kern w:val="0"/>
          <w:sz w:val="21"/>
          <w:szCs w:val="21"/>
          <w:highlight w:val="none"/>
          <w:lang w:val="zh-CN"/>
        </w:rPr>
        <w:t>的实施。</w:t>
      </w:r>
    </w:p>
    <w:p>
      <w:pPr>
        <w:keepNext w:val="0"/>
        <w:keepLines w:val="0"/>
        <w:pageBreakBefore w:val="0"/>
        <w:kinsoku/>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货币单位：（人民币：元）</w:t>
      </w:r>
    </w:p>
    <w:tbl>
      <w:tblPr>
        <w:tblStyle w:val="34"/>
        <w:tblW w:w="9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0"/>
        <w:gridCol w:w="2055"/>
        <w:gridCol w:w="2877"/>
        <w:gridCol w:w="21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4245" w:type="dxa"/>
            <w:gridSpan w:val="2"/>
            <w:tcBorders>
              <w:top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firstLine="422" w:firstLineChars="200"/>
              <w:jc w:val="left"/>
              <w:textAlignment w:val="auto"/>
              <w:rPr>
                <w:rFonts w:ascii="宋体" w:hAnsi="宋体" w:eastAsia="宋体" w:cs="宋体"/>
                <w:b/>
                <w:bCs/>
                <w:szCs w:val="21"/>
              </w:rPr>
            </w:pPr>
            <w:r>
              <w:rPr>
                <w:rFonts w:hint="eastAsia" w:ascii="宋体" w:hAnsi="宋体" w:eastAsia="宋体" w:cs="宋体"/>
                <w:b/>
                <w:bCs/>
                <w:szCs w:val="21"/>
              </w:rPr>
              <w:t>项目名称</w:t>
            </w:r>
          </w:p>
        </w:tc>
        <w:tc>
          <w:tcPr>
            <w:tcW w:w="2877" w:type="dxa"/>
            <w:tcBorders>
              <w:top w:val="single" w:color="auto" w:sz="4" w:space="0"/>
              <w:left w:val="single" w:color="auto" w:sz="4" w:space="0"/>
              <w:bottom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firstLine="422" w:firstLineChars="200"/>
              <w:jc w:val="left"/>
              <w:textAlignment w:val="auto"/>
              <w:rPr>
                <w:rFonts w:ascii="宋体" w:hAnsi="宋体" w:eastAsia="宋体" w:cs="宋体"/>
                <w:b/>
                <w:bCs/>
                <w:szCs w:val="21"/>
              </w:rPr>
            </w:pPr>
            <w:r>
              <w:rPr>
                <w:rFonts w:hint="eastAsia" w:ascii="宋体" w:hAnsi="宋体" w:eastAsia="宋体" w:cs="宋体"/>
                <w:b/>
                <w:bCs/>
                <w:szCs w:val="21"/>
              </w:rPr>
              <w:t>投标报价（元）</w:t>
            </w:r>
          </w:p>
        </w:tc>
        <w:tc>
          <w:tcPr>
            <w:tcW w:w="2101" w:type="dxa"/>
            <w:tcBorders>
              <w:top w:val="single" w:color="auto" w:sz="4" w:space="0"/>
              <w:left w:val="single" w:color="auto" w:sz="4" w:space="0"/>
              <w:bottom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jc w:val="left"/>
              <w:textAlignment w:val="auto"/>
              <w:rPr>
                <w:rFonts w:ascii="宋体" w:hAnsi="宋体" w:eastAsia="宋体" w:cs="宋体"/>
                <w:b/>
                <w:bCs/>
                <w:szCs w:val="21"/>
              </w:rPr>
            </w:pPr>
            <w:r>
              <w:rPr>
                <w:rFonts w:hint="eastAsia" w:ascii="宋体" w:hAnsi="宋体" w:eastAsia="宋体" w:cs="宋体"/>
                <w:b/>
                <w:bCs/>
                <w:szCs w:val="21"/>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4245" w:type="dxa"/>
            <w:gridSpan w:val="2"/>
            <w:tcBorders>
              <w:top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firstLine="420" w:firstLineChars="200"/>
              <w:jc w:val="left"/>
              <w:textAlignment w:val="auto"/>
              <w:rPr>
                <w:rFonts w:ascii="宋体" w:hAnsi="宋体" w:eastAsia="宋体" w:cs="宋体"/>
                <w:szCs w:val="21"/>
              </w:rPr>
            </w:pPr>
          </w:p>
        </w:tc>
        <w:tc>
          <w:tcPr>
            <w:tcW w:w="2877" w:type="dxa"/>
            <w:tcBorders>
              <w:top w:val="single" w:color="auto" w:sz="4" w:space="0"/>
              <w:left w:val="single" w:color="auto" w:sz="4" w:space="0"/>
              <w:bottom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firstLine="420" w:firstLineChars="200"/>
              <w:jc w:val="left"/>
              <w:textAlignment w:val="auto"/>
              <w:rPr>
                <w:rFonts w:ascii="宋体" w:hAnsi="宋体" w:eastAsia="宋体" w:cs="宋体"/>
                <w:szCs w:val="21"/>
              </w:rPr>
            </w:pPr>
          </w:p>
        </w:tc>
        <w:tc>
          <w:tcPr>
            <w:tcW w:w="2101" w:type="dxa"/>
            <w:tcBorders>
              <w:top w:val="single" w:color="auto" w:sz="4" w:space="0"/>
              <w:left w:val="single" w:color="auto" w:sz="4" w:space="0"/>
              <w:bottom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firstLine="420" w:firstLineChars="200"/>
              <w:jc w:val="lef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2190" w:type="dxa"/>
            <w:vMerge w:val="restart"/>
            <w:tcBorders>
              <w:top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color w:val="auto"/>
                <w:sz w:val="21"/>
                <w:szCs w:val="21"/>
                <w:highlight w:val="none"/>
              </w:rPr>
              <w:t>投</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标</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总</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价</w:t>
            </w:r>
          </w:p>
        </w:tc>
        <w:tc>
          <w:tcPr>
            <w:tcW w:w="7033"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val="0"/>
              <w:overflowPunct/>
              <w:topLinePunct w:val="0"/>
              <w:autoSpaceDE/>
              <w:autoSpaceDN/>
              <w:bidi w:val="0"/>
              <w:snapToGrid/>
              <w:spacing w:line="360" w:lineRule="auto"/>
              <w:ind w:right="0" w:firstLine="422" w:firstLineChars="200"/>
              <w:jc w:val="left"/>
              <w:textAlignment w:val="auto"/>
              <w:rPr>
                <w:rFonts w:hint="eastAsia" w:ascii="宋体" w:hAnsi="宋体" w:eastAsia="宋体" w:cs="宋体"/>
                <w:szCs w:val="21"/>
                <w:lang w:eastAsia="zh-CN"/>
              </w:rPr>
            </w:pP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2190" w:type="dxa"/>
            <w:vMerge w:val="continue"/>
            <w:tcBorders>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snapToGrid/>
              <w:spacing w:line="360" w:lineRule="auto"/>
              <w:ind w:right="0" w:firstLine="422" w:firstLineChars="200"/>
              <w:jc w:val="left"/>
              <w:textAlignment w:val="auto"/>
              <w:rPr>
                <w:rFonts w:ascii="宋体" w:hAnsi="宋体" w:eastAsia="宋体" w:cs="宋体"/>
                <w:b/>
                <w:bCs/>
                <w:szCs w:val="21"/>
                <w:u w:val="single"/>
              </w:rPr>
            </w:pPr>
          </w:p>
        </w:tc>
        <w:tc>
          <w:tcPr>
            <w:tcW w:w="7033" w:type="dxa"/>
            <w:gridSpan w:val="3"/>
            <w:tcBorders>
              <w:top w:val="single" w:color="auto" w:sz="4" w:space="0"/>
              <w:left w:val="single" w:color="auto" w:sz="4" w:space="0"/>
              <w:bottom w:val="single" w:color="auto" w:sz="4" w:space="0"/>
            </w:tcBorders>
            <w:vAlign w:val="bottom"/>
          </w:tcPr>
          <w:p>
            <w:pPr>
              <w:keepNext w:val="0"/>
              <w:keepLines w:val="0"/>
              <w:pageBreakBefore w:val="0"/>
              <w:kinsoku/>
              <w:overflowPunct/>
              <w:topLinePunct w:val="0"/>
              <w:autoSpaceDE/>
              <w:autoSpaceDN/>
              <w:bidi w:val="0"/>
              <w:snapToGrid/>
              <w:spacing w:line="360" w:lineRule="auto"/>
              <w:ind w:right="0" w:firstLine="422" w:firstLineChars="200"/>
              <w:jc w:val="left"/>
              <w:textAlignment w:val="auto"/>
              <w:rPr>
                <w:rFonts w:ascii="宋体" w:hAnsi="宋体" w:eastAsia="宋体" w:cs="宋体"/>
                <w:szCs w:val="21"/>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u w:val="single"/>
              </w:rPr>
              <w:t xml:space="preserve">                            </w:t>
            </w:r>
          </w:p>
        </w:tc>
      </w:tr>
    </w:tbl>
    <w:p>
      <w:pPr>
        <w:keepNext w:val="0"/>
        <w:keepLines w:val="0"/>
        <w:pageBreakBefore w:val="0"/>
        <w:kinsoku/>
        <w:overflowPunct/>
        <w:topLinePunct w:val="0"/>
        <w:autoSpaceDE/>
        <w:autoSpaceDN/>
        <w:bidi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overflowPunct/>
        <w:topLinePunct w:val="0"/>
        <w:autoSpaceDE/>
        <w:autoSpaceDN/>
        <w:bidi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报价一经涂改，应在涂改处加盖单位公章或者由法定代表人或授权委托人签字或盖章，否则其投标作无效标处理。</w:t>
      </w:r>
    </w:p>
    <w:p>
      <w:pPr>
        <w:pStyle w:val="12"/>
        <w:keepNext w:val="0"/>
        <w:keepLines w:val="0"/>
        <w:pageBreakBefore w:val="0"/>
        <w:kinsoku/>
        <w:overflowPunct/>
        <w:topLinePunct w:val="0"/>
        <w:autoSpaceDE/>
        <w:autoSpaceDN/>
        <w:bidi w:val="0"/>
        <w:snapToGrid/>
        <w:spacing w:after="0"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投标人报价应包括完成该项目所涉及的全部费用。</w:t>
      </w:r>
    </w:p>
    <w:p>
      <w:pPr>
        <w:pStyle w:val="13"/>
        <w:keepNext w:val="0"/>
        <w:keepLines w:val="0"/>
        <w:pageBreakBefore w:val="0"/>
        <w:kinsoku/>
        <w:overflowPunct/>
        <w:topLinePunct w:val="0"/>
        <w:autoSpaceDE/>
        <w:autoSpaceDN/>
        <w:bidi w:val="0"/>
        <w:snapToGrid/>
        <w:spacing w:after="0" w:line="360" w:lineRule="auto"/>
        <w:ind w:right="0" w:firstLineChars="200"/>
        <w:jc w:val="left"/>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3.</w:t>
      </w:r>
      <w:r>
        <w:rPr>
          <w:rFonts w:hint="eastAsia" w:ascii="宋体" w:hAnsi="宋体" w:eastAsia="宋体" w:cs="宋体"/>
          <w:b/>
          <w:bCs/>
          <w:color w:val="auto"/>
          <w:sz w:val="21"/>
          <w:szCs w:val="21"/>
          <w:highlight w:val="none"/>
        </w:rPr>
        <w:t>投标总价</w:t>
      </w:r>
      <w:r>
        <w:rPr>
          <w:rFonts w:hint="eastAsia" w:ascii="宋体" w:hAnsi="宋体" w:eastAsia="宋体" w:cs="宋体"/>
          <w:color w:val="auto"/>
          <w:sz w:val="21"/>
          <w:szCs w:val="21"/>
          <w:highlight w:val="none"/>
        </w:rPr>
        <w:t>应与“投标报价明细表”中的“</w:t>
      </w:r>
      <w:r>
        <w:rPr>
          <w:rFonts w:hint="eastAsia" w:ascii="宋体" w:hAnsi="宋体" w:eastAsia="宋体" w:cs="宋体"/>
          <w:color w:val="auto"/>
          <w:sz w:val="21"/>
          <w:szCs w:val="21"/>
          <w:highlight w:val="none"/>
          <w:lang w:eastAsia="zh-CN"/>
        </w:rPr>
        <w:t>总计</w:t>
      </w:r>
      <w:r>
        <w:rPr>
          <w:rFonts w:hint="eastAsia" w:ascii="宋体" w:hAnsi="宋体" w:eastAsia="宋体" w:cs="宋体"/>
          <w:color w:val="auto"/>
          <w:sz w:val="21"/>
          <w:szCs w:val="21"/>
          <w:highlight w:val="none"/>
        </w:rPr>
        <w:t>”相一致。</w:t>
      </w:r>
    </w:p>
    <w:p>
      <w:pPr>
        <w:keepNext w:val="0"/>
        <w:keepLines w:val="0"/>
        <w:pageBreakBefore w:val="0"/>
        <w:kinsoku/>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kern w:val="0"/>
          <w:szCs w:val="21"/>
          <w:lang w:val="zh-CN"/>
        </w:rPr>
      </w:pPr>
      <w:bookmarkStart w:id="49" w:name="_Toc522530059"/>
      <w:bookmarkStart w:id="50" w:name="_Toc18776"/>
    </w:p>
    <w:p>
      <w:pPr>
        <w:keepNext w:val="0"/>
        <w:keepLines w:val="0"/>
        <w:pageBreakBefore w:val="0"/>
        <w:kinsoku/>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kern w:val="0"/>
          <w:szCs w:val="21"/>
          <w:lang w:val="zh-CN"/>
        </w:rPr>
      </w:pPr>
    </w:p>
    <w:p>
      <w:pPr>
        <w:keepNext w:val="0"/>
        <w:keepLines w:val="0"/>
        <w:pageBreakBefore w:val="0"/>
        <w:kinsoku/>
        <w:overflowPunct/>
        <w:topLinePunct w:val="0"/>
        <w:autoSpaceDE/>
        <w:autoSpaceDN/>
        <w:bidi w:val="0"/>
        <w:adjustRightInd w:val="0"/>
        <w:snapToGrid/>
        <w:spacing w:line="360" w:lineRule="auto"/>
        <w:ind w:right="0" w:firstLine="420" w:firstLineChars="200"/>
        <w:jc w:val="left"/>
        <w:textAlignment w:val="auto"/>
        <w:rPr>
          <w:rFonts w:ascii="宋体" w:hAnsi="宋体" w:eastAsia="宋体" w:cs="宋体"/>
          <w:kern w:val="0"/>
          <w:szCs w:val="21"/>
          <w:lang w:val="zh-TW" w:eastAsia="zh-TW"/>
        </w:rPr>
      </w:pPr>
      <w:r>
        <w:rPr>
          <w:rFonts w:hint="eastAsia" w:ascii="宋体" w:hAnsi="宋体" w:eastAsia="宋体" w:cs="宋体"/>
          <w:kern w:val="0"/>
          <w:szCs w:val="21"/>
          <w:lang w:val="zh-CN"/>
        </w:rPr>
        <w:t>投标人</w:t>
      </w:r>
      <w:r>
        <w:rPr>
          <w:rFonts w:hint="eastAsia" w:ascii="宋体" w:hAnsi="宋体" w:eastAsia="宋体" w:cs="宋体"/>
          <w:szCs w:val="21"/>
        </w:rPr>
        <w:t>：</w:t>
      </w:r>
      <w:r>
        <w:rPr>
          <w:rFonts w:hint="eastAsia" w:ascii="宋体" w:hAnsi="宋体" w:eastAsia="宋体" w:cs="宋体"/>
          <w:szCs w:val="21"/>
          <w:u w:val="single"/>
        </w:rPr>
        <w:t>（全称加盖公章）</w:t>
      </w:r>
    </w:p>
    <w:p>
      <w:pPr>
        <w:keepNext w:val="0"/>
        <w:keepLines w:val="0"/>
        <w:pageBreakBefore w:val="0"/>
        <w:kinsoku/>
        <w:overflowPunct/>
        <w:topLinePunct w:val="0"/>
        <w:autoSpaceDE/>
        <w:autoSpaceDN/>
        <w:bidi w:val="0"/>
        <w:adjustRightInd w:val="0"/>
        <w:snapToGrid/>
        <w:spacing w:line="360" w:lineRule="auto"/>
        <w:ind w:right="0" w:firstLine="420" w:firstLineChars="200"/>
        <w:jc w:val="left"/>
        <w:textAlignment w:val="auto"/>
        <w:rPr>
          <w:rFonts w:ascii="宋体" w:hAnsi="宋体" w:eastAsia="宋体" w:cs="宋体"/>
          <w:kern w:val="0"/>
          <w:szCs w:val="21"/>
        </w:rPr>
      </w:pPr>
      <w:r>
        <w:rPr>
          <w:rFonts w:hint="eastAsia" w:ascii="宋体" w:hAnsi="宋体" w:eastAsia="宋体" w:cs="宋体"/>
          <w:kern w:val="0"/>
          <w:szCs w:val="21"/>
          <w:lang w:val="zh-TW" w:eastAsia="zh-TW"/>
        </w:rPr>
        <w:t>法定代表人（或</w:t>
      </w:r>
      <w:r>
        <w:rPr>
          <w:rFonts w:hint="eastAsia" w:ascii="宋体" w:hAnsi="宋体" w:eastAsia="宋体" w:cs="宋体"/>
          <w:szCs w:val="21"/>
        </w:rPr>
        <w:t>授权代表</w:t>
      </w:r>
      <w:r>
        <w:rPr>
          <w:rFonts w:hint="eastAsia" w:ascii="宋体" w:hAnsi="宋体" w:eastAsia="宋体" w:cs="宋体"/>
          <w:kern w:val="0"/>
          <w:szCs w:val="21"/>
          <w:lang w:val="zh-TW" w:eastAsia="zh-TW"/>
        </w:rPr>
        <w:t>）</w:t>
      </w:r>
      <w:r>
        <w:rPr>
          <w:rFonts w:hint="eastAsia" w:ascii="宋体" w:hAnsi="宋体" w:eastAsia="宋体" w:cs="宋体"/>
          <w:kern w:val="0"/>
          <w:szCs w:val="21"/>
          <w:lang w:val="zh-CN"/>
        </w:rPr>
        <w:t>：</w:t>
      </w:r>
      <w:r>
        <w:rPr>
          <w:rFonts w:hint="eastAsia" w:ascii="宋体" w:hAnsi="宋体" w:eastAsia="宋体" w:cs="宋体"/>
          <w:kern w:val="0"/>
          <w:szCs w:val="21"/>
          <w:u w:val="single"/>
          <w:lang w:val="zh-CN"/>
        </w:rPr>
        <w:t xml:space="preserve">（签字或盖章） </w:t>
      </w:r>
    </w:p>
    <w:p>
      <w:pPr>
        <w:keepNext w:val="0"/>
        <w:keepLines w:val="0"/>
        <w:pageBreakBefore w:val="0"/>
        <w:kinsoku/>
        <w:overflowPunct/>
        <w:topLinePunct w:val="0"/>
        <w:autoSpaceDE/>
        <w:autoSpaceDN/>
        <w:bidi w:val="0"/>
        <w:adjustRightInd w:val="0"/>
        <w:snapToGrid/>
        <w:spacing w:line="360" w:lineRule="auto"/>
        <w:ind w:right="0" w:firstLine="420" w:firstLineChars="200"/>
        <w:jc w:val="left"/>
        <w:textAlignment w:val="auto"/>
        <w:rPr>
          <w:rFonts w:ascii="宋体" w:hAnsi="宋体" w:eastAsia="宋体" w:cs="宋体"/>
          <w:kern w:val="0"/>
          <w:szCs w:val="21"/>
          <w:lang w:val="zh-CN"/>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月</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日</w:t>
      </w:r>
    </w:p>
    <w:p>
      <w:pPr>
        <w:adjustRightInd w:val="0"/>
        <w:snapToGrid w:val="0"/>
        <w:spacing w:line="400" w:lineRule="exact"/>
        <w:ind w:firstLine="482" w:firstLineChars="200"/>
        <w:jc w:val="left"/>
        <w:rPr>
          <w:rFonts w:ascii="宋体" w:hAnsi="宋体" w:eastAsia="宋体" w:cs="宋体"/>
          <w:b/>
          <w:color w:val="auto"/>
          <w:sz w:val="24"/>
          <w:szCs w:val="24"/>
          <w:highlight w:val="none"/>
        </w:rPr>
      </w:pPr>
    </w:p>
    <w:p>
      <w:pPr>
        <w:adjustRightInd w:val="0"/>
        <w:snapToGrid w:val="0"/>
        <w:spacing w:line="360" w:lineRule="auto"/>
        <w:ind w:firstLine="482" w:firstLineChars="200"/>
        <w:jc w:val="left"/>
        <w:rPr>
          <w:rFonts w:ascii="宋体" w:hAnsi="宋体" w:eastAsia="宋体" w:cs="宋体"/>
          <w:b/>
          <w:color w:val="auto"/>
          <w:sz w:val="24"/>
          <w:szCs w:val="24"/>
          <w:highlight w:val="none"/>
        </w:rPr>
      </w:pPr>
    </w:p>
    <w:p>
      <w:pPr>
        <w:adjustRightInd w:val="0"/>
        <w:snapToGrid w:val="0"/>
        <w:spacing w:line="360" w:lineRule="auto"/>
        <w:ind w:firstLine="482" w:firstLineChars="200"/>
        <w:jc w:val="left"/>
        <w:rPr>
          <w:rFonts w:ascii="宋体" w:hAnsi="宋体" w:eastAsia="宋体" w:cs="宋体"/>
          <w:b/>
          <w:color w:val="auto"/>
          <w:sz w:val="24"/>
          <w:szCs w:val="24"/>
          <w:highlight w:val="none"/>
        </w:rPr>
      </w:pPr>
    </w:p>
    <w:p>
      <w:pPr>
        <w:adjustRightInd w:val="0"/>
        <w:snapToGrid w:val="0"/>
        <w:spacing w:line="360" w:lineRule="auto"/>
        <w:ind w:firstLine="482" w:firstLineChars="200"/>
        <w:jc w:val="left"/>
        <w:rPr>
          <w:rFonts w:ascii="宋体" w:hAnsi="宋体" w:eastAsia="宋体" w:cs="宋体"/>
          <w:b/>
          <w:color w:val="auto"/>
          <w:sz w:val="24"/>
          <w:szCs w:val="24"/>
          <w:highlight w:val="none"/>
        </w:rPr>
      </w:pPr>
    </w:p>
    <w:p>
      <w:pPr>
        <w:adjustRightInd w:val="0"/>
        <w:snapToGrid w:val="0"/>
        <w:spacing w:line="360" w:lineRule="auto"/>
        <w:ind w:firstLine="482" w:firstLineChars="200"/>
        <w:jc w:val="left"/>
        <w:rPr>
          <w:rFonts w:ascii="宋体" w:hAnsi="宋体" w:eastAsia="宋体" w:cs="宋体"/>
          <w:b/>
          <w:color w:val="auto"/>
          <w:sz w:val="24"/>
          <w:szCs w:val="24"/>
          <w:highlight w:val="none"/>
        </w:rPr>
      </w:pPr>
    </w:p>
    <w:p>
      <w:pPr>
        <w:adjustRightInd w:val="0"/>
        <w:snapToGrid w:val="0"/>
        <w:spacing w:line="360" w:lineRule="auto"/>
        <w:ind w:firstLine="482" w:firstLineChars="200"/>
        <w:jc w:val="left"/>
        <w:rPr>
          <w:rFonts w:ascii="宋体" w:hAnsi="宋体" w:eastAsia="宋体" w:cs="宋体"/>
          <w:b/>
          <w:color w:val="auto"/>
          <w:sz w:val="24"/>
          <w:szCs w:val="24"/>
          <w:highlight w:val="none"/>
        </w:rPr>
      </w:pPr>
    </w:p>
    <w:p>
      <w:pPr>
        <w:adjustRightInd w:val="0"/>
        <w:snapToGrid w:val="0"/>
        <w:spacing w:line="240" w:lineRule="auto"/>
        <w:jc w:val="left"/>
        <w:rPr>
          <w:rFonts w:hint="eastAsia" w:ascii="宋体" w:hAnsi="宋体" w:eastAsia="宋体" w:cs="宋体"/>
          <w:b/>
          <w:color w:val="auto"/>
          <w:sz w:val="21"/>
          <w:szCs w:val="21"/>
          <w:highlight w:val="none"/>
        </w:rPr>
      </w:pPr>
    </w:p>
    <w:p>
      <w:pPr>
        <w:adjustRightInd w:val="0"/>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：报价明细表</w:t>
      </w:r>
    </w:p>
    <w:p>
      <w:pPr>
        <w:pStyle w:val="16"/>
        <w:snapToGrid w:val="0"/>
        <w:spacing w:line="360" w:lineRule="auto"/>
        <w:ind w:firstLine="422" w:firstLineChars="200"/>
        <w:jc w:val="center"/>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投标报价明细表</w:t>
      </w:r>
      <w:bookmarkEnd w:id="49"/>
      <w:bookmarkEnd w:id="50"/>
    </w:p>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
          <w:color w:val="auto"/>
          <w:sz w:val="21"/>
          <w:szCs w:val="21"/>
          <w:highlight w:val="none"/>
        </w:rPr>
      </w:pPr>
      <w:bookmarkStart w:id="51" w:name="_Toc522530060"/>
      <w:r>
        <w:rPr>
          <w:rFonts w:hint="eastAsia" w:ascii="宋体" w:hAnsi="宋体" w:eastAsia="宋体" w:cs="宋体"/>
          <w:b/>
          <w:color w:val="auto"/>
          <w:sz w:val="21"/>
          <w:szCs w:val="21"/>
          <w:highlight w:val="none"/>
        </w:rPr>
        <w:t>项目名称：</w:t>
      </w:r>
    </w:p>
    <w:p>
      <w:pPr>
        <w:pStyle w:val="13"/>
        <w:keepNext w:val="0"/>
        <w:keepLines w:val="0"/>
        <w:pageBreakBefore w:val="0"/>
        <w:kinsoku/>
        <w:wordWrap/>
        <w:overflowPunct/>
        <w:topLinePunct w:val="0"/>
        <w:autoSpaceDE/>
        <w:autoSpaceDN/>
        <w:bidi w:val="0"/>
        <w:snapToGrid/>
        <w:spacing w:after="0" w:line="360" w:lineRule="auto"/>
        <w:ind w:left="0" w:leftChars="0" w:right="0" w:firstLine="0" w:firstLine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keepNext w:val="0"/>
        <w:keepLines w:val="0"/>
        <w:pageBreakBefore w:val="0"/>
        <w:kinsoku/>
        <w:wordWrap/>
        <w:overflowPunct/>
        <w:topLinePunct w:val="0"/>
        <w:autoSpaceDE/>
        <w:autoSpaceDN/>
        <w:bidi w:val="0"/>
        <w:adjustRightInd w:val="0"/>
        <w:snapToGrid/>
        <w:spacing w:line="360" w:lineRule="auto"/>
        <w:ind w:right="0" w:firstLine="6957" w:firstLineChars="3300"/>
        <w:jc w:val="left"/>
        <w:outlineLvl w:val="9"/>
        <w:rPr>
          <w:rFonts w:hint="eastAsia"/>
        </w:rPr>
      </w:pPr>
      <w:r>
        <w:rPr>
          <w:rFonts w:hint="eastAsia" w:ascii="宋体" w:hAnsi="宋体" w:eastAsia="宋体" w:cs="宋体"/>
          <w:b/>
          <w:color w:val="auto"/>
          <w:kern w:val="0"/>
          <w:sz w:val="21"/>
          <w:szCs w:val="21"/>
          <w:highlight w:val="none"/>
          <w:lang w:val="zh-CN"/>
        </w:rPr>
        <w:t>货币单位：（人民币</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lang w:val="zh-CN"/>
        </w:rPr>
        <w:t>元）</w:t>
      </w:r>
    </w:p>
    <w:tbl>
      <w:tblPr>
        <w:tblStyle w:val="34"/>
        <w:tblpPr w:leftFromText="180" w:rightFromText="180" w:vertAnchor="text" w:horzAnchor="page" w:tblpX="1622" w:tblpY="75"/>
        <w:tblOverlap w:val="never"/>
        <w:tblW w:w="4995"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64"/>
        <w:gridCol w:w="914"/>
        <w:gridCol w:w="1356"/>
        <w:gridCol w:w="1245"/>
        <w:gridCol w:w="1106"/>
        <w:gridCol w:w="1256"/>
        <w:gridCol w:w="1095"/>
        <w:gridCol w:w="875"/>
        <w:gridCol w:w="11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2" w:hRule="atLeast"/>
          <w:tblHeader/>
        </w:trPr>
        <w:tc>
          <w:tcPr>
            <w:tcW w:w="34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序号</w:t>
            </w:r>
          </w:p>
        </w:tc>
        <w:tc>
          <w:tcPr>
            <w:tcW w:w="47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类型</w:t>
            </w:r>
          </w:p>
        </w:tc>
        <w:tc>
          <w:tcPr>
            <w:tcW w:w="704"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名称</w:t>
            </w:r>
          </w:p>
        </w:tc>
        <w:tc>
          <w:tcPr>
            <w:tcW w:w="647"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技术参数及规格</w:t>
            </w:r>
          </w:p>
        </w:tc>
        <w:tc>
          <w:tcPr>
            <w:tcW w:w="57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单位</w:t>
            </w:r>
          </w:p>
        </w:tc>
        <w:tc>
          <w:tcPr>
            <w:tcW w:w="653"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数量</w:t>
            </w:r>
          </w:p>
        </w:tc>
        <w:tc>
          <w:tcPr>
            <w:tcW w:w="569"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单价</w:t>
            </w:r>
          </w:p>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（元）</w:t>
            </w:r>
          </w:p>
        </w:tc>
        <w:tc>
          <w:tcPr>
            <w:tcW w:w="45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小计</w:t>
            </w:r>
          </w:p>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（元）</w:t>
            </w:r>
          </w:p>
        </w:tc>
        <w:tc>
          <w:tcPr>
            <w:tcW w:w="573"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345"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ascii="宋体" w:hAnsi="宋体" w:eastAsia="宋体" w:cs="宋体"/>
                <w:bCs/>
                <w:color w:val="auto"/>
                <w:sz w:val="21"/>
                <w:szCs w:val="21"/>
                <w:highlight w:val="none"/>
              </w:rPr>
            </w:pPr>
            <w:r>
              <w:rPr>
                <w:rFonts w:hint="eastAsia"/>
                <w:vertAlign w:val="baseline"/>
                <w:lang w:val="en-US" w:eastAsia="zh-CN"/>
              </w:rPr>
              <w:t>1</w:t>
            </w:r>
          </w:p>
        </w:tc>
        <w:tc>
          <w:tcPr>
            <w:tcW w:w="475"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vertAlign w:val="baseline"/>
                <w:lang w:val="en-US" w:eastAsia="zh-CN"/>
              </w:rPr>
            </w:pPr>
          </w:p>
        </w:tc>
        <w:tc>
          <w:tcPr>
            <w:tcW w:w="704"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47"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lang w:val="en-GB"/>
              </w:rPr>
            </w:pPr>
          </w:p>
        </w:tc>
        <w:tc>
          <w:tcPr>
            <w:tcW w:w="575"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53"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rPr>
            </w:pPr>
          </w:p>
        </w:tc>
        <w:tc>
          <w:tcPr>
            <w:tcW w:w="569"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455"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573"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345"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ascii="宋体" w:hAnsi="宋体" w:eastAsia="宋体" w:cs="宋体"/>
                <w:bCs/>
                <w:color w:val="auto"/>
                <w:sz w:val="21"/>
                <w:szCs w:val="21"/>
                <w:highlight w:val="none"/>
              </w:rPr>
            </w:pPr>
            <w:r>
              <w:rPr>
                <w:rFonts w:hint="eastAsia"/>
                <w:vertAlign w:val="baseline"/>
                <w:lang w:val="en-US" w:eastAsia="zh-CN"/>
              </w:rPr>
              <w:t>2</w:t>
            </w:r>
          </w:p>
        </w:tc>
        <w:tc>
          <w:tcPr>
            <w:tcW w:w="475"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vertAlign w:val="baseline"/>
                <w:lang w:val="en-US" w:eastAsia="zh-CN"/>
              </w:rPr>
            </w:pPr>
          </w:p>
        </w:tc>
        <w:tc>
          <w:tcPr>
            <w:tcW w:w="704"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47"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lang w:val="en-GB"/>
              </w:rPr>
            </w:pPr>
          </w:p>
        </w:tc>
        <w:tc>
          <w:tcPr>
            <w:tcW w:w="575"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53"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rPr>
            </w:pPr>
          </w:p>
        </w:tc>
        <w:tc>
          <w:tcPr>
            <w:tcW w:w="569"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455"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573"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345"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p>
        </w:tc>
        <w:tc>
          <w:tcPr>
            <w:tcW w:w="475"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ascii="宋体" w:hAnsi="宋体" w:eastAsia="宋体" w:cs="宋体"/>
                <w:bCs/>
                <w:color w:val="auto"/>
                <w:sz w:val="21"/>
                <w:szCs w:val="21"/>
                <w:highlight w:val="none"/>
                <w:lang w:eastAsia="zh-CN"/>
              </w:rPr>
            </w:pPr>
          </w:p>
        </w:tc>
        <w:tc>
          <w:tcPr>
            <w:tcW w:w="704" w:type="pct"/>
            <w:vAlign w:val="top"/>
          </w:tcPr>
          <w:p>
            <w:pPr>
              <w:keepNext w:val="0"/>
              <w:keepLines w:val="0"/>
              <w:pageBreakBefore w:val="0"/>
              <w:kinsoku/>
              <w:wordWrap/>
              <w:overflowPunct/>
              <w:topLinePunct w:val="0"/>
              <w:autoSpaceDE/>
              <w:autoSpaceDN/>
              <w:bidi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47"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lang w:val="en-GB"/>
              </w:rPr>
            </w:pPr>
          </w:p>
        </w:tc>
        <w:tc>
          <w:tcPr>
            <w:tcW w:w="575"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53"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rPr>
            </w:pPr>
          </w:p>
        </w:tc>
        <w:tc>
          <w:tcPr>
            <w:tcW w:w="569"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455"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573"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34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p>
        </w:tc>
        <w:tc>
          <w:tcPr>
            <w:tcW w:w="47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eastAsia="zh-CN"/>
              </w:rPr>
            </w:pPr>
          </w:p>
        </w:tc>
        <w:tc>
          <w:tcPr>
            <w:tcW w:w="704"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47"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lang w:val="en-GB"/>
              </w:rPr>
            </w:pPr>
          </w:p>
        </w:tc>
        <w:tc>
          <w:tcPr>
            <w:tcW w:w="575"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53"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rPr>
            </w:pPr>
          </w:p>
        </w:tc>
        <w:tc>
          <w:tcPr>
            <w:tcW w:w="569"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455"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573"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34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rPr>
            </w:pPr>
          </w:p>
        </w:tc>
        <w:tc>
          <w:tcPr>
            <w:tcW w:w="475"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rPr>
            </w:pPr>
          </w:p>
        </w:tc>
        <w:tc>
          <w:tcPr>
            <w:tcW w:w="704" w:type="pct"/>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47"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lang w:val="en-GB"/>
              </w:rPr>
            </w:pPr>
          </w:p>
        </w:tc>
        <w:tc>
          <w:tcPr>
            <w:tcW w:w="575"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Cs/>
                <w:color w:val="auto"/>
                <w:sz w:val="21"/>
                <w:szCs w:val="21"/>
                <w:highlight w:val="none"/>
                <w:lang w:val="en-GB"/>
              </w:rPr>
            </w:pPr>
          </w:p>
        </w:tc>
        <w:tc>
          <w:tcPr>
            <w:tcW w:w="653" w:type="pct"/>
            <w:vAlign w:val="center"/>
          </w:tcPr>
          <w:p>
            <w:pPr>
              <w:keepNext w:val="0"/>
              <w:keepLines w:val="0"/>
              <w:pageBreakBefore w:val="0"/>
              <w:widowControl/>
              <w:kinsoku/>
              <w:wordWrap/>
              <w:overflowPunct/>
              <w:topLinePunct w:val="0"/>
              <w:autoSpaceDE/>
              <w:autoSpaceDN/>
              <w:bidi w:val="0"/>
              <w:snapToGrid/>
              <w:spacing w:line="360" w:lineRule="auto"/>
              <w:ind w:right="0"/>
              <w:jc w:val="left"/>
              <w:textAlignment w:val="center"/>
              <w:outlineLvl w:val="9"/>
              <w:rPr>
                <w:rFonts w:hint="eastAsia" w:ascii="宋体" w:hAnsi="宋体" w:eastAsia="宋体" w:cs="宋体"/>
                <w:bCs/>
                <w:color w:val="auto"/>
                <w:sz w:val="21"/>
                <w:szCs w:val="21"/>
                <w:highlight w:val="none"/>
              </w:rPr>
            </w:pPr>
          </w:p>
        </w:tc>
        <w:tc>
          <w:tcPr>
            <w:tcW w:w="569"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455"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c>
          <w:tcPr>
            <w:tcW w:w="573" w:type="pct"/>
            <w:vAlign w:val="center"/>
          </w:tcPr>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1525" w:type="pct"/>
            <w:gridSpan w:val="3"/>
            <w:vAlign w:val="center"/>
          </w:tcPr>
          <w:p>
            <w:pPr>
              <w:keepNext w:val="0"/>
              <w:keepLines w:val="0"/>
              <w:pageBreakBefore w:val="0"/>
              <w:kinsoku/>
              <w:wordWrap/>
              <w:overflowPunct/>
              <w:topLinePunct w:val="0"/>
              <w:autoSpaceDE/>
              <w:autoSpaceDN/>
              <w:bidi w:val="0"/>
              <w:adjustRightInd w:val="0"/>
              <w:snapToGrid/>
              <w:spacing w:line="360" w:lineRule="auto"/>
              <w:ind w:right="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w:t>
            </w:r>
            <w:r>
              <w:rPr>
                <w:rFonts w:hint="eastAsia" w:ascii="宋体" w:hAnsi="宋体" w:eastAsia="宋体" w:cs="宋体"/>
                <w:b/>
                <w:color w:val="auto"/>
                <w:sz w:val="21"/>
                <w:szCs w:val="21"/>
                <w:highlight w:val="none"/>
                <w:lang w:eastAsia="zh-CN"/>
              </w:rPr>
              <w:t>计</w:t>
            </w:r>
          </w:p>
        </w:tc>
        <w:tc>
          <w:tcPr>
            <w:tcW w:w="3474" w:type="pct"/>
            <w:gridSpan w:val="6"/>
            <w:vAlign w:val="center"/>
          </w:tcPr>
          <w:p>
            <w:pPr>
              <w:keepNext w:val="0"/>
              <w:keepLines w:val="0"/>
              <w:pageBreakBefore w:val="0"/>
              <w:kinsoku/>
              <w:wordWrap/>
              <w:overflowPunct/>
              <w:topLinePunct w:val="0"/>
              <w:autoSpaceDE/>
              <w:autoSpaceDN/>
              <w:bidi w:val="0"/>
              <w:snapToGrid/>
              <w:spacing w:line="360" w:lineRule="auto"/>
              <w:ind w:right="0" w:firstLine="422" w:firstLineChars="200"/>
              <w:jc w:val="left"/>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u w:val="single"/>
              </w:rPr>
              <w:t xml:space="preserve">                            </w:t>
            </w:r>
          </w:p>
          <w:p>
            <w:pPr>
              <w:keepNext w:val="0"/>
              <w:keepLines w:val="0"/>
              <w:pageBreakBefore w:val="0"/>
              <w:kinsoku/>
              <w:wordWrap/>
              <w:overflowPunct/>
              <w:topLinePunct w:val="0"/>
              <w:autoSpaceDE/>
              <w:autoSpaceDN/>
              <w:bidi w:val="0"/>
              <w:adjustRightInd w:val="0"/>
              <w:snapToGrid/>
              <w:spacing w:line="360" w:lineRule="auto"/>
              <w:ind w:right="0" w:firstLine="422" w:firstLineChars="200"/>
              <w:jc w:val="left"/>
              <w:outlineLvl w:val="9"/>
              <w:rPr>
                <w:rFonts w:hint="eastAsia" w:ascii="宋体" w:hAnsi="宋体" w:eastAsia="宋体" w:cs="宋体"/>
                <w:b/>
                <w:color w:val="auto"/>
                <w:sz w:val="21"/>
                <w:szCs w:val="21"/>
                <w:highlight w:val="none"/>
                <w:lang w:val="en-GB"/>
              </w:rPr>
            </w:pP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u w:val="single"/>
              </w:rPr>
              <w:t xml:space="preserve">                             </w:t>
            </w:r>
          </w:p>
        </w:tc>
      </w:tr>
    </w:tbl>
    <w:p>
      <w:pPr>
        <w:pStyle w:val="16"/>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投标报价明细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以上表格中各项可进一步细分，栏数不够可自加，</w:t>
      </w:r>
      <w:r>
        <w:rPr>
          <w:rFonts w:hint="eastAsia" w:ascii="宋体" w:hAnsi="宋体"/>
          <w:color w:val="auto"/>
          <w:szCs w:val="21"/>
          <w:lang w:val="zh-CN"/>
        </w:rPr>
        <w:t>要求按产品和服务内容细分项目及报价</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总计费用应与“开标一览表”中的“投标总价”相一致。</w:t>
      </w:r>
    </w:p>
    <w:bookmarkEnd w:id="51"/>
    <w:p>
      <w:pPr>
        <w:keepNext w:val="0"/>
        <w:keepLines w:val="0"/>
        <w:pageBreakBefore w:val="0"/>
        <w:kinsoku/>
        <w:wordWrap/>
        <w:overflowPunct/>
        <w:topLinePunct w:val="0"/>
        <w:autoSpaceDE/>
        <w:autoSpaceDN/>
        <w:bidi w:val="0"/>
        <w:adjustRightInd w:val="0"/>
        <w:snapToGrid/>
        <w:spacing w:line="360" w:lineRule="auto"/>
        <w:ind w:right="0" w:firstLine="420" w:firstLineChars="200"/>
        <w:jc w:val="left"/>
        <w:outlineLvl w:val="9"/>
        <w:rPr>
          <w:rFonts w:ascii="宋体" w:hAnsi="宋体" w:eastAsia="宋体" w:cs="宋体"/>
          <w:kern w:val="0"/>
          <w:szCs w:val="21"/>
          <w:lang w:val="zh-TW" w:eastAsia="zh-TW"/>
        </w:rPr>
      </w:pPr>
      <w:bookmarkStart w:id="52" w:name="_Toc27954"/>
      <w:r>
        <w:rPr>
          <w:rFonts w:hint="eastAsia" w:ascii="宋体" w:hAnsi="宋体" w:eastAsia="宋体" w:cs="宋体"/>
          <w:kern w:val="0"/>
          <w:szCs w:val="21"/>
          <w:lang w:val="zh-CN"/>
        </w:rPr>
        <w:t>投标人</w:t>
      </w:r>
      <w:r>
        <w:rPr>
          <w:rFonts w:hint="eastAsia" w:ascii="宋体" w:hAnsi="宋体" w:eastAsia="宋体" w:cs="宋体"/>
          <w:szCs w:val="21"/>
        </w:rPr>
        <w:t>：</w:t>
      </w:r>
      <w:r>
        <w:rPr>
          <w:rFonts w:hint="eastAsia" w:ascii="宋体" w:hAnsi="宋体" w:eastAsia="宋体" w:cs="宋体"/>
          <w:szCs w:val="21"/>
          <w:u w:val="single"/>
        </w:rPr>
        <w:t>（全称加盖公章）</w:t>
      </w:r>
    </w:p>
    <w:p>
      <w:pPr>
        <w:keepNext w:val="0"/>
        <w:keepLines w:val="0"/>
        <w:pageBreakBefore w:val="0"/>
        <w:kinsoku/>
        <w:wordWrap/>
        <w:overflowPunct/>
        <w:topLinePunct w:val="0"/>
        <w:autoSpaceDE/>
        <w:autoSpaceDN/>
        <w:bidi w:val="0"/>
        <w:adjustRightInd w:val="0"/>
        <w:snapToGrid/>
        <w:spacing w:line="360" w:lineRule="auto"/>
        <w:ind w:right="0" w:firstLine="420" w:firstLineChars="200"/>
        <w:jc w:val="left"/>
        <w:outlineLvl w:val="9"/>
        <w:rPr>
          <w:rFonts w:ascii="宋体" w:hAnsi="宋体" w:eastAsia="宋体" w:cs="宋体"/>
          <w:kern w:val="0"/>
          <w:szCs w:val="21"/>
        </w:rPr>
      </w:pPr>
      <w:r>
        <w:rPr>
          <w:rFonts w:hint="eastAsia" w:ascii="宋体" w:hAnsi="宋体" w:eastAsia="宋体" w:cs="宋体"/>
          <w:kern w:val="0"/>
          <w:szCs w:val="21"/>
          <w:lang w:val="zh-TW" w:eastAsia="zh-TW"/>
        </w:rPr>
        <w:t>法定代表人（或</w:t>
      </w:r>
      <w:r>
        <w:rPr>
          <w:rFonts w:hint="eastAsia" w:ascii="宋体" w:hAnsi="宋体" w:eastAsia="宋体" w:cs="宋体"/>
          <w:szCs w:val="21"/>
        </w:rPr>
        <w:t>授权代表</w:t>
      </w:r>
      <w:r>
        <w:rPr>
          <w:rFonts w:hint="eastAsia" w:ascii="宋体" w:hAnsi="宋体" w:eastAsia="宋体" w:cs="宋体"/>
          <w:kern w:val="0"/>
          <w:szCs w:val="21"/>
          <w:lang w:val="zh-TW" w:eastAsia="zh-TW"/>
        </w:rPr>
        <w:t>）</w:t>
      </w:r>
      <w:r>
        <w:rPr>
          <w:rFonts w:hint="eastAsia" w:ascii="宋体" w:hAnsi="宋体" w:eastAsia="宋体" w:cs="宋体"/>
          <w:kern w:val="0"/>
          <w:szCs w:val="21"/>
          <w:lang w:val="zh-CN"/>
        </w:rPr>
        <w:t>：</w:t>
      </w:r>
      <w:r>
        <w:rPr>
          <w:rFonts w:hint="eastAsia" w:ascii="宋体" w:hAnsi="宋体" w:eastAsia="宋体" w:cs="宋体"/>
          <w:kern w:val="0"/>
          <w:szCs w:val="21"/>
          <w:u w:val="single"/>
          <w:lang w:val="zh-CN"/>
        </w:rPr>
        <w:t xml:space="preserve">（签字或盖章） </w:t>
      </w:r>
    </w:p>
    <w:p>
      <w:pPr>
        <w:keepNext w:val="0"/>
        <w:keepLines w:val="0"/>
        <w:pageBreakBefore w:val="0"/>
        <w:kinsoku/>
        <w:wordWrap/>
        <w:overflowPunct/>
        <w:topLinePunct w:val="0"/>
        <w:autoSpaceDE/>
        <w:autoSpaceDN/>
        <w:bidi w:val="0"/>
        <w:adjustRightInd w:val="0"/>
        <w:snapToGrid/>
        <w:spacing w:line="360" w:lineRule="auto"/>
        <w:ind w:right="0" w:firstLine="420" w:firstLineChars="200"/>
        <w:jc w:val="left"/>
        <w:outlineLvl w:val="9"/>
        <w:rPr>
          <w:rFonts w:hint="eastAsia" w:ascii="宋体" w:hAnsi="宋体" w:eastAsia="宋体" w:cs="宋体"/>
          <w:kern w:val="0"/>
          <w:szCs w:val="21"/>
          <w:lang w:val="zh-CN"/>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月</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日</w:t>
      </w:r>
      <w:bookmarkEnd w:id="52"/>
    </w:p>
    <w:p>
      <w:pPr>
        <w:adjustRightInd w:val="0"/>
        <w:snapToGrid w:val="0"/>
        <w:spacing w:line="240" w:lineRule="auto"/>
        <w:ind w:firstLine="420" w:firstLineChars="200"/>
        <w:rPr>
          <w:rFonts w:hint="eastAsia" w:ascii="宋体" w:hAnsi="宋体" w:eastAsia="宋体" w:cs="宋体"/>
          <w:kern w:val="0"/>
          <w:szCs w:val="21"/>
          <w:lang w:val="zh-CN"/>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ascii="宋体" w:hAnsi="宋体" w:eastAsia="宋体" w:cs="宋体"/>
          <w:b/>
          <w:bCs/>
          <w:szCs w:val="21"/>
          <w:lang w:val="zh-CN"/>
        </w:rPr>
      </w:pPr>
      <w:r>
        <w:rPr>
          <w:rFonts w:hint="eastAsia" w:ascii="宋体" w:hAnsi="宋体" w:eastAsia="宋体" w:cs="宋体"/>
          <w:b/>
          <w:szCs w:val="21"/>
        </w:rPr>
        <w:t>附件</w:t>
      </w:r>
      <w:r>
        <w:rPr>
          <w:rFonts w:hint="eastAsia" w:ascii="宋体" w:hAnsi="宋体" w:eastAsia="宋体" w:cs="宋体"/>
          <w:b/>
          <w:szCs w:val="21"/>
          <w:lang w:val="en-US" w:eastAsia="zh-CN"/>
        </w:rPr>
        <w:t>12</w:t>
      </w:r>
      <w:r>
        <w:rPr>
          <w:rFonts w:hint="eastAsia" w:ascii="宋体" w:hAnsi="宋体" w:eastAsia="宋体" w:cs="宋体"/>
          <w:b/>
          <w:szCs w:val="21"/>
        </w:rPr>
        <w:t>：</w:t>
      </w:r>
      <w:r>
        <w:rPr>
          <w:rFonts w:hint="eastAsia" w:ascii="宋体" w:hAnsi="宋体" w:eastAsia="宋体" w:cs="宋体"/>
          <w:b/>
          <w:szCs w:val="21"/>
          <w:lang w:val="zh-CN"/>
        </w:rPr>
        <w:t>自评表</w:t>
      </w:r>
    </w:p>
    <w:p>
      <w:pPr>
        <w:autoSpaceDE w:val="0"/>
        <w:autoSpaceDN w:val="0"/>
        <w:adjustRightInd w:val="0"/>
        <w:spacing w:line="380" w:lineRule="exact"/>
        <w:jc w:val="center"/>
        <w:rPr>
          <w:rFonts w:ascii="宋体" w:hAnsi="宋体" w:eastAsia="宋体" w:cs="宋体"/>
          <w:b/>
          <w:szCs w:val="21"/>
          <w:lang w:val="zh-CN"/>
        </w:rPr>
      </w:pPr>
    </w:p>
    <w:p>
      <w:pPr>
        <w:autoSpaceDE w:val="0"/>
        <w:autoSpaceDN w:val="0"/>
        <w:adjustRightInd w:val="0"/>
        <w:spacing w:line="380" w:lineRule="exact"/>
        <w:jc w:val="center"/>
        <w:rPr>
          <w:rFonts w:ascii="宋体" w:hAnsi="宋体" w:eastAsia="宋体" w:cs="宋体"/>
          <w:bCs/>
          <w:szCs w:val="21"/>
        </w:rPr>
      </w:pPr>
      <w:r>
        <w:rPr>
          <w:rFonts w:hint="eastAsia" w:ascii="宋体" w:hAnsi="宋体" w:eastAsia="宋体" w:cs="宋体"/>
          <w:b/>
          <w:szCs w:val="21"/>
          <w:lang w:val="zh-CN"/>
        </w:rPr>
        <w:t>自评表</w:t>
      </w:r>
    </w:p>
    <w:p>
      <w:pPr>
        <w:adjustRightInd w:val="0"/>
        <w:snapToGrid w:val="0"/>
        <w:spacing w:line="400" w:lineRule="exact"/>
        <w:ind w:firstLine="316" w:firstLineChars="150"/>
        <w:rPr>
          <w:rFonts w:ascii="宋体" w:hAnsi="宋体" w:eastAsia="宋体" w:cs="宋体"/>
          <w:b/>
          <w:szCs w:val="21"/>
        </w:rPr>
      </w:pPr>
      <w:r>
        <w:rPr>
          <w:rFonts w:hint="eastAsia" w:ascii="宋体" w:hAnsi="宋体" w:eastAsia="宋体" w:cs="宋体"/>
          <w:b/>
          <w:szCs w:val="21"/>
        </w:rPr>
        <w:t>项目名称：</w:t>
      </w:r>
    </w:p>
    <w:p>
      <w:pPr>
        <w:adjustRightInd w:val="0"/>
        <w:snapToGrid w:val="0"/>
        <w:spacing w:line="400" w:lineRule="exact"/>
        <w:ind w:firstLine="316" w:firstLineChars="150"/>
        <w:rPr>
          <w:rFonts w:ascii="宋体" w:hAnsi="宋体" w:eastAsia="宋体" w:cs="宋体"/>
          <w:b/>
          <w:szCs w:val="21"/>
          <w:lang w:val="zh-CN"/>
        </w:rPr>
      </w:pPr>
      <w:r>
        <w:rPr>
          <w:rFonts w:hint="eastAsia" w:ascii="宋体" w:hAnsi="宋体" w:eastAsia="宋体" w:cs="宋体"/>
          <w:b/>
          <w:szCs w:val="21"/>
        </w:rPr>
        <w:t>项目编号：</w:t>
      </w:r>
    </w:p>
    <w:tbl>
      <w:tblPr>
        <w:tblStyle w:val="34"/>
        <w:tblW w:w="0" w:type="auto"/>
        <w:tblInd w:w="40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060"/>
        <w:gridCol w:w="3721"/>
        <w:gridCol w:w="1035"/>
        <w:gridCol w:w="1215"/>
        <w:gridCol w:w="16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0" w:type="auto"/>
            <w:vAlign w:val="center"/>
          </w:tcPr>
          <w:p>
            <w:pPr>
              <w:jc w:val="center"/>
              <w:rPr>
                <w:rFonts w:ascii="宋体" w:hAnsi="宋体" w:eastAsia="宋体" w:cs="宋体"/>
                <w:b/>
                <w:szCs w:val="21"/>
              </w:rPr>
            </w:pPr>
            <w:r>
              <w:rPr>
                <w:rFonts w:hint="eastAsia" w:ascii="宋体" w:hAnsi="宋体" w:eastAsia="宋体" w:cs="宋体"/>
                <w:b/>
                <w:szCs w:val="21"/>
              </w:rPr>
              <w:t>评分项目</w:t>
            </w:r>
          </w:p>
        </w:tc>
        <w:tc>
          <w:tcPr>
            <w:tcW w:w="3721" w:type="dxa"/>
            <w:vAlign w:val="center"/>
          </w:tcPr>
          <w:p>
            <w:pPr>
              <w:jc w:val="center"/>
              <w:rPr>
                <w:rFonts w:hint="eastAsia" w:ascii="宋体" w:hAnsi="宋体" w:eastAsia="宋体" w:cs="宋体"/>
                <w:b/>
                <w:szCs w:val="21"/>
              </w:rPr>
            </w:pPr>
            <w:r>
              <w:rPr>
                <w:rFonts w:hint="eastAsia" w:ascii="宋体" w:hAnsi="宋体" w:eastAsia="宋体" w:cs="宋体"/>
                <w:b/>
                <w:szCs w:val="21"/>
                <w:lang w:val="en-US" w:eastAsia="zh-CN"/>
              </w:rPr>
              <w:t>评分细则</w:t>
            </w:r>
          </w:p>
        </w:tc>
        <w:tc>
          <w:tcPr>
            <w:tcW w:w="1035" w:type="dxa"/>
            <w:vAlign w:val="center"/>
          </w:tcPr>
          <w:p>
            <w:pPr>
              <w:jc w:val="center"/>
              <w:rPr>
                <w:rFonts w:hint="eastAsia" w:ascii="宋体" w:hAnsi="宋体" w:eastAsia="宋体" w:cs="宋体"/>
                <w:b/>
                <w:szCs w:val="21"/>
              </w:rPr>
            </w:pPr>
            <w:r>
              <w:rPr>
                <w:rFonts w:hint="eastAsia" w:ascii="宋体" w:hAnsi="宋体" w:eastAsia="宋体" w:cs="宋体"/>
                <w:b/>
                <w:szCs w:val="21"/>
              </w:rPr>
              <w:t>分值</w:t>
            </w:r>
          </w:p>
        </w:tc>
        <w:tc>
          <w:tcPr>
            <w:tcW w:w="1215" w:type="dxa"/>
            <w:vAlign w:val="center"/>
          </w:tcPr>
          <w:p>
            <w:pPr>
              <w:jc w:val="center"/>
              <w:rPr>
                <w:rFonts w:hint="eastAsia" w:ascii="宋体" w:hAnsi="宋体" w:eastAsia="宋体" w:cs="宋体"/>
                <w:b/>
                <w:szCs w:val="21"/>
              </w:rPr>
            </w:pPr>
            <w:r>
              <w:rPr>
                <w:rFonts w:hint="eastAsia" w:ascii="宋体" w:hAnsi="宋体" w:eastAsia="宋体" w:cs="宋体"/>
                <w:b/>
                <w:szCs w:val="21"/>
                <w:lang w:val="zh-CN"/>
              </w:rPr>
              <w:t>自评</w:t>
            </w:r>
            <w:r>
              <w:rPr>
                <w:rFonts w:hint="eastAsia" w:ascii="宋体" w:hAnsi="宋体" w:eastAsia="宋体" w:cs="宋体"/>
                <w:b/>
                <w:szCs w:val="21"/>
              </w:rPr>
              <w:t>分</w:t>
            </w:r>
          </w:p>
        </w:tc>
        <w:tc>
          <w:tcPr>
            <w:tcW w:w="1635" w:type="dxa"/>
            <w:vAlign w:val="center"/>
          </w:tcPr>
          <w:p>
            <w:pPr>
              <w:jc w:val="center"/>
              <w:rPr>
                <w:rFonts w:hint="eastAsia" w:ascii="宋体" w:hAnsi="宋体" w:eastAsia="宋体" w:cs="宋体"/>
                <w:b/>
                <w:szCs w:val="21"/>
              </w:rPr>
            </w:pPr>
            <w:r>
              <w:rPr>
                <w:rFonts w:hint="eastAsia" w:ascii="宋体" w:hAnsi="宋体" w:eastAsia="宋体" w:cs="宋体"/>
                <w:b/>
                <w:szCs w:val="21"/>
              </w:rPr>
              <w:t>资料所在页码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0" w:type="auto"/>
            <w:vAlign w:val="center"/>
          </w:tcPr>
          <w:p>
            <w:pPr>
              <w:spacing w:line="360" w:lineRule="exact"/>
              <w:jc w:val="center"/>
              <w:rPr>
                <w:rFonts w:ascii="宋体" w:hAnsi="宋体" w:eastAsia="宋体" w:cs="宋体"/>
                <w:szCs w:val="21"/>
              </w:rPr>
            </w:pPr>
          </w:p>
        </w:tc>
        <w:tc>
          <w:tcPr>
            <w:tcW w:w="3721" w:type="dxa"/>
            <w:vAlign w:val="center"/>
          </w:tcPr>
          <w:p>
            <w:pPr>
              <w:adjustRightInd w:val="0"/>
              <w:snapToGrid w:val="0"/>
              <w:spacing w:line="360" w:lineRule="exact"/>
              <w:ind w:left="210" w:hanging="210" w:hangingChars="100"/>
              <w:rPr>
                <w:rFonts w:ascii="宋体" w:hAnsi="宋体" w:eastAsia="宋体" w:cs="宋体"/>
                <w:szCs w:val="21"/>
              </w:rPr>
            </w:pPr>
          </w:p>
        </w:tc>
        <w:tc>
          <w:tcPr>
            <w:tcW w:w="1035" w:type="dxa"/>
            <w:vAlign w:val="center"/>
          </w:tcPr>
          <w:p>
            <w:pPr>
              <w:adjustRightInd w:val="0"/>
              <w:snapToGrid w:val="0"/>
              <w:jc w:val="center"/>
              <w:rPr>
                <w:rFonts w:ascii="宋体" w:hAnsi="宋体" w:eastAsia="宋体" w:cs="宋体"/>
                <w:szCs w:val="21"/>
              </w:rPr>
            </w:pPr>
          </w:p>
        </w:tc>
        <w:tc>
          <w:tcPr>
            <w:tcW w:w="1215" w:type="dxa"/>
            <w:vAlign w:val="center"/>
          </w:tcPr>
          <w:p>
            <w:pPr>
              <w:spacing w:line="360" w:lineRule="exact"/>
              <w:ind w:leftChars="-200" w:hanging="420" w:hangingChars="200"/>
              <w:jc w:val="left"/>
              <w:rPr>
                <w:rFonts w:ascii="宋体" w:hAnsi="宋体" w:eastAsia="宋体" w:cs="宋体"/>
                <w:szCs w:val="21"/>
                <w:u w:val="double"/>
              </w:rPr>
            </w:pPr>
          </w:p>
        </w:tc>
        <w:tc>
          <w:tcPr>
            <w:tcW w:w="1635" w:type="dxa"/>
            <w:vAlign w:val="center"/>
          </w:tcPr>
          <w:p>
            <w:pPr>
              <w:spacing w:line="360" w:lineRule="exact"/>
              <w:ind w:leftChars="-200" w:hanging="420" w:hangingChars="200"/>
              <w:jc w:val="left"/>
              <w:rPr>
                <w:rFonts w:ascii="宋体" w:hAnsi="宋体" w:eastAsia="宋体" w:cs="宋体"/>
                <w:szCs w:val="21"/>
                <w:u w:val="doubl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0" w:type="auto"/>
            <w:vAlign w:val="center"/>
          </w:tcPr>
          <w:p>
            <w:pPr>
              <w:spacing w:line="360" w:lineRule="exact"/>
              <w:jc w:val="center"/>
              <w:rPr>
                <w:rFonts w:ascii="宋体" w:hAnsi="宋体" w:eastAsia="宋体" w:cs="宋体"/>
                <w:szCs w:val="21"/>
              </w:rPr>
            </w:pPr>
          </w:p>
        </w:tc>
        <w:tc>
          <w:tcPr>
            <w:tcW w:w="3721" w:type="dxa"/>
            <w:vAlign w:val="center"/>
          </w:tcPr>
          <w:p>
            <w:pPr>
              <w:adjustRightInd w:val="0"/>
              <w:snapToGrid w:val="0"/>
              <w:spacing w:line="360" w:lineRule="exact"/>
              <w:rPr>
                <w:rFonts w:ascii="宋体" w:hAnsi="宋体" w:eastAsia="宋体" w:cs="宋体"/>
                <w:szCs w:val="21"/>
              </w:rPr>
            </w:pPr>
          </w:p>
        </w:tc>
        <w:tc>
          <w:tcPr>
            <w:tcW w:w="1035" w:type="dxa"/>
            <w:vAlign w:val="center"/>
          </w:tcPr>
          <w:p>
            <w:pPr>
              <w:adjustRightInd w:val="0"/>
              <w:snapToGrid w:val="0"/>
              <w:jc w:val="center"/>
              <w:rPr>
                <w:rFonts w:ascii="宋体" w:hAnsi="宋体" w:eastAsia="宋体" w:cs="宋体"/>
                <w:szCs w:val="21"/>
              </w:rPr>
            </w:pPr>
          </w:p>
        </w:tc>
        <w:tc>
          <w:tcPr>
            <w:tcW w:w="1215" w:type="dxa"/>
            <w:vAlign w:val="center"/>
          </w:tcPr>
          <w:p>
            <w:pPr>
              <w:spacing w:line="360" w:lineRule="exact"/>
              <w:jc w:val="left"/>
              <w:rPr>
                <w:rFonts w:ascii="宋体" w:hAnsi="宋体" w:eastAsia="宋体" w:cs="宋体"/>
                <w:szCs w:val="21"/>
                <w:u w:val="double"/>
              </w:rPr>
            </w:pPr>
          </w:p>
        </w:tc>
        <w:tc>
          <w:tcPr>
            <w:tcW w:w="1635" w:type="dxa"/>
            <w:vAlign w:val="center"/>
          </w:tcPr>
          <w:p>
            <w:pPr>
              <w:spacing w:line="360" w:lineRule="exact"/>
              <w:jc w:val="left"/>
              <w:rPr>
                <w:rFonts w:ascii="宋体" w:hAnsi="宋体" w:eastAsia="宋体" w:cs="宋体"/>
                <w:szCs w:val="21"/>
                <w:u w:val="doubl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0" w:type="auto"/>
            <w:vAlign w:val="center"/>
          </w:tcPr>
          <w:p>
            <w:pPr>
              <w:spacing w:line="360" w:lineRule="exact"/>
              <w:rPr>
                <w:rFonts w:ascii="宋体" w:hAnsi="宋体" w:eastAsia="宋体" w:cs="宋体"/>
                <w:szCs w:val="21"/>
                <w:shd w:val="clear" w:color="auto" w:fill="D9D9D9"/>
              </w:rPr>
            </w:pPr>
          </w:p>
        </w:tc>
        <w:tc>
          <w:tcPr>
            <w:tcW w:w="3721" w:type="dxa"/>
            <w:vAlign w:val="center"/>
          </w:tcPr>
          <w:p>
            <w:pPr>
              <w:adjustRightInd w:val="0"/>
              <w:snapToGrid w:val="0"/>
              <w:spacing w:line="360" w:lineRule="exact"/>
              <w:textAlignment w:val="baseline"/>
              <w:rPr>
                <w:rFonts w:ascii="宋体" w:hAnsi="宋体" w:eastAsia="宋体" w:cs="宋体"/>
                <w:szCs w:val="21"/>
              </w:rPr>
            </w:pPr>
          </w:p>
        </w:tc>
        <w:tc>
          <w:tcPr>
            <w:tcW w:w="1035" w:type="dxa"/>
            <w:vAlign w:val="center"/>
          </w:tcPr>
          <w:p>
            <w:pPr>
              <w:adjustRightInd w:val="0"/>
              <w:snapToGrid w:val="0"/>
              <w:jc w:val="center"/>
              <w:textAlignment w:val="baseline"/>
              <w:rPr>
                <w:rFonts w:ascii="宋体" w:hAnsi="宋体" w:eastAsia="宋体" w:cs="宋体"/>
                <w:szCs w:val="21"/>
              </w:rPr>
            </w:pPr>
          </w:p>
        </w:tc>
        <w:tc>
          <w:tcPr>
            <w:tcW w:w="1215" w:type="dxa"/>
            <w:vAlign w:val="center"/>
          </w:tcPr>
          <w:p>
            <w:pPr>
              <w:spacing w:line="360" w:lineRule="exact"/>
              <w:jc w:val="left"/>
              <w:rPr>
                <w:rFonts w:ascii="宋体" w:hAnsi="宋体" w:eastAsia="宋体" w:cs="宋体"/>
                <w:szCs w:val="21"/>
              </w:rPr>
            </w:pPr>
          </w:p>
        </w:tc>
        <w:tc>
          <w:tcPr>
            <w:tcW w:w="1635" w:type="dxa"/>
            <w:vAlign w:val="center"/>
          </w:tcPr>
          <w:p>
            <w:pPr>
              <w:spacing w:line="360" w:lineRule="exact"/>
              <w:jc w:val="left"/>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0" w:type="auto"/>
            <w:vAlign w:val="center"/>
          </w:tcPr>
          <w:p>
            <w:pPr>
              <w:spacing w:line="360" w:lineRule="exact"/>
              <w:rPr>
                <w:rFonts w:ascii="宋体" w:hAnsi="宋体" w:eastAsia="宋体" w:cs="宋体"/>
                <w:szCs w:val="21"/>
                <w:shd w:val="clear" w:color="auto" w:fill="D9D9D9"/>
              </w:rPr>
            </w:pPr>
          </w:p>
        </w:tc>
        <w:tc>
          <w:tcPr>
            <w:tcW w:w="3721" w:type="dxa"/>
            <w:vAlign w:val="center"/>
          </w:tcPr>
          <w:p>
            <w:pPr>
              <w:adjustRightInd w:val="0"/>
              <w:snapToGrid w:val="0"/>
              <w:spacing w:line="360" w:lineRule="exact"/>
              <w:textAlignment w:val="baseline"/>
              <w:rPr>
                <w:rFonts w:ascii="宋体" w:hAnsi="宋体" w:eastAsia="宋体" w:cs="宋体"/>
                <w:szCs w:val="21"/>
              </w:rPr>
            </w:pPr>
          </w:p>
        </w:tc>
        <w:tc>
          <w:tcPr>
            <w:tcW w:w="1035" w:type="dxa"/>
            <w:vAlign w:val="center"/>
          </w:tcPr>
          <w:p>
            <w:pPr>
              <w:adjustRightInd w:val="0"/>
              <w:snapToGrid w:val="0"/>
              <w:jc w:val="center"/>
              <w:textAlignment w:val="baseline"/>
              <w:rPr>
                <w:rFonts w:ascii="宋体" w:hAnsi="宋体" w:eastAsia="宋体" w:cs="宋体"/>
                <w:szCs w:val="21"/>
              </w:rPr>
            </w:pPr>
          </w:p>
        </w:tc>
        <w:tc>
          <w:tcPr>
            <w:tcW w:w="1215" w:type="dxa"/>
            <w:vAlign w:val="center"/>
          </w:tcPr>
          <w:p>
            <w:pPr>
              <w:spacing w:line="360" w:lineRule="exact"/>
              <w:jc w:val="left"/>
              <w:rPr>
                <w:rFonts w:ascii="宋体" w:hAnsi="宋体" w:eastAsia="宋体" w:cs="宋体"/>
                <w:szCs w:val="21"/>
              </w:rPr>
            </w:pPr>
          </w:p>
        </w:tc>
        <w:tc>
          <w:tcPr>
            <w:tcW w:w="1635" w:type="dxa"/>
            <w:vAlign w:val="center"/>
          </w:tcPr>
          <w:p>
            <w:pPr>
              <w:spacing w:line="360" w:lineRule="exact"/>
              <w:jc w:val="left"/>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0" w:type="auto"/>
            <w:vAlign w:val="center"/>
          </w:tcPr>
          <w:p>
            <w:pPr>
              <w:spacing w:line="360" w:lineRule="exact"/>
              <w:rPr>
                <w:rFonts w:ascii="宋体" w:hAnsi="宋体" w:eastAsia="宋体" w:cs="宋体"/>
                <w:szCs w:val="21"/>
                <w:shd w:val="clear" w:color="auto" w:fill="D9D9D9"/>
              </w:rPr>
            </w:pPr>
          </w:p>
        </w:tc>
        <w:tc>
          <w:tcPr>
            <w:tcW w:w="3721" w:type="dxa"/>
            <w:vAlign w:val="center"/>
          </w:tcPr>
          <w:p>
            <w:pPr>
              <w:adjustRightInd w:val="0"/>
              <w:snapToGrid w:val="0"/>
              <w:spacing w:line="360" w:lineRule="exact"/>
              <w:textAlignment w:val="baseline"/>
              <w:rPr>
                <w:rFonts w:ascii="宋体" w:hAnsi="宋体" w:eastAsia="宋体" w:cs="宋体"/>
                <w:szCs w:val="21"/>
              </w:rPr>
            </w:pPr>
          </w:p>
        </w:tc>
        <w:tc>
          <w:tcPr>
            <w:tcW w:w="1035" w:type="dxa"/>
            <w:vAlign w:val="center"/>
          </w:tcPr>
          <w:p>
            <w:pPr>
              <w:adjustRightInd w:val="0"/>
              <w:snapToGrid w:val="0"/>
              <w:jc w:val="center"/>
              <w:textAlignment w:val="baseline"/>
              <w:rPr>
                <w:rFonts w:ascii="宋体" w:hAnsi="宋体" w:eastAsia="宋体" w:cs="宋体"/>
                <w:szCs w:val="21"/>
              </w:rPr>
            </w:pPr>
          </w:p>
        </w:tc>
        <w:tc>
          <w:tcPr>
            <w:tcW w:w="1215" w:type="dxa"/>
            <w:vAlign w:val="center"/>
          </w:tcPr>
          <w:p>
            <w:pPr>
              <w:spacing w:line="360" w:lineRule="exact"/>
              <w:jc w:val="left"/>
              <w:rPr>
                <w:rFonts w:ascii="宋体" w:hAnsi="宋体" w:eastAsia="宋体" w:cs="宋体"/>
                <w:szCs w:val="21"/>
              </w:rPr>
            </w:pPr>
          </w:p>
        </w:tc>
        <w:tc>
          <w:tcPr>
            <w:tcW w:w="1635" w:type="dxa"/>
            <w:vAlign w:val="center"/>
          </w:tcPr>
          <w:p>
            <w:pPr>
              <w:spacing w:line="360" w:lineRule="exact"/>
              <w:jc w:val="left"/>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0" w:type="auto"/>
            <w:vAlign w:val="center"/>
          </w:tcPr>
          <w:p>
            <w:pPr>
              <w:spacing w:line="360" w:lineRule="exact"/>
              <w:rPr>
                <w:rFonts w:ascii="宋体" w:hAnsi="宋体" w:eastAsia="宋体" w:cs="宋体"/>
                <w:szCs w:val="21"/>
                <w:shd w:val="clear" w:color="auto" w:fill="D9D9D9"/>
              </w:rPr>
            </w:pPr>
          </w:p>
        </w:tc>
        <w:tc>
          <w:tcPr>
            <w:tcW w:w="3721" w:type="dxa"/>
            <w:vAlign w:val="center"/>
          </w:tcPr>
          <w:p>
            <w:pPr>
              <w:adjustRightInd w:val="0"/>
              <w:snapToGrid w:val="0"/>
              <w:spacing w:line="360" w:lineRule="exact"/>
              <w:textAlignment w:val="baseline"/>
              <w:rPr>
                <w:rFonts w:ascii="宋体" w:hAnsi="宋体" w:eastAsia="宋体" w:cs="宋体"/>
                <w:szCs w:val="21"/>
              </w:rPr>
            </w:pPr>
          </w:p>
        </w:tc>
        <w:tc>
          <w:tcPr>
            <w:tcW w:w="1035" w:type="dxa"/>
            <w:vAlign w:val="center"/>
          </w:tcPr>
          <w:p>
            <w:pPr>
              <w:adjustRightInd w:val="0"/>
              <w:snapToGrid w:val="0"/>
              <w:jc w:val="center"/>
              <w:textAlignment w:val="baseline"/>
              <w:rPr>
                <w:rFonts w:ascii="宋体" w:hAnsi="宋体" w:eastAsia="宋体" w:cs="宋体"/>
                <w:szCs w:val="21"/>
              </w:rPr>
            </w:pPr>
          </w:p>
        </w:tc>
        <w:tc>
          <w:tcPr>
            <w:tcW w:w="1215" w:type="dxa"/>
            <w:vAlign w:val="center"/>
          </w:tcPr>
          <w:p>
            <w:pPr>
              <w:spacing w:line="360" w:lineRule="exact"/>
              <w:jc w:val="left"/>
              <w:rPr>
                <w:rFonts w:ascii="宋体" w:hAnsi="宋体" w:eastAsia="宋体" w:cs="宋体"/>
                <w:szCs w:val="21"/>
              </w:rPr>
            </w:pPr>
          </w:p>
        </w:tc>
        <w:tc>
          <w:tcPr>
            <w:tcW w:w="1635" w:type="dxa"/>
            <w:vAlign w:val="center"/>
          </w:tcPr>
          <w:p>
            <w:pPr>
              <w:spacing w:line="360" w:lineRule="exact"/>
              <w:jc w:val="left"/>
              <w:rPr>
                <w:rFonts w:ascii="宋体" w:hAnsi="宋体" w:eastAsia="宋体" w:cs="宋体"/>
                <w:szCs w:val="21"/>
              </w:rPr>
            </w:pPr>
          </w:p>
        </w:tc>
      </w:tr>
    </w:tbl>
    <w:p>
      <w:pPr>
        <w:widowControl/>
        <w:ind w:firstLine="422" w:firstLineChars="200"/>
        <w:jc w:val="left"/>
        <w:rPr>
          <w:rFonts w:ascii="宋体" w:hAnsi="宋体" w:eastAsia="宋体" w:cs="宋体"/>
          <w:szCs w:val="21"/>
        </w:rPr>
      </w:pPr>
      <w:r>
        <w:rPr>
          <w:rFonts w:hint="eastAsia" w:ascii="宋体" w:hAnsi="宋体" w:eastAsia="宋体" w:cs="宋体"/>
          <w:b/>
          <w:bCs/>
          <w:szCs w:val="21"/>
        </w:rPr>
        <w:t>注：以上表格中各项可进一步细分，栏数不够可自加。</w:t>
      </w: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adjustRightInd w:val="0"/>
        <w:snapToGrid w:val="0"/>
        <w:spacing w:line="360" w:lineRule="auto"/>
        <w:ind w:firstLine="420" w:firstLineChars="200"/>
        <w:rPr>
          <w:rFonts w:ascii="宋体" w:hAnsi="宋体" w:eastAsia="宋体" w:cs="宋体"/>
          <w:kern w:val="0"/>
          <w:szCs w:val="21"/>
          <w:lang w:val="zh-TW" w:eastAsia="zh-TW"/>
        </w:rPr>
      </w:pPr>
      <w:r>
        <w:rPr>
          <w:rFonts w:hint="eastAsia" w:ascii="宋体" w:hAnsi="宋体" w:eastAsia="宋体" w:cs="宋体"/>
          <w:kern w:val="0"/>
          <w:szCs w:val="21"/>
          <w:lang w:val="zh-CN"/>
        </w:rPr>
        <w:t>投标人</w:t>
      </w:r>
      <w:r>
        <w:rPr>
          <w:rFonts w:hint="eastAsia" w:ascii="宋体" w:hAnsi="宋体" w:eastAsia="宋体" w:cs="宋体"/>
          <w:szCs w:val="21"/>
        </w:rPr>
        <w:t>：</w:t>
      </w:r>
      <w:r>
        <w:rPr>
          <w:rFonts w:hint="eastAsia" w:ascii="宋体" w:hAnsi="宋体" w:eastAsia="宋体" w:cs="宋体"/>
          <w:szCs w:val="21"/>
          <w:u w:val="single"/>
        </w:rPr>
        <w:t>（全称加盖公章）</w:t>
      </w:r>
    </w:p>
    <w:p>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lang w:val="zh-TW" w:eastAsia="zh-TW"/>
        </w:rPr>
        <w:t>法定代表人（或</w:t>
      </w:r>
      <w:r>
        <w:rPr>
          <w:rFonts w:hint="eastAsia" w:ascii="宋体" w:hAnsi="宋体" w:eastAsia="宋体" w:cs="宋体"/>
          <w:szCs w:val="21"/>
        </w:rPr>
        <w:t>授权代表</w:t>
      </w:r>
      <w:r>
        <w:rPr>
          <w:rFonts w:hint="eastAsia" w:ascii="宋体" w:hAnsi="宋体" w:eastAsia="宋体" w:cs="宋体"/>
          <w:kern w:val="0"/>
          <w:szCs w:val="21"/>
          <w:lang w:val="zh-TW" w:eastAsia="zh-TW"/>
        </w:rPr>
        <w:t>）</w:t>
      </w:r>
      <w:r>
        <w:rPr>
          <w:rFonts w:hint="eastAsia" w:ascii="宋体" w:hAnsi="宋体" w:eastAsia="宋体" w:cs="宋体"/>
          <w:kern w:val="0"/>
          <w:szCs w:val="21"/>
          <w:lang w:val="zh-CN"/>
        </w:rPr>
        <w:t>：</w:t>
      </w:r>
      <w:r>
        <w:rPr>
          <w:rFonts w:hint="eastAsia" w:ascii="宋体" w:hAnsi="宋体" w:eastAsia="宋体" w:cs="宋体"/>
          <w:kern w:val="0"/>
          <w:szCs w:val="21"/>
          <w:u w:val="single"/>
          <w:lang w:val="zh-CN"/>
        </w:rPr>
        <w:t xml:space="preserve">（签字或盖章） </w:t>
      </w:r>
    </w:p>
    <w:p>
      <w:pPr>
        <w:adjustRightInd w:val="0"/>
        <w:snapToGrid w:val="0"/>
        <w:spacing w:line="360" w:lineRule="auto"/>
        <w:ind w:firstLine="420" w:firstLineChars="200"/>
        <w:rPr>
          <w:rFonts w:ascii="宋体" w:hAnsi="宋体" w:eastAsia="宋体" w:cs="宋体"/>
          <w:kern w:val="0"/>
          <w:szCs w:val="21"/>
          <w:lang w:val="zh-CN"/>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月</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日</w:t>
      </w: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spacing w:line="256" w:lineRule="exact"/>
        <w:rPr>
          <w:rFonts w:ascii="宋体" w:hAnsi="宋体" w:eastAsia="宋体" w:cs="宋体"/>
          <w:b/>
          <w:bCs/>
          <w:szCs w:val="21"/>
        </w:rPr>
      </w:pPr>
    </w:p>
    <w:p>
      <w:pPr>
        <w:autoSpaceDE w:val="0"/>
        <w:autoSpaceDN w:val="0"/>
        <w:adjustRightInd w:val="0"/>
        <w:snapToGrid w:val="0"/>
        <w:jc w:val="both"/>
        <w:rPr>
          <w:rFonts w:hint="eastAsia" w:ascii="宋体" w:hAnsi="宋体" w:eastAsia="宋体" w:cs="宋体"/>
          <w:b/>
          <w:bCs/>
          <w:snapToGrid w:val="0"/>
          <w:sz w:val="21"/>
          <w:szCs w:val="21"/>
        </w:rPr>
      </w:pPr>
      <w:r>
        <w:rPr>
          <w:rFonts w:hint="eastAsia" w:ascii="宋体" w:hAnsi="宋体" w:eastAsia="宋体" w:cs="宋体"/>
          <w:b/>
          <w:sz w:val="21"/>
          <w:szCs w:val="21"/>
        </w:rPr>
        <w:t>附件</w:t>
      </w:r>
      <w:r>
        <w:rPr>
          <w:rFonts w:hint="eastAsia" w:ascii="宋体" w:hAnsi="宋体" w:eastAsia="宋体" w:cs="宋体"/>
          <w:b/>
          <w:sz w:val="21"/>
          <w:szCs w:val="21"/>
          <w:lang w:val="en-US" w:eastAsia="zh-CN"/>
        </w:rPr>
        <w:t>13</w:t>
      </w:r>
      <w:r>
        <w:rPr>
          <w:rFonts w:hint="eastAsia" w:ascii="宋体" w:hAnsi="宋体" w:eastAsia="宋体" w:cs="宋体"/>
          <w:b/>
          <w:sz w:val="21"/>
          <w:szCs w:val="21"/>
        </w:rPr>
        <w:t>：</w:t>
      </w:r>
      <w:r>
        <w:rPr>
          <w:rFonts w:hint="eastAsia" w:ascii="宋体" w:hAnsi="宋体" w:eastAsia="宋体" w:cs="宋体"/>
          <w:b/>
          <w:bCs/>
          <w:snapToGrid w:val="0"/>
          <w:sz w:val="21"/>
          <w:szCs w:val="21"/>
        </w:rPr>
        <w:t>业绩情况表</w:t>
      </w:r>
    </w:p>
    <w:p>
      <w:pPr>
        <w:rPr>
          <w:rFonts w:hint="eastAsia" w:ascii="宋体" w:hAnsi="宋体" w:eastAsia="宋体" w:cs="宋体"/>
          <w:b/>
          <w:bCs/>
          <w:sz w:val="21"/>
          <w:szCs w:val="21"/>
          <w:lang w:val="zh-CN"/>
        </w:rPr>
      </w:pPr>
    </w:p>
    <w:p>
      <w:pPr>
        <w:autoSpaceDE w:val="0"/>
        <w:autoSpaceDN w:val="0"/>
        <w:adjustRightInd w:val="0"/>
        <w:snapToGrid w:val="0"/>
        <w:jc w:val="center"/>
        <w:rPr>
          <w:rFonts w:hint="eastAsia" w:ascii="宋体" w:hAnsi="宋体" w:eastAsia="宋体" w:cs="宋体"/>
          <w:b/>
          <w:bCs/>
          <w:snapToGrid w:val="0"/>
          <w:sz w:val="21"/>
          <w:szCs w:val="21"/>
        </w:rPr>
      </w:pPr>
      <w:r>
        <w:rPr>
          <w:rFonts w:hint="eastAsia" w:ascii="宋体" w:hAnsi="宋体" w:eastAsia="宋体" w:cs="宋体"/>
          <w:b/>
          <w:bCs/>
          <w:snapToGrid w:val="0"/>
          <w:sz w:val="21"/>
          <w:szCs w:val="21"/>
        </w:rPr>
        <w:t>业绩情况表</w:t>
      </w:r>
    </w:p>
    <w:p>
      <w:pPr>
        <w:snapToGrid w:val="0"/>
        <w:rPr>
          <w:rFonts w:hint="eastAsia" w:ascii="宋体" w:hAnsi="宋体" w:eastAsia="宋体" w:cs="宋体"/>
          <w:snapToGrid w:val="0"/>
          <w:sz w:val="21"/>
          <w:szCs w:val="21"/>
        </w:rPr>
      </w:pPr>
    </w:p>
    <w:p>
      <w:pPr>
        <w:snapToGrid w:val="0"/>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项目名称：                                                 项目编号： </w:t>
      </w:r>
    </w:p>
    <w:tbl>
      <w:tblPr>
        <w:tblStyle w:val="3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22"/>
        <w:gridCol w:w="1272"/>
        <w:gridCol w:w="1272"/>
        <w:gridCol w:w="1272"/>
        <w:gridCol w:w="1414"/>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pPr>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序号</w:t>
            </w:r>
          </w:p>
        </w:tc>
        <w:tc>
          <w:tcPr>
            <w:tcW w:w="2122" w:type="dxa"/>
            <w:noWrap w:val="0"/>
            <w:vAlign w:val="center"/>
          </w:tcPr>
          <w:p>
            <w:pPr>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项目名称</w:t>
            </w:r>
          </w:p>
        </w:tc>
        <w:tc>
          <w:tcPr>
            <w:tcW w:w="1272" w:type="dxa"/>
            <w:noWrap w:val="0"/>
            <w:vAlign w:val="center"/>
          </w:tcPr>
          <w:p>
            <w:pP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项目类型</w:t>
            </w:r>
          </w:p>
        </w:tc>
        <w:tc>
          <w:tcPr>
            <w:tcW w:w="1272" w:type="dxa"/>
            <w:noWrap w:val="0"/>
            <w:vAlign w:val="center"/>
          </w:tcPr>
          <w:p>
            <w:pPr>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项目金额</w:t>
            </w:r>
          </w:p>
          <w:p>
            <w:pPr>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（万元）</w:t>
            </w:r>
          </w:p>
        </w:tc>
        <w:tc>
          <w:tcPr>
            <w:tcW w:w="1272" w:type="dxa"/>
            <w:noWrap w:val="0"/>
            <w:vAlign w:val="center"/>
          </w:tcPr>
          <w:p>
            <w:pPr>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实施时间</w:t>
            </w:r>
          </w:p>
        </w:tc>
        <w:tc>
          <w:tcPr>
            <w:tcW w:w="1414" w:type="dxa"/>
            <w:noWrap w:val="0"/>
            <w:vAlign w:val="center"/>
          </w:tcPr>
          <w:p>
            <w:pPr>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项目单位、联系人及电话</w:t>
            </w:r>
          </w:p>
        </w:tc>
        <w:tc>
          <w:tcPr>
            <w:tcW w:w="1238" w:type="dxa"/>
            <w:noWrap w:val="0"/>
            <w:vAlign w:val="center"/>
          </w:tcPr>
          <w:p>
            <w:pPr>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1</w:t>
            </w:r>
          </w:p>
        </w:tc>
        <w:tc>
          <w:tcPr>
            <w:tcW w:w="212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414"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38"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2</w:t>
            </w:r>
          </w:p>
        </w:tc>
        <w:tc>
          <w:tcPr>
            <w:tcW w:w="212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414"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38"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w:t>
            </w:r>
          </w:p>
        </w:tc>
        <w:tc>
          <w:tcPr>
            <w:tcW w:w="212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414"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38"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w:t>
            </w:r>
          </w:p>
        </w:tc>
        <w:tc>
          <w:tcPr>
            <w:tcW w:w="212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414"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38"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6"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zh-CN"/>
              </w:rPr>
              <w:t>……</w:t>
            </w:r>
          </w:p>
        </w:tc>
        <w:tc>
          <w:tcPr>
            <w:tcW w:w="212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72"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414"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c>
          <w:tcPr>
            <w:tcW w:w="1238" w:type="dxa"/>
            <w:noWrap w:val="0"/>
            <w:vAlign w:val="center"/>
          </w:tcPr>
          <w:p>
            <w:pPr>
              <w:autoSpaceDE w:val="0"/>
              <w:autoSpaceDN w:val="0"/>
              <w:adjustRightInd w:val="0"/>
              <w:spacing w:line="360" w:lineRule="auto"/>
              <w:jc w:val="center"/>
              <w:rPr>
                <w:rFonts w:hint="eastAsia" w:ascii="宋体" w:hAnsi="宋体" w:eastAsia="宋体" w:cs="宋体"/>
                <w:snapToGrid w:val="0"/>
                <w:sz w:val="21"/>
                <w:szCs w:val="21"/>
                <w:lang w:val="zh-CN"/>
              </w:rPr>
            </w:pPr>
          </w:p>
        </w:tc>
      </w:tr>
    </w:tbl>
    <w:p>
      <w:pPr>
        <w:adjustRightInd w:val="0"/>
        <w:snapToGrid w:val="0"/>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lang w:val="zh-CN"/>
        </w:rPr>
        <w:t>注：提供相应</w:t>
      </w:r>
      <w:r>
        <w:rPr>
          <w:rFonts w:hint="eastAsia" w:ascii="宋体" w:hAnsi="宋体" w:eastAsia="宋体" w:cs="宋体"/>
          <w:snapToGrid w:val="0"/>
          <w:sz w:val="21"/>
          <w:szCs w:val="21"/>
        </w:rPr>
        <w:t>的</w:t>
      </w:r>
      <w:r>
        <w:rPr>
          <w:rFonts w:hint="eastAsia" w:ascii="宋体" w:hAnsi="宋体" w:eastAsia="宋体" w:cs="宋体"/>
          <w:snapToGrid w:val="0"/>
          <w:sz w:val="21"/>
          <w:szCs w:val="21"/>
          <w:lang w:val="zh-CN"/>
        </w:rPr>
        <w:t>合同</w:t>
      </w:r>
      <w:r>
        <w:rPr>
          <w:rFonts w:hint="eastAsia" w:ascii="宋体" w:hAnsi="宋体" w:eastAsia="宋体" w:cs="宋体"/>
          <w:sz w:val="21"/>
          <w:szCs w:val="21"/>
        </w:rPr>
        <w:t>原件的扫描件加盖CA签章</w:t>
      </w:r>
      <w:r>
        <w:rPr>
          <w:rFonts w:hint="eastAsia" w:ascii="宋体" w:hAnsi="宋体" w:eastAsia="宋体" w:cs="宋体"/>
          <w:snapToGrid w:val="0"/>
          <w:sz w:val="21"/>
          <w:szCs w:val="21"/>
          <w:lang w:val="zh-CN"/>
        </w:rPr>
        <w:t>。此表不够可自行添加。</w:t>
      </w:r>
    </w:p>
    <w:p>
      <w:pPr>
        <w:spacing w:line="360" w:lineRule="exact"/>
        <w:rPr>
          <w:rFonts w:ascii="宋体" w:hAnsi="宋体" w:cs="宋体"/>
          <w:szCs w:val="21"/>
        </w:rPr>
      </w:pPr>
    </w:p>
    <w:p>
      <w:pPr>
        <w:spacing w:line="360" w:lineRule="exact"/>
        <w:ind w:firstLine="4830" w:firstLineChars="2300"/>
        <w:rPr>
          <w:rFonts w:ascii="宋体" w:hAnsi="宋体" w:cs="宋体"/>
          <w:szCs w:val="21"/>
        </w:rPr>
      </w:pPr>
    </w:p>
    <w:p>
      <w:pPr>
        <w:adjustRightInd w:val="0"/>
        <w:snapToGrid w:val="0"/>
        <w:spacing w:line="360" w:lineRule="auto"/>
        <w:rPr>
          <w:rFonts w:ascii="宋体" w:hAnsi="宋体" w:eastAsia="宋体" w:cs="宋体"/>
          <w:kern w:val="0"/>
          <w:szCs w:val="21"/>
          <w:lang w:val="zh-TW" w:eastAsia="zh-TW"/>
        </w:rPr>
      </w:pPr>
      <w:r>
        <w:rPr>
          <w:rFonts w:hint="eastAsia" w:ascii="宋体" w:hAnsi="宋体" w:eastAsia="宋体" w:cs="宋体"/>
          <w:kern w:val="0"/>
          <w:szCs w:val="21"/>
          <w:lang w:val="zh-CN"/>
        </w:rPr>
        <w:t>投标人</w:t>
      </w:r>
      <w:r>
        <w:rPr>
          <w:rFonts w:hint="eastAsia" w:ascii="宋体" w:hAnsi="宋体" w:eastAsia="宋体" w:cs="宋体"/>
          <w:szCs w:val="21"/>
        </w:rPr>
        <w:t>：</w:t>
      </w:r>
      <w:r>
        <w:rPr>
          <w:rFonts w:hint="eastAsia" w:ascii="宋体" w:hAnsi="宋体" w:eastAsia="宋体" w:cs="宋体"/>
          <w:szCs w:val="21"/>
          <w:u w:val="single"/>
        </w:rPr>
        <w:t>（全称加盖公章）</w:t>
      </w:r>
    </w:p>
    <w:p>
      <w:pPr>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lang w:val="zh-TW" w:eastAsia="zh-TW"/>
        </w:rPr>
        <w:t>法定代表人（或</w:t>
      </w:r>
      <w:r>
        <w:rPr>
          <w:rFonts w:hint="eastAsia" w:ascii="宋体" w:hAnsi="宋体" w:eastAsia="宋体" w:cs="宋体"/>
          <w:szCs w:val="21"/>
        </w:rPr>
        <w:t>授权代表</w:t>
      </w:r>
      <w:r>
        <w:rPr>
          <w:rFonts w:hint="eastAsia" w:ascii="宋体" w:hAnsi="宋体" w:eastAsia="宋体" w:cs="宋体"/>
          <w:kern w:val="0"/>
          <w:szCs w:val="21"/>
          <w:lang w:val="zh-TW" w:eastAsia="zh-TW"/>
        </w:rPr>
        <w:t>）</w:t>
      </w:r>
      <w:r>
        <w:rPr>
          <w:rFonts w:hint="eastAsia" w:ascii="宋体" w:hAnsi="宋体" w:eastAsia="宋体" w:cs="宋体"/>
          <w:kern w:val="0"/>
          <w:szCs w:val="21"/>
          <w:lang w:val="zh-CN"/>
        </w:rPr>
        <w:t>：</w:t>
      </w:r>
      <w:r>
        <w:rPr>
          <w:rFonts w:hint="eastAsia" w:ascii="宋体" w:hAnsi="宋体" w:eastAsia="宋体" w:cs="宋体"/>
          <w:kern w:val="0"/>
          <w:szCs w:val="21"/>
          <w:u w:val="single"/>
          <w:lang w:val="zh-CN"/>
        </w:rPr>
        <w:t xml:space="preserve">（签字或盖章） </w:t>
      </w:r>
    </w:p>
    <w:p>
      <w:pPr>
        <w:adjustRightInd w:val="0"/>
        <w:snapToGrid w:val="0"/>
        <w:spacing w:line="360" w:lineRule="auto"/>
        <w:rPr>
          <w:rFonts w:ascii="宋体" w:hAnsi="宋体" w:eastAsia="宋体" w:cs="宋体"/>
          <w:kern w:val="0"/>
          <w:szCs w:val="21"/>
          <w:lang w:val="zh-CN"/>
        </w:rPr>
      </w:pPr>
      <w:r>
        <w:rPr>
          <w:rFonts w:hint="eastAsia" w:ascii="宋体" w:hAnsi="宋体" w:eastAsia="宋体" w:cs="宋体"/>
          <w:kern w:val="0"/>
          <w:szCs w:val="21"/>
          <w:lang w:val="zh-CN"/>
        </w:rPr>
        <w:t>日</w:t>
      </w:r>
      <w:r>
        <w:rPr>
          <w:rFonts w:hint="eastAsia" w:ascii="宋体" w:hAnsi="宋体" w:eastAsia="宋体" w:cs="宋体"/>
          <w:kern w:val="0"/>
          <w:szCs w:val="21"/>
        </w:rPr>
        <w:t xml:space="preserve">    </w:t>
      </w:r>
      <w:r>
        <w:rPr>
          <w:rFonts w:hint="eastAsia" w:ascii="宋体" w:hAnsi="宋体" w:eastAsia="宋体" w:cs="宋体"/>
          <w:kern w:val="0"/>
          <w:szCs w:val="21"/>
          <w:lang w:val="zh-CN"/>
        </w:rPr>
        <w:t>期</w:t>
      </w: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年</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lang w:val="zh-CN"/>
        </w:rPr>
        <w:t>月</w:t>
      </w:r>
      <w:r>
        <w:rPr>
          <w:rFonts w:hint="eastAsia" w:ascii="宋体" w:hAnsi="宋体" w:eastAsia="宋体" w:cs="宋体"/>
          <w:kern w:val="0"/>
          <w:szCs w:val="21"/>
          <w:u w:val="single"/>
          <w:lang w:val="zh-CN"/>
        </w:rPr>
        <w:t xml:space="preserve">    </w:t>
      </w:r>
      <w:r>
        <w:rPr>
          <w:rFonts w:hint="eastAsia" w:ascii="宋体" w:hAnsi="宋体" w:eastAsia="宋体" w:cs="宋体"/>
          <w:kern w:val="0"/>
          <w:szCs w:val="21"/>
          <w:lang w:val="zh-CN"/>
        </w:rPr>
        <w:t>日</w:t>
      </w:r>
    </w:p>
    <w:p>
      <w:pPr>
        <w:spacing w:line="460" w:lineRule="exact"/>
        <w:rPr>
          <w:rFonts w:ascii="宋体" w:hAnsi="宋体" w:cs="宋体"/>
          <w:b/>
          <w:szCs w:val="21"/>
        </w:rPr>
      </w:pPr>
    </w:p>
    <w:p>
      <w:pPr>
        <w:spacing w:line="500" w:lineRule="exact"/>
        <w:rPr>
          <w:rFonts w:ascii="宋体" w:hAnsi="宋体" w:cs="宋体"/>
          <w:szCs w:val="21"/>
        </w:rPr>
      </w:pPr>
    </w:p>
    <w:p>
      <w:pPr>
        <w:pStyle w:val="33"/>
        <w:rPr>
          <w:rFonts w:ascii="宋体" w:hAnsi="宋体" w:cs="宋体"/>
          <w:szCs w:val="21"/>
        </w:rPr>
      </w:pPr>
    </w:p>
    <w:p>
      <w:pPr>
        <w:pStyle w:val="13"/>
        <w:rPr>
          <w:rFonts w:ascii="宋体" w:hAnsi="宋体" w:cs="宋体"/>
          <w:szCs w:val="21"/>
        </w:rPr>
      </w:pPr>
    </w:p>
    <w:p>
      <w:pPr>
        <w:rPr>
          <w:rFonts w:ascii="宋体" w:hAnsi="宋体" w:cs="宋体"/>
          <w:szCs w:val="21"/>
        </w:rPr>
      </w:pPr>
    </w:p>
    <w:p>
      <w:pPr>
        <w:pStyle w:val="33"/>
        <w:rPr>
          <w:rFonts w:ascii="宋体" w:hAnsi="宋体" w:cs="宋体"/>
          <w:szCs w:val="21"/>
        </w:rPr>
      </w:pPr>
    </w:p>
    <w:p>
      <w:pPr>
        <w:pStyle w:val="13"/>
        <w:rPr>
          <w:rFonts w:ascii="宋体" w:hAnsi="宋体" w:cs="宋体"/>
          <w:szCs w:val="21"/>
        </w:rPr>
      </w:pPr>
    </w:p>
    <w:p>
      <w:pPr>
        <w:rPr>
          <w:rFonts w:ascii="宋体" w:hAnsi="宋体" w:cs="宋体"/>
          <w:szCs w:val="21"/>
        </w:rPr>
      </w:pPr>
    </w:p>
    <w:p>
      <w:pPr>
        <w:pStyle w:val="13"/>
        <w:ind w:left="0" w:leftChars="0" w:firstLine="0" w:firstLineChars="0"/>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7"/>
      </w:pPr>
      <w:bookmarkStart w:id="53" w:name="_GoBack"/>
      <w:bookmarkEnd w:id="53"/>
    </w:p>
    <w:p>
      <w:pPr>
        <w:autoSpaceDE w:val="0"/>
        <w:autoSpaceDN w:val="0"/>
        <w:adjustRightInd w:val="0"/>
        <w:snapToGrid w:val="0"/>
        <w:jc w:val="both"/>
        <w:rPr>
          <w:rFonts w:hint="eastAsia" w:ascii="宋体" w:hAnsi="宋体" w:eastAsia="宋体" w:cs="宋体"/>
          <w:b/>
          <w:bCs/>
          <w:snapToGrid w:val="0"/>
          <w:sz w:val="21"/>
          <w:szCs w:val="21"/>
        </w:rPr>
      </w:pPr>
      <w:r>
        <w:rPr>
          <w:rFonts w:hint="eastAsia" w:ascii="宋体" w:hAnsi="宋体" w:eastAsia="宋体" w:cs="宋体"/>
          <w:b/>
          <w:sz w:val="21"/>
          <w:szCs w:val="21"/>
        </w:rPr>
        <w:t>附件</w:t>
      </w:r>
      <w:r>
        <w:rPr>
          <w:rFonts w:hint="eastAsia" w:ascii="宋体" w:hAnsi="宋体" w:eastAsia="宋体" w:cs="宋体"/>
          <w:b/>
          <w:sz w:val="21"/>
          <w:szCs w:val="21"/>
          <w:lang w:val="en-US" w:eastAsia="zh-CN"/>
        </w:rPr>
        <w:t>14</w:t>
      </w:r>
      <w:r>
        <w:rPr>
          <w:rFonts w:hint="eastAsia" w:ascii="宋体" w:hAnsi="宋体" w:eastAsia="宋体" w:cs="宋体"/>
          <w:b/>
          <w:sz w:val="21"/>
          <w:szCs w:val="21"/>
        </w:rPr>
        <w:t>：</w:t>
      </w:r>
      <w:r>
        <w:rPr>
          <w:rFonts w:hint="eastAsia" w:ascii="宋体" w:hAnsi="宋体" w:eastAsia="宋体" w:cs="宋体"/>
          <w:b/>
          <w:bCs/>
          <w:snapToGrid w:val="0"/>
          <w:sz w:val="21"/>
          <w:szCs w:val="21"/>
          <w:lang w:val="en-US" w:eastAsia="zh-CN"/>
        </w:rPr>
        <w:t>偏离表</w:t>
      </w:r>
    </w:p>
    <w:p>
      <w:pPr>
        <w:snapToGrid w:val="0"/>
        <w:spacing w:line="300" w:lineRule="auto"/>
        <w:jc w:val="center"/>
        <w:rPr>
          <w:rFonts w:ascii="宋体" w:hAnsi="宋体" w:cs="宋体"/>
          <w:b/>
          <w:bCs/>
          <w:color w:val="auto"/>
          <w:sz w:val="28"/>
          <w:szCs w:val="36"/>
          <w:highlight w:val="none"/>
        </w:rPr>
      </w:pPr>
      <w:r>
        <w:rPr>
          <w:rFonts w:ascii="宋体" w:hAnsi="宋体" w:cs="宋体"/>
          <w:b/>
          <w:bCs/>
          <w:color w:val="auto"/>
          <w:sz w:val="28"/>
          <w:szCs w:val="36"/>
          <w:highlight w:val="none"/>
        </w:rPr>
        <w:t>偏离表</w:t>
      </w:r>
    </w:p>
    <w:p>
      <w:pPr>
        <w:snapToGrid w:val="0"/>
        <w:spacing w:line="300" w:lineRule="auto"/>
        <w:rPr>
          <w:rFonts w:ascii="宋体" w:hAnsi="宋体" w:cs="宋体"/>
          <w:color w:val="auto"/>
          <w:sz w:val="24"/>
          <w:highlight w:val="none"/>
        </w:rPr>
      </w:pPr>
      <w:r>
        <w:rPr>
          <w:rFonts w:ascii="宋体" w:hAnsi="宋体" w:cs="宋体"/>
          <w:color w:val="auto"/>
          <w:sz w:val="24"/>
          <w:highlight w:val="none"/>
        </w:rPr>
        <w:t>采购人：</w:t>
      </w:r>
    </w:p>
    <w:p>
      <w:pPr>
        <w:snapToGrid w:val="0"/>
        <w:spacing w:line="300" w:lineRule="auto"/>
        <w:rPr>
          <w:rFonts w:ascii="宋体" w:hAnsi="宋体" w:cs="宋体"/>
          <w:color w:val="auto"/>
          <w:sz w:val="24"/>
          <w:highlight w:val="none"/>
        </w:rPr>
      </w:pPr>
      <w:r>
        <w:rPr>
          <w:rFonts w:ascii="宋体" w:hAnsi="宋体" w:cs="宋体"/>
          <w:color w:val="auto"/>
          <w:sz w:val="24"/>
          <w:highlight w:val="none"/>
        </w:rPr>
        <w:t>项目名称：</w:t>
      </w:r>
    </w:p>
    <w:p>
      <w:pPr>
        <w:snapToGrid w:val="0"/>
        <w:spacing w:line="300" w:lineRule="auto"/>
        <w:rPr>
          <w:rFonts w:ascii="宋体" w:hAnsi="宋体" w:cs="宋体"/>
          <w:color w:val="auto"/>
          <w:sz w:val="24"/>
          <w:highlight w:val="none"/>
        </w:rPr>
      </w:pPr>
      <w:r>
        <w:rPr>
          <w:rFonts w:ascii="宋体" w:hAnsi="宋体" w:cs="宋体"/>
          <w:color w:val="auto"/>
          <w:sz w:val="24"/>
          <w:highlight w:val="none"/>
        </w:rPr>
        <w:t>项目编号：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59"/>
        <w:gridCol w:w="2340"/>
        <w:gridCol w:w="28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z w:val="24"/>
                <w:highlight w:val="none"/>
              </w:rPr>
            </w:pPr>
            <w:r>
              <w:rPr>
                <w:rFonts w:ascii="宋体" w:hAnsi="宋体" w:cs="宋体"/>
                <w:color w:val="auto"/>
                <w:sz w:val="24"/>
                <w:highlight w:val="none"/>
              </w:rPr>
              <w:t>序号</w:t>
            </w:r>
          </w:p>
        </w:tc>
        <w:tc>
          <w:tcPr>
            <w:tcW w:w="3059" w:type="dxa"/>
            <w:noWrap w:val="0"/>
            <w:vAlign w:val="center"/>
          </w:tcPr>
          <w:p>
            <w:pPr>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采购要求</w:t>
            </w:r>
          </w:p>
        </w:tc>
        <w:tc>
          <w:tcPr>
            <w:tcW w:w="2340" w:type="dxa"/>
            <w:noWrap w:val="0"/>
            <w:vAlign w:val="center"/>
          </w:tcPr>
          <w:p>
            <w:pPr>
              <w:snapToGrid w:val="0"/>
              <w:spacing w:line="300" w:lineRule="auto"/>
              <w:jc w:val="center"/>
              <w:rPr>
                <w:rFonts w:ascii="宋体" w:hAnsi="宋体" w:cs="宋体"/>
                <w:color w:val="auto"/>
                <w:sz w:val="24"/>
                <w:highlight w:val="none"/>
              </w:rPr>
            </w:pPr>
            <w:r>
              <w:rPr>
                <w:rFonts w:ascii="宋体" w:hAnsi="宋体" w:cs="宋体"/>
                <w:color w:val="auto"/>
                <w:sz w:val="24"/>
                <w:highlight w:val="none"/>
              </w:rPr>
              <w:t>投标响应</w:t>
            </w:r>
            <w:r>
              <w:rPr>
                <w:rFonts w:hint="eastAsia" w:ascii="宋体" w:hAnsi="宋体" w:cs="宋体"/>
                <w:color w:val="auto"/>
                <w:sz w:val="24"/>
                <w:highlight w:val="none"/>
              </w:rPr>
              <w:t>情况</w:t>
            </w:r>
          </w:p>
        </w:tc>
        <w:tc>
          <w:tcPr>
            <w:tcW w:w="2879" w:type="dxa"/>
            <w:noWrap w:val="0"/>
            <w:vAlign w:val="center"/>
          </w:tcPr>
          <w:p>
            <w:pPr>
              <w:snapToGrid w:val="0"/>
              <w:spacing w:line="300" w:lineRule="auto"/>
              <w:jc w:val="center"/>
              <w:rPr>
                <w:rFonts w:ascii="宋体" w:hAnsi="宋体" w:cs="宋体"/>
                <w:color w:val="auto"/>
                <w:sz w:val="24"/>
                <w:highlight w:val="none"/>
              </w:rPr>
            </w:pPr>
            <w:r>
              <w:rPr>
                <w:rFonts w:ascii="宋体" w:hAnsi="宋体" w:cs="宋体"/>
                <w:color w:val="auto"/>
                <w:sz w:val="24"/>
                <w:highlight w:val="none"/>
              </w:rPr>
              <w:t>说明（正偏离/负偏离）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spacing w:line="300" w:lineRule="auto"/>
              <w:jc w:val="center"/>
              <w:rPr>
                <w:rFonts w:ascii="宋体" w:hAnsi="宋体" w:cs="宋体"/>
                <w:color w:val="auto"/>
                <w:spacing w:val="20"/>
                <w:sz w:val="24"/>
                <w:highlight w:val="none"/>
              </w:rPr>
            </w:pPr>
          </w:p>
        </w:tc>
        <w:tc>
          <w:tcPr>
            <w:tcW w:w="3059" w:type="dxa"/>
            <w:noWrap w:val="0"/>
            <w:vAlign w:val="center"/>
          </w:tcPr>
          <w:p>
            <w:pPr>
              <w:snapToGrid w:val="0"/>
              <w:spacing w:line="300" w:lineRule="auto"/>
              <w:jc w:val="center"/>
              <w:rPr>
                <w:rFonts w:ascii="宋体" w:hAnsi="宋体" w:cs="宋体"/>
                <w:color w:val="auto"/>
                <w:spacing w:val="20"/>
                <w:sz w:val="24"/>
                <w:highlight w:val="none"/>
              </w:rPr>
            </w:pPr>
          </w:p>
        </w:tc>
        <w:tc>
          <w:tcPr>
            <w:tcW w:w="2340" w:type="dxa"/>
            <w:noWrap w:val="0"/>
            <w:vAlign w:val="center"/>
          </w:tcPr>
          <w:p>
            <w:pPr>
              <w:snapToGrid w:val="0"/>
              <w:spacing w:line="300" w:lineRule="auto"/>
              <w:jc w:val="center"/>
              <w:rPr>
                <w:rFonts w:ascii="宋体" w:hAnsi="宋体" w:cs="宋体"/>
                <w:color w:val="auto"/>
                <w:spacing w:val="20"/>
                <w:sz w:val="24"/>
                <w:highlight w:val="none"/>
              </w:rPr>
            </w:pPr>
          </w:p>
        </w:tc>
        <w:tc>
          <w:tcPr>
            <w:tcW w:w="2879" w:type="dxa"/>
            <w:noWrap w:val="0"/>
            <w:vAlign w:val="center"/>
          </w:tcPr>
          <w:p>
            <w:pPr>
              <w:snapToGrid w:val="0"/>
              <w:spacing w:line="300" w:lineRule="auto"/>
              <w:jc w:val="center"/>
              <w:rPr>
                <w:rFonts w:ascii="宋体" w:hAnsi="宋体" w:cs="宋体"/>
                <w:color w:val="auto"/>
                <w:spacing w:val="20"/>
                <w:sz w:val="24"/>
                <w:highlight w:val="none"/>
              </w:rPr>
            </w:pPr>
          </w:p>
        </w:tc>
      </w:tr>
    </w:tbl>
    <w:p>
      <w:pPr>
        <w:snapToGrid w:val="0"/>
        <w:spacing w:line="300" w:lineRule="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kern w:val="0"/>
          <w:sz w:val="21"/>
          <w:szCs w:val="21"/>
          <w:lang w:val="zh-TW" w:eastAsia="zh-TW"/>
        </w:rPr>
      </w:pPr>
      <w:r>
        <w:rPr>
          <w:rFonts w:hint="eastAsia" w:ascii="宋体" w:hAnsi="宋体" w:eastAsia="宋体" w:cs="宋体"/>
          <w:kern w:val="0"/>
          <w:sz w:val="21"/>
          <w:szCs w:val="21"/>
          <w:lang w:val="zh-CN"/>
        </w:rPr>
        <w:t>投标人</w:t>
      </w:r>
      <w:r>
        <w:rPr>
          <w:rFonts w:hint="eastAsia" w:ascii="宋体" w:hAnsi="宋体" w:eastAsia="宋体" w:cs="宋体"/>
          <w:sz w:val="21"/>
          <w:szCs w:val="21"/>
        </w:rPr>
        <w:t>：</w:t>
      </w:r>
      <w:r>
        <w:rPr>
          <w:rFonts w:hint="eastAsia" w:ascii="宋体" w:hAnsi="宋体" w:eastAsia="宋体" w:cs="宋体"/>
          <w:sz w:val="21"/>
          <w:szCs w:val="21"/>
          <w:u w:val="single"/>
        </w:rPr>
        <w:t>（全称加盖公章）</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TW" w:eastAsia="zh-TW"/>
        </w:rPr>
        <w:t>法定代表人（或</w:t>
      </w:r>
      <w:r>
        <w:rPr>
          <w:rFonts w:hint="eastAsia" w:ascii="宋体" w:hAnsi="宋体" w:eastAsia="宋体" w:cs="宋体"/>
          <w:sz w:val="21"/>
          <w:szCs w:val="21"/>
        </w:rPr>
        <w:t>授权代表</w:t>
      </w:r>
      <w:r>
        <w:rPr>
          <w:rFonts w:hint="eastAsia" w:ascii="宋体" w:hAnsi="宋体" w:eastAsia="宋体" w:cs="宋体"/>
          <w:kern w:val="0"/>
          <w:sz w:val="21"/>
          <w:szCs w:val="21"/>
          <w:lang w:val="zh-TW" w:eastAsia="zh-TW"/>
        </w:rPr>
        <w:t>）</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lang w:val="zh-CN"/>
        </w:rPr>
        <w:t xml:space="preserve">（签字或盖章）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期</w:t>
      </w: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lang w:val="zh-CN"/>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lang w:val="zh-CN"/>
        </w:rPr>
        <w:t>月</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日</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填表说明：</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对招标文件有任何偏离（包括正偏离及负偏离）均应汇总并填写在此表中。</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完全满足招标文件要求的投标人只需填写【</w:t>
      </w:r>
      <w:r>
        <w:rPr>
          <w:rFonts w:hint="eastAsia" w:ascii="宋体" w:hAnsi="宋体" w:eastAsia="宋体" w:cs="宋体"/>
          <w:b/>
          <w:bCs/>
          <w:color w:val="auto"/>
          <w:sz w:val="21"/>
          <w:szCs w:val="21"/>
          <w:highlight w:val="none"/>
          <w:u w:val="single"/>
        </w:rPr>
        <w:t>完全满足招标文件的全部要求</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若中标人以未在偏离表中列出的负偏离为由，不按招标要求签约，采购人有权取消该中标人的中标资格，并按有关规定重新确定中标人或另行采购。</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投标文件响应内容对招标文件要求如有偏离均应填写偏离表，如不填写，采购人有权视作投标文件完全响应招标文件要求。</w:t>
      </w:r>
    </w:p>
    <w:p>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投标人可调整、修改上述表格。</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
          <w:bCs/>
          <w:szCs w:val="21"/>
        </w:rPr>
      </w:pPr>
    </w:p>
    <w:sectPr>
      <w:type w:val="continuous"/>
      <w:pgSz w:w="11905" w:h="16838"/>
      <w:pgMar w:top="1247" w:right="1247" w:bottom="1247" w:left="1247" w:header="907" w:footer="737"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8CB208-A52C-4F6F-A4D7-BB8B2F991B8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DE9FDC9-7FFD-4B52-B7A4-ED86FDBFAF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CDA28102-053F-4074-8370-30B4D657B15A}"/>
  </w:font>
  <w:font w:name="隶书">
    <w:altName w:val="微软雅黑"/>
    <w:panose1 w:val="0201050906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8A25621E-0146-47F1-9EDC-F02235640E6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asciiTheme="minorEastAsia" w:hAnsiTheme="minorEastAsia"/>
        <w:sz w:val="21"/>
        <w:szCs w:val="21"/>
      </w:rPr>
      <w:drawing>
        <wp:anchor distT="0" distB="0" distL="114300" distR="114300" simplePos="0" relativeHeight="251663360" behindDoc="0" locked="0" layoutInCell="1" allowOverlap="1">
          <wp:simplePos x="0" y="0"/>
          <wp:positionH relativeFrom="column">
            <wp:posOffset>139700</wp:posOffset>
          </wp:positionH>
          <wp:positionV relativeFrom="paragraph">
            <wp:posOffset>-144145</wp:posOffset>
          </wp:positionV>
          <wp:extent cx="5791200" cy="314325"/>
          <wp:effectExtent l="0" t="0" r="0" b="9525"/>
          <wp:wrapNone/>
          <wp:docPr id="3" name="图片 2" descr="D:\Documents\Scanned Documents\图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Documents\Scanned Documents\图像 (2).jpg"/>
                  <pic:cNvPicPr>
                    <a:picLocks noChangeAspect="1" noChangeArrowheads="1"/>
                  </pic:cNvPicPr>
                </pic:nvPicPr>
                <pic:blipFill>
                  <a:blip r:embed="rId1">
                    <a:extLst>
                      <a:ext uri="{28A0092B-C50C-407E-A947-70E740481C1C}">
                        <a14:useLocalDpi xmlns:a14="http://schemas.microsoft.com/office/drawing/2010/main" val="0"/>
                      </a:ext>
                    </a:extLst>
                  </a:blip>
                  <a:srcRect l="977" t="29125" r="2839" b="50673"/>
                  <a:stretch>
                    <a:fillRect/>
                  </a:stretch>
                </pic:blipFill>
                <pic:spPr>
                  <a:xfrm>
                    <a:off x="0" y="0"/>
                    <a:ext cx="5791200" cy="31432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beforeLines="10"/>
      <w:rPr>
        <w:rFonts w:ascii="宋体" w:hAnsi="宋体" w:eastAsia="宋体" w:cs="宋体"/>
        <w:b/>
        <w:bCs/>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p>
    <w:pPr>
      <w:pStyle w:val="21"/>
    </w:pPr>
    <w:r>
      <w:rPr>
        <w:sz w:val="24"/>
      </w:rPr>
      <w:drawing>
        <wp:inline distT="0" distB="0" distL="114300" distR="114300">
          <wp:extent cx="1921510" cy="209550"/>
          <wp:effectExtent l="0" t="0" r="254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1921510" cy="209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4"/>
      </w:rPr>
    </w:pPr>
    <w:r>
      <w:rPr>
        <w:sz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rPr>
                              <w:rFonts w:hint="default" w:eastAsiaTheme="minorEastAsia"/>
                              <w:lang w:val="en-US" w:eastAsia="zh-CN"/>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 PAGE  \* MERGEFORMAT </w:instrText>
                          </w:r>
                          <w:r>
                            <w:rPr>
                              <w:color w:val="FFFFFF" w:themeColor="background1"/>
                              <w14:textFill>
                                <w14:solidFill>
                                  <w14:schemeClr w14:val="bg1"/>
                                </w14:solidFill>
                              </w14:textFill>
                            </w:rPr>
                            <w:fldChar w:fldCharType="separate"/>
                          </w:r>
                          <w:r>
                            <w:rPr>
                              <w:color w:val="FFFFFF" w:themeColor="background1"/>
                              <w14:textFill>
                                <w14:solidFill>
                                  <w14:schemeClr w14:val="bg1"/>
                                </w14:solidFill>
                              </w14:textFill>
                            </w:rPr>
                            <w:t>2</w:t>
                          </w:r>
                          <w:r>
                            <w:rPr>
                              <w:color w:val="FFFFFF" w:themeColor="background1"/>
                              <w14:textFill>
                                <w14:solidFill>
                                  <w14:schemeClr w14:val="bg1"/>
                                </w14:solidFill>
                              </w14:textFill>
                            </w:rPr>
                            <w:fldChar w:fldCharType="end"/>
                          </w:r>
                          <w:r>
                            <w:rPr>
                              <w:color w:val="FFFFFF" w:themeColor="background1"/>
                              <w14:textFill>
                                <w14:solidFill>
                                  <w14:schemeClr w14:val="bg1"/>
                                </w14:solidFill>
                              </w14:textFill>
                            </w:rPr>
                            <w:t xml:space="preserve"> /</w:t>
                          </w:r>
                          <w:r>
                            <w:rPr>
                              <w:rFonts w:hint="eastAsia"/>
                              <w:color w:val="FFFFFF" w:themeColor="background1"/>
                              <w:lang w:val="en-US" w:eastAsia="zh-CN"/>
                              <w14:textFill>
                                <w14:solidFill>
                                  <w14:schemeClr w14:val="bg1"/>
                                </w14:solidFill>
                              </w14:textFill>
                            </w:rPr>
                            <w:t>57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1"/>
                      <w:rPr>
                        <w:rFonts w:hint="default" w:eastAsiaTheme="minorEastAsia"/>
                        <w:lang w:val="en-US" w:eastAsia="zh-CN"/>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 PAGE  \* MERGEFORMAT </w:instrText>
                    </w:r>
                    <w:r>
                      <w:rPr>
                        <w:color w:val="FFFFFF" w:themeColor="background1"/>
                        <w14:textFill>
                          <w14:solidFill>
                            <w14:schemeClr w14:val="bg1"/>
                          </w14:solidFill>
                        </w14:textFill>
                      </w:rPr>
                      <w:fldChar w:fldCharType="separate"/>
                    </w:r>
                    <w:r>
                      <w:rPr>
                        <w:color w:val="FFFFFF" w:themeColor="background1"/>
                        <w14:textFill>
                          <w14:solidFill>
                            <w14:schemeClr w14:val="bg1"/>
                          </w14:solidFill>
                        </w14:textFill>
                      </w:rPr>
                      <w:t>2</w:t>
                    </w:r>
                    <w:r>
                      <w:rPr>
                        <w:color w:val="FFFFFF" w:themeColor="background1"/>
                        <w14:textFill>
                          <w14:solidFill>
                            <w14:schemeClr w14:val="bg1"/>
                          </w14:solidFill>
                        </w14:textFill>
                      </w:rPr>
                      <w:fldChar w:fldCharType="end"/>
                    </w:r>
                    <w:r>
                      <w:rPr>
                        <w:color w:val="FFFFFF" w:themeColor="background1"/>
                        <w14:textFill>
                          <w14:solidFill>
                            <w14:schemeClr w14:val="bg1"/>
                          </w14:solidFill>
                        </w14:textFill>
                      </w:rPr>
                      <w:t xml:space="preserve"> /</w:t>
                    </w:r>
                    <w:r>
                      <w:rPr>
                        <w:rFonts w:hint="eastAsia"/>
                        <w:color w:val="FFFFFF" w:themeColor="background1"/>
                        <w:lang w:val="en-US" w:eastAsia="zh-CN"/>
                        <w14:textFill>
                          <w14:solidFill>
                            <w14:schemeClr w14:val="bg1"/>
                          </w14:solidFill>
                        </w14:textFill>
                      </w:rPr>
                      <w:t>57</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1"/>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1"/>
                      <w:rPr>
                        <w:rFonts w:hint="default"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default" w:eastAsiaTheme="minorEastAsia"/>
                        <w:lang w:val="en-US" w:eastAsia="zh-CN"/>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margin">
                <wp:posOffset>5585460</wp:posOffset>
              </wp:positionH>
              <wp:positionV relativeFrom="paragraph">
                <wp:posOffset>-9525</wp:posOffset>
              </wp:positionV>
              <wp:extent cx="39052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90525" cy="1828800"/>
                      </a:xfrm>
                      <a:prstGeom prst="rect">
                        <a:avLst/>
                      </a:prstGeom>
                      <a:noFill/>
                      <a:ln w="6350">
                        <a:noFill/>
                      </a:ln>
                      <a:effectLst/>
                    </wps:spPr>
                    <wps:txbx>
                      <w:txbxContent>
                        <w:p>
                          <w:pPr>
                            <w:pStyle w:val="21"/>
                            <w:rPr>
                              <w:rFonts w:hint="default"/>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9.8pt;margin-top:-0.75pt;height:144pt;width:30.75pt;mso-position-horizontal-relative:margin;z-index:251665408;mso-width-relative:page;mso-height-relative:page;" filled="f" stroked="f" coordsize="21600,21600" o:gfxdata="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s1Ad2QAAAAoBAAAPAAAAAAAAAAEAIAAAACIA&#10;AABkcnMvZG93bnJldi54bWxQSwECFAAUAAAACACHTuJASLFOs0ECAABwBAAADgAAAAAAAAABACAA&#10;AAAoAQAAZHJzL2Uyb0RvYy54bWxQSwUGAAAAAAYABgBZAQAA2wUAAAAA&#10;">
              <v:fill on="f" focussize="0,0"/>
              <v:stroke on="f" weight="0.5pt"/>
              <v:imagedata o:title=""/>
              <o:lock v:ext="edit" aspectratio="f"/>
              <v:textbox inset="0mm,0mm,0mm,0mm" style="mso-fit-shape-to-text:t;">
                <w:txbxContent>
                  <w:p>
                    <w:pPr>
                      <w:pStyle w:val="21"/>
                      <w:rPr>
                        <w:rFonts w:hint="default"/>
                        <w:lang w:val="en-US" w:eastAsia="zh-CN"/>
                      </w:rPr>
                    </w:pPr>
                  </w:p>
                </w:txbxContent>
              </v:textbox>
            </v:shape>
          </w:pict>
        </mc:Fallback>
      </mc:AlternateContent>
    </w:r>
    <w:r>
      <w:rPr>
        <w:rFonts w:asciiTheme="minorEastAsia" w:hAnsiTheme="minorEastAsia"/>
        <w:sz w:val="21"/>
        <w:szCs w:val="21"/>
      </w:rPr>
      <w:drawing>
        <wp:anchor distT="0" distB="0" distL="114300" distR="114300" simplePos="0" relativeHeight="251664384" behindDoc="0" locked="0" layoutInCell="1" allowOverlap="1">
          <wp:simplePos x="0" y="0"/>
          <wp:positionH relativeFrom="column">
            <wp:posOffset>111760</wp:posOffset>
          </wp:positionH>
          <wp:positionV relativeFrom="paragraph">
            <wp:posOffset>-108585</wp:posOffset>
          </wp:positionV>
          <wp:extent cx="5880735" cy="314325"/>
          <wp:effectExtent l="0" t="0" r="5715" b="9525"/>
          <wp:wrapNone/>
          <wp:docPr id="7" name="图片 2" descr="D:\Documents\Scanned Documents\图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Documents\Scanned Documents\图像 (2).jpg"/>
                  <pic:cNvPicPr>
                    <a:picLocks noChangeAspect="1" noChangeArrowheads="1"/>
                  </pic:cNvPicPr>
                </pic:nvPicPr>
                <pic:blipFill>
                  <a:blip r:embed="rId1">
                    <a:extLst>
                      <a:ext uri="{28A0092B-C50C-407E-A947-70E740481C1C}">
                        <a14:useLocalDpi xmlns:a14="http://schemas.microsoft.com/office/drawing/2010/main" val="0"/>
                      </a:ext>
                    </a:extLst>
                  </a:blip>
                  <a:srcRect l="977" t="29125" r="2839" b="50673"/>
                  <a:stretch>
                    <a:fillRect/>
                  </a:stretch>
                </pic:blipFill>
                <pic:spPr>
                  <a:xfrm>
                    <a:off x="0" y="0"/>
                    <a:ext cx="5880735" cy="314325"/>
                  </a:xfrm>
                  <a:prstGeom prst="rect">
                    <a:avLst/>
                  </a:prstGeom>
                  <a:noFill/>
                  <a:ln w="9525">
                    <a:noFill/>
                    <a:miter lim="800000"/>
                    <a:headEnd/>
                    <a:tailEnd/>
                  </a:ln>
                </pic:spPr>
              </pic:pic>
            </a:graphicData>
          </a:graphic>
        </wp:anchor>
      </w:drawing>
    </w:r>
    <w:r>
      <w:rPr>
        <w:sz w:val="20"/>
      </w:rPr>
      <mc:AlternateContent>
        <mc:Choice Requires="wps">
          <w:drawing>
            <wp:anchor distT="0" distB="0" distL="114300" distR="114300" simplePos="0" relativeHeight="251660288" behindDoc="0" locked="0" layoutInCell="1" allowOverlap="1">
              <wp:simplePos x="0" y="0"/>
              <wp:positionH relativeFrom="margin">
                <wp:posOffset>2729865</wp:posOffset>
              </wp:positionH>
              <wp:positionV relativeFrom="paragraph">
                <wp:posOffset>57150</wp:posOffset>
              </wp:positionV>
              <wp:extent cx="546100" cy="12001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46100" cy="120015"/>
                      </a:xfrm>
                      <a:prstGeom prst="rect">
                        <a:avLst/>
                      </a:prstGeom>
                      <a:noFill/>
                      <a:ln w="6350">
                        <a:noFill/>
                      </a:ln>
                      <a:effectLst/>
                    </wps:spPr>
                    <wps:txbx>
                      <w:txbxContent>
                        <w:p>
                          <w:pPr>
                            <w:pStyle w:val="21"/>
                            <w:rPr>
                              <w:rFonts w:eastAsia="宋体"/>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4.95pt;margin-top:4.5pt;height:9.45pt;width:43pt;mso-position-horizontal-relative:margin;z-index:251660288;mso-width-relative:page;mso-height-relative:page;" filled="f" stroked="f" coordsize="21600,21600" o:gfxdata="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hy4mfWAAAACAEAAA8AAAAAAAAAAQAgAAAAIgAAAGRycy9kb3ducmV2&#10;LnhtbFBLAQIUABQAAAAIAIdO4kC9BmtNNwIAAGUEAAAOAAAAAAAAAAEAIAAAACUBAABkcnMvZTJv&#10;RG9jLnhtbFBLBQYAAAAABgAGAFkBAADOBQAAAAA=&#10;">
              <v:fill on="f" focussize="0,0"/>
              <v:stroke on="f" weight="0.5pt"/>
              <v:imagedata o:title=""/>
              <o:lock v:ext="edit" aspectratio="f"/>
              <v:textbox inset="0mm,0mm,0mm,0mm">
                <w:txbxContent>
                  <w:p>
                    <w:pPr>
                      <w:pStyle w:val="21"/>
                      <w:rPr>
                        <w:rFonts w:eastAsia="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sz w:val="18"/>
        <w:szCs w:val="18"/>
      </w:rPr>
    </w:pPr>
    <w:r>
      <w:drawing>
        <wp:anchor distT="0" distB="0" distL="114300" distR="114300" simplePos="0" relativeHeight="251661312" behindDoc="1" locked="0" layoutInCell="1" allowOverlap="1">
          <wp:simplePos x="0" y="0"/>
          <wp:positionH relativeFrom="column">
            <wp:posOffset>-23495</wp:posOffset>
          </wp:positionH>
          <wp:positionV relativeFrom="paragraph">
            <wp:posOffset>-57150</wp:posOffset>
          </wp:positionV>
          <wp:extent cx="320675" cy="304800"/>
          <wp:effectExtent l="0" t="0" r="3175" b="0"/>
          <wp:wrapNone/>
          <wp:docPr id="34" name="图片 18" descr="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descr="未标题-2.png"/>
                  <pic:cNvPicPr>
                    <a:picLocks noChangeAspect="1"/>
                  </pic:cNvPicPr>
                </pic:nvPicPr>
                <pic:blipFill>
                  <a:blip r:embed="rId1"/>
                  <a:stretch>
                    <a:fillRect/>
                  </a:stretch>
                </pic:blipFill>
                <pic:spPr>
                  <a:xfrm>
                    <a:off x="0" y="0"/>
                    <a:ext cx="320675" cy="30480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column">
            <wp:posOffset>375920</wp:posOffset>
          </wp:positionH>
          <wp:positionV relativeFrom="paragraph">
            <wp:posOffset>133350</wp:posOffset>
          </wp:positionV>
          <wp:extent cx="5353050" cy="114300"/>
          <wp:effectExtent l="0" t="0" r="0" b="0"/>
          <wp:wrapNone/>
          <wp:docPr id="35" name="图片 6" descr="D:\Documents\Scanned Documents\图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D:\Documents\Scanned Documents\图像 (2).jpg"/>
                  <pic:cNvPicPr>
                    <a:picLocks noChangeAspect="1" noChangeArrowheads="1"/>
                  </pic:cNvPicPr>
                </pic:nvPicPr>
                <pic:blipFill>
                  <a:blip r:embed="rId2"/>
                  <a:srcRect l="977" t="37663" r="27572" b="57970"/>
                  <a:stretch>
                    <a:fillRect/>
                  </a:stretch>
                </pic:blipFill>
                <pic:spPr>
                  <a:xfrm flipH="1">
                    <a:off x="0" y="0"/>
                    <a:ext cx="5353050" cy="114300"/>
                  </a:xfrm>
                  <a:prstGeom prst="rect">
                    <a:avLst/>
                  </a:prstGeom>
                  <a:noFill/>
                  <a:ln w="9525">
                    <a:noFill/>
                    <a:miter lim="800000"/>
                    <a:headEnd/>
                    <a:tailEnd/>
                  </a:ln>
                </pic:spPr>
              </pic:pic>
            </a:graphicData>
          </a:graphic>
        </wp:anchor>
      </w:drawing>
    </w:r>
    <w:r>
      <w:tab/>
    </w:r>
    <w:r>
      <w:rPr>
        <w:rFonts w:hint="eastAsia"/>
      </w:rPr>
      <w:t xml:space="preserve">  </w:t>
    </w:r>
    <w:r>
      <w:rPr>
        <w:rFonts w:hint="eastAsia" w:ascii="黑体" w:hAnsi="黑体" w:eastAsia="黑体"/>
        <w:sz w:val="18"/>
        <w:szCs w:val="18"/>
      </w:rPr>
      <w:t>浙江三凌建设项目管理有限公司</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
      <w:rPr>
        <w:rFonts w:ascii="宋体" w:hAnsi="宋体" w:cs="宋体"/>
        <w:b/>
        <w:bCs/>
        <w:spacing w:val="11"/>
        <w:sz w:val="20"/>
        <w:szCs w:val="20"/>
      </w:rPr>
    </w:pPr>
  </w:p>
  <w:p>
    <w:pPr>
      <w:pBdr>
        <w:bottom w:val="double" w:color="auto" w:sz="8" w:space="0"/>
      </w:pBdr>
      <w:spacing w:beforeLines="10"/>
      <w:jc w:val="center"/>
    </w:pPr>
    <w:r>
      <w:rPr>
        <w:rFonts w:hint="eastAsia" w:ascii="宋体" w:hAnsi="宋体" w:cs="宋体"/>
        <w:b/>
        <w:bCs/>
        <w:spacing w:val="11"/>
        <w:sz w:val="20"/>
        <w:szCs w:val="20"/>
        <w:lang w:eastAsia="zh-CN"/>
      </w:rPr>
      <w:t>衢州市柯城区府山街道污水零直排管网监测服务采购</w:t>
    </w:r>
    <w:r>
      <w:rPr>
        <w:rFonts w:hint="eastAsia" w:ascii="宋体" w:hAnsi="宋体" w:cs="宋体"/>
        <w:b/>
        <w:bCs/>
        <w:spacing w:val="11"/>
        <w:sz w:val="20"/>
        <w:szCs w:val="20"/>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0DCE"/>
    <w:multiLevelType w:val="singleLevel"/>
    <w:tmpl w:val="890F0DCE"/>
    <w:lvl w:ilvl="0" w:tentative="0">
      <w:start w:val="6"/>
      <w:numFmt w:val="chineseCounting"/>
      <w:suff w:val="nothing"/>
      <w:lvlText w:val="%1、"/>
      <w:lvlJc w:val="left"/>
      <w:rPr>
        <w:rFonts w:hint="eastAsia"/>
      </w:rPr>
    </w:lvl>
  </w:abstractNum>
  <w:abstractNum w:abstractNumId="1">
    <w:nsid w:val="8B3FAFB0"/>
    <w:multiLevelType w:val="singleLevel"/>
    <w:tmpl w:val="8B3FAFB0"/>
    <w:lvl w:ilvl="0" w:tentative="0">
      <w:start w:val="1"/>
      <w:numFmt w:val="decimal"/>
      <w:suff w:val="nothing"/>
      <w:lvlText w:val="（%1）"/>
      <w:lvlJc w:val="left"/>
    </w:lvl>
  </w:abstractNum>
  <w:abstractNum w:abstractNumId="2">
    <w:nsid w:val="A76D65A0"/>
    <w:multiLevelType w:val="singleLevel"/>
    <w:tmpl w:val="A76D65A0"/>
    <w:lvl w:ilvl="0" w:tentative="0">
      <w:start w:val="1"/>
      <w:numFmt w:val="decimal"/>
      <w:lvlText w:val="(%1)"/>
      <w:lvlJc w:val="left"/>
      <w:pPr>
        <w:tabs>
          <w:tab w:val="left" w:pos="312"/>
        </w:tabs>
      </w:pPr>
    </w:lvl>
  </w:abstractNum>
  <w:abstractNum w:abstractNumId="3">
    <w:nsid w:val="EB303AF0"/>
    <w:multiLevelType w:val="singleLevel"/>
    <w:tmpl w:val="EB303AF0"/>
    <w:lvl w:ilvl="0" w:tentative="0">
      <w:start w:val="5"/>
      <w:numFmt w:val="chineseCounting"/>
      <w:suff w:val="nothing"/>
      <w:lvlText w:val="%1、"/>
      <w:lvlJc w:val="left"/>
      <w:rPr>
        <w:rFonts w:hint="eastAsia"/>
      </w:rPr>
    </w:lvl>
  </w:abstractNum>
  <w:abstractNum w:abstractNumId="4">
    <w:nsid w:val="0000000A"/>
    <w:multiLevelType w:val="multilevel"/>
    <w:tmpl w:val="0000000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32FD0099"/>
    <w:multiLevelType w:val="singleLevel"/>
    <w:tmpl w:val="32FD0099"/>
    <w:lvl w:ilvl="0" w:tentative="0">
      <w:start w:val="2"/>
      <w:numFmt w:val="chineseCounting"/>
      <w:suff w:val="nothing"/>
      <w:lvlText w:val="（%1）"/>
      <w:lvlJc w:val="left"/>
      <w:rPr>
        <w:rFonts w:hint="eastAsia"/>
      </w:rPr>
    </w:lvl>
  </w:abstractNum>
  <w:abstractNum w:abstractNumId="6">
    <w:nsid w:val="4C9B4992"/>
    <w:multiLevelType w:val="singleLevel"/>
    <w:tmpl w:val="4C9B4992"/>
    <w:lvl w:ilvl="0" w:tentative="0">
      <w:start w:val="5"/>
      <w:numFmt w:val="chineseCounting"/>
      <w:suff w:val="nothing"/>
      <w:lvlText w:val="%1、"/>
      <w:lvlJc w:val="left"/>
      <w:rPr>
        <w:rFonts w:hint="eastAsia"/>
      </w:rPr>
    </w:lvl>
  </w:abstractNum>
  <w:abstractNum w:abstractNumId="7">
    <w:nsid w:val="540D2CE0"/>
    <w:multiLevelType w:val="singleLevel"/>
    <w:tmpl w:val="540D2CE0"/>
    <w:lvl w:ilvl="0" w:tentative="0">
      <w:start w:val="1"/>
      <w:numFmt w:val="decimal"/>
      <w:suff w:val="nothing"/>
      <w:lvlText w:val="（%1）"/>
      <w:lvlJc w:val="left"/>
    </w:lvl>
  </w:abstractNum>
  <w:abstractNum w:abstractNumId="8">
    <w:nsid w:val="61E62B0A"/>
    <w:multiLevelType w:val="singleLevel"/>
    <w:tmpl w:val="61E62B0A"/>
    <w:lvl w:ilvl="0" w:tentative="0">
      <w:start w:val="1"/>
      <w:numFmt w:val="decimal"/>
      <w:suff w:val="nothing"/>
      <w:lvlText w:val="（%1）"/>
      <w:lvlJc w:val="left"/>
    </w:lvl>
  </w:abstractNum>
  <w:abstractNum w:abstractNumId="9">
    <w:nsid w:val="6224A0B2"/>
    <w:multiLevelType w:val="singleLevel"/>
    <w:tmpl w:val="6224A0B2"/>
    <w:lvl w:ilvl="0" w:tentative="0">
      <w:start w:val="1"/>
      <w:numFmt w:val="decimal"/>
      <w:suff w:val="nothing"/>
      <w:lvlText w:val="（%1）"/>
      <w:lvlJc w:val="left"/>
    </w:lvl>
  </w:abstractNum>
  <w:abstractNum w:abstractNumId="10">
    <w:nsid w:val="79EEE4F7"/>
    <w:multiLevelType w:val="singleLevel"/>
    <w:tmpl w:val="79EEE4F7"/>
    <w:lvl w:ilvl="0" w:tentative="0">
      <w:start w:val="1"/>
      <w:numFmt w:val="decimal"/>
      <w:pStyle w:val="6"/>
      <w:lvlText w:val="%1."/>
      <w:lvlJc w:val="left"/>
      <w:pPr>
        <w:tabs>
          <w:tab w:val="left" w:pos="780"/>
        </w:tabs>
        <w:ind w:left="780" w:hanging="360"/>
      </w:pPr>
    </w:lvl>
  </w:abstractNum>
  <w:num w:numId="1">
    <w:abstractNumId w:val="4"/>
  </w:num>
  <w:num w:numId="2">
    <w:abstractNumId w:val="10"/>
  </w:num>
  <w:num w:numId="3">
    <w:abstractNumId w:val="3"/>
  </w:num>
  <w:num w:numId="4">
    <w:abstractNumId w:val="9"/>
  </w:num>
  <w:num w:numId="5">
    <w:abstractNumId w:val="5"/>
  </w:num>
  <w:num w:numId="6">
    <w:abstractNumId w:val="0"/>
  </w:num>
  <w:num w:numId="7">
    <w:abstractNumId w:val="6"/>
  </w:num>
  <w:num w:numId="8">
    <w:abstractNumId w:val="8"/>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mI3NzkxYjlhM2NhNGI5ZGQ2ZWFmYjA3ZTJjYmUifQ=="/>
  </w:docVars>
  <w:rsids>
    <w:rsidRoot w:val="002106C6"/>
    <w:rsid w:val="00003615"/>
    <w:rsid w:val="00026C8D"/>
    <w:rsid w:val="000B6D5A"/>
    <w:rsid w:val="000D0A90"/>
    <w:rsid w:val="0013583A"/>
    <w:rsid w:val="00143D43"/>
    <w:rsid w:val="00195840"/>
    <w:rsid w:val="001A6A80"/>
    <w:rsid w:val="001F5AEC"/>
    <w:rsid w:val="002106C6"/>
    <w:rsid w:val="002807EA"/>
    <w:rsid w:val="002E6E89"/>
    <w:rsid w:val="003629C9"/>
    <w:rsid w:val="003D5BA6"/>
    <w:rsid w:val="004B495C"/>
    <w:rsid w:val="004F246A"/>
    <w:rsid w:val="005020C1"/>
    <w:rsid w:val="00521285"/>
    <w:rsid w:val="00567E75"/>
    <w:rsid w:val="00567F06"/>
    <w:rsid w:val="005A77A8"/>
    <w:rsid w:val="005E1E52"/>
    <w:rsid w:val="00697D44"/>
    <w:rsid w:val="006D4A9B"/>
    <w:rsid w:val="00703A1D"/>
    <w:rsid w:val="00732687"/>
    <w:rsid w:val="0074000F"/>
    <w:rsid w:val="00760F27"/>
    <w:rsid w:val="007941A5"/>
    <w:rsid w:val="00865C83"/>
    <w:rsid w:val="008A3BA4"/>
    <w:rsid w:val="008D0FF0"/>
    <w:rsid w:val="00A23572"/>
    <w:rsid w:val="00A4269A"/>
    <w:rsid w:val="00AB6F82"/>
    <w:rsid w:val="00AD044F"/>
    <w:rsid w:val="00AF5A62"/>
    <w:rsid w:val="00BD24E3"/>
    <w:rsid w:val="00C10A36"/>
    <w:rsid w:val="00C34633"/>
    <w:rsid w:val="00CF1468"/>
    <w:rsid w:val="00D873E3"/>
    <w:rsid w:val="00D96665"/>
    <w:rsid w:val="00D96F23"/>
    <w:rsid w:val="00EA757E"/>
    <w:rsid w:val="00ED0287"/>
    <w:rsid w:val="00EF2410"/>
    <w:rsid w:val="00EF7014"/>
    <w:rsid w:val="00F407BB"/>
    <w:rsid w:val="00F87520"/>
    <w:rsid w:val="00FB6865"/>
    <w:rsid w:val="011C4CF0"/>
    <w:rsid w:val="01382BF0"/>
    <w:rsid w:val="01561ED6"/>
    <w:rsid w:val="01572F12"/>
    <w:rsid w:val="016D2D5B"/>
    <w:rsid w:val="018B463A"/>
    <w:rsid w:val="018D4269"/>
    <w:rsid w:val="01931E85"/>
    <w:rsid w:val="01A81D9E"/>
    <w:rsid w:val="01BA3AF0"/>
    <w:rsid w:val="01C8748F"/>
    <w:rsid w:val="01DD3CDE"/>
    <w:rsid w:val="01E4674A"/>
    <w:rsid w:val="01EE5E5A"/>
    <w:rsid w:val="020256DE"/>
    <w:rsid w:val="02424A95"/>
    <w:rsid w:val="02581525"/>
    <w:rsid w:val="026A5188"/>
    <w:rsid w:val="026F6E6D"/>
    <w:rsid w:val="02850101"/>
    <w:rsid w:val="0290180D"/>
    <w:rsid w:val="02A36D89"/>
    <w:rsid w:val="02A733D3"/>
    <w:rsid w:val="02BD4CD6"/>
    <w:rsid w:val="02C92423"/>
    <w:rsid w:val="02EB5585"/>
    <w:rsid w:val="02F254D6"/>
    <w:rsid w:val="02F746F7"/>
    <w:rsid w:val="02FE7F8D"/>
    <w:rsid w:val="03163CAF"/>
    <w:rsid w:val="032416C0"/>
    <w:rsid w:val="033743E6"/>
    <w:rsid w:val="034A70C0"/>
    <w:rsid w:val="0350624D"/>
    <w:rsid w:val="036F5789"/>
    <w:rsid w:val="03C112DD"/>
    <w:rsid w:val="03C3466A"/>
    <w:rsid w:val="03D52E6F"/>
    <w:rsid w:val="03F80913"/>
    <w:rsid w:val="043A0149"/>
    <w:rsid w:val="044379A0"/>
    <w:rsid w:val="0486237A"/>
    <w:rsid w:val="049317B8"/>
    <w:rsid w:val="049F2EE7"/>
    <w:rsid w:val="04A362D9"/>
    <w:rsid w:val="04BA371A"/>
    <w:rsid w:val="04C2712A"/>
    <w:rsid w:val="04D97978"/>
    <w:rsid w:val="04E24E94"/>
    <w:rsid w:val="051A0537"/>
    <w:rsid w:val="05491C2E"/>
    <w:rsid w:val="05524C1A"/>
    <w:rsid w:val="05643F2F"/>
    <w:rsid w:val="057563DB"/>
    <w:rsid w:val="05A45A5C"/>
    <w:rsid w:val="05B71C7B"/>
    <w:rsid w:val="05D11D1B"/>
    <w:rsid w:val="05EF03F3"/>
    <w:rsid w:val="05FA0E5A"/>
    <w:rsid w:val="05FA7AFA"/>
    <w:rsid w:val="06156D08"/>
    <w:rsid w:val="062E247A"/>
    <w:rsid w:val="063130C9"/>
    <w:rsid w:val="063C5854"/>
    <w:rsid w:val="066F03B3"/>
    <w:rsid w:val="06711D14"/>
    <w:rsid w:val="06C3450A"/>
    <w:rsid w:val="06D05224"/>
    <w:rsid w:val="06D156D7"/>
    <w:rsid w:val="06E24C85"/>
    <w:rsid w:val="0738706D"/>
    <w:rsid w:val="073C5E67"/>
    <w:rsid w:val="0750644E"/>
    <w:rsid w:val="075E313A"/>
    <w:rsid w:val="07602D62"/>
    <w:rsid w:val="077F4088"/>
    <w:rsid w:val="078856E0"/>
    <w:rsid w:val="078C6461"/>
    <w:rsid w:val="07C50B67"/>
    <w:rsid w:val="08016E17"/>
    <w:rsid w:val="08645423"/>
    <w:rsid w:val="086C7AD9"/>
    <w:rsid w:val="086E06BE"/>
    <w:rsid w:val="086E466F"/>
    <w:rsid w:val="087D77EC"/>
    <w:rsid w:val="08877B40"/>
    <w:rsid w:val="08A34F0C"/>
    <w:rsid w:val="08C85D36"/>
    <w:rsid w:val="08DB1157"/>
    <w:rsid w:val="0918731A"/>
    <w:rsid w:val="093671FE"/>
    <w:rsid w:val="09440DE8"/>
    <w:rsid w:val="09AA730A"/>
    <w:rsid w:val="09D54263"/>
    <w:rsid w:val="09F17F98"/>
    <w:rsid w:val="09F77B96"/>
    <w:rsid w:val="0A0B5443"/>
    <w:rsid w:val="0A194028"/>
    <w:rsid w:val="0A207C9D"/>
    <w:rsid w:val="0A2368BD"/>
    <w:rsid w:val="0A2376CA"/>
    <w:rsid w:val="0A445307"/>
    <w:rsid w:val="0A481554"/>
    <w:rsid w:val="0A5328B4"/>
    <w:rsid w:val="0A6452F9"/>
    <w:rsid w:val="0A677C35"/>
    <w:rsid w:val="0AA1441E"/>
    <w:rsid w:val="0AAA61B7"/>
    <w:rsid w:val="0ACE4FA1"/>
    <w:rsid w:val="0AE95716"/>
    <w:rsid w:val="0B00275A"/>
    <w:rsid w:val="0B27389F"/>
    <w:rsid w:val="0B2E2A4A"/>
    <w:rsid w:val="0B376CB1"/>
    <w:rsid w:val="0B4C7F6D"/>
    <w:rsid w:val="0B4F15D8"/>
    <w:rsid w:val="0B5E44B6"/>
    <w:rsid w:val="0B5E5209"/>
    <w:rsid w:val="0B964615"/>
    <w:rsid w:val="0B9F4254"/>
    <w:rsid w:val="0BDE2CEA"/>
    <w:rsid w:val="0BE01142"/>
    <w:rsid w:val="0BEB6F66"/>
    <w:rsid w:val="0C151D42"/>
    <w:rsid w:val="0C205C57"/>
    <w:rsid w:val="0C3F48BC"/>
    <w:rsid w:val="0C5713DB"/>
    <w:rsid w:val="0C5F0071"/>
    <w:rsid w:val="0C69000D"/>
    <w:rsid w:val="0C7832D3"/>
    <w:rsid w:val="0C9D2667"/>
    <w:rsid w:val="0CA9756A"/>
    <w:rsid w:val="0CB02A68"/>
    <w:rsid w:val="0CC1315A"/>
    <w:rsid w:val="0CC34349"/>
    <w:rsid w:val="0CE145D3"/>
    <w:rsid w:val="0CF05B3A"/>
    <w:rsid w:val="0CF956B3"/>
    <w:rsid w:val="0D0E5602"/>
    <w:rsid w:val="0D271E4F"/>
    <w:rsid w:val="0D286B57"/>
    <w:rsid w:val="0D836183"/>
    <w:rsid w:val="0D9C570A"/>
    <w:rsid w:val="0DAC25BE"/>
    <w:rsid w:val="0DC010B9"/>
    <w:rsid w:val="0DCB3277"/>
    <w:rsid w:val="0DDF0D4D"/>
    <w:rsid w:val="0DE33EA5"/>
    <w:rsid w:val="0DEF6259"/>
    <w:rsid w:val="0E077F30"/>
    <w:rsid w:val="0E093118"/>
    <w:rsid w:val="0E3378D0"/>
    <w:rsid w:val="0E4F309A"/>
    <w:rsid w:val="0E576BFB"/>
    <w:rsid w:val="0E5F524F"/>
    <w:rsid w:val="0E784A17"/>
    <w:rsid w:val="0E7D6518"/>
    <w:rsid w:val="0E8D11CA"/>
    <w:rsid w:val="0EF84E35"/>
    <w:rsid w:val="0F386966"/>
    <w:rsid w:val="0F3A07C7"/>
    <w:rsid w:val="0F3F5B52"/>
    <w:rsid w:val="0F44355D"/>
    <w:rsid w:val="0F533052"/>
    <w:rsid w:val="0F6C6437"/>
    <w:rsid w:val="0F790DC1"/>
    <w:rsid w:val="0F864220"/>
    <w:rsid w:val="0F8C4450"/>
    <w:rsid w:val="0FB1077A"/>
    <w:rsid w:val="0FCD6BF1"/>
    <w:rsid w:val="0FD976D6"/>
    <w:rsid w:val="0FE56CEA"/>
    <w:rsid w:val="0FE80FB7"/>
    <w:rsid w:val="0FFE6E25"/>
    <w:rsid w:val="101857CA"/>
    <w:rsid w:val="10190C68"/>
    <w:rsid w:val="103B13CA"/>
    <w:rsid w:val="10763B14"/>
    <w:rsid w:val="10815D9C"/>
    <w:rsid w:val="109A39BF"/>
    <w:rsid w:val="10A07A0D"/>
    <w:rsid w:val="10AE5D18"/>
    <w:rsid w:val="10CC1B10"/>
    <w:rsid w:val="10D80401"/>
    <w:rsid w:val="10E0087C"/>
    <w:rsid w:val="10E207E5"/>
    <w:rsid w:val="10F164E2"/>
    <w:rsid w:val="10F1684B"/>
    <w:rsid w:val="10FA4FBB"/>
    <w:rsid w:val="10FD7CB5"/>
    <w:rsid w:val="11022A18"/>
    <w:rsid w:val="112518E3"/>
    <w:rsid w:val="11276184"/>
    <w:rsid w:val="112C3AFC"/>
    <w:rsid w:val="11341B12"/>
    <w:rsid w:val="11474BB0"/>
    <w:rsid w:val="115213A4"/>
    <w:rsid w:val="115D7105"/>
    <w:rsid w:val="1169364E"/>
    <w:rsid w:val="116B6410"/>
    <w:rsid w:val="116E48D5"/>
    <w:rsid w:val="11906397"/>
    <w:rsid w:val="11B143FA"/>
    <w:rsid w:val="11D55355"/>
    <w:rsid w:val="11E21EF3"/>
    <w:rsid w:val="120A3217"/>
    <w:rsid w:val="120E1BE5"/>
    <w:rsid w:val="121060FE"/>
    <w:rsid w:val="12107727"/>
    <w:rsid w:val="121322F1"/>
    <w:rsid w:val="1219274A"/>
    <w:rsid w:val="12223D39"/>
    <w:rsid w:val="122D5442"/>
    <w:rsid w:val="122D652B"/>
    <w:rsid w:val="123C5A3B"/>
    <w:rsid w:val="125A5F17"/>
    <w:rsid w:val="126013B8"/>
    <w:rsid w:val="126E35A8"/>
    <w:rsid w:val="12713B38"/>
    <w:rsid w:val="129273CB"/>
    <w:rsid w:val="12973982"/>
    <w:rsid w:val="129F4A27"/>
    <w:rsid w:val="12BE53D5"/>
    <w:rsid w:val="12D20F3B"/>
    <w:rsid w:val="12DA31F6"/>
    <w:rsid w:val="12E11965"/>
    <w:rsid w:val="13082AF4"/>
    <w:rsid w:val="130A28DF"/>
    <w:rsid w:val="133B1EAC"/>
    <w:rsid w:val="134149B7"/>
    <w:rsid w:val="135875D7"/>
    <w:rsid w:val="139539BD"/>
    <w:rsid w:val="13AE6A2A"/>
    <w:rsid w:val="13B862C8"/>
    <w:rsid w:val="13D05532"/>
    <w:rsid w:val="14057CDF"/>
    <w:rsid w:val="141E08FD"/>
    <w:rsid w:val="14595682"/>
    <w:rsid w:val="146A7CA8"/>
    <w:rsid w:val="146C3C63"/>
    <w:rsid w:val="146E5152"/>
    <w:rsid w:val="14A4387E"/>
    <w:rsid w:val="14AA741C"/>
    <w:rsid w:val="14B10657"/>
    <w:rsid w:val="14BA2094"/>
    <w:rsid w:val="14BD497F"/>
    <w:rsid w:val="14DB0A28"/>
    <w:rsid w:val="14E06F2D"/>
    <w:rsid w:val="14F04B2F"/>
    <w:rsid w:val="14F52C04"/>
    <w:rsid w:val="14FA107F"/>
    <w:rsid w:val="14FA38C6"/>
    <w:rsid w:val="153652C6"/>
    <w:rsid w:val="15373A6B"/>
    <w:rsid w:val="157C5758"/>
    <w:rsid w:val="1580202F"/>
    <w:rsid w:val="15B66837"/>
    <w:rsid w:val="15F7477A"/>
    <w:rsid w:val="15FC76A4"/>
    <w:rsid w:val="16480437"/>
    <w:rsid w:val="16854C32"/>
    <w:rsid w:val="16857E4E"/>
    <w:rsid w:val="16B17A67"/>
    <w:rsid w:val="16B72B96"/>
    <w:rsid w:val="16CE2D81"/>
    <w:rsid w:val="16E43EDA"/>
    <w:rsid w:val="16EE2F12"/>
    <w:rsid w:val="16F56C5C"/>
    <w:rsid w:val="1707535A"/>
    <w:rsid w:val="172C5190"/>
    <w:rsid w:val="17334175"/>
    <w:rsid w:val="173C0274"/>
    <w:rsid w:val="174035A8"/>
    <w:rsid w:val="17491FBE"/>
    <w:rsid w:val="17885722"/>
    <w:rsid w:val="178C46C8"/>
    <w:rsid w:val="17946704"/>
    <w:rsid w:val="17985906"/>
    <w:rsid w:val="17BB6387"/>
    <w:rsid w:val="17DD00AB"/>
    <w:rsid w:val="17EC60C1"/>
    <w:rsid w:val="18186710"/>
    <w:rsid w:val="182D2ADB"/>
    <w:rsid w:val="18351C8D"/>
    <w:rsid w:val="18560AD3"/>
    <w:rsid w:val="18E65685"/>
    <w:rsid w:val="18E97A06"/>
    <w:rsid w:val="1904723C"/>
    <w:rsid w:val="1927313B"/>
    <w:rsid w:val="192E5F53"/>
    <w:rsid w:val="19354564"/>
    <w:rsid w:val="1935582C"/>
    <w:rsid w:val="19514E3D"/>
    <w:rsid w:val="19653351"/>
    <w:rsid w:val="1966642A"/>
    <w:rsid w:val="196E50B5"/>
    <w:rsid w:val="19947F54"/>
    <w:rsid w:val="19DA27F0"/>
    <w:rsid w:val="19F91BDB"/>
    <w:rsid w:val="1A2024D1"/>
    <w:rsid w:val="1A4F07EC"/>
    <w:rsid w:val="1A515B5C"/>
    <w:rsid w:val="1AA95693"/>
    <w:rsid w:val="1ABB1DD3"/>
    <w:rsid w:val="1B066FA5"/>
    <w:rsid w:val="1B1004A0"/>
    <w:rsid w:val="1B1A295C"/>
    <w:rsid w:val="1B262014"/>
    <w:rsid w:val="1B28270A"/>
    <w:rsid w:val="1B6A1D09"/>
    <w:rsid w:val="1B7F0AA1"/>
    <w:rsid w:val="1B831934"/>
    <w:rsid w:val="1B8C151E"/>
    <w:rsid w:val="1B917141"/>
    <w:rsid w:val="1B9D7882"/>
    <w:rsid w:val="1BA467C3"/>
    <w:rsid w:val="1BA95AE9"/>
    <w:rsid w:val="1BB05A64"/>
    <w:rsid w:val="1BC57A75"/>
    <w:rsid w:val="1BE9034B"/>
    <w:rsid w:val="1BED13C5"/>
    <w:rsid w:val="1C0E2142"/>
    <w:rsid w:val="1C3F7FA3"/>
    <w:rsid w:val="1C5376C3"/>
    <w:rsid w:val="1C6E7B02"/>
    <w:rsid w:val="1C73068E"/>
    <w:rsid w:val="1C7B4336"/>
    <w:rsid w:val="1CA43340"/>
    <w:rsid w:val="1CAE1AE5"/>
    <w:rsid w:val="1CB73A6D"/>
    <w:rsid w:val="1CFE5BCB"/>
    <w:rsid w:val="1D0807CC"/>
    <w:rsid w:val="1D192B3E"/>
    <w:rsid w:val="1D1A3B4F"/>
    <w:rsid w:val="1D5B56CD"/>
    <w:rsid w:val="1D5E2905"/>
    <w:rsid w:val="1D825546"/>
    <w:rsid w:val="1D927837"/>
    <w:rsid w:val="1DA141D7"/>
    <w:rsid w:val="1DB5112A"/>
    <w:rsid w:val="1DD126D0"/>
    <w:rsid w:val="1DD31594"/>
    <w:rsid w:val="1DE35648"/>
    <w:rsid w:val="1DED4074"/>
    <w:rsid w:val="1E012A5F"/>
    <w:rsid w:val="1E255DFD"/>
    <w:rsid w:val="1E331D76"/>
    <w:rsid w:val="1E4D7271"/>
    <w:rsid w:val="1E8C046E"/>
    <w:rsid w:val="1E9E000F"/>
    <w:rsid w:val="1EC450BA"/>
    <w:rsid w:val="1EDE6ADB"/>
    <w:rsid w:val="1F115769"/>
    <w:rsid w:val="1F5E7F13"/>
    <w:rsid w:val="1FA170F6"/>
    <w:rsid w:val="1FB75686"/>
    <w:rsid w:val="1FC7085E"/>
    <w:rsid w:val="1FD574B1"/>
    <w:rsid w:val="202C3183"/>
    <w:rsid w:val="203305D5"/>
    <w:rsid w:val="20425A55"/>
    <w:rsid w:val="2059446E"/>
    <w:rsid w:val="20601E11"/>
    <w:rsid w:val="206306F3"/>
    <w:rsid w:val="20893CB3"/>
    <w:rsid w:val="208A3CC2"/>
    <w:rsid w:val="209440A5"/>
    <w:rsid w:val="209452FF"/>
    <w:rsid w:val="209D1C94"/>
    <w:rsid w:val="20BA65B9"/>
    <w:rsid w:val="20F3093F"/>
    <w:rsid w:val="20F871F2"/>
    <w:rsid w:val="21037966"/>
    <w:rsid w:val="212749D8"/>
    <w:rsid w:val="21494FE2"/>
    <w:rsid w:val="216E6218"/>
    <w:rsid w:val="21846654"/>
    <w:rsid w:val="21E63EB0"/>
    <w:rsid w:val="21E72028"/>
    <w:rsid w:val="220B1A78"/>
    <w:rsid w:val="22143FB3"/>
    <w:rsid w:val="221D034A"/>
    <w:rsid w:val="22496E3B"/>
    <w:rsid w:val="22576B5B"/>
    <w:rsid w:val="226B62B9"/>
    <w:rsid w:val="22703BBB"/>
    <w:rsid w:val="228C7E35"/>
    <w:rsid w:val="22DB168B"/>
    <w:rsid w:val="22E452C1"/>
    <w:rsid w:val="22EF6EF2"/>
    <w:rsid w:val="22F54799"/>
    <w:rsid w:val="22FB7F7F"/>
    <w:rsid w:val="230B10D7"/>
    <w:rsid w:val="231576F3"/>
    <w:rsid w:val="236667F6"/>
    <w:rsid w:val="236D0020"/>
    <w:rsid w:val="23881DBA"/>
    <w:rsid w:val="23D32AC5"/>
    <w:rsid w:val="23D74211"/>
    <w:rsid w:val="23E10D8C"/>
    <w:rsid w:val="23E43569"/>
    <w:rsid w:val="23FF511E"/>
    <w:rsid w:val="24105D2C"/>
    <w:rsid w:val="2429689B"/>
    <w:rsid w:val="242D3C66"/>
    <w:rsid w:val="24432018"/>
    <w:rsid w:val="244A35AA"/>
    <w:rsid w:val="245E1C4D"/>
    <w:rsid w:val="246552FD"/>
    <w:rsid w:val="24656A71"/>
    <w:rsid w:val="246B28F5"/>
    <w:rsid w:val="247C518E"/>
    <w:rsid w:val="249A3871"/>
    <w:rsid w:val="24CA6F0B"/>
    <w:rsid w:val="252E1F46"/>
    <w:rsid w:val="254725AB"/>
    <w:rsid w:val="255A7AB3"/>
    <w:rsid w:val="25692C6D"/>
    <w:rsid w:val="256C0CC0"/>
    <w:rsid w:val="25850643"/>
    <w:rsid w:val="25881406"/>
    <w:rsid w:val="25975A13"/>
    <w:rsid w:val="25B43CED"/>
    <w:rsid w:val="25B82CA0"/>
    <w:rsid w:val="25BB136C"/>
    <w:rsid w:val="25C97D71"/>
    <w:rsid w:val="25CC69B7"/>
    <w:rsid w:val="25D14823"/>
    <w:rsid w:val="25DD296F"/>
    <w:rsid w:val="261D1A99"/>
    <w:rsid w:val="26266B43"/>
    <w:rsid w:val="26294F33"/>
    <w:rsid w:val="266F006C"/>
    <w:rsid w:val="26AB3A30"/>
    <w:rsid w:val="26C1503C"/>
    <w:rsid w:val="26C86887"/>
    <w:rsid w:val="26E54F19"/>
    <w:rsid w:val="273D7554"/>
    <w:rsid w:val="27423F70"/>
    <w:rsid w:val="2742617D"/>
    <w:rsid w:val="27454253"/>
    <w:rsid w:val="27513A36"/>
    <w:rsid w:val="27617029"/>
    <w:rsid w:val="276235AA"/>
    <w:rsid w:val="27752E48"/>
    <w:rsid w:val="27841248"/>
    <w:rsid w:val="27A054EB"/>
    <w:rsid w:val="27C46EEA"/>
    <w:rsid w:val="27CD64A0"/>
    <w:rsid w:val="27CE17BE"/>
    <w:rsid w:val="27E57805"/>
    <w:rsid w:val="27EE54EA"/>
    <w:rsid w:val="27FB5104"/>
    <w:rsid w:val="28133EAE"/>
    <w:rsid w:val="281F6039"/>
    <w:rsid w:val="283918A1"/>
    <w:rsid w:val="28400AB5"/>
    <w:rsid w:val="284C2F6E"/>
    <w:rsid w:val="28512C29"/>
    <w:rsid w:val="28562715"/>
    <w:rsid w:val="28813533"/>
    <w:rsid w:val="2898714D"/>
    <w:rsid w:val="289F5ABF"/>
    <w:rsid w:val="28E2478E"/>
    <w:rsid w:val="28E55FEE"/>
    <w:rsid w:val="29092FCC"/>
    <w:rsid w:val="29335FD8"/>
    <w:rsid w:val="293F464C"/>
    <w:rsid w:val="294A44A0"/>
    <w:rsid w:val="2981001E"/>
    <w:rsid w:val="299E00D9"/>
    <w:rsid w:val="29A5548B"/>
    <w:rsid w:val="29CA4FB2"/>
    <w:rsid w:val="29E12911"/>
    <w:rsid w:val="2A292622"/>
    <w:rsid w:val="2A3004CC"/>
    <w:rsid w:val="2A306760"/>
    <w:rsid w:val="2A4A5956"/>
    <w:rsid w:val="2A65743E"/>
    <w:rsid w:val="2A6576FA"/>
    <w:rsid w:val="2A6C7A54"/>
    <w:rsid w:val="2A6E1441"/>
    <w:rsid w:val="2A7B1C72"/>
    <w:rsid w:val="2ACA68F9"/>
    <w:rsid w:val="2ACC7431"/>
    <w:rsid w:val="2AE57E00"/>
    <w:rsid w:val="2AEC63ED"/>
    <w:rsid w:val="2AF55348"/>
    <w:rsid w:val="2AF75572"/>
    <w:rsid w:val="2B0F6AA8"/>
    <w:rsid w:val="2B1A6A9B"/>
    <w:rsid w:val="2B305B86"/>
    <w:rsid w:val="2B346A17"/>
    <w:rsid w:val="2B365FF8"/>
    <w:rsid w:val="2B423E07"/>
    <w:rsid w:val="2B4C0404"/>
    <w:rsid w:val="2B7702F6"/>
    <w:rsid w:val="2B922C8C"/>
    <w:rsid w:val="2B9845BD"/>
    <w:rsid w:val="2B9E0B63"/>
    <w:rsid w:val="2BC02C91"/>
    <w:rsid w:val="2BC809DB"/>
    <w:rsid w:val="2BD72F22"/>
    <w:rsid w:val="2BEC0091"/>
    <w:rsid w:val="2C2001E9"/>
    <w:rsid w:val="2C387DFD"/>
    <w:rsid w:val="2C3B2724"/>
    <w:rsid w:val="2C5854C5"/>
    <w:rsid w:val="2C606E48"/>
    <w:rsid w:val="2C6C2BD8"/>
    <w:rsid w:val="2CA77D1E"/>
    <w:rsid w:val="2CB96DF7"/>
    <w:rsid w:val="2CD24B05"/>
    <w:rsid w:val="2CE914A8"/>
    <w:rsid w:val="2CED313E"/>
    <w:rsid w:val="2CF03F85"/>
    <w:rsid w:val="2D1723AB"/>
    <w:rsid w:val="2D174E2D"/>
    <w:rsid w:val="2D323C9C"/>
    <w:rsid w:val="2D3D5907"/>
    <w:rsid w:val="2D6E3085"/>
    <w:rsid w:val="2D7B7CF2"/>
    <w:rsid w:val="2D95729A"/>
    <w:rsid w:val="2DC47061"/>
    <w:rsid w:val="2DCE0C51"/>
    <w:rsid w:val="2E573C53"/>
    <w:rsid w:val="2E585411"/>
    <w:rsid w:val="2E613EF2"/>
    <w:rsid w:val="2E7977F1"/>
    <w:rsid w:val="2EA6084D"/>
    <w:rsid w:val="2EA63031"/>
    <w:rsid w:val="2ED34A16"/>
    <w:rsid w:val="2EE50403"/>
    <w:rsid w:val="2EEF1683"/>
    <w:rsid w:val="2F0C055B"/>
    <w:rsid w:val="2F296BE7"/>
    <w:rsid w:val="2F3D70D9"/>
    <w:rsid w:val="2F7B18C6"/>
    <w:rsid w:val="2FBC2248"/>
    <w:rsid w:val="2FC64215"/>
    <w:rsid w:val="300D4DB7"/>
    <w:rsid w:val="300F12C2"/>
    <w:rsid w:val="301145B2"/>
    <w:rsid w:val="30191A45"/>
    <w:rsid w:val="30472BAB"/>
    <w:rsid w:val="306B1E6F"/>
    <w:rsid w:val="307153DD"/>
    <w:rsid w:val="30817FF4"/>
    <w:rsid w:val="30954401"/>
    <w:rsid w:val="309F19D8"/>
    <w:rsid w:val="30AF7AA4"/>
    <w:rsid w:val="30BF5639"/>
    <w:rsid w:val="30CD14E7"/>
    <w:rsid w:val="30F60F68"/>
    <w:rsid w:val="30FF15FC"/>
    <w:rsid w:val="31085D41"/>
    <w:rsid w:val="310D3608"/>
    <w:rsid w:val="312231FC"/>
    <w:rsid w:val="31345F8C"/>
    <w:rsid w:val="31A52FE0"/>
    <w:rsid w:val="31AF69F4"/>
    <w:rsid w:val="31B41A25"/>
    <w:rsid w:val="31C379ED"/>
    <w:rsid w:val="31E56B13"/>
    <w:rsid w:val="31EA0C92"/>
    <w:rsid w:val="320857B2"/>
    <w:rsid w:val="321831D6"/>
    <w:rsid w:val="325F7B06"/>
    <w:rsid w:val="3276707E"/>
    <w:rsid w:val="32852FFF"/>
    <w:rsid w:val="329F239E"/>
    <w:rsid w:val="32C85894"/>
    <w:rsid w:val="32C923DD"/>
    <w:rsid w:val="32D61E6F"/>
    <w:rsid w:val="32DD144F"/>
    <w:rsid w:val="330034EF"/>
    <w:rsid w:val="333625CB"/>
    <w:rsid w:val="334235DD"/>
    <w:rsid w:val="33566CEE"/>
    <w:rsid w:val="336202B6"/>
    <w:rsid w:val="33650761"/>
    <w:rsid w:val="337906B4"/>
    <w:rsid w:val="33792C6B"/>
    <w:rsid w:val="338B0EAB"/>
    <w:rsid w:val="338B54A0"/>
    <w:rsid w:val="33977850"/>
    <w:rsid w:val="33987764"/>
    <w:rsid w:val="33B37ABA"/>
    <w:rsid w:val="33D9551A"/>
    <w:rsid w:val="33E663FB"/>
    <w:rsid w:val="340528EE"/>
    <w:rsid w:val="3406384E"/>
    <w:rsid w:val="34116CF8"/>
    <w:rsid w:val="34194D1A"/>
    <w:rsid w:val="341C3E29"/>
    <w:rsid w:val="341F2465"/>
    <w:rsid w:val="343B63FF"/>
    <w:rsid w:val="3471486F"/>
    <w:rsid w:val="348D0212"/>
    <w:rsid w:val="34CC2F64"/>
    <w:rsid w:val="34DE349F"/>
    <w:rsid w:val="34ED6CAC"/>
    <w:rsid w:val="34F40D1E"/>
    <w:rsid w:val="35091A99"/>
    <w:rsid w:val="350A60B5"/>
    <w:rsid w:val="35233084"/>
    <w:rsid w:val="357A11D7"/>
    <w:rsid w:val="357C48A4"/>
    <w:rsid w:val="358279F3"/>
    <w:rsid w:val="35B15207"/>
    <w:rsid w:val="35BF0B64"/>
    <w:rsid w:val="35D62647"/>
    <w:rsid w:val="36195A35"/>
    <w:rsid w:val="363C7257"/>
    <w:rsid w:val="363E1447"/>
    <w:rsid w:val="364A7982"/>
    <w:rsid w:val="364C65D5"/>
    <w:rsid w:val="367262FF"/>
    <w:rsid w:val="3684417B"/>
    <w:rsid w:val="36902F82"/>
    <w:rsid w:val="369246BF"/>
    <w:rsid w:val="369B66DA"/>
    <w:rsid w:val="36AC3C67"/>
    <w:rsid w:val="36BD0EAC"/>
    <w:rsid w:val="36E07BE5"/>
    <w:rsid w:val="36EA3884"/>
    <w:rsid w:val="36F06495"/>
    <w:rsid w:val="372C4753"/>
    <w:rsid w:val="373A07A1"/>
    <w:rsid w:val="37564705"/>
    <w:rsid w:val="375A12C0"/>
    <w:rsid w:val="375E2C50"/>
    <w:rsid w:val="376C653B"/>
    <w:rsid w:val="376E2871"/>
    <w:rsid w:val="37845DE0"/>
    <w:rsid w:val="378F400D"/>
    <w:rsid w:val="37A32B62"/>
    <w:rsid w:val="37A7699F"/>
    <w:rsid w:val="37B1313F"/>
    <w:rsid w:val="37CC3D62"/>
    <w:rsid w:val="37E675D8"/>
    <w:rsid w:val="37F67666"/>
    <w:rsid w:val="380F68AB"/>
    <w:rsid w:val="381367BC"/>
    <w:rsid w:val="38427E50"/>
    <w:rsid w:val="38650343"/>
    <w:rsid w:val="387046E0"/>
    <w:rsid w:val="387D09A5"/>
    <w:rsid w:val="38AF5CB0"/>
    <w:rsid w:val="38CD2426"/>
    <w:rsid w:val="38F47539"/>
    <w:rsid w:val="390402E8"/>
    <w:rsid w:val="39043A28"/>
    <w:rsid w:val="390D58A5"/>
    <w:rsid w:val="39393C90"/>
    <w:rsid w:val="393A301B"/>
    <w:rsid w:val="39771E3F"/>
    <w:rsid w:val="39812B34"/>
    <w:rsid w:val="39995128"/>
    <w:rsid w:val="39AC27F3"/>
    <w:rsid w:val="39B27192"/>
    <w:rsid w:val="39E07410"/>
    <w:rsid w:val="39F135C7"/>
    <w:rsid w:val="39FD35F5"/>
    <w:rsid w:val="3A130209"/>
    <w:rsid w:val="3A3A522A"/>
    <w:rsid w:val="3A6800F4"/>
    <w:rsid w:val="3A6A1364"/>
    <w:rsid w:val="3A9D566A"/>
    <w:rsid w:val="3AAD17EA"/>
    <w:rsid w:val="3ABD3790"/>
    <w:rsid w:val="3AD9149D"/>
    <w:rsid w:val="3AFF0982"/>
    <w:rsid w:val="3B233C8F"/>
    <w:rsid w:val="3B2A7C3F"/>
    <w:rsid w:val="3B2E4206"/>
    <w:rsid w:val="3B3552E5"/>
    <w:rsid w:val="3B5225DD"/>
    <w:rsid w:val="3B76775E"/>
    <w:rsid w:val="3B802516"/>
    <w:rsid w:val="3B852F40"/>
    <w:rsid w:val="3B987838"/>
    <w:rsid w:val="3BA35A50"/>
    <w:rsid w:val="3BAD7846"/>
    <w:rsid w:val="3BDB28C6"/>
    <w:rsid w:val="3BF57350"/>
    <w:rsid w:val="3BFA097C"/>
    <w:rsid w:val="3C034C04"/>
    <w:rsid w:val="3C132CEC"/>
    <w:rsid w:val="3C355E58"/>
    <w:rsid w:val="3C436BD0"/>
    <w:rsid w:val="3C8523E2"/>
    <w:rsid w:val="3C8666B4"/>
    <w:rsid w:val="3C88242C"/>
    <w:rsid w:val="3C9334BA"/>
    <w:rsid w:val="3CBA19E2"/>
    <w:rsid w:val="3CBB0885"/>
    <w:rsid w:val="3CC01BC6"/>
    <w:rsid w:val="3CCB469D"/>
    <w:rsid w:val="3CD90CB7"/>
    <w:rsid w:val="3CF03B2D"/>
    <w:rsid w:val="3D0338D8"/>
    <w:rsid w:val="3D06254C"/>
    <w:rsid w:val="3D0865EF"/>
    <w:rsid w:val="3D1B6F57"/>
    <w:rsid w:val="3D2970A2"/>
    <w:rsid w:val="3D3436CB"/>
    <w:rsid w:val="3D4F2F4A"/>
    <w:rsid w:val="3D5C337B"/>
    <w:rsid w:val="3D69400B"/>
    <w:rsid w:val="3D906EB1"/>
    <w:rsid w:val="3E18643C"/>
    <w:rsid w:val="3E291FF8"/>
    <w:rsid w:val="3E3E2C3E"/>
    <w:rsid w:val="3E4352B8"/>
    <w:rsid w:val="3E4E5BD2"/>
    <w:rsid w:val="3E9E05F6"/>
    <w:rsid w:val="3EB90B80"/>
    <w:rsid w:val="3EC245E4"/>
    <w:rsid w:val="3EE22F34"/>
    <w:rsid w:val="3EE75F67"/>
    <w:rsid w:val="3EED5823"/>
    <w:rsid w:val="3F283A52"/>
    <w:rsid w:val="3F36616F"/>
    <w:rsid w:val="3F370A7C"/>
    <w:rsid w:val="3F47757E"/>
    <w:rsid w:val="3F880429"/>
    <w:rsid w:val="3F894724"/>
    <w:rsid w:val="3FB1146F"/>
    <w:rsid w:val="3FB27C51"/>
    <w:rsid w:val="3FE82279"/>
    <w:rsid w:val="3FFB72FD"/>
    <w:rsid w:val="40027E72"/>
    <w:rsid w:val="40083E5E"/>
    <w:rsid w:val="40602EB4"/>
    <w:rsid w:val="407D405A"/>
    <w:rsid w:val="409B7468"/>
    <w:rsid w:val="40E92178"/>
    <w:rsid w:val="40F76ABA"/>
    <w:rsid w:val="412546ED"/>
    <w:rsid w:val="412A5162"/>
    <w:rsid w:val="4141373D"/>
    <w:rsid w:val="41AA1D8A"/>
    <w:rsid w:val="41C35106"/>
    <w:rsid w:val="41CC1809"/>
    <w:rsid w:val="41ED2FEE"/>
    <w:rsid w:val="42237683"/>
    <w:rsid w:val="42276727"/>
    <w:rsid w:val="424F37CC"/>
    <w:rsid w:val="42662936"/>
    <w:rsid w:val="42664196"/>
    <w:rsid w:val="42675DE8"/>
    <w:rsid w:val="426D4F04"/>
    <w:rsid w:val="42983D8B"/>
    <w:rsid w:val="429D17C3"/>
    <w:rsid w:val="42E06693"/>
    <w:rsid w:val="43462BE1"/>
    <w:rsid w:val="4354746A"/>
    <w:rsid w:val="43607C5E"/>
    <w:rsid w:val="437B05F4"/>
    <w:rsid w:val="439954A4"/>
    <w:rsid w:val="439F31BD"/>
    <w:rsid w:val="43A30B53"/>
    <w:rsid w:val="43AB4735"/>
    <w:rsid w:val="43AC2B1C"/>
    <w:rsid w:val="43B12238"/>
    <w:rsid w:val="43D6017E"/>
    <w:rsid w:val="43E85A14"/>
    <w:rsid w:val="442901A3"/>
    <w:rsid w:val="44775260"/>
    <w:rsid w:val="447D0D9F"/>
    <w:rsid w:val="44816662"/>
    <w:rsid w:val="448F7B86"/>
    <w:rsid w:val="44902ACB"/>
    <w:rsid w:val="44BC46BC"/>
    <w:rsid w:val="44CE29A6"/>
    <w:rsid w:val="44D501D8"/>
    <w:rsid w:val="44D90DB3"/>
    <w:rsid w:val="450B5E5C"/>
    <w:rsid w:val="450E7FF2"/>
    <w:rsid w:val="453374A0"/>
    <w:rsid w:val="45634F1C"/>
    <w:rsid w:val="45682593"/>
    <w:rsid w:val="45763CC6"/>
    <w:rsid w:val="459A2770"/>
    <w:rsid w:val="459F256F"/>
    <w:rsid w:val="45B8488C"/>
    <w:rsid w:val="45BC2110"/>
    <w:rsid w:val="45C75F72"/>
    <w:rsid w:val="45D03A9B"/>
    <w:rsid w:val="45D352D1"/>
    <w:rsid w:val="45E1455F"/>
    <w:rsid w:val="45FD67C8"/>
    <w:rsid w:val="460945D1"/>
    <w:rsid w:val="46191738"/>
    <w:rsid w:val="46336320"/>
    <w:rsid w:val="46391409"/>
    <w:rsid w:val="464A2500"/>
    <w:rsid w:val="464F7B16"/>
    <w:rsid w:val="465B59D6"/>
    <w:rsid w:val="46664574"/>
    <w:rsid w:val="4699595C"/>
    <w:rsid w:val="46B61DAF"/>
    <w:rsid w:val="46BC2A66"/>
    <w:rsid w:val="46EC656F"/>
    <w:rsid w:val="47374C58"/>
    <w:rsid w:val="473B7AE0"/>
    <w:rsid w:val="473C453F"/>
    <w:rsid w:val="478B5913"/>
    <w:rsid w:val="47A658AA"/>
    <w:rsid w:val="47AD4CBB"/>
    <w:rsid w:val="47C05168"/>
    <w:rsid w:val="47CE3494"/>
    <w:rsid w:val="47D30219"/>
    <w:rsid w:val="47DE115E"/>
    <w:rsid w:val="47F96D46"/>
    <w:rsid w:val="48684BFE"/>
    <w:rsid w:val="48705651"/>
    <w:rsid w:val="48764992"/>
    <w:rsid w:val="4883739D"/>
    <w:rsid w:val="48890302"/>
    <w:rsid w:val="48D52CA0"/>
    <w:rsid w:val="48D634F4"/>
    <w:rsid w:val="48FF3AB7"/>
    <w:rsid w:val="492D58B0"/>
    <w:rsid w:val="497072EC"/>
    <w:rsid w:val="499D128C"/>
    <w:rsid w:val="49C40A60"/>
    <w:rsid w:val="49D21655"/>
    <w:rsid w:val="4A065D61"/>
    <w:rsid w:val="4A1672C9"/>
    <w:rsid w:val="4A196989"/>
    <w:rsid w:val="4A4D0811"/>
    <w:rsid w:val="4A560724"/>
    <w:rsid w:val="4A5F27EF"/>
    <w:rsid w:val="4A662035"/>
    <w:rsid w:val="4A7A4E42"/>
    <w:rsid w:val="4A8343B2"/>
    <w:rsid w:val="4A8D00A4"/>
    <w:rsid w:val="4AA6531B"/>
    <w:rsid w:val="4AF76666"/>
    <w:rsid w:val="4B3205B1"/>
    <w:rsid w:val="4B3F45FD"/>
    <w:rsid w:val="4B4F092F"/>
    <w:rsid w:val="4B501717"/>
    <w:rsid w:val="4B5712A4"/>
    <w:rsid w:val="4B7A7BA5"/>
    <w:rsid w:val="4B9E2DA0"/>
    <w:rsid w:val="4BD51147"/>
    <w:rsid w:val="4BE1658F"/>
    <w:rsid w:val="4BF929FE"/>
    <w:rsid w:val="4BFA12FC"/>
    <w:rsid w:val="4C154CF1"/>
    <w:rsid w:val="4C3603DA"/>
    <w:rsid w:val="4C3906ED"/>
    <w:rsid w:val="4C4B58AA"/>
    <w:rsid w:val="4C726D24"/>
    <w:rsid w:val="4C87625C"/>
    <w:rsid w:val="4CAD7A2A"/>
    <w:rsid w:val="4CE717A9"/>
    <w:rsid w:val="4CE959D7"/>
    <w:rsid w:val="4CEC0FC6"/>
    <w:rsid w:val="4D0B68F8"/>
    <w:rsid w:val="4D2230C0"/>
    <w:rsid w:val="4D7970A3"/>
    <w:rsid w:val="4D844011"/>
    <w:rsid w:val="4D9917A9"/>
    <w:rsid w:val="4DD1501B"/>
    <w:rsid w:val="4DE766FE"/>
    <w:rsid w:val="4DF937EA"/>
    <w:rsid w:val="4E137FE7"/>
    <w:rsid w:val="4E285151"/>
    <w:rsid w:val="4E412EF5"/>
    <w:rsid w:val="4E9609D8"/>
    <w:rsid w:val="4E9641E7"/>
    <w:rsid w:val="4E965DAC"/>
    <w:rsid w:val="4E971249"/>
    <w:rsid w:val="4EA56E6D"/>
    <w:rsid w:val="4EB470B0"/>
    <w:rsid w:val="4EC03362"/>
    <w:rsid w:val="4EDF742B"/>
    <w:rsid w:val="4EF853C0"/>
    <w:rsid w:val="4F070E41"/>
    <w:rsid w:val="4F2316E5"/>
    <w:rsid w:val="4F4A531F"/>
    <w:rsid w:val="4F6D3C99"/>
    <w:rsid w:val="4F6F5F36"/>
    <w:rsid w:val="4F8342A0"/>
    <w:rsid w:val="4F924595"/>
    <w:rsid w:val="4FB34975"/>
    <w:rsid w:val="4FB947AA"/>
    <w:rsid w:val="4FC80B83"/>
    <w:rsid w:val="500A1D36"/>
    <w:rsid w:val="501E3E59"/>
    <w:rsid w:val="504D686F"/>
    <w:rsid w:val="50847368"/>
    <w:rsid w:val="50B213CE"/>
    <w:rsid w:val="50B35A4F"/>
    <w:rsid w:val="5148350E"/>
    <w:rsid w:val="51507F5F"/>
    <w:rsid w:val="51532BB1"/>
    <w:rsid w:val="517D19DC"/>
    <w:rsid w:val="518A7CD9"/>
    <w:rsid w:val="51902CB2"/>
    <w:rsid w:val="519D5BDA"/>
    <w:rsid w:val="51A2744A"/>
    <w:rsid w:val="51A532B5"/>
    <w:rsid w:val="51CF41D4"/>
    <w:rsid w:val="51EB64FE"/>
    <w:rsid w:val="520471C9"/>
    <w:rsid w:val="52377DDC"/>
    <w:rsid w:val="52557B66"/>
    <w:rsid w:val="526B2619"/>
    <w:rsid w:val="52C84A8A"/>
    <w:rsid w:val="52D060A9"/>
    <w:rsid w:val="53000468"/>
    <w:rsid w:val="53035E61"/>
    <w:rsid w:val="532F74CA"/>
    <w:rsid w:val="533D5AF9"/>
    <w:rsid w:val="53454EF2"/>
    <w:rsid w:val="536469D1"/>
    <w:rsid w:val="53754270"/>
    <w:rsid w:val="53B32C64"/>
    <w:rsid w:val="53C82200"/>
    <w:rsid w:val="541A3344"/>
    <w:rsid w:val="54276E08"/>
    <w:rsid w:val="54312CDE"/>
    <w:rsid w:val="544762D1"/>
    <w:rsid w:val="54532B17"/>
    <w:rsid w:val="54567256"/>
    <w:rsid w:val="54745318"/>
    <w:rsid w:val="54921C42"/>
    <w:rsid w:val="54923C87"/>
    <w:rsid w:val="54944A93"/>
    <w:rsid w:val="549814F6"/>
    <w:rsid w:val="54B432D6"/>
    <w:rsid w:val="54D165BA"/>
    <w:rsid w:val="54E243AD"/>
    <w:rsid w:val="54E51987"/>
    <w:rsid w:val="54E6589F"/>
    <w:rsid w:val="55005D54"/>
    <w:rsid w:val="555542E9"/>
    <w:rsid w:val="556503B7"/>
    <w:rsid w:val="55717AA9"/>
    <w:rsid w:val="559317CE"/>
    <w:rsid w:val="55945308"/>
    <w:rsid w:val="55AB4DC5"/>
    <w:rsid w:val="55FE698A"/>
    <w:rsid w:val="56127B17"/>
    <w:rsid w:val="56150AFF"/>
    <w:rsid w:val="568B42C2"/>
    <w:rsid w:val="56B524A6"/>
    <w:rsid w:val="56E1315A"/>
    <w:rsid w:val="56E16569"/>
    <w:rsid w:val="56E21500"/>
    <w:rsid w:val="56FF105F"/>
    <w:rsid w:val="57093AA8"/>
    <w:rsid w:val="571221EA"/>
    <w:rsid w:val="57402A19"/>
    <w:rsid w:val="575267EE"/>
    <w:rsid w:val="57634B0C"/>
    <w:rsid w:val="57943C03"/>
    <w:rsid w:val="57A75CB8"/>
    <w:rsid w:val="57B630AA"/>
    <w:rsid w:val="57C33332"/>
    <w:rsid w:val="57D03CCF"/>
    <w:rsid w:val="57DD68AB"/>
    <w:rsid w:val="57E6269F"/>
    <w:rsid w:val="580F41D1"/>
    <w:rsid w:val="5825744E"/>
    <w:rsid w:val="58332DC6"/>
    <w:rsid w:val="583C2E1D"/>
    <w:rsid w:val="583E6B4E"/>
    <w:rsid w:val="58471559"/>
    <w:rsid w:val="58501AFE"/>
    <w:rsid w:val="58705DF6"/>
    <w:rsid w:val="5892083B"/>
    <w:rsid w:val="58A87BD6"/>
    <w:rsid w:val="58BD2E7F"/>
    <w:rsid w:val="58DA0AB7"/>
    <w:rsid w:val="58F81BC1"/>
    <w:rsid w:val="592D3CE7"/>
    <w:rsid w:val="593777F1"/>
    <w:rsid w:val="594475E4"/>
    <w:rsid w:val="596C2A61"/>
    <w:rsid w:val="597B68F0"/>
    <w:rsid w:val="59A64B68"/>
    <w:rsid w:val="59BC09B7"/>
    <w:rsid w:val="59CF77B5"/>
    <w:rsid w:val="59D629C7"/>
    <w:rsid w:val="59FB04AF"/>
    <w:rsid w:val="59FD2A7B"/>
    <w:rsid w:val="5A071501"/>
    <w:rsid w:val="5A292939"/>
    <w:rsid w:val="5A386DB0"/>
    <w:rsid w:val="5A3F0285"/>
    <w:rsid w:val="5A536FBF"/>
    <w:rsid w:val="5A760606"/>
    <w:rsid w:val="5A7A52B1"/>
    <w:rsid w:val="5A8C3C9B"/>
    <w:rsid w:val="5A936E61"/>
    <w:rsid w:val="5AA83EC2"/>
    <w:rsid w:val="5AB30A66"/>
    <w:rsid w:val="5AC174FB"/>
    <w:rsid w:val="5AD07A60"/>
    <w:rsid w:val="5AF1768D"/>
    <w:rsid w:val="5AFC7E15"/>
    <w:rsid w:val="5B050918"/>
    <w:rsid w:val="5B152E6F"/>
    <w:rsid w:val="5B256C20"/>
    <w:rsid w:val="5B32772E"/>
    <w:rsid w:val="5B342CA1"/>
    <w:rsid w:val="5B4213BB"/>
    <w:rsid w:val="5B436FE7"/>
    <w:rsid w:val="5B77250D"/>
    <w:rsid w:val="5B7D797E"/>
    <w:rsid w:val="5BD743DE"/>
    <w:rsid w:val="5C1D6876"/>
    <w:rsid w:val="5C1E6BDB"/>
    <w:rsid w:val="5C2A7465"/>
    <w:rsid w:val="5C485468"/>
    <w:rsid w:val="5C7455F9"/>
    <w:rsid w:val="5C7B3721"/>
    <w:rsid w:val="5CCF2197"/>
    <w:rsid w:val="5CD76F8D"/>
    <w:rsid w:val="5CDC2524"/>
    <w:rsid w:val="5CE24AF4"/>
    <w:rsid w:val="5CFF4CB6"/>
    <w:rsid w:val="5D10126F"/>
    <w:rsid w:val="5D182781"/>
    <w:rsid w:val="5D1A3636"/>
    <w:rsid w:val="5D280130"/>
    <w:rsid w:val="5D2F02F0"/>
    <w:rsid w:val="5D52255C"/>
    <w:rsid w:val="5D5F5888"/>
    <w:rsid w:val="5D7B1118"/>
    <w:rsid w:val="5DA433D8"/>
    <w:rsid w:val="5DE07F54"/>
    <w:rsid w:val="5DE44F02"/>
    <w:rsid w:val="5DF26020"/>
    <w:rsid w:val="5E002BBA"/>
    <w:rsid w:val="5E2A57CB"/>
    <w:rsid w:val="5E57470E"/>
    <w:rsid w:val="5E6957C1"/>
    <w:rsid w:val="5E786E01"/>
    <w:rsid w:val="5E8D12C0"/>
    <w:rsid w:val="5EAB71E4"/>
    <w:rsid w:val="5EDA3AD6"/>
    <w:rsid w:val="5EF72BFC"/>
    <w:rsid w:val="5F34419E"/>
    <w:rsid w:val="5F3729F3"/>
    <w:rsid w:val="5F434264"/>
    <w:rsid w:val="5F585836"/>
    <w:rsid w:val="5F954B7C"/>
    <w:rsid w:val="5FB504F2"/>
    <w:rsid w:val="5FCB65FE"/>
    <w:rsid w:val="5FD72B7F"/>
    <w:rsid w:val="5FD74F92"/>
    <w:rsid w:val="5FDB12C1"/>
    <w:rsid w:val="5FF0340E"/>
    <w:rsid w:val="60085DAB"/>
    <w:rsid w:val="601D701A"/>
    <w:rsid w:val="60532FDF"/>
    <w:rsid w:val="606A185F"/>
    <w:rsid w:val="608B7265"/>
    <w:rsid w:val="60A6142B"/>
    <w:rsid w:val="60A9004E"/>
    <w:rsid w:val="60BD0047"/>
    <w:rsid w:val="60F21F82"/>
    <w:rsid w:val="60FC6CCB"/>
    <w:rsid w:val="61031897"/>
    <w:rsid w:val="611F15E5"/>
    <w:rsid w:val="612479FF"/>
    <w:rsid w:val="614C3478"/>
    <w:rsid w:val="615C33BC"/>
    <w:rsid w:val="61865E2A"/>
    <w:rsid w:val="61AF1E69"/>
    <w:rsid w:val="61D2786D"/>
    <w:rsid w:val="61F75D56"/>
    <w:rsid w:val="61FD1356"/>
    <w:rsid w:val="62006CAC"/>
    <w:rsid w:val="621C40C6"/>
    <w:rsid w:val="623519DF"/>
    <w:rsid w:val="62467A40"/>
    <w:rsid w:val="624F2D61"/>
    <w:rsid w:val="62620EA5"/>
    <w:rsid w:val="62674C7D"/>
    <w:rsid w:val="62804E43"/>
    <w:rsid w:val="62944E1D"/>
    <w:rsid w:val="62A61C5E"/>
    <w:rsid w:val="62B05F32"/>
    <w:rsid w:val="62B47357"/>
    <w:rsid w:val="62C00D89"/>
    <w:rsid w:val="62C60107"/>
    <w:rsid w:val="62D75582"/>
    <w:rsid w:val="62D96AE2"/>
    <w:rsid w:val="63001E56"/>
    <w:rsid w:val="63235EC9"/>
    <w:rsid w:val="634E1577"/>
    <w:rsid w:val="63540FD1"/>
    <w:rsid w:val="635A7DCF"/>
    <w:rsid w:val="63A86D8C"/>
    <w:rsid w:val="63AD43A2"/>
    <w:rsid w:val="63BF2BD6"/>
    <w:rsid w:val="63EF4ED5"/>
    <w:rsid w:val="64177A6E"/>
    <w:rsid w:val="6431147D"/>
    <w:rsid w:val="64496236"/>
    <w:rsid w:val="644C2EBA"/>
    <w:rsid w:val="645B3625"/>
    <w:rsid w:val="64630CA4"/>
    <w:rsid w:val="647E2D29"/>
    <w:rsid w:val="64996FF1"/>
    <w:rsid w:val="64AF7CA6"/>
    <w:rsid w:val="64F1206D"/>
    <w:rsid w:val="65046AE1"/>
    <w:rsid w:val="6532049C"/>
    <w:rsid w:val="654C0FCC"/>
    <w:rsid w:val="6599110C"/>
    <w:rsid w:val="65AA1AAA"/>
    <w:rsid w:val="65B41784"/>
    <w:rsid w:val="65C041E2"/>
    <w:rsid w:val="65C0422A"/>
    <w:rsid w:val="65D57BE0"/>
    <w:rsid w:val="65DA5456"/>
    <w:rsid w:val="65E07311"/>
    <w:rsid w:val="65F14E9D"/>
    <w:rsid w:val="66395185"/>
    <w:rsid w:val="66476B75"/>
    <w:rsid w:val="664B7EA3"/>
    <w:rsid w:val="666F4680"/>
    <w:rsid w:val="668369D7"/>
    <w:rsid w:val="6695125A"/>
    <w:rsid w:val="66A10F55"/>
    <w:rsid w:val="66CC73D0"/>
    <w:rsid w:val="66F4730D"/>
    <w:rsid w:val="66FF2508"/>
    <w:rsid w:val="67046EF5"/>
    <w:rsid w:val="670A5668"/>
    <w:rsid w:val="671F1FC3"/>
    <w:rsid w:val="672E1D58"/>
    <w:rsid w:val="67377DF0"/>
    <w:rsid w:val="674D4D6E"/>
    <w:rsid w:val="675B226D"/>
    <w:rsid w:val="675E0C41"/>
    <w:rsid w:val="67646976"/>
    <w:rsid w:val="679A0705"/>
    <w:rsid w:val="679A4C3E"/>
    <w:rsid w:val="67A05FCC"/>
    <w:rsid w:val="67A17681"/>
    <w:rsid w:val="67B32D97"/>
    <w:rsid w:val="67B81568"/>
    <w:rsid w:val="67B902F5"/>
    <w:rsid w:val="67BF6452"/>
    <w:rsid w:val="67C837E5"/>
    <w:rsid w:val="67E00415"/>
    <w:rsid w:val="67F36D06"/>
    <w:rsid w:val="67F54E36"/>
    <w:rsid w:val="67F90D78"/>
    <w:rsid w:val="67FC3439"/>
    <w:rsid w:val="67FE623F"/>
    <w:rsid w:val="681B1687"/>
    <w:rsid w:val="682409AB"/>
    <w:rsid w:val="684157BC"/>
    <w:rsid w:val="684857F3"/>
    <w:rsid w:val="68570199"/>
    <w:rsid w:val="686A2824"/>
    <w:rsid w:val="68815DFE"/>
    <w:rsid w:val="689765C3"/>
    <w:rsid w:val="689B5262"/>
    <w:rsid w:val="68A42822"/>
    <w:rsid w:val="68CB2F9D"/>
    <w:rsid w:val="68F20AA9"/>
    <w:rsid w:val="68F93781"/>
    <w:rsid w:val="693146F9"/>
    <w:rsid w:val="6941654D"/>
    <w:rsid w:val="696B4F99"/>
    <w:rsid w:val="69794F14"/>
    <w:rsid w:val="69804F4B"/>
    <w:rsid w:val="69820EA4"/>
    <w:rsid w:val="69A2602B"/>
    <w:rsid w:val="69AE2C22"/>
    <w:rsid w:val="69C73CE4"/>
    <w:rsid w:val="69DF498D"/>
    <w:rsid w:val="6A0B6CCC"/>
    <w:rsid w:val="6A1861E5"/>
    <w:rsid w:val="6A647785"/>
    <w:rsid w:val="6A6F0A69"/>
    <w:rsid w:val="6A700FDF"/>
    <w:rsid w:val="6A757A9B"/>
    <w:rsid w:val="6A7F06A9"/>
    <w:rsid w:val="6A8E035E"/>
    <w:rsid w:val="6A9F616A"/>
    <w:rsid w:val="6ACD1597"/>
    <w:rsid w:val="6AF348DB"/>
    <w:rsid w:val="6AF7565C"/>
    <w:rsid w:val="6AFB3945"/>
    <w:rsid w:val="6B191075"/>
    <w:rsid w:val="6B423FE8"/>
    <w:rsid w:val="6B432AA4"/>
    <w:rsid w:val="6B794BB1"/>
    <w:rsid w:val="6BA22C6F"/>
    <w:rsid w:val="6BA44D65"/>
    <w:rsid w:val="6BA85373"/>
    <w:rsid w:val="6BA936A1"/>
    <w:rsid w:val="6BBB108E"/>
    <w:rsid w:val="6BD359FC"/>
    <w:rsid w:val="6C02487E"/>
    <w:rsid w:val="6C2778E6"/>
    <w:rsid w:val="6C283332"/>
    <w:rsid w:val="6C3C2767"/>
    <w:rsid w:val="6C593246"/>
    <w:rsid w:val="6CA15227"/>
    <w:rsid w:val="6CBA78A9"/>
    <w:rsid w:val="6CD01046"/>
    <w:rsid w:val="6CD939CD"/>
    <w:rsid w:val="6D194857"/>
    <w:rsid w:val="6D356354"/>
    <w:rsid w:val="6D48513C"/>
    <w:rsid w:val="6D7B106D"/>
    <w:rsid w:val="6D8A1A0C"/>
    <w:rsid w:val="6D9E6B0A"/>
    <w:rsid w:val="6DC80CEB"/>
    <w:rsid w:val="6DCD3EF8"/>
    <w:rsid w:val="6DD6201D"/>
    <w:rsid w:val="6DEE183F"/>
    <w:rsid w:val="6DF06496"/>
    <w:rsid w:val="6E185A80"/>
    <w:rsid w:val="6E2603D9"/>
    <w:rsid w:val="6E2A648C"/>
    <w:rsid w:val="6E3C5FB4"/>
    <w:rsid w:val="6E53498E"/>
    <w:rsid w:val="6E5909FF"/>
    <w:rsid w:val="6E6B3624"/>
    <w:rsid w:val="6E806ECC"/>
    <w:rsid w:val="6E970A3D"/>
    <w:rsid w:val="6E9743B5"/>
    <w:rsid w:val="6EA509B5"/>
    <w:rsid w:val="6EA632CB"/>
    <w:rsid w:val="6EB47E80"/>
    <w:rsid w:val="6ECB402E"/>
    <w:rsid w:val="6EF0255B"/>
    <w:rsid w:val="6EFD2390"/>
    <w:rsid w:val="6F0D38F7"/>
    <w:rsid w:val="6F0F52C9"/>
    <w:rsid w:val="6F0F6AD0"/>
    <w:rsid w:val="6F1257DF"/>
    <w:rsid w:val="6F197766"/>
    <w:rsid w:val="6F4F4DAA"/>
    <w:rsid w:val="6F565137"/>
    <w:rsid w:val="6F8D0E8C"/>
    <w:rsid w:val="6F99226F"/>
    <w:rsid w:val="6F9964DA"/>
    <w:rsid w:val="6FD42D34"/>
    <w:rsid w:val="6FD802ED"/>
    <w:rsid w:val="6FE7530F"/>
    <w:rsid w:val="707950BE"/>
    <w:rsid w:val="709D59AA"/>
    <w:rsid w:val="70A9658A"/>
    <w:rsid w:val="70AF4B48"/>
    <w:rsid w:val="70B63368"/>
    <w:rsid w:val="70B9499E"/>
    <w:rsid w:val="70D61F4B"/>
    <w:rsid w:val="70EC16BF"/>
    <w:rsid w:val="712872E9"/>
    <w:rsid w:val="71317B33"/>
    <w:rsid w:val="7132105E"/>
    <w:rsid w:val="713D27A9"/>
    <w:rsid w:val="714B1C7A"/>
    <w:rsid w:val="71566A33"/>
    <w:rsid w:val="71685DAD"/>
    <w:rsid w:val="719672DF"/>
    <w:rsid w:val="71B74031"/>
    <w:rsid w:val="71F86761"/>
    <w:rsid w:val="72004C30"/>
    <w:rsid w:val="722E48F3"/>
    <w:rsid w:val="724107B1"/>
    <w:rsid w:val="725B38A3"/>
    <w:rsid w:val="72671285"/>
    <w:rsid w:val="72945C21"/>
    <w:rsid w:val="7298446F"/>
    <w:rsid w:val="72AC0479"/>
    <w:rsid w:val="72C13287"/>
    <w:rsid w:val="72C15774"/>
    <w:rsid w:val="72D116B2"/>
    <w:rsid w:val="72DD6377"/>
    <w:rsid w:val="72F71022"/>
    <w:rsid w:val="72FB1FBB"/>
    <w:rsid w:val="733B1E01"/>
    <w:rsid w:val="7346211D"/>
    <w:rsid w:val="734D12C5"/>
    <w:rsid w:val="73A17354"/>
    <w:rsid w:val="73B01E4B"/>
    <w:rsid w:val="73D320E0"/>
    <w:rsid w:val="73DE59B4"/>
    <w:rsid w:val="740A314B"/>
    <w:rsid w:val="742D55C9"/>
    <w:rsid w:val="7432730F"/>
    <w:rsid w:val="743A5E62"/>
    <w:rsid w:val="74AA5764"/>
    <w:rsid w:val="74B819D1"/>
    <w:rsid w:val="74C75DDF"/>
    <w:rsid w:val="74D55507"/>
    <w:rsid w:val="74E717D6"/>
    <w:rsid w:val="75163784"/>
    <w:rsid w:val="753F0DC8"/>
    <w:rsid w:val="7567714E"/>
    <w:rsid w:val="756B0BEF"/>
    <w:rsid w:val="759E76F0"/>
    <w:rsid w:val="75F661A3"/>
    <w:rsid w:val="762B74F9"/>
    <w:rsid w:val="76394E40"/>
    <w:rsid w:val="764137F7"/>
    <w:rsid w:val="76477B2E"/>
    <w:rsid w:val="765F06ED"/>
    <w:rsid w:val="76647FC7"/>
    <w:rsid w:val="76C00761"/>
    <w:rsid w:val="76F72FEB"/>
    <w:rsid w:val="77302EC9"/>
    <w:rsid w:val="77843521"/>
    <w:rsid w:val="778C4B3E"/>
    <w:rsid w:val="77A36B3D"/>
    <w:rsid w:val="77AB76EC"/>
    <w:rsid w:val="77B21B30"/>
    <w:rsid w:val="77E21BD3"/>
    <w:rsid w:val="77F4209F"/>
    <w:rsid w:val="77F53A38"/>
    <w:rsid w:val="780D08AC"/>
    <w:rsid w:val="787116F8"/>
    <w:rsid w:val="788D301A"/>
    <w:rsid w:val="78CD4648"/>
    <w:rsid w:val="78E52B95"/>
    <w:rsid w:val="78EF5145"/>
    <w:rsid w:val="790A390D"/>
    <w:rsid w:val="79237E92"/>
    <w:rsid w:val="79287964"/>
    <w:rsid w:val="7957623E"/>
    <w:rsid w:val="795F67B2"/>
    <w:rsid w:val="796706F8"/>
    <w:rsid w:val="796E08DD"/>
    <w:rsid w:val="79A86D83"/>
    <w:rsid w:val="79B2782C"/>
    <w:rsid w:val="79D070C9"/>
    <w:rsid w:val="79EF1CB3"/>
    <w:rsid w:val="79F67D71"/>
    <w:rsid w:val="79FD675A"/>
    <w:rsid w:val="7A191316"/>
    <w:rsid w:val="7A292C34"/>
    <w:rsid w:val="7A2B276B"/>
    <w:rsid w:val="7A3B22B0"/>
    <w:rsid w:val="7A4719CF"/>
    <w:rsid w:val="7A6A66F1"/>
    <w:rsid w:val="7A7C2F25"/>
    <w:rsid w:val="7A8619D4"/>
    <w:rsid w:val="7A8C2A1A"/>
    <w:rsid w:val="7A955D19"/>
    <w:rsid w:val="7AA64C17"/>
    <w:rsid w:val="7AAF4BE8"/>
    <w:rsid w:val="7ACC2C27"/>
    <w:rsid w:val="7AE47175"/>
    <w:rsid w:val="7AEF0392"/>
    <w:rsid w:val="7AF15815"/>
    <w:rsid w:val="7AFD0674"/>
    <w:rsid w:val="7B413D7C"/>
    <w:rsid w:val="7B4A3BA0"/>
    <w:rsid w:val="7B5657B2"/>
    <w:rsid w:val="7BC83AF4"/>
    <w:rsid w:val="7BEB1772"/>
    <w:rsid w:val="7C0713A4"/>
    <w:rsid w:val="7C1E0818"/>
    <w:rsid w:val="7C3359A3"/>
    <w:rsid w:val="7C571603"/>
    <w:rsid w:val="7C6158D2"/>
    <w:rsid w:val="7C640108"/>
    <w:rsid w:val="7C707E7B"/>
    <w:rsid w:val="7C9244BE"/>
    <w:rsid w:val="7C9424C4"/>
    <w:rsid w:val="7CAF2CB1"/>
    <w:rsid w:val="7CCF4F32"/>
    <w:rsid w:val="7CDB1311"/>
    <w:rsid w:val="7CDC63C3"/>
    <w:rsid w:val="7CE10423"/>
    <w:rsid w:val="7CE532E4"/>
    <w:rsid w:val="7CEA1FD8"/>
    <w:rsid w:val="7CF87660"/>
    <w:rsid w:val="7D2211E2"/>
    <w:rsid w:val="7D3D6FB0"/>
    <w:rsid w:val="7D43517C"/>
    <w:rsid w:val="7D50237E"/>
    <w:rsid w:val="7D715E36"/>
    <w:rsid w:val="7DD77723"/>
    <w:rsid w:val="7DDC6C8C"/>
    <w:rsid w:val="7DEB7B49"/>
    <w:rsid w:val="7DF033B2"/>
    <w:rsid w:val="7E050678"/>
    <w:rsid w:val="7E0D091C"/>
    <w:rsid w:val="7E410E48"/>
    <w:rsid w:val="7E56579B"/>
    <w:rsid w:val="7EB36280"/>
    <w:rsid w:val="7EC40201"/>
    <w:rsid w:val="7EDF1E6A"/>
    <w:rsid w:val="7EF40C42"/>
    <w:rsid w:val="7F1D0A5C"/>
    <w:rsid w:val="7F2552DD"/>
    <w:rsid w:val="7F6E717A"/>
    <w:rsid w:val="7F882D3C"/>
    <w:rsid w:val="7F9D7036"/>
    <w:rsid w:val="7FA35311"/>
    <w:rsid w:val="7FAA4308"/>
    <w:rsid w:val="7FAF208A"/>
    <w:rsid w:val="7FC6314D"/>
    <w:rsid w:val="7FE118E4"/>
    <w:rsid w:val="7FE567BC"/>
    <w:rsid w:val="7FEE262A"/>
    <w:rsid w:val="7FFE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1080"/>
      </w:tabs>
      <w:spacing w:line="360" w:lineRule="auto"/>
      <w:outlineLvl w:val="1"/>
    </w:pPr>
    <w:rPr>
      <w:rFonts w:ascii="宋体" w:hAnsi="宋体"/>
      <w:bCs/>
      <w:kern w:val="24"/>
      <w:sz w:val="24"/>
    </w:rPr>
  </w:style>
  <w:style w:type="paragraph" w:styleId="4">
    <w:name w:val="heading 3"/>
    <w:basedOn w:val="1"/>
    <w:next w:val="1"/>
    <w:autoRedefine/>
    <w:qFormat/>
    <w:uiPriority w:val="0"/>
    <w:pPr>
      <w:keepNext/>
      <w:keepLines/>
      <w:numPr>
        <w:ilvl w:val="2"/>
        <w:numId w:val="1"/>
      </w:numPr>
      <w:spacing w:before="260" w:after="260" w:line="413" w:lineRule="auto"/>
      <w:outlineLvl w:val="2"/>
    </w:pPr>
    <w:rPr>
      <w:b/>
      <w:sz w:val="32"/>
    </w:rPr>
  </w:style>
  <w:style w:type="paragraph" w:styleId="5">
    <w:name w:val="heading 5"/>
    <w:basedOn w:val="1"/>
    <w:next w:val="1"/>
    <w:autoRedefine/>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numPr>
        <w:ilvl w:val="0"/>
        <w:numId w:val="2"/>
      </w:numPr>
    </w:pPr>
  </w:style>
  <w:style w:type="paragraph" w:styleId="7">
    <w:name w:val="table of authorities"/>
    <w:basedOn w:val="1"/>
    <w:next w:val="1"/>
    <w:autoRedefine/>
    <w:qFormat/>
    <w:uiPriority w:val="0"/>
    <w:pPr>
      <w:ind w:left="420" w:leftChars="200"/>
    </w:pPr>
  </w:style>
  <w:style w:type="paragraph" w:styleId="8">
    <w:name w:val="Normal Indent"/>
    <w:basedOn w:val="1"/>
    <w:next w:val="1"/>
    <w:autoRedefine/>
    <w:unhideWhenUsed/>
    <w:qFormat/>
    <w:uiPriority w:val="99"/>
    <w:pPr>
      <w:ind w:firstLine="420"/>
    </w:pPr>
  </w:style>
  <w:style w:type="paragraph" w:styleId="9">
    <w:name w:val="annotation text"/>
    <w:basedOn w:val="1"/>
    <w:autoRedefine/>
    <w:qFormat/>
    <w:uiPriority w:val="0"/>
    <w:pPr>
      <w:jc w:val="left"/>
    </w:pPr>
  </w:style>
  <w:style w:type="paragraph" w:styleId="10">
    <w:name w:val="Body Text 3"/>
    <w:basedOn w:val="1"/>
    <w:autoRedefine/>
    <w:qFormat/>
    <w:uiPriority w:val="0"/>
    <w:pPr>
      <w:spacing w:after="120"/>
    </w:pPr>
    <w:rPr>
      <w:sz w:val="16"/>
      <w:szCs w:val="16"/>
    </w:rPr>
  </w:style>
  <w:style w:type="paragraph" w:styleId="11">
    <w:name w:val="Closing"/>
    <w:basedOn w:val="1"/>
    <w:autoRedefine/>
    <w:qFormat/>
    <w:uiPriority w:val="99"/>
    <w:pPr>
      <w:ind w:left="4320"/>
    </w:pPr>
    <w:rPr>
      <w:szCs w:val="21"/>
    </w:rPr>
  </w:style>
  <w:style w:type="paragraph" w:styleId="12">
    <w:name w:val="Body Text"/>
    <w:basedOn w:val="1"/>
    <w:next w:val="13"/>
    <w:autoRedefine/>
    <w:qFormat/>
    <w:uiPriority w:val="0"/>
    <w:rPr>
      <w:sz w:val="30"/>
    </w:rPr>
  </w:style>
  <w:style w:type="paragraph" w:styleId="13">
    <w:name w:val="Body Text First Indent"/>
    <w:basedOn w:val="1"/>
    <w:next w:val="1"/>
    <w:autoRedefine/>
    <w:qFormat/>
    <w:uiPriority w:val="99"/>
    <w:pPr>
      <w:ind w:firstLine="420" w:firstLineChars="100"/>
    </w:pPr>
    <w:rPr>
      <w:rFonts w:ascii="仿宋_GB2312" w:hAnsi="宋体" w:eastAsia="仿宋_GB2312"/>
      <w:b/>
      <w:color w:val="000000"/>
      <w:kern w:val="0"/>
    </w:rPr>
  </w:style>
  <w:style w:type="paragraph" w:styleId="14">
    <w:name w:val="Body Text Indent"/>
    <w:basedOn w:val="1"/>
    <w:next w:val="1"/>
    <w:autoRedefine/>
    <w:qFormat/>
    <w:uiPriority w:val="0"/>
    <w:pPr>
      <w:ind w:left="420" w:leftChars="200"/>
    </w:pPr>
  </w:style>
  <w:style w:type="paragraph" w:styleId="15">
    <w:name w:val="List 2"/>
    <w:basedOn w:val="1"/>
    <w:autoRedefine/>
    <w:qFormat/>
    <w:uiPriority w:val="0"/>
    <w:pPr>
      <w:spacing w:after="120" w:line="400" w:lineRule="exact"/>
    </w:pPr>
    <w:rPr>
      <w:rFonts w:ascii="Calibri" w:hAnsi="Calibri" w:eastAsia="宋体" w:cs="Times New Roman"/>
      <w:sz w:val="24"/>
    </w:rPr>
  </w:style>
  <w:style w:type="paragraph" w:styleId="16">
    <w:name w:val="Plain Text"/>
    <w:basedOn w:val="1"/>
    <w:next w:val="17"/>
    <w:autoRedefine/>
    <w:qFormat/>
    <w:uiPriority w:val="0"/>
    <w:rPr>
      <w:rFonts w:ascii="宋体" w:hAnsi="Courier New"/>
    </w:rPr>
  </w:style>
  <w:style w:type="paragraph" w:styleId="17">
    <w:name w:val="Date"/>
    <w:basedOn w:val="1"/>
    <w:next w:val="1"/>
    <w:autoRedefine/>
    <w:qFormat/>
    <w:uiPriority w:val="0"/>
    <w:pPr>
      <w:ind w:left="2500" w:leftChars="2500"/>
    </w:pPr>
    <w:rPr>
      <w:rFonts w:hint="eastAsia" w:ascii="宋体" w:hAnsi="宋体"/>
      <w:sz w:val="24"/>
    </w:rPr>
  </w:style>
  <w:style w:type="paragraph" w:styleId="18">
    <w:name w:val="Body Text Indent 2"/>
    <w:basedOn w:val="1"/>
    <w:next w:val="19"/>
    <w:autoRedefine/>
    <w:qFormat/>
    <w:uiPriority w:val="99"/>
    <w:pPr>
      <w:spacing w:after="120" w:line="480" w:lineRule="auto"/>
      <w:ind w:left="420"/>
    </w:pPr>
    <w:rPr>
      <w:rFonts w:ascii="Calibri" w:hAnsi="Calibri" w:cs="Calibri"/>
      <w:color w:val="000000"/>
      <w:szCs w:val="21"/>
      <w:u w:color="000000"/>
    </w:rPr>
  </w:style>
  <w:style w:type="paragraph" w:customStyle="1" w:styleId="19">
    <w:name w:val="z正文"/>
    <w:basedOn w:val="16"/>
    <w:autoRedefine/>
    <w:qFormat/>
    <w:uiPriority w:val="99"/>
    <w:pPr>
      <w:tabs>
        <w:tab w:val="left" w:pos="525"/>
      </w:tabs>
      <w:snapToGrid w:val="0"/>
      <w:spacing w:line="360" w:lineRule="auto"/>
    </w:pPr>
    <w:rPr>
      <w:rFonts w:hAnsi="宋体" w:eastAsia="宋体"/>
      <w:sz w:val="24"/>
      <w:szCs w:val="20"/>
    </w:rPr>
  </w:style>
  <w:style w:type="paragraph" w:styleId="20">
    <w:name w:val="Balloon Text"/>
    <w:basedOn w:val="1"/>
    <w:link w:val="50"/>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rPr>
  </w:style>
  <w:style w:type="paragraph" w:styleId="22">
    <w:name w:val="envelope return"/>
    <w:basedOn w:val="1"/>
    <w:autoRedefine/>
    <w:qFormat/>
    <w:uiPriority w:val="99"/>
    <w:pPr>
      <w:snapToGrid w:val="0"/>
    </w:pPr>
    <w:rPr>
      <w:rFonts w:ascii="Arial" w:hAnsi="Arial" w:cs="Arial"/>
    </w:rPr>
  </w:style>
  <w:style w:type="paragraph" w:styleId="2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rPr>
      <w:rFonts w:ascii="Times New Roman" w:hAnsi="Times New Roman" w:eastAsia="宋体" w:cs="Times New Roman"/>
    </w:rPr>
  </w:style>
  <w:style w:type="paragraph" w:styleId="25">
    <w:name w:val="List"/>
    <w:basedOn w:val="1"/>
    <w:autoRedefine/>
    <w:qFormat/>
    <w:uiPriority w:val="99"/>
    <w:pPr>
      <w:ind w:left="200" w:hanging="200" w:hangingChars="200"/>
    </w:pPr>
    <w:rPr>
      <w:rFonts w:ascii="Calibri" w:hAnsi="Calibri"/>
      <w:sz w:val="28"/>
    </w:rPr>
  </w:style>
  <w:style w:type="paragraph" w:styleId="26">
    <w:name w:val="footnote text"/>
    <w:basedOn w:val="1"/>
    <w:autoRedefine/>
    <w:qFormat/>
    <w:uiPriority w:val="0"/>
    <w:pPr>
      <w:snapToGrid w:val="0"/>
      <w:jc w:val="left"/>
    </w:pPr>
    <w:rPr>
      <w:sz w:val="18"/>
      <w:szCs w:val="18"/>
    </w:rPr>
  </w:style>
  <w:style w:type="paragraph" w:styleId="27">
    <w:name w:val="toc 6"/>
    <w:basedOn w:val="1"/>
    <w:next w:val="1"/>
    <w:autoRedefine/>
    <w:qFormat/>
    <w:uiPriority w:val="39"/>
    <w:pPr>
      <w:ind w:left="1050"/>
      <w:jc w:val="left"/>
    </w:pPr>
    <w:rPr>
      <w:szCs w:val="21"/>
    </w:rPr>
  </w:style>
  <w:style w:type="paragraph" w:styleId="28">
    <w:name w:val="Body Text Indent 3"/>
    <w:basedOn w:val="1"/>
    <w:autoRedefine/>
    <w:qFormat/>
    <w:uiPriority w:val="0"/>
    <w:pPr>
      <w:spacing w:line="540" w:lineRule="exact"/>
      <w:ind w:left="479" w:leftChars="228"/>
    </w:pPr>
    <w:rPr>
      <w:rFonts w:ascii="隶书" w:hAnsi="宋体" w:eastAsia="隶书"/>
    </w:rPr>
  </w:style>
  <w:style w:type="paragraph" w:styleId="29">
    <w:name w:val="toc 2"/>
    <w:basedOn w:val="1"/>
    <w:next w:val="1"/>
    <w:autoRedefine/>
    <w:qFormat/>
    <w:uiPriority w:val="0"/>
    <w:pPr>
      <w:ind w:left="210"/>
      <w:jc w:val="left"/>
    </w:pPr>
    <w:rPr>
      <w:rFonts w:ascii="仿宋_GB2312" w:eastAsia="仿宋_GB2312"/>
      <w:smallCaps/>
      <w:sz w:val="20"/>
    </w:rPr>
  </w:style>
  <w:style w:type="paragraph" w:styleId="30">
    <w:name w:val="HTML Preformatted"/>
    <w:basedOn w:val="1"/>
    <w:autoRedefine/>
    <w:qFormat/>
    <w:uiPriority w:val="0"/>
    <w:rPr>
      <w:rFonts w:ascii="Courier New" w:hAnsi="Courier New" w:cs="Courier New"/>
      <w:sz w:val="20"/>
    </w:rPr>
  </w:style>
  <w:style w:type="paragraph" w:styleId="31">
    <w:name w:val="Normal (Web)"/>
    <w:basedOn w:val="1"/>
    <w:autoRedefine/>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32">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33">
    <w:name w:val="Body Text First Indent 2"/>
    <w:basedOn w:val="14"/>
    <w:next w:val="12"/>
    <w:autoRedefine/>
    <w:qFormat/>
    <w:uiPriority w:val="99"/>
    <w:pPr>
      <w:ind w:firstLine="42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Hyperlink"/>
    <w:basedOn w:val="36"/>
    <w:autoRedefine/>
    <w:qFormat/>
    <w:uiPriority w:val="0"/>
    <w:rPr>
      <w:color w:val="0000FF"/>
      <w:u w:val="single"/>
    </w:rPr>
  </w:style>
  <w:style w:type="character" w:styleId="40">
    <w:name w:val="annotation reference"/>
    <w:autoRedefine/>
    <w:qFormat/>
    <w:uiPriority w:val="0"/>
    <w:rPr>
      <w:sz w:val="21"/>
      <w:szCs w:val="21"/>
    </w:rPr>
  </w:style>
  <w:style w:type="paragraph" w:customStyle="1" w:styleId="41">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2">
    <w:name w:val="表格文字"/>
    <w:basedOn w:val="16"/>
    <w:next w:val="12"/>
    <w:autoRedefine/>
    <w:qFormat/>
    <w:uiPriority w:val="0"/>
    <w:pPr>
      <w:adjustRightInd w:val="0"/>
      <w:spacing w:line="420" w:lineRule="atLeast"/>
      <w:jc w:val="left"/>
      <w:textAlignment w:val="baseline"/>
    </w:pPr>
    <w:rPr>
      <w:rFonts w:ascii="Times New Roman" w:hAnsi="Times New Roman" w:eastAsia="宋体" w:cs="Times New Roman"/>
    </w:rPr>
  </w:style>
  <w:style w:type="paragraph" w:customStyle="1" w:styleId="43">
    <w:name w:val="Default"/>
    <w:next w:val="44"/>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45">
    <w:name w:val="title1"/>
    <w:basedOn w:val="1"/>
    <w:autoRedefine/>
    <w:qFormat/>
    <w:uiPriority w:val="0"/>
    <w:pPr>
      <w:spacing w:before="150" w:line="480" w:lineRule="atLeast"/>
    </w:pPr>
    <w:rPr>
      <w:rFonts w:ascii="宋体" w:hAnsi="宋体" w:cs="宋体"/>
      <w:b/>
      <w:bCs/>
      <w:sz w:val="24"/>
    </w:rPr>
  </w:style>
  <w:style w:type="paragraph" w:customStyle="1" w:styleId="46">
    <w:name w:val="正文_1_0"/>
    <w:autoRedefine/>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7">
    <w:name w:val="列出段落1"/>
    <w:basedOn w:val="1"/>
    <w:autoRedefine/>
    <w:qFormat/>
    <w:uiPriority w:val="34"/>
    <w:pPr>
      <w:snapToGrid w:val="0"/>
      <w:spacing w:line="276" w:lineRule="auto"/>
      <w:ind w:firstLine="420" w:firstLineChars="200"/>
    </w:pPr>
    <w:rPr>
      <w:rFonts w:ascii="Calibri" w:hAnsi="Calibri" w:eastAsia="微软雅黑" w:cs="Times New Roman"/>
      <w:sz w:val="24"/>
      <w:szCs w:val="21"/>
    </w:rPr>
  </w:style>
  <w:style w:type="character" w:customStyle="1" w:styleId="48">
    <w:name w:val="font21"/>
    <w:basedOn w:val="36"/>
    <w:autoRedefine/>
    <w:qFormat/>
    <w:uiPriority w:val="0"/>
    <w:rPr>
      <w:rFonts w:hint="eastAsia" w:ascii="宋体" w:hAnsi="宋体" w:eastAsia="宋体"/>
      <w:color w:val="000000"/>
      <w:sz w:val="21"/>
      <w:szCs w:val="21"/>
      <w:u w:val="none"/>
    </w:rPr>
  </w:style>
  <w:style w:type="paragraph" w:customStyle="1" w:styleId="49">
    <w:name w:val="列出段落2"/>
    <w:basedOn w:val="1"/>
    <w:autoRedefine/>
    <w:qFormat/>
    <w:uiPriority w:val="0"/>
    <w:pPr>
      <w:ind w:firstLine="420" w:firstLineChars="200"/>
    </w:pPr>
    <w:rPr>
      <w:szCs w:val="20"/>
    </w:rPr>
  </w:style>
  <w:style w:type="character" w:customStyle="1" w:styleId="50">
    <w:name w:val="批注框文本 Char"/>
    <w:basedOn w:val="36"/>
    <w:link w:val="20"/>
    <w:autoRedefine/>
    <w:qFormat/>
    <w:uiPriority w:val="0"/>
    <w:rPr>
      <w:rFonts w:asciiTheme="minorHAnsi" w:hAnsiTheme="minorHAnsi" w:eastAsiaTheme="minorEastAsia" w:cstheme="minorBidi"/>
      <w:kern w:val="2"/>
      <w:sz w:val="18"/>
      <w:szCs w:val="18"/>
    </w:rPr>
  </w:style>
  <w:style w:type="character" w:customStyle="1" w:styleId="51">
    <w:name w:val="Char Char"/>
    <w:autoRedefine/>
    <w:qFormat/>
    <w:uiPriority w:val="0"/>
    <w:rPr>
      <w:rFonts w:ascii="宋体" w:hAnsi="宋体" w:eastAsia="宋体"/>
      <w:sz w:val="24"/>
      <w:szCs w:val="24"/>
      <w:lang w:val="en-US" w:eastAsia="zh-CN" w:bidi="ar-SA"/>
    </w:rPr>
  </w:style>
  <w:style w:type="character" w:customStyle="1" w:styleId="52">
    <w:name w:val="Hyperlink.3"/>
    <w:basedOn w:val="53"/>
    <w:autoRedefine/>
    <w:qFormat/>
    <w:uiPriority w:val="99"/>
    <w:rPr>
      <w:rFonts w:ascii="宋体" w:hAnsi="宋体" w:eastAsia="宋体" w:cs="宋体"/>
      <w:lang w:val="en-US"/>
    </w:rPr>
  </w:style>
  <w:style w:type="character" w:customStyle="1" w:styleId="53">
    <w:name w:val="无"/>
    <w:autoRedefine/>
    <w:qFormat/>
    <w:uiPriority w:val="99"/>
  </w:style>
  <w:style w:type="paragraph" w:customStyle="1" w:styleId="54">
    <w:name w:val="正文2"/>
    <w:basedOn w:val="1"/>
    <w:next w:val="24"/>
    <w:autoRedefine/>
    <w:qFormat/>
    <w:uiPriority w:val="0"/>
    <w:pPr>
      <w:spacing w:before="156"/>
      <w:ind w:firstLine="510" w:firstLineChars="200"/>
    </w:pPr>
    <w:rPr>
      <w:sz w:val="24"/>
    </w:rPr>
  </w:style>
  <w:style w:type="paragraph" w:customStyle="1" w:styleId="55">
    <w:name w:val="正文 A"/>
    <w:autoRedefine/>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56">
    <w:name w:val="列出段落3"/>
    <w:autoRedefine/>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57">
    <w:name w:val="Body text|1"/>
    <w:basedOn w:val="1"/>
    <w:autoRedefine/>
    <w:qFormat/>
    <w:uiPriority w:val="0"/>
    <w:pPr>
      <w:spacing w:line="360" w:lineRule="auto"/>
      <w:ind w:firstLine="400"/>
    </w:pPr>
    <w:rPr>
      <w:rFonts w:ascii="宋体" w:hAnsi="宋体" w:eastAsia="宋体" w:cs="宋体"/>
      <w:sz w:val="30"/>
      <w:szCs w:val="30"/>
      <w:lang w:val="zh-TW" w:eastAsia="zh-TW" w:bidi="zh-TW"/>
    </w:rPr>
  </w:style>
  <w:style w:type="paragraph" w:customStyle="1" w:styleId="58">
    <w:name w:val="Heading #1|1"/>
    <w:basedOn w:val="1"/>
    <w:autoRedefine/>
    <w:qFormat/>
    <w:uiPriority w:val="0"/>
    <w:pPr>
      <w:spacing w:before="170" w:after="360"/>
      <w:ind w:left="1560"/>
      <w:outlineLvl w:val="0"/>
    </w:pPr>
    <w:rPr>
      <w:rFonts w:ascii="宋体" w:hAnsi="宋体" w:eastAsia="宋体" w:cs="宋体"/>
      <w:sz w:val="40"/>
      <w:szCs w:val="40"/>
      <w:lang w:val="zh-TW" w:eastAsia="zh-TW" w:bidi="zh-TW"/>
    </w:rPr>
  </w:style>
  <w:style w:type="paragraph" w:customStyle="1" w:styleId="59">
    <w:name w:val="Picture caption|1"/>
    <w:basedOn w:val="1"/>
    <w:autoRedefine/>
    <w:qFormat/>
    <w:uiPriority w:val="0"/>
    <w:rPr>
      <w:rFonts w:ascii="宋体" w:hAnsi="宋体" w:eastAsia="宋体" w:cs="宋体"/>
      <w:sz w:val="30"/>
      <w:szCs w:val="30"/>
      <w:lang w:val="zh-TW" w:eastAsia="zh-TW" w:bidi="zh-TW"/>
    </w:rPr>
  </w:style>
  <w:style w:type="character" w:customStyle="1" w:styleId="60">
    <w:name w:val="正文文本缩进 2 字符1"/>
    <w:basedOn w:val="36"/>
    <w:autoRedefine/>
    <w:qFormat/>
    <w:uiPriority w:val="0"/>
    <w:rPr>
      <w:rFonts w:ascii="Calibri" w:hAnsi="Calibri" w:eastAsia="宋体" w:cs="Times New Roman"/>
      <w:kern w:val="2"/>
      <w:sz w:val="21"/>
      <w:szCs w:val="22"/>
    </w:rPr>
  </w:style>
  <w:style w:type="paragraph" w:customStyle="1" w:styleId="61">
    <w:name w:val="正  文"/>
    <w:basedOn w:val="1"/>
    <w:autoRedefine/>
    <w:qFormat/>
    <w:uiPriority w:val="0"/>
    <w:pPr>
      <w:spacing w:line="360" w:lineRule="auto"/>
      <w:ind w:firstLine="200" w:firstLineChars="200"/>
    </w:pPr>
    <w:rPr>
      <w:rFonts w:ascii="宋体"/>
      <w:sz w:val="24"/>
    </w:rPr>
  </w:style>
  <w:style w:type="paragraph" w:customStyle="1" w:styleId="62">
    <w:name w:val="正文_1"/>
    <w:next w:val="63"/>
    <w:autoRedefine/>
    <w:qFormat/>
    <w:uiPriority w:val="1"/>
    <w:pPr>
      <w:jc w:val="both"/>
    </w:pPr>
    <w:rPr>
      <w:rFonts w:ascii="Times New Roman" w:hAnsi="Times New Roman" w:eastAsia="宋体" w:cs="Times New Roman"/>
      <w:sz w:val="21"/>
      <w:szCs w:val="21"/>
      <w:lang w:val="en-US" w:eastAsia="zh-CN" w:bidi="ar-SA"/>
    </w:rPr>
  </w:style>
  <w:style w:type="paragraph" w:customStyle="1" w:styleId="63">
    <w:name w:val="标题 2_1"/>
    <w:basedOn w:val="64"/>
    <w:next w:val="62"/>
    <w:autoRedefine/>
    <w:qFormat/>
    <w:uiPriority w:val="8"/>
    <w:pPr>
      <w:keepNext/>
      <w:keepLines/>
      <w:outlineLvl w:val="1"/>
    </w:pPr>
    <w:rPr>
      <w:rFonts w:ascii="Arial" w:hAnsi="Arial" w:eastAsia="Arial"/>
      <w:b/>
      <w:sz w:val="24"/>
      <w:szCs w:val="24"/>
    </w:rPr>
  </w:style>
  <w:style w:type="paragraph" w:customStyle="1" w:styleId="64">
    <w:name w:val="正文_5_0"/>
    <w:autoRedefine/>
    <w:qFormat/>
    <w:uiPriority w:val="1"/>
    <w:pPr>
      <w:jc w:val="both"/>
    </w:pPr>
    <w:rPr>
      <w:rFonts w:ascii="等线" w:hAnsi="等线" w:eastAsia="等线" w:cs="Times New Roman"/>
      <w:sz w:val="21"/>
      <w:szCs w:val="21"/>
      <w:lang w:val="en-US" w:eastAsia="zh-CN" w:bidi="ar-SA"/>
    </w:rPr>
  </w:style>
  <w:style w:type="paragraph" w:customStyle="1" w:styleId="65">
    <w:name w:val="纯文本1"/>
    <w:basedOn w:val="66"/>
    <w:autoRedefine/>
    <w:qFormat/>
    <w:uiPriority w:val="0"/>
    <w:rPr>
      <w:rFonts w:ascii="宋体" w:hAnsi="Courier New"/>
    </w:rPr>
  </w:style>
  <w:style w:type="paragraph" w:customStyle="1" w:styleId="66">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7">
    <w:name w:val="p0"/>
    <w:basedOn w:val="1"/>
    <w:autoRedefine/>
    <w:qFormat/>
    <w:uiPriority w:val="0"/>
    <w:pPr>
      <w:widowControl/>
    </w:pPr>
    <w:rPr>
      <w:rFonts w:ascii="仿宋_GB2312" w:hAnsi="宋体" w:eastAsia="仿宋_GB2312" w:cs="宋体"/>
      <w:kern w:val="0"/>
      <w:sz w:val="28"/>
      <w:szCs w:val="28"/>
    </w:rPr>
  </w:style>
  <w:style w:type="character" w:customStyle="1" w:styleId="68">
    <w:name w:val="font31"/>
    <w:basedOn w:val="36"/>
    <w:autoRedefine/>
    <w:qFormat/>
    <w:uiPriority w:val="0"/>
    <w:rPr>
      <w:rFonts w:hint="default" w:ascii="Calibri" w:hAnsi="Calibri" w:cs="Calibri"/>
      <w:color w:val="000000"/>
      <w:sz w:val="24"/>
      <w:szCs w:val="24"/>
      <w:u w:val="none"/>
    </w:rPr>
  </w:style>
  <w:style w:type="character" w:customStyle="1" w:styleId="69">
    <w:name w:val="font41"/>
    <w:basedOn w:val="36"/>
    <w:autoRedefine/>
    <w:qFormat/>
    <w:uiPriority w:val="0"/>
    <w:rPr>
      <w:rFonts w:hint="eastAsia" w:ascii="宋体" w:hAnsi="宋体" w:eastAsia="宋体" w:cs="宋体"/>
      <w:color w:val="000000"/>
      <w:sz w:val="24"/>
      <w:szCs w:val="24"/>
      <w:u w:val="none"/>
    </w:rPr>
  </w:style>
  <w:style w:type="character" w:customStyle="1" w:styleId="70">
    <w:name w:val="large1"/>
    <w:basedOn w:val="36"/>
    <w:autoRedefine/>
    <w:qFormat/>
    <w:uiPriority w:val="0"/>
    <w:rPr>
      <w:rFonts w:hint="eastAsia" w:ascii="宋体" w:hAnsi="宋体" w:eastAsia="宋体"/>
      <w:sz w:val="21"/>
      <w:szCs w:val="21"/>
    </w:rPr>
  </w:style>
  <w:style w:type="character" w:customStyle="1" w:styleId="71">
    <w:name w:val="NormalCharacter"/>
    <w:link w:val="72"/>
    <w:autoRedefine/>
    <w:qFormat/>
    <w:uiPriority w:val="99"/>
    <w:rPr>
      <w:b/>
      <w:kern w:val="0"/>
      <w:sz w:val="32"/>
      <w:szCs w:val="32"/>
    </w:rPr>
  </w:style>
  <w:style w:type="paragraph" w:customStyle="1" w:styleId="72">
    <w:name w:val="UserStyle_126"/>
    <w:basedOn w:val="1"/>
    <w:link w:val="71"/>
    <w:autoRedefine/>
    <w:qFormat/>
    <w:uiPriority w:val="99"/>
    <w:pPr>
      <w:textAlignment w:val="baseline"/>
    </w:pPr>
    <w:rPr>
      <w:b/>
      <w:kern w:val="0"/>
      <w:sz w:val="32"/>
      <w:szCs w:val="32"/>
    </w:rPr>
  </w:style>
  <w:style w:type="paragraph" w:customStyle="1" w:styleId="73">
    <w:name w:val="普通(网站)_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Heading #2|1"/>
    <w:basedOn w:val="1"/>
    <w:autoRedefine/>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75">
    <w:name w:val="Body text|2"/>
    <w:basedOn w:val="1"/>
    <w:autoRedefine/>
    <w:qFormat/>
    <w:uiPriority w:val="99"/>
    <w:rPr>
      <w:rFonts w:hAnsi="宋体"/>
      <w:sz w:val="17"/>
      <w:szCs w:val="17"/>
      <w:lang w:val="zh-TW" w:eastAsia="zh-TW"/>
    </w:rPr>
  </w:style>
  <w:style w:type="paragraph" w:customStyle="1" w:styleId="76">
    <w:name w:val="正文缩进2格"/>
    <w:autoRedefine/>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lang w:val="en-US" w:eastAsia="zh-CN" w:bidi="ar-SA"/>
    </w:rPr>
  </w:style>
  <w:style w:type="paragraph" w:customStyle="1" w:styleId="77">
    <w:name w:val="BodyText1I2"/>
    <w:basedOn w:val="78"/>
    <w:autoRedefine/>
    <w:qFormat/>
    <w:uiPriority w:val="0"/>
    <w:pPr>
      <w:ind w:firstLine="420" w:firstLineChars="200"/>
    </w:pPr>
  </w:style>
  <w:style w:type="paragraph" w:customStyle="1" w:styleId="78">
    <w:name w:val="BodyTextIndent"/>
    <w:basedOn w:val="1"/>
    <w:autoRedefine/>
    <w:qFormat/>
    <w:uiPriority w:val="0"/>
    <w:pPr>
      <w:spacing w:after="120"/>
      <w:ind w:left="420" w:leftChars="200"/>
      <w:textAlignment w:val="baseline"/>
    </w:pPr>
    <w:rPr>
      <w:rFonts w:ascii="Times New Roman" w:hAnsi="Times New Roman" w:eastAsia="宋体"/>
      <w:color w:val="000000"/>
    </w:rPr>
  </w:style>
  <w:style w:type="paragraph" w:customStyle="1" w:styleId="79">
    <w:name w:val="默认段落字体 Para Char Char Char Char Char Char Char Char Char1 Char Char Char Char"/>
    <w:basedOn w:val="1"/>
    <w:autoRedefine/>
    <w:qFormat/>
    <w:uiPriority w:val="99"/>
    <w:rPr>
      <w:rFonts w:ascii="Tahoma" w:hAnsi="Tahoma"/>
      <w:sz w:val="24"/>
    </w:rPr>
  </w:style>
  <w:style w:type="paragraph" w:customStyle="1" w:styleId="80">
    <w:name w:val="DAS正文"/>
    <w:basedOn w:val="1"/>
    <w:autoRedefine/>
    <w:qFormat/>
    <w:uiPriority w:val="99"/>
    <w:pPr>
      <w:spacing w:line="360" w:lineRule="auto"/>
      <w:ind w:right="181" w:firstLine="480" w:firstLineChars="200"/>
    </w:pPr>
    <w:rPr>
      <w:rFonts w:ascii="Verdana" w:hAnsi="Verdana"/>
      <w:sz w:val="24"/>
    </w:rPr>
  </w:style>
  <w:style w:type="paragraph" w:customStyle="1" w:styleId="81">
    <w:name w:val="纯文本11"/>
    <w:basedOn w:val="82"/>
    <w:autoRedefine/>
    <w:qFormat/>
    <w:uiPriority w:val="0"/>
    <w:pPr>
      <w:widowControl/>
      <w:jc w:val="left"/>
    </w:pPr>
    <w:rPr>
      <w:rFonts w:ascii="宋体" w:hAnsi="Courier New"/>
    </w:rPr>
  </w:style>
  <w:style w:type="paragraph" w:customStyle="1" w:styleId="82">
    <w:name w:val="正文1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段"/>
    <w:next w:val="1"/>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85">
    <w:name w:val="正文，首行缩进:_0"/>
    <w:basedOn w:val="86"/>
    <w:autoRedefine/>
    <w:qFormat/>
    <w:uiPriority w:val="0"/>
    <w:pPr>
      <w:tabs>
        <w:tab w:val="left" w:pos="3376"/>
      </w:tabs>
      <w:ind w:firstLine="480"/>
    </w:pPr>
    <w:rPr>
      <w:rFonts w:ascii="宋体" w:hAnsi="宋体"/>
      <w:sz w:val="24"/>
      <w:szCs w:val="24"/>
    </w:rPr>
  </w:style>
  <w:style w:type="paragraph" w:customStyle="1" w:styleId="86">
    <w:name w:val="正文_0"/>
    <w:basedOn w:val="62"/>
    <w:next w:val="87"/>
    <w:autoRedefine/>
    <w:qFormat/>
    <w:uiPriority w:val="0"/>
  </w:style>
  <w:style w:type="paragraph" w:customStyle="1" w:styleId="87">
    <w:name w:val="正文文本_0"/>
    <w:basedOn w:val="88"/>
    <w:next w:val="86"/>
    <w:autoRedefine/>
    <w:qFormat/>
    <w:uiPriority w:val="0"/>
    <w:pPr>
      <w:spacing w:after="120"/>
    </w:pPr>
  </w:style>
  <w:style w:type="paragraph" w:customStyle="1" w:styleId="88">
    <w:name w:val="正文_0_0_0"/>
    <w:basedOn w:val="89"/>
    <w:next w:val="87"/>
    <w:autoRedefine/>
    <w:qFormat/>
    <w:uiPriority w:val="0"/>
    <w:rPr>
      <w:rFonts w:ascii="Calibri" w:hAnsi="Calibri"/>
    </w:rPr>
  </w:style>
  <w:style w:type="paragraph" w:customStyle="1" w:styleId="89">
    <w:name w:val="正文_0_0"/>
    <w:next w:val="90"/>
    <w:autoRedefine/>
    <w:qFormat/>
    <w:uiPriority w:val="1"/>
    <w:pPr>
      <w:jc w:val="both"/>
    </w:pPr>
    <w:rPr>
      <w:rFonts w:ascii="Times New Roman" w:hAnsi="Times New Roman" w:eastAsia="宋体" w:cs="Times New Roman"/>
      <w:sz w:val="21"/>
      <w:szCs w:val="21"/>
      <w:lang w:val="en-US" w:eastAsia="zh-CN" w:bidi="ar-SA"/>
    </w:rPr>
  </w:style>
  <w:style w:type="paragraph" w:customStyle="1" w:styleId="90">
    <w:name w:val="正文首行缩进_0"/>
    <w:basedOn w:val="87"/>
    <w:next w:val="86"/>
    <w:autoRedefine/>
    <w:qFormat/>
    <w:uiPriority w:val="0"/>
    <w:pPr>
      <w:spacing w:after="0"/>
      <w:ind w:firstLine="420"/>
      <w:jc w:val="left"/>
    </w:pPr>
    <w:rPr>
      <w:sz w:val="20"/>
      <w:szCs w:val="20"/>
    </w:rPr>
  </w:style>
  <w:style w:type="paragraph" w:customStyle="1" w:styleId="91">
    <w:name w:val="正文文本首行缩进 2"/>
    <w:basedOn w:val="14"/>
    <w:autoRedefine/>
    <w:qFormat/>
    <w:uiPriority w:val="99"/>
    <w:pPr>
      <w:spacing w:line="200" w:lineRule="atLeast"/>
      <w:ind w:firstLine="420"/>
    </w:pPr>
    <w:rPr>
      <w:rFonts w:hAnsi="Courier New"/>
      <w:spacing w:val="-4"/>
      <w:sz w:val="18"/>
    </w:rPr>
  </w:style>
  <w:style w:type="character" w:customStyle="1" w:styleId="92">
    <w:name w:val="UserStyle_94"/>
    <w:autoRedefine/>
    <w:qFormat/>
    <w:uiPriority w:val="0"/>
    <w:rPr>
      <w:rFonts w:ascii="宋体" w:hAnsi="宋体" w:eastAsia="宋体"/>
      <w:sz w:val="21"/>
      <w:szCs w:val="21"/>
      <w:lang w:val="en-US" w:eastAsia="zh-CN" w:bidi="ar-SA"/>
    </w:rPr>
  </w:style>
  <w:style w:type="paragraph" w:customStyle="1" w:styleId="93">
    <w:name w:val="正文首行缩进 21"/>
    <w:basedOn w:val="94"/>
    <w:autoRedefine/>
    <w:qFormat/>
    <w:uiPriority w:val="0"/>
    <w:pPr>
      <w:ind w:firstLine="420"/>
    </w:pPr>
    <w:rPr>
      <w:rFonts w:ascii="Times New Roman" w:eastAsia="宋体" w:cs="宋体"/>
    </w:rPr>
  </w:style>
  <w:style w:type="paragraph" w:customStyle="1" w:styleId="94">
    <w:name w:val="Body Text Indent1"/>
    <w:basedOn w:val="1"/>
    <w:autoRedefine/>
    <w:qFormat/>
    <w:uiPriority w:val="0"/>
    <w:pPr>
      <w:spacing w:after="120"/>
      <w:ind w:left="420" w:leftChars="200"/>
    </w:pPr>
    <w:rPr>
      <w:color w:val="000000"/>
      <w:sz w:val="21"/>
      <w:szCs w:val="21"/>
    </w:rPr>
  </w:style>
  <w:style w:type="paragraph" w:customStyle="1" w:styleId="95">
    <w:name w:val="Body Text First Indent 21"/>
    <w:basedOn w:val="94"/>
    <w:autoRedefine/>
    <w:qFormat/>
    <w:uiPriority w:val="0"/>
    <w:pPr>
      <w:spacing w:after="120" w:line="240" w:lineRule="auto"/>
      <w:ind w:left="420" w:leftChars="200" w:firstLine="420" w:firstLineChars="200"/>
    </w:pPr>
    <w:rPr>
      <w:rFonts w:ascii="等线" w:hAnsi="等线" w:eastAsia="等线"/>
      <w:sz w:val="21"/>
    </w:rPr>
  </w:style>
  <w:style w:type="paragraph" w:customStyle="1" w:styleId="96">
    <w:name w:val="Table Paragraph"/>
    <w:basedOn w:val="1"/>
    <w:autoRedefine/>
    <w:qFormat/>
    <w:uiPriority w:val="1"/>
    <w:rPr>
      <w:rFonts w:ascii="宋体" w:hAnsi="宋体" w:cs="宋体"/>
      <w:lang w:val="zh-CN" w:bidi="zh-CN"/>
    </w:rPr>
  </w:style>
  <w:style w:type="character" w:customStyle="1" w:styleId="97">
    <w:name w:val="case31"/>
    <w:autoRedefine/>
    <w:qFormat/>
    <w:uiPriority w:val="0"/>
    <w:rPr>
      <w:rFonts w:hint="default" w:ascii="_x000B__x000C_" w:hAnsi="_x000B__x000C_"/>
      <w:sz w:val="21"/>
      <w:szCs w:val="21"/>
    </w:rPr>
  </w:style>
  <w:style w:type="paragraph" w:customStyle="1" w:styleId="98">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9">
    <w:name w:val="报告正文"/>
    <w:basedOn w:val="1"/>
    <w:autoRedefine/>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00">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32630</Words>
  <Characters>35271</Characters>
  <Lines>231</Lines>
  <Paragraphs>65</Paragraphs>
  <TotalTime>191</TotalTime>
  <ScaleCrop>false</ScaleCrop>
  <LinksUpToDate>false</LinksUpToDate>
  <CharactersWithSpaces>37039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2023-10-25T10:00:00Z</dcterms:created>
  <dc:creator>LENOVO</dc:creator>
  <cp:lastModifiedBy>Administrator</cp:lastModifiedBy>
  <cp:lastPrinted>2024-04-23T06:15:13Z</cp:lastPrinted>
  <dcterms:modified xsi:type="dcterms:W3CDTF">2024-04-23T07:11:36Z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38EAB0A1F3AE465E89EC643D9EF8721E_13</vt:lpwstr>
  </property>
</Properties>
</file>