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36" w:lineRule="auto"/>
        <w:ind w:firstLine="482" w:firstLineChars="200"/>
        <w:jc w:val="center"/>
        <w:rPr>
          <w:rFonts w:ascii="仿宋" w:hAnsi="仿宋" w:eastAsia="仿宋" w:cs="仿宋"/>
          <w:b/>
          <w:color w:val="auto"/>
          <w:sz w:val="24"/>
          <w:highlight w:val="none"/>
        </w:rPr>
      </w:pPr>
    </w:p>
    <w:p>
      <w:pPr>
        <w:adjustRightInd/>
        <w:spacing w:line="360" w:lineRule="auto"/>
        <w:jc w:val="center"/>
        <w:rPr>
          <w:rFonts w:ascii="仿宋" w:hAnsi="仿宋" w:eastAsia="仿宋" w:cs="仿宋"/>
          <w:b/>
          <w:color w:val="auto"/>
          <w:sz w:val="44"/>
          <w:szCs w:val="44"/>
          <w:highlight w:val="none"/>
        </w:rPr>
      </w:pPr>
    </w:p>
    <w:p>
      <w:pPr>
        <w:spacing w:line="360" w:lineRule="auto"/>
        <w:jc w:val="center"/>
        <w:rPr>
          <w:rFonts w:ascii="仿宋" w:hAnsi="仿宋" w:eastAsia="仿宋" w:cs="仿宋"/>
          <w:b/>
          <w:color w:val="auto"/>
          <w:sz w:val="44"/>
          <w:szCs w:val="44"/>
          <w:highlight w:val="none"/>
        </w:rPr>
      </w:pPr>
    </w:p>
    <w:p>
      <w:pPr>
        <w:spacing w:line="360" w:lineRule="auto"/>
        <w:jc w:val="center"/>
        <w:rPr>
          <w:rFonts w:hint="eastAsia" w:ascii="仿宋" w:hAnsi="仿宋" w:eastAsia="仿宋" w:cs="仿宋"/>
          <w:color w:val="auto"/>
          <w:sz w:val="72"/>
          <w:szCs w:val="72"/>
          <w:highlight w:val="none"/>
        </w:rPr>
      </w:pPr>
      <w:bookmarkStart w:id="0" w:name="_Toc493956011"/>
      <w:bookmarkStart w:id="1" w:name="_Toc493928401"/>
      <w:r>
        <w:rPr>
          <w:rFonts w:hint="eastAsia" w:ascii="仿宋" w:hAnsi="仿宋" w:eastAsia="仿宋" w:cs="仿宋"/>
          <w:color w:val="auto"/>
          <w:sz w:val="72"/>
          <w:szCs w:val="72"/>
          <w:highlight w:val="none"/>
        </w:rPr>
        <w:t>竞争性磋商文件</w:t>
      </w:r>
      <w:bookmarkEnd w:id="0"/>
      <w:bookmarkEnd w:id="1"/>
    </w:p>
    <w:p>
      <w:pPr>
        <w:pStyle w:val="44"/>
        <w:rPr>
          <w:color w:val="auto"/>
        </w:rPr>
      </w:pPr>
    </w:p>
    <w:p>
      <w:pPr>
        <w:rPr>
          <w:color w:val="auto"/>
        </w:rPr>
      </w:pPr>
    </w:p>
    <w:tbl>
      <w:tblPr>
        <w:tblStyle w:val="62"/>
        <w:tblW w:w="7823" w:type="dxa"/>
        <w:jc w:val="center"/>
        <w:tblLayout w:type="fixed"/>
        <w:tblCellMar>
          <w:top w:w="0" w:type="dxa"/>
          <w:left w:w="108" w:type="dxa"/>
          <w:bottom w:w="0" w:type="dxa"/>
          <w:right w:w="108" w:type="dxa"/>
        </w:tblCellMar>
      </w:tblPr>
      <w:tblGrid>
        <w:gridCol w:w="2311"/>
        <w:gridCol w:w="5512"/>
      </w:tblGrid>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109" w:rightChars="-52"/>
              <w:jc w:val="distribute"/>
              <w:rPr>
                <w:rFonts w:ascii="仿宋" w:hAnsi="仿宋" w:eastAsia="仿宋" w:cs="仿宋"/>
                <w:color w:val="auto"/>
                <w:sz w:val="32"/>
                <w:szCs w:val="32"/>
                <w:highlight w:val="none"/>
              </w:rPr>
            </w:pPr>
            <w:bookmarkStart w:id="2" w:name="_Toc493928402"/>
            <w:bookmarkStart w:id="3" w:name="_Toc493956012"/>
            <w:r>
              <w:rPr>
                <w:rFonts w:hint="eastAsia" w:ascii="仿宋" w:hAnsi="仿宋" w:eastAsia="仿宋" w:cs="仿宋"/>
                <w:color w:val="auto"/>
                <w:sz w:val="32"/>
                <w:szCs w:val="32"/>
                <w:highlight w:val="none"/>
              </w:rPr>
              <w:t>项目编号：</w:t>
            </w:r>
            <w:bookmarkEnd w:id="2"/>
            <w:bookmarkEnd w:id="3"/>
          </w:p>
        </w:tc>
        <w:tc>
          <w:tcPr>
            <w:tcW w:w="5512" w:type="dxa"/>
            <w:shd w:val="clear" w:color="auto" w:fill="auto"/>
            <w:vAlign w:val="center"/>
          </w:tcPr>
          <w:p>
            <w:pPr>
              <w:spacing w:line="360" w:lineRule="auto"/>
              <w:ind w:left="-103" w:leftChars="-49"/>
              <w:jc w:val="left"/>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JNJKC2024（CS)-021号</w:t>
            </w:r>
          </w:p>
        </w:tc>
      </w:tr>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109" w:rightChars="-52"/>
              <w:jc w:val="distribute"/>
              <w:rPr>
                <w:rFonts w:ascii="仿宋" w:hAnsi="仿宋" w:eastAsia="仿宋" w:cs="仿宋"/>
                <w:color w:val="auto"/>
                <w:sz w:val="32"/>
                <w:szCs w:val="32"/>
                <w:highlight w:val="none"/>
              </w:rPr>
            </w:pPr>
            <w:bookmarkStart w:id="4" w:name="_Toc493956014"/>
            <w:bookmarkStart w:id="5" w:name="_Toc493928404"/>
            <w:r>
              <w:rPr>
                <w:rFonts w:hint="eastAsia" w:ascii="仿宋" w:hAnsi="仿宋" w:eastAsia="仿宋" w:cs="仿宋"/>
                <w:color w:val="auto"/>
                <w:sz w:val="32"/>
                <w:szCs w:val="32"/>
                <w:highlight w:val="none"/>
              </w:rPr>
              <w:t>项目名称：</w:t>
            </w:r>
            <w:bookmarkEnd w:id="4"/>
            <w:bookmarkEnd w:id="5"/>
          </w:p>
        </w:tc>
        <w:tc>
          <w:tcPr>
            <w:tcW w:w="5512" w:type="dxa"/>
            <w:shd w:val="clear" w:color="auto" w:fill="auto"/>
            <w:vAlign w:val="center"/>
          </w:tcPr>
          <w:p>
            <w:pPr>
              <w:spacing w:line="360" w:lineRule="auto"/>
              <w:ind w:left="-103" w:leftChars="-49"/>
              <w:jc w:val="left"/>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景宁畲族自治县经济商务科技局科技成果转移转化公共服务平台建设项目（景宁科技大市场）</w:t>
            </w:r>
          </w:p>
        </w:tc>
      </w:tr>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109" w:rightChars="-52"/>
              <w:jc w:val="distribute"/>
              <w:rPr>
                <w:rFonts w:ascii="仿宋" w:hAnsi="仿宋" w:eastAsia="仿宋" w:cs="仿宋"/>
                <w:color w:val="auto"/>
                <w:sz w:val="32"/>
                <w:szCs w:val="32"/>
                <w:highlight w:val="none"/>
              </w:rPr>
            </w:pPr>
            <w:bookmarkStart w:id="6" w:name="_Toc493928406"/>
            <w:bookmarkStart w:id="7" w:name="_Toc493956016"/>
            <w:r>
              <w:rPr>
                <w:rFonts w:hint="eastAsia" w:ascii="仿宋" w:hAnsi="仿宋" w:eastAsia="仿宋" w:cs="仿宋"/>
                <w:color w:val="auto"/>
                <w:sz w:val="32"/>
                <w:szCs w:val="32"/>
                <w:highlight w:val="none"/>
              </w:rPr>
              <w:t>采 购 人：</w:t>
            </w:r>
            <w:bookmarkEnd w:id="6"/>
            <w:bookmarkEnd w:id="7"/>
          </w:p>
        </w:tc>
        <w:tc>
          <w:tcPr>
            <w:tcW w:w="5512" w:type="dxa"/>
            <w:shd w:val="clear" w:color="auto" w:fill="auto"/>
            <w:vAlign w:val="center"/>
          </w:tcPr>
          <w:p>
            <w:pPr>
              <w:spacing w:line="360" w:lineRule="auto"/>
              <w:ind w:left="-103" w:leftChars="-49"/>
              <w:jc w:val="left"/>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景宁畲族自治县经济商务科技局</w:t>
            </w:r>
          </w:p>
        </w:tc>
      </w:tr>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109" w:rightChars="-52"/>
              <w:jc w:val="distribute"/>
              <w:rPr>
                <w:rFonts w:ascii="仿宋" w:hAnsi="仿宋" w:eastAsia="仿宋" w:cs="仿宋"/>
                <w:color w:val="auto"/>
                <w:sz w:val="32"/>
                <w:szCs w:val="32"/>
                <w:highlight w:val="none"/>
              </w:rPr>
            </w:pPr>
          </w:p>
        </w:tc>
        <w:tc>
          <w:tcPr>
            <w:tcW w:w="5512" w:type="dxa"/>
            <w:shd w:val="clear" w:color="auto" w:fill="auto"/>
            <w:vAlign w:val="center"/>
          </w:tcPr>
          <w:p>
            <w:pPr>
              <w:spacing w:line="360" w:lineRule="auto"/>
              <w:ind w:left="-103" w:leftChars="-49"/>
              <w:jc w:val="left"/>
              <w:rPr>
                <w:rFonts w:ascii="仿宋" w:hAnsi="仿宋" w:eastAsia="仿宋" w:cs="仿宋"/>
                <w:color w:val="auto"/>
                <w:sz w:val="32"/>
                <w:szCs w:val="32"/>
                <w:highlight w:val="none"/>
              </w:rPr>
            </w:pPr>
          </w:p>
        </w:tc>
      </w:tr>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109" w:rightChars="-52"/>
              <w:jc w:val="distribute"/>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采购代理机构：</w:t>
            </w:r>
          </w:p>
        </w:tc>
        <w:tc>
          <w:tcPr>
            <w:tcW w:w="5512" w:type="dxa"/>
            <w:shd w:val="clear" w:color="auto" w:fill="auto"/>
            <w:vAlign w:val="center"/>
          </w:tcPr>
          <w:p>
            <w:pPr>
              <w:spacing w:line="360" w:lineRule="auto"/>
              <w:ind w:left="-103" w:leftChars="-49"/>
              <w:jc w:val="left"/>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浙江建科工程项目管理有限公司</w:t>
            </w:r>
          </w:p>
        </w:tc>
      </w:tr>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109" w:rightChars="-52"/>
              <w:jc w:val="distribute"/>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地        址：</w:t>
            </w:r>
          </w:p>
        </w:tc>
        <w:tc>
          <w:tcPr>
            <w:tcW w:w="5512" w:type="dxa"/>
            <w:shd w:val="clear" w:color="auto" w:fill="auto"/>
            <w:vAlign w:val="center"/>
          </w:tcPr>
          <w:p>
            <w:pPr>
              <w:spacing w:line="360" w:lineRule="auto"/>
              <w:ind w:left="-103" w:leftChars="-49"/>
              <w:jc w:val="left"/>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景宁畲族自治县人民北路祥源商贸城2幢2楼</w:t>
            </w:r>
          </w:p>
        </w:tc>
      </w:tr>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84" w:rightChars="-40"/>
              <w:rPr>
                <w:rFonts w:ascii="仿宋" w:hAnsi="仿宋" w:eastAsia="仿宋" w:cs="仿宋"/>
                <w:color w:val="auto"/>
                <w:sz w:val="32"/>
                <w:szCs w:val="32"/>
                <w:highlight w:val="none"/>
              </w:rPr>
            </w:pPr>
          </w:p>
        </w:tc>
        <w:tc>
          <w:tcPr>
            <w:tcW w:w="5512" w:type="dxa"/>
            <w:shd w:val="clear" w:color="auto" w:fill="auto"/>
            <w:vAlign w:val="center"/>
          </w:tcPr>
          <w:p>
            <w:pPr>
              <w:spacing w:line="360" w:lineRule="auto"/>
              <w:ind w:left="-103" w:leftChars="-49"/>
              <w:rPr>
                <w:rFonts w:ascii="仿宋" w:hAnsi="仿宋" w:eastAsia="仿宋" w:cs="仿宋"/>
                <w:color w:val="auto"/>
                <w:sz w:val="32"/>
                <w:szCs w:val="32"/>
                <w:highlight w:val="none"/>
              </w:rPr>
            </w:pPr>
          </w:p>
        </w:tc>
      </w:tr>
      <w:tr>
        <w:tblPrEx>
          <w:tblCellMar>
            <w:top w:w="0" w:type="dxa"/>
            <w:left w:w="108" w:type="dxa"/>
            <w:bottom w:w="0" w:type="dxa"/>
            <w:right w:w="108" w:type="dxa"/>
          </w:tblCellMar>
        </w:tblPrEx>
        <w:trPr>
          <w:trHeight w:val="737" w:hRule="atLeast"/>
          <w:jc w:val="center"/>
        </w:trPr>
        <w:tc>
          <w:tcPr>
            <w:tcW w:w="7823" w:type="dxa"/>
            <w:gridSpan w:val="2"/>
            <w:shd w:val="clear" w:color="auto" w:fill="auto"/>
            <w:vAlign w:val="center"/>
          </w:tcPr>
          <w:p>
            <w:pPr>
              <w:spacing w:line="360" w:lineRule="auto"/>
              <w:jc w:val="center"/>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202</w:t>
            </w:r>
            <w:r>
              <w:rPr>
                <w:rFonts w:hint="eastAsia" w:ascii="仿宋" w:hAnsi="仿宋" w:eastAsia="仿宋" w:cs="仿宋"/>
                <w:color w:val="auto"/>
                <w:sz w:val="32"/>
                <w:szCs w:val="32"/>
                <w:highlight w:val="none"/>
                <w:lang w:val="en-US" w:eastAsia="zh-CN"/>
              </w:rPr>
              <w:t>4</w:t>
            </w:r>
            <w:r>
              <w:rPr>
                <w:rFonts w:hint="eastAsia" w:ascii="仿宋" w:hAnsi="仿宋" w:eastAsia="仿宋" w:cs="仿宋"/>
                <w:color w:val="auto"/>
                <w:sz w:val="32"/>
                <w:szCs w:val="32"/>
                <w:highlight w:val="none"/>
              </w:rPr>
              <w:t>年</w:t>
            </w:r>
            <w:r>
              <w:rPr>
                <w:rFonts w:hint="eastAsia" w:ascii="仿宋" w:hAnsi="仿宋" w:eastAsia="仿宋" w:cs="仿宋"/>
                <w:color w:val="auto"/>
                <w:sz w:val="32"/>
                <w:szCs w:val="32"/>
                <w:highlight w:val="none"/>
                <w:lang w:val="en-US" w:eastAsia="zh-CN"/>
              </w:rPr>
              <w:t>3</w:t>
            </w:r>
            <w:r>
              <w:rPr>
                <w:rFonts w:hint="eastAsia" w:ascii="仿宋" w:hAnsi="仿宋" w:eastAsia="仿宋" w:cs="仿宋"/>
                <w:color w:val="auto"/>
                <w:sz w:val="32"/>
                <w:szCs w:val="32"/>
                <w:highlight w:val="none"/>
              </w:rPr>
              <w:t>月</w:t>
            </w:r>
          </w:p>
        </w:tc>
      </w:tr>
    </w:tbl>
    <w:p>
      <w:pPr>
        <w:spacing w:line="360" w:lineRule="auto"/>
        <w:jc w:val="center"/>
        <w:rPr>
          <w:rFonts w:ascii="仿宋" w:hAnsi="仿宋" w:eastAsia="仿宋" w:cs="仿宋"/>
          <w:color w:val="auto"/>
          <w:sz w:val="24"/>
          <w:highlight w:val="none"/>
        </w:rPr>
        <w:sectPr>
          <w:headerReference r:id="rId4" w:type="first"/>
          <w:footerReference r:id="rId7" w:type="first"/>
          <w:headerReference r:id="rId3" w:type="default"/>
          <w:footerReference r:id="rId5" w:type="default"/>
          <w:footerReference r:id="rId6" w:type="even"/>
          <w:pgSz w:w="11905" w:h="16838"/>
          <w:pgMar w:top="1440" w:right="1803" w:bottom="1440" w:left="1803" w:header="851" w:footer="992" w:gutter="0"/>
          <w:cols w:space="0" w:num="1"/>
          <w:titlePg/>
          <w:rtlGutter w:val="0"/>
          <w:docGrid w:linePitch="312" w:charSpace="0"/>
        </w:sectPr>
      </w:pPr>
    </w:p>
    <w:p>
      <w:pPr>
        <w:pStyle w:val="59"/>
        <w:widowControl w:val="0"/>
        <w:overflowPunct/>
        <w:autoSpaceDE/>
        <w:autoSpaceDN/>
        <w:adjustRightInd/>
        <w:spacing w:before="240" w:after="240"/>
        <w:textAlignment w:val="auto"/>
        <w:outlineLvl w:val="0"/>
        <w:rPr>
          <w:rFonts w:ascii="仿宋" w:hAnsi="仿宋" w:eastAsia="仿宋" w:cs="仿宋"/>
          <w:bCs/>
          <w:color w:val="auto"/>
          <w:kern w:val="2"/>
          <w:sz w:val="32"/>
          <w:szCs w:val="32"/>
          <w:highlight w:val="none"/>
          <w:lang w:val="en-US"/>
        </w:rPr>
      </w:pPr>
      <w:bookmarkStart w:id="8" w:name="_Toc30474"/>
      <w:bookmarkStart w:id="9" w:name="_Toc2970"/>
      <w:bookmarkStart w:id="10" w:name="_Toc139797589"/>
      <w:bookmarkStart w:id="11" w:name="_Toc18649"/>
      <w:r>
        <w:rPr>
          <w:rFonts w:hint="eastAsia" w:ascii="仿宋" w:hAnsi="仿宋" w:eastAsia="仿宋" w:cs="仿宋"/>
          <w:bCs/>
          <w:color w:val="auto"/>
          <w:kern w:val="2"/>
          <w:sz w:val="32"/>
          <w:szCs w:val="32"/>
          <w:highlight w:val="none"/>
          <w:lang w:val="en-US"/>
        </w:rPr>
        <w:t>目  录</w:t>
      </w:r>
      <w:bookmarkEnd w:id="8"/>
      <w:bookmarkEnd w:id="9"/>
      <w:bookmarkEnd w:id="10"/>
      <w:bookmarkEnd w:id="11"/>
    </w:p>
    <w:sdt>
      <w:sdtPr>
        <w:rPr>
          <w:rFonts w:ascii="宋体" w:hAnsi="宋体" w:eastAsia="宋体" w:cs="Times New Roman"/>
          <w:color w:val="auto"/>
          <w:kern w:val="2"/>
          <w:sz w:val="21"/>
          <w:szCs w:val="24"/>
          <w:lang w:val="en-US" w:eastAsia="zh-CN" w:bidi="ar-SA"/>
        </w:rPr>
        <w:id w:val="147475808"/>
        <w15:color w:val="DBDBDB"/>
        <w:docPartObj>
          <w:docPartGallery w:val="Table of Contents"/>
          <w:docPartUnique/>
        </w:docPartObj>
      </w:sdtPr>
      <w:sdtEndPr>
        <w:rPr>
          <w:rFonts w:ascii="Times New Roman" w:hAnsi="Times New Roman" w:eastAsia="宋体" w:cs="Times New Roman"/>
          <w:color w:val="auto"/>
          <w:kern w:val="2"/>
          <w:sz w:val="21"/>
          <w:szCs w:val="24"/>
          <w:highlight w:val="none"/>
          <w:lang w:val="en-US" w:eastAsia="zh-CN" w:bidi="ar-SA"/>
        </w:rPr>
      </w:sdtEndPr>
      <w:sdtContent>
        <w:p>
          <w:pPr>
            <w:spacing w:before="0" w:beforeLines="0" w:after="0" w:afterLines="0" w:line="240" w:lineRule="auto"/>
            <w:ind w:left="0" w:leftChars="0" w:right="0" w:rightChars="0" w:firstLine="0" w:firstLineChars="0"/>
            <w:jc w:val="center"/>
            <w:rPr>
              <w:color w:val="auto"/>
            </w:rPr>
          </w:pPr>
        </w:p>
        <w:p>
          <w:pPr>
            <w:pStyle w:val="4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TOC \o "1-3" \h \u </w:instrText>
          </w:r>
          <w:r>
            <w:rPr>
              <w:color w:val="auto"/>
              <w:highlight w:val="none"/>
            </w:rPr>
            <w:fldChar w:fldCharType="separate"/>
          </w:r>
          <w:r>
            <w:rPr>
              <w:color w:val="auto"/>
              <w:highlight w:val="none"/>
            </w:rPr>
            <w:fldChar w:fldCharType="begin"/>
          </w:r>
          <w:r>
            <w:rPr>
              <w:color w:val="auto"/>
              <w:highlight w:val="none"/>
            </w:rPr>
            <w:instrText xml:space="preserve"> HYPERLINK \l _Toc18649 </w:instrText>
          </w:r>
          <w:r>
            <w:rPr>
              <w:color w:val="auto"/>
              <w:highlight w:val="none"/>
            </w:rPr>
            <w:fldChar w:fldCharType="separate"/>
          </w:r>
          <w:r>
            <w:rPr>
              <w:rFonts w:hint="eastAsia" w:ascii="仿宋" w:hAnsi="仿宋" w:eastAsia="仿宋" w:cs="仿宋"/>
              <w:bCs/>
              <w:color w:val="auto"/>
              <w:kern w:val="2"/>
              <w:szCs w:val="32"/>
              <w:highlight w:val="none"/>
              <w:lang w:val="en-US"/>
            </w:rPr>
            <w:t>目  录</w:t>
          </w:r>
          <w:r>
            <w:rPr>
              <w:color w:val="auto"/>
            </w:rPr>
            <w:tab/>
          </w:r>
          <w:r>
            <w:rPr>
              <w:color w:val="auto"/>
            </w:rPr>
            <w:fldChar w:fldCharType="begin"/>
          </w:r>
          <w:r>
            <w:rPr>
              <w:color w:val="auto"/>
            </w:rPr>
            <w:instrText xml:space="preserve"> PAGEREF _Toc18649 \h </w:instrText>
          </w:r>
          <w:r>
            <w:rPr>
              <w:color w:val="auto"/>
            </w:rPr>
            <w:fldChar w:fldCharType="separate"/>
          </w:r>
          <w:r>
            <w:rPr>
              <w:color w:val="auto"/>
            </w:rPr>
            <w:t>2</w:t>
          </w:r>
          <w:r>
            <w:rPr>
              <w:color w:val="auto"/>
            </w:rPr>
            <w:fldChar w:fldCharType="end"/>
          </w:r>
          <w:r>
            <w:rPr>
              <w:color w:val="auto"/>
              <w:highlight w:val="none"/>
            </w:rPr>
            <w:fldChar w:fldCharType="end"/>
          </w:r>
        </w:p>
        <w:p>
          <w:pPr>
            <w:pStyle w:val="4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_Toc26173 </w:instrText>
          </w:r>
          <w:r>
            <w:rPr>
              <w:color w:val="auto"/>
              <w:highlight w:val="none"/>
            </w:rPr>
            <w:fldChar w:fldCharType="separate"/>
          </w:r>
          <w:r>
            <w:rPr>
              <w:rFonts w:hint="eastAsia" w:ascii="仿宋" w:hAnsi="仿宋" w:eastAsia="仿宋" w:cs="仿宋"/>
              <w:color w:val="auto"/>
              <w:szCs w:val="36"/>
              <w:highlight w:val="none"/>
            </w:rPr>
            <w:t>第一部分 竞争性磋商公告（邀请）</w:t>
          </w:r>
          <w:r>
            <w:rPr>
              <w:color w:val="auto"/>
            </w:rPr>
            <w:tab/>
          </w:r>
          <w:r>
            <w:rPr>
              <w:color w:val="auto"/>
            </w:rPr>
            <w:fldChar w:fldCharType="begin"/>
          </w:r>
          <w:r>
            <w:rPr>
              <w:color w:val="auto"/>
            </w:rPr>
            <w:instrText xml:space="preserve"> PAGEREF _Toc26173 \h </w:instrText>
          </w:r>
          <w:r>
            <w:rPr>
              <w:color w:val="auto"/>
            </w:rPr>
            <w:fldChar w:fldCharType="separate"/>
          </w:r>
          <w:r>
            <w:rPr>
              <w:color w:val="auto"/>
            </w:rPr>
            <w:t>4</w:t>
          </w:r>
          <w:r>
            <w:rPr>
              <w:color w:val="auto"/>
            </w:rPr>
            <w:fldChar w:fldCharType="end"/>
          </w:r>
          <w:r>
            <w:rPr>
              <w:color w:val="auto"/>
              <w:highlight w:val="none"/>
            </w:rPr>
            <w:fldChar w:fldCharType="end"/>
          </w:r>
        </w:p>
        <w:p>
          <w:pPr>
            <w:pStyle w:val="4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_Toc20184 </w:instrText>
          </w:r>
          <w:r>
            <w:rPr>
              <w:color w:val="auto"/>
              <w:highlight w:val="none"/>
            </w:rPr>
            <w:fldChar w:fldCharType="separate"/>
          </w:r>
          <w:r>
            <w:rPr>
              <w:rFonts w:hint="eastAsia" w:ascii="仿宋" w:hAnsi="仿宋" w:eastAsia="仿宋" w:cs="仿宋"/>
              <w:color w:val="auto"/>
              <w:szCs w:val="36"/>
              <w:highlight w:val="none"/>
            </w:rPr>
            <w:t>第二部分 采购需求</w:t>
          </w:r>
          <w:r>
            <w:rPr>
              <w:color w:val="auto"/>
            </w:rPr>
            <w:tab/>
          </w:r>
          <w:r>
            <w:rPr>
              <w:color w:val="auto"/>
            </w:rPr>
            <w:fldChar w:fldCharType="begin"/>
          </w:r>
          <w:r>
            <w:rPr>
              <w:color w:val="auto"/>
            </w:rPr>
            <w:instrText xml:space="preserve"> PAGEREF _Toc20184 \h </w:instrText>
          </w:r>
          <w:r>
            <w:rPr>
              <w:color w:val="auto"/>
            </w:rPr>
            <w:fldChar w:fldCharType="separate"/>
          </w:r>
          <w:r>
            <w:rPr>
              <w:color w:val="auto"/>
            </w:rPr>
            <w:t>11</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_Toc10598 </w:instrText>
          </w:r>
          <w:r>
            <w:rPr>
              <w:color w:val="auto"/>
              <w:highlight w:val="none"/>
            </w:rPr>
            <w:fldChar w:fldCharType="separate"/>
          </w:r>
          <w:r>
            <w:rPr>
              <w:rFonts w:hint="eastAsia" w:ascii="仿宋" w:eastAsia="仿宋" w:cs="仿宋"/>
              <w:color w:val="auto"/>
              <w:szCs w:val="24"/>
              <w:lang w:val="en-US"/>
            </w:rPr>
            <w:t xml:space="preserve">一、 </w:t>
          </w:r>
          <w:r>
            <w:rPr>
              <w:rFonts w:hint="eastAsia" w:ascii="仿宋" w:eastAsia="仿宋" w:cs="仿宋"/>
              <w:color w:val="auto"/>
              <w:szCs w:val="24"/>
              <w:highlight w:val="none"/>
              <w:lang w:val="en-US" w:eastAsia="zh-CN"/>
            </w:rPr>
            <w:t>采购</w:t>
          </w:r>
          <w:r>
            <w:rPr>
              <w:rFonts w:hint="eastAsia" w:ascii="仿宋" w:eastAsia="仿宋" w:cs="仿宋"/>
              <w:color w:val="auto"/>
              <w:szCs w:val="24"/>
              <w:highlight w:val="none"/>
              <w:lang w:val="en-US"/>
            </w:rPr>
            <w:t>内容</w:t>
          </w:r>
          <w:r>
            <w:rPr>
              <w:color w:val="auto"/>
            </w:rPr>
            <w:tab/>
          </w:r>
          <w:r>
            <w:rPr>
              <w:color w:val="auto"/>
            </w:rPr>
            <w:fldChar w:fldCharType="begin"/>
          </w:r>
          <w:r>
            <w:rPr>
              <w:color w:val="auto"/>
            </w:rPr>
            <w:instrText xml:space="preserve"> PAGEREF _Toc10598 \h </w:instrText>
          </w:r>
          <w:r>
            <w:rPr>
              <w:color w:val="auto"/>
            </w:rPr>
            <w:fldChar w:fldCharType="separate"/>
          </w:r>
          <w:r>
            <w:rPr>
              <w:color w:val="auto"/>
            </w:rPr>
            <w:t>11</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_Toc6288 </w:instrText>
          </w:r>
          <w:r>
            <w:rPr>
              <w:color w:val="auto"/>
              <w:highlight w:val="none"/>
            </w:rPr>
            <w:fldChar w:fldCharType="separate"/>
          </w:r>
          <w:r>
            <w:rPr>
              <w:rFonts w:hint="eastAsia" w:ascii="仿宋" w:eastAsia="仿宋" w:cs="仿宋"/>
              <w:color w:val="auto"/>
              <w:szCs w:val="24"/>
              <w:lang w:val="en-US" w:eastAsia="zh-CN"/>
            </w:rPr>
            <w:t xml:space="preserve">二、 </w:t>
          </w:r>
          <w:r>
            <w:rPr>
              <w:rFonts w:hint="eastAsia" w:ascii="仿宋" w:hAnsi="仿宋" w:eastAsia="仿宋" w:cs="仿宋"/>
              <w:color w:val="auto"/>
              <w:szCs w:val="24"/>
              <w:highlight w:val="none"/>
              <w:lang w:val="en-US" w:eastAsia="zh-CN"/>
            </w:rPr>
            <w:t>▲</w:t>
          </w:r>
          <w:r>
            <w:rPr>
              <w:rFonts w:hint="eastAsia" w:ascii="仿宋" w:eastAsia="仿宋" w:cs="仿宋"/>
              <w:color w:val="auto"/>
              <w:szCs w:val="24"/>
              <w:highlight w:val="none"/>
              <w:lang w:val="en-US" w:eastAsia="zh-CN"/>
            </w:rPr>
            <w:t>每年度工作要求：</w:t>
          </w:r>
          <w:r>
            <w:rPr>
              <w:color w:val="auto"/>
            </w:rPr>
            <w:tab/>
          </w:r>
          <w:r>
            <w:rPr>
              <w:color w:val="auto"/>
            </w:rPr>
            <w:fldChar w:fldCharType="begin"/>
          </w:r>
          <w:r>
            <w:rPr>
              <w:color w:val="auto"/>
            </w:rPr>
            <w:instrText xml:space="preserve"> PAGEREF _Toc6288 \h </w:instrText>
          </w:r>
          <w:r>
            <w:rPr>
              <w:color w:val="auto"/>
            </w:rPr>
            <w:fldChar w:fldCharType="separate"/>
          </w:r>
          <w:r>
            <w:rPr>
              <w:color w:val="auto"/>
            </w:rPr>
            <w:t>11</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_Toc23233 </w:instrText>
          </w:r>
          <w:r>
            <w:rPr>
              <w:color w:val="auto"/>
              <w:highlight w:val="none"/>
            </w:rPr>
            <w:fldChar w:fldCharType="separate"/>
          </w:r>
          <w:r>
            <w:rPr>
              <w:rFonts w:hint="eastAsia" w:ascii="仿宋" w:eastAsia="仿宋" w:cs="仿宋"/>
              <w:color w:val="auto"/>
              <w:szCs w:val="24"/>
              <w:lang w:val="en-US" w:eastAsia="zh-CN"/>
            </w:rPr>
            <w:t xml:space="preserve">三、 </w:t>
          </w:r>
          <w:r>
            <w:rPr>
              <w:rFonts w:hint="eastAsia" w:ascii="仿宋" w:eastAsia="仿宋" w:cs="仿宋"/>
              <w:color w:val="auto"/>
              <w:szCs w:val="24"/>
              <w:highlight w:val="none"/>
              <w:lang w:val="en-US" w:eastAsia="zh-CN"/>
            </w:rPr>
            <w:t>考核评分标准</w:t>
          </w:r>
          <w:r>
            <w:rPr>
              <w:rFonts w:hint="default" w:ascii="仿宋" w:eastAsia="仿宋" w:cs="仿宋"/>
              <w:color w:val="auto"/>
              <w:szCs w:val="24"/>
              <w:highlight w:val="none"/>
              <w:lang w:val="en-US" w:eastAsia="zh-CN"/>
            </w:rPr>
            <w:t>（两年）</w:t>
          </w:r>
          <w:r>
            <w:rPr>
              <w:rFonts w:hint="eastAsia" w:ascii="仿宋" w:eastAsia="仿宋" w:cs="仿宋"/>
              <w:color w:val="auto"/>
              <w:szCs w:val="24"/>
              <w:highlight w:val="none"/>
              <w:lang w:val="en-US" w:eastAsia="zh-CN"/>
            </w:rPr>
            <w:t>：</w:t>
          </w:r>
          <w:r>
            <w:rPr>
              <w:color w:val="auto"/>
            </w:rPr>
            <w:tab/>
          </w:r>
          <w:r>
            <w:rPr>
              <w:color w:val="auto"/>
            </w:rPr>
            <w:fldChar w:fldCharType="begin"/>
          </w:r>
          <w:r>
            <w:rPr>
              <w:color w:val="auto"/>
            </w:rPr>
            <w:instrText xml:space="preserve"> PAGEREF _Toc23233 \h </w:instrText>
          </w:r>
          <w:r>
            <w:rPr>
              <w:color w:val="auto"/>
            </w:rPr>
            <w:fldChar w:fldCharType="separate"/>
          </w:r>
          <w:r>
            <w:rPr>
              <w:color w:val="auto"/>
            </w:rPr>
            <w:t>12</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_Toc143 </w:instrText>
          </w:r>
          <w:r>
            <w:rPr>
              <w:color w:val="auto"/>
              <w:highlight w:val="none"/>
            </w:rPr>
            <w:fldChar w:fldCharType="separate"/>
          </w:r>
          <w:r>
            <w:rPr>
              <w:rFonts w:hint="eastAsia" w:ascii="仿宋" w:eastAsia="仿宋" w:cs="仿宋"/>
              <w:color w:val="auto"/>
              <w:szCs w:val="24"/>
              <w:lang w:val="en-US" w:eastAsia="zh-CN"/>
            </w:rPr>
            <w:t xml:space="preserve">四、 </w:t>
          </w:r>
          <w:r>
            <w:rPr>
              <w:rFonts w:hint="eastAsia" w:ascii="仿宋" w:eastAsia="仿宋" w:cs="仿宋"/>
              <w:color w:val="auto"/>
              <w:szCs w:val="24"/>
              <w:highlight w:val="none"/>
              <w:lang w:val="en-US" w:eastAsia="zh-CN"/>
            </w:rPr>
            <w:t>服务期限</w:t>
          </w:r>
          <w:r>
            <w:rPr>
              <w:color w:val="auto"/>
            </w:rPr>
            <w:tab/>
          </w:r>
          <w:r>
            <w:rPr>
              <w:color w:val="auto"/>
            </w:rPr>
            <w:fldChar w:fldCharType="begin"/>
          </w:r>
          <w:r>
            <w:rPr>
              <w:color w:val="auto"/>
            </w:rPr>
            <w:instrText xml:space="preserve"> PAGEREF _Toc143 \h </w:instrText>
          </w:r>
          <w:r>
            <w:rPr>
              <w:color w:val="auto"/>
            </w:rPr>
            <w:fldChar w:fldCharType="separate"/>
          </w:r>
          <w:r>
            <w:rPr>
              <w:color w:val="auto"/>
            </w:rPr>
            <w:t>13</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_Toc14261 </w:instrText>
          </w:r>
          <w:r>
            <w:rPr>
              <w:color w:val="auto"/>
              <w:highlight w:val="none"/>
            </w:rPr>
            <w:fldChar w:fldCharType="separate"/>
          </w:r>
          <w:r>
            <w:rPr>
              <w:rFonts w:hint="eastAsia" w:ascii="仿宋" w:eastAsia="仿宋" w:cs="仿宋"/>
              <w:color w:val="auto"/>
              <w:szCs w:val="24"/>
              <w:lang w:val="en-US"/>
            </w:rPr>
            <w:t xml:space="preserve">五、 </w:t>
          </w:r>
          <w:r>
            <w:rPr>
              <w:rFonts w:hint="eastAsia" w:ascii="仿宋" w:eastAsia="仿宋" w:cs="仿宋"/>
              <w:color w:val="auto"/>
              <w:szCs w:val="24"/>
              <w:highlight w:val="none"/>
              <w:lang w:val="en-US"/>
            </w:rPr>
            <w:t>付款方式</w:t>
          </w:r>
          <w:r>
            <w:rPr>
              <w:color w:val="auto"/>
            </w:rPr>
            <w:tab/>
          </w:r>
          <w:r>
            <w:rPr>
              <w:color w:val="auto"/>
            </w:rPr>
            <w:fldChar w:fldCharType="begin"/>
          </w:r>
          <w:r>
            <w:rPr>
              <w:color w:val="auto"/>
            </w:rPr>
            <w:instrText xml:space="preserve"> PAGEREF _Toc14261 \h </w:instrText>
          </w:r>
          <w:r>
            <w:rPr>
              <w:color w:val="auto"/>
            </w:rPr>
            <w:fldChar w:fldCharType="separate"/>
          </w:r>
          <w:r>
            <w:rPr>
              <w:color w:val="auto"/>
            </w:rPr>
            <w:t>13</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_Toc3970 </w:instrText>
          </w:r>
          <w:r>
            <w:rPr>
              <w:color w:val="auto"/>
              <w:highlight w:val="none"/>
            </w:rPr>
            <w:fldChar w:fldCharType="separate"/>
          </w:r>
          <w:r>
            <w:rPr>
              <w:rFonts w:hint="eastAsia" w:ascii="仿宋" w:eastAsia="仿宋" w:cs="仿宋"/>
              <w:color w:val="auto"/>
              <w:szCs w:val="24"/>
              <w:lang w:val="en-US"/>
            </w:rPr>
            <w:t xml:space="preserve">六、 </w:t>
          </w:r>
          <w:r>
            <w:rPr>
              <w:rFonts w:hint="eastAsia" w:ascii="仿宋" w:eastAsia="仿宋" w:cs="仿宋"/>
              <w:color w:val="auto"/>
              <w:szCs w:val="24"/>
              <w:highlight w:val="none"/>
              <w:lang w:val="en-US"/>
            </w:rPr>
            <w:t>其他</w:t>
          </w:r>
          <w:r>
            <w:rPr>
              <w:color w:val="auto"/>
            </w:rPr>
            <w:tab/>
          </w:r>
          <w:r>
            <w:rPr>
              <w:color w:val="auto"/>
            </w:rPr>
            <w:fldChar w:fldCharType="begin"/>
          </w:r>
          <w:r>
            <w:rPr>
              <w:color w:val="auto"/>
            </w:rPr>
            <w:instrText xml:space="preserve"> PAGEREF _Toc3970 \h </w:instrText>
          </w:r>
          <w:r>
            <w:rPr>
              <w:color w:val="auto"/>
            </w:rPr>
            <w:fldChar w:fldCharType="separate"/>
          </w:r>
          <w:r>
            <w:rPr>
              <w:color w:val="auto"/>
            </w:rPr>
            <w:t>14</w:t>
          </w:r>
          <w:r>
            <w:rPr>
              <w:color w:val="auto"/>
            </w:rPr>
            <w:fldChar w:fldCharType="end"/>
          </w:r>
          <w:r>
            <w:rPr>
              <w:color w:val="auto"/>
              <w:highlight w:val="none"/>
            </w:rPr>
            <w:fldChar w:fldCharType="end"/>
          </w:r>
        </w:p>
        <w:p>
          <w:pPr>
            <w:pStyle w:val="4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_Toc27539 </w:instrText>
          </w:r>
          <w:r>
            <w:rPr>
              <w:color w:val="auto"/>
              <w:highlight w:val="none"/>
            </w:rPr>
            <w:fldChar w:fldCharType="separate"/>
          </w:r>
          <w:r>
            <w:rPr>
              <w:rFonts w:hint="eastAsia" w:ascii="仿宋" w:hAnsi="仿宋" w:eastAsia="仿宋" w:cs="仿宋"/>
              <w:color w:val="auto"/>
              <w:szCs w:val="36"/>
              <w:highlight w:val="none"/>
            </w:rPr>
            <w:t>第三部分 竞争性磋商流程</w:t>
          </w:r>
          <w:r>
            <w:rPr>
              <w:color w:val="auto"/>
            </w:rPr>
            <w:tab/>
          </w:r>
          <w:r>
            <w:rPr>
              <w:color w:val="auto"/>
            </w:rPr>
            <w:fldChar w:fldCharType="begin"/>
          </w:r>
          <w:r>
            <w:rPr>
              <w:color w:val="auto"/>
            </w:rPr>
            <w:instrText xml:space="preserve"> PAGEREF _Toc27539 \h </w:instrText>
          </w:r>
          <w:r>
            <w:rPr>
              <w:color w:val="auto"/>
            </w:rPr>
            <w:fldChar w:fldCharType="separate"/>
          </w:r>
          <w:r>
            <w:rPr>
              <w:color w:val="auto"/>
            </w:rPr>
            <w:t>15</w:t>
          </w:r>
          <w:r>
            <w:rPr>
              <w:color w:val="auto"/>
            </w:rPr>
            <w:fldChar w:fldCharType="end"/>
          </w:r>
          <w:r>
            <w:rPr>
              <w:color w:val="auto"/>
              <w:highlight w:val="none"/>
            </w:rPr>
            <w:fldChar w:fldCharType="end"/>
          </w:r>
        </w:p>
        <w:p>
          <w:pPr>
            <w:pStyle w:val="4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_Toc23398 </w:instrText>
          </w:r>
          <w:r>
            <w:rPr>
              <w:color w:val="auto"/>
              <w:highlight w:val="none"/>
            </w:rPr>
            <w:fldChar w:fldCharType="separate"/>
          </w:r>
          <w:r>
            <w:rPr>
              <w:rFonts w:hint="eastAsia" w:ascii="仿宋" w:hAnsi="仿宋" w:eastAsia="仿宋" w:cs="仿宋"/>
              <w:color w:val="auto"/>
              <w:szCs w:val="36"/>
              <w:highlight w:val="none"/>
            </w:rPr>
            <w:t>第四部分 供应商须知</w:t>
          </w:r>
          <w:r>
            <w:rPr>
              <w:color w:val="auto"/>
            </w:rPr>
            <w:tab/>
          </w:r>
          <w:r>
            <w:rPr>
              <w:color w:val="auto"/>
            </w:rPr>
            <w:fldChar w:fldCharType="begin"/>
          </w:r>
          <w:r>
            <w:rPr>
              <w:color w:val="auto"/>
            </w:rPr>
            <w:instrText xml:space="preserve"> PAGEREF _Toc23398 \h </w:instrText>
          </w:r>
          <w:r>
            <w:rPr>
              <w:color w:val="auto"/>
            </w:rPr>
            <w:fldChar w:fldCharType="separate"/>
          </w:r>
          <w:r>
            <w:rPr>
              <w:color w:val="auto"/>
            </w:rPr>
            <w:t>18</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_Toc13451 </w:instrText>
          </w:r>
          <w:r>
            <w:rPr>
              <w:color w:val="auto"/>
              <w:highlight w:val="none"/>
            </w:rPr>
            <w:fldChar w:fldCharType="separate"/>
          </w:r>
          <w:r>
            <w:rPr>
              <w:rFonts w:hint="eastAsia" w:ascii="仿宋" w:hAnsi="仿宋" w:eastAsia="仿宋" w:cs="仿宋"/>
              <w:bCs/>
              <w:color w:val="auto"/>
              <w:kern w:val="2"/>
              <w:szCs w:val="30"/>
              <w:highlight w:val="none"/>
              <w:lang w:val="en-US"/>
            </w:rPr>
            <w:t>供应商须知前附表（一）</w:t>
          </w:r>
          <w:r>
            <w:rPr>
              <w:color w:val="auto"/>
            </w:rPr>
            <w:tab/>
          </w:r>
          <w:r>
            <w:rPr>
              <w:color w:val="auto"/>
            </w:rPr>
            <w:fldChar w:fldCharType="begin"/>
          </w:r>
          <w:r>
            <w:rPr>
              <w:color w:val="auto"/>
            </w:rPr>
            <w:instrText xml:space="preserve"> PAGEREF _Toc13451 \h </w:instrText>
          </w:r>
          <w:r>
            <w:rPr>
              <w:color w:val="auto"/>
            </w:rPr>
            <w:fldChar w:fldCharType="separate"/>
          </w:r>
          <w:r>
            <w:rPr>
              <w:color w:val="auto"/>
            </w:rPr>
            <w:t>18</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_Toc20782 </w:instrText>
          </w:r>
          <w:r>
            <w:rPr>
              <w:color w:val="auto"/>
              <w:highlight w:val="none"/>
            </w:rPr>
            <w:fldChar w:fldCharType="separate"/>
          </w:r>
          <w:r>
            <w:rPr>
              <w:rFonts w:hint="eastAsia" w:ascii="仿宋" w:hAnsi="仿宋" w:eastAsia="仿宋" w:cs="仿宋"/>
              <w:bCs/>
              <w:color w:val="auto"/>
              <w:kern w:val="2"/>
              <w:szCs w:val="30"/>
              <w:highlight w:val="none"/>
              <w:lang w:val="en-US"/>
            </w:rPr>
            <w:t>供应商须知前附表（二）</w:t>
          </w:r>
          <w:r>
            <w:rPr>
              <w:color w:val="auto"/>
            </w:rPr>
            <w:tab/>
          </w:r>
          <w:r>
            <w:rPr>
              <w:color w:val="auto"/>
            </w:rPr>
            <w:fldChar w:fldCharType="begin"/>
          </w:r>
          <w:r>
            <w:rPr>
              <w:color w:val="auto"/>
            </w:rPr>
            <w:instrText xml:space="preserve"> PAGEREF _Toc20782 \h </w:instrText>
          </w:r>
          <w:r>
            <w:rPr>
              <w:color w:val="auto"/>
            </w:rPr>
            <w:fldChar w:fldCharType="separate"/>
          </w:r>
          <w:r>
            <w:rPr>
              <w:color w:val="auto"/>
            </w:rPr>
            <w:t>22</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_Toc23873 </w:instrText>
          </w:r>
          <w:r>
            <w:rPr>
              <w:color w:val="auto"/>
              <w:highlight w:val="none"/>
            </w:rPr>
            <w:fldChar w:fldCharType="separate"/>
          </w:r>
          <w:r>
            <w:rPr>
              <w:rFonts w:hint="eastAsia" w:ascii="仿宋" w:hAnsi="仿宋" w:eastAsia="仿宋" w:cs="仿宋"/>
              <w:bCs/>
              <w:color w:val="auto"/>
              <w:kern w:val="2"/>
              <w:szCs w:val="30"/>
              <w:lang w:val="en-US"/>
            </w:rPr>
            <w:t xml:space="preserve">一、 </w:t>
          </w:r>
          <w:r>
            <w:rPr>
              <w:rFonts w:hint="eastAsia" w:ascii="仿宋" w:hAnsi="仿宋" w:eastAsia="仿宋" w:cs="仿宋"/>
              <w:bCs/>
              <w:color w:val="auto"/>
              <w:kern w:val="2"/>
              <w:szCs w:val="30"/>
              <w:highlight w:val="none"/>
              <w:lang w:val="en-US"/>
            </w:rPr>
            <w:t>总则</w:t>
          </w:r>
          <w:r>
            <w:rPr>
              <w:color w:val="auto"/>
            </w:rPr>
            <w:tab/>
          </w:r>
          <w:r>
            <w:rPr>
              <w:color w:val="auto"/>
            </w:rPr>
            <w:fldChar w:fldCharType="begin"/>
          </w:r>
          <w:r>
            <w:rPr>
              <w:color w:val="auto"/>
            </w:rPr>
            <w:instrText xml:space="preserve"> PAGEREF _Toc23873 \h </w:instrText>
          </w:r>
          <w:r>
            <w:rPr>
              <w:color w:val="auto"/>
            </w:rPr>
            <w:fldChar w:fldCharType="separate"/>
          </w:r>
          <w:r>
            <w:rPr>
              <w:color w:val="auto"/>
            </w:rPr>
            <w:t>22</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_Toc17537 </w:instrText>
          </w:r>
          <w:r>
            <w:rPr>
              <w:color w:val="auto"/>
              <w:highlight w:val="none"/>
            </w:rPr>
            <w:fldChar w:fldCharType="separate"/>
          </w:r>
          <w:r>
            <w:rPr>
              <w:rFonts w:hint="default" w:ascii="仿宋" w:hAnsi="仿宋" w:eastAsia="仿宋" w:cs="仿宋"/>
              <w:color w:val="auto"/>
              <w:szCs w:val="20"/>
            </w:rPr>
            <w:t xml:space="preserve">1. </w:t>
          </w:r>
          <w:r>
            <w:rPr>
              <w:rFonts w:hint="eastAsia" w:ascii="仿宋" w:hAnsi="仿宋" w:eastAsia="仿宋" w:cs="仿宋"/>
              <w:color w:val="auto"/>
              <w:szCs w:val="20"/>
              <w:highlight w:val="none"/>
            </w:rPr>
            <w:t>适用范围</w:t>
          </w:r>
          <w:r>
            <w:rPr>
              <w:color w:val="auto"/>
            </w:rPr>
            <w:tab/>
          </w:r>
          <w:r>
            <w:rPr>
              <w:color w:val="auto"/>
            </w:rPr>
            <w:fldChar w:fldCharType="begin"/>
          </w:r>
          <w:r>
            <w:rPr>
              <w:color w:val="auto"/>
            </w:rPr>
            <w:instrText xml:space="preserve"> PAGEREF _Toc17537 \h </w:instrText>
          </w:r>
          <w:r>
            <w:rPr>
              <w:color w:val="auto"/>
            </w:rPr>
            <w:fldChar w:fldCharType="separate"/>
          </w:r>
          <w:r>
            <w:rPr>
              <w:color w:val="auto"/>
            </w:rPr>
            <w:t>23</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_Toc6154 </w:instrText>
          </w:r>
          <w:r>
            <w:rPr>
              <w:color w:val="auto"/>
              <w:highlight w:val="none"/>
            </w:rPr>
            <w:fldChar w:fldCharType="separate"/>
          </w:r>
          <w:r>
            <w:rPr>
              <w:rFonts w:hint="default" w:ascii="仿宋" w:hAnsi="仿宋" w:eastAsia="仿宋" w:cs="仿宋"/>
              <w:color w:val="auto"/>
              <w:szCs w:val="20"/>
            </w:rPr>
            <w:t xml:space="preserve">2. </w:t>
          </w:r>
          <w:r>
            <w:rPr>
              <w:rFonts w:hint="eastAsia" w:ascii="仿宋" w:hAnsi="仿宋" w:eastAsia="仿宋" w:cs="仿宋"/>
              <w:color w:val="auto"/>
              <w:szCs w:val="20"/>
              <w:highlight w:val="none"/>
            </w:rPr>
            <w:t>定义</w:t>
          </w:r>
          <w:r>
            <w:rPr>
              <w:color w:val="auto"/>
            </w:rPr>
            <w:tab/>
          </w:r>
          <w:r>
            <w:rPr>
              <w:color w:val="auto"/>
            </w:rPr>
            <w:fldChar w:fldCharType="begin"/>
          </w:r>
          <w:r>
            <w:rPr>
              <w:color w:val="auto"/>
            </w:rPr>
            <w:instrText xml:space="preserve"> PAGEREF _Toc6154 \h </w:instrText>
          </w:r>
          <w:r>
            <w:rPr>
              <w:color w:val="auto"/>
            </w:rPr>
            <w:fldChar w:fldCharType="separate"/>
          </w:r>
          <w:r>
            <w:rPr>
              <w:color w:val="auto"/>
            </w:rPr>
            <w:t>23</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_Toc16000 </w:instrText>
          </w:r>
          <w:r>
            <w:rPr>
              <w:color w:val="auto"/>
              <w:highlight w:val="none"/>
            </w:rPr>
            <w:fldChar w:fldCharType="separate"/>
          </w:r>
          <w:r>
            <w:rPr>
              <w:rFonts w:hint="default" w:ascii="仿宋" w:hAnsi="仿宋" w:eastAsia="仿宋" w:cs="仿宋"/>
              <w:color w:val="auto"/>
              <w:szCs w:val="20"/>
            </w:rPr>
            <w:t xml:space="preserve">3. </w:t>
          </w:r>
          <w:r>
            <w:rPr>
              <w:rFonts w:hint="eastAsia" w:ascii="仿宋" w:hAnsi="仿宋" w:eastAsia="仿宋" w:cs="仿宋"/>
              <w:color w:val="auto"/>
              <w:szCs w:val="20"/>
              <w:highlight w:val="none"/>
            </w:rPr>
            <w:t>采购项目需要落实的政府采购政策</w:t>
          </w:r>
          <w:r>
            <w:rPr>
              <w:color w:val="auto"/>
            </w:rPr>
            <w:tab/>
          </w:r>
          <w:r>
            <w:rPr>
              <w:color w:val="auto"/>
            </w:rPr>
            <w:fldChar w:fldCharType="begin"/>
          </w:r>
          <w:r>
            <w:rPr>
              <w:color w:val="auto"/>
            </w:rPr>
            <w:instrText xml:space="preserve"> PAGEREF _Toc16000 \h </w:instrText>
          </w:r>
          <w:r>
            <w:rPr>
              <w:color w:val="auto"/>
            </w:rPr>
            <w:fldChar w:fldCharType="separate"/>
          </w:r>
          <w:r>
            <w:rPr>
              <w:color w:val="auto"/>
            </w:rPr>
            <w:t>24</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_Toc28958 </w:instrText>
          </w:r>
          <w:r>
            <w:rPr>
              <w:color w:val="auto"/>
              <w:highlight w:val="none"/>
            </w:rPr>
            <w:fldChar w:fldCharType="separate"/>
          </w:r>
          <w:r>
            <w:rPr>
              <w:rFonts w:hint="default" w:ascii="仿宋" w:hAnsi="仿宋" w:eastAsia="仿宋" w:cs="仿宋"/>
              <w:color w:val="auto"/>
              <w:szCs w:val="20"/>
            </w:rPr>
            <w:t xml:space="preserve">4. </w:t>
          </w:r>
          <w:r>
            <w:rPr>
              <w:rFonts w:hint="eastAsia" w:ascii="仿宋" w:hAnsi="仿宋" w:eastAsia="仿宋" w:cs="仿宋"/>
              <w:color w:val="auto"/>
              <w:szCs w:val="20"/>
              <w:highlight w:val="none"/>
              <w:lang w:val="zh-CN"/>
            </w:rPr>
            <w:t>询问、质疑、投诉</w:t>
          </w:r>
          <w:r>
            <w:rPr>
              <w:color w:val="auto"/>
            </w:rPr>
            <w:tab/>
          </w:r>
          <w:r>
            <w:rPr>
              <w:color w:val="auto"/>
            </w:rPr>
            <w:fldChar w:fldCharType="begin"/>
          </w:r>
          <w:r>
            <w:rPr>
              <w:color w:val="auto"/>
            </w:rPr>
            <w:instrText xml:space="preserve"> PAGEREF _Toc28958 \h </w:instrText>
          </w:r>
          <w:r>
            <w:rPr>
              <w:color w:val="auto"/>
            </w:rPr>
            <w:fldChar w:fldCharType="separate"/>
          </w:r>
          <w:r>
            <w:rPr>
              <w:color w:val="auto"/>
            </w:rPr>
            <w:t>26</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_Toc3000 </w:instrText>
          </w:r>
          <w:r>
            <w:rPr>
              <w:color w:val="auto"/>
              <w:highlight w:val="none"/>
            </w:rPr>
            <w:fldChar w:fldCharType="separate"/>
          </w:r>
          <w:r>
            <w:rPr>
              <w:rFonts w:hint="eastAsia" w:ascii="仿宋" w:hAnsi="仿宋" w:eastAsia="仿宋" w:cs="仿宋"/>
              <w:bCs/>
              <w:color w:val="auto"/>
              <w:kern w:val="2"/>
              <w:szCs w:val="30"/>
              <w:lang w:val="en-US"/>
            </w:rPr>
            <w:t xml:space="preserve">二、 </w:t>
          </w:r>
          <w:r>
            <w:rPr>
              <w:rFonts w:hint="eastAsia" w:ascii="仿宋" w:hAnsi="仿宋" w:eastAsia="仿宋" w:cs="仿宋"/>
              <w:bCs/>
              <w:color w:val="auto"/>
              <w:kern w:val="2"/>
              <w:szCs w:val="30"/>
              <w:highlight w:val="none"/>
              <w:lang w:val="en-US"/>
            </w:rPr>
            <w:t>采购文件的构成、澄清、修改</w:t>
          </w:r>
          <w:r>
            <w:rPr>
              <w:color w:val="auto"/>
            </w:rPr>
            <w:tab/>
          </w:r>
          <w:r>
            <w:rPr>
              <w:color w:val="auto"/>
            </w:rPr>
            <w:fldChar w:fldCharType="begin"/>
          </w:r>
          <w:r>
            <w:rPr>
              <w:color w:val="auto"/>
            </w:rPr>
            <w:instrText xml:space="preserve"> PAGEREF _Toc3000 \h </w:instrText>
          </w:r>
          <w:r>
            <w:rPr>
              <w:color w:val="auto"/>
            </w:rPr>
            <w:fldChar w:fldCharType="separate"/>
          </w:r>
          <w:r>
            <w:rPr>
              <w:color w:val="auto"/>
            </w:rPr>
            <w:t>29</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_Toc30524 </w:instrText>
          </w:r>
          <w:r>
            <w:rPr>
              <w:color w:val="auto"/>
              <w:highlight w:val="none"/>
            </w:rPr>
            <w:fldChar w:fldCharType="separate"/>
          </w:r>
          <w:r>
            <w:rPr>
              <w:rFonts w:hint="default" w:ascii="仿宋" w:hAnsi="仿宋" w:eastAsia="仿宋" w:cs="仿宋"/>
              <w:color w:val="auto"/>
              <w:szCs w:val="20"/>
              <w:lang w:val="zh-CN"/>
            </w:rPr>
            <w:t xml:space="preserve">5. </w:t>
          </w:r>
          <w:r>
            <w:rPr>
              <w:rFonts w:hint="eastAsia" w:ascii="仿宋" w:hAnsi="仿宋" w:eastAsia="仿宋" w:cs="仿宋"/>
              <w:color w:val="auto"/>
              <w:szCs w:val="20"/>
              <w:highlight w:val="none"/>
              <w:lang w:val="zh-CN"/>
            </w:rPr>
            <w:t>采购文件的构成</w:t>
          </w:r>
          <w:r>
            <w:rPr>
              <w:color w:val="auto"/>
            </w:rPr>
            <w:tab/>
          </w:r>
          <w:r>
            <w:rPr>
              <w:color w:val="auto"/>
            </w:rPr>
            <w:fldChar w:fldCharType="begin"/>
          </w:r>
          <w:r>
            <w:rPr>
              <w:color w:val="auto"/>
            </w:rPr>
            <w:instrText xml:space="preserve"> PAGEREF _Toc30524 \h </w:instrText>
          </w:r>
          <w:r>
            <w:rPr>
              <w:color w:val="auto"/>
            </w:rPr>
            <w:fldChar w:fldCharType="separate"/>
          </w:r>
          <w:r>
            <w:rPr>
              <w:color w:val="auto"/>
            </w:rPr>
            <w:t>29</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_Toc19116 </w:instrText>
          </w:r>
          <w:r>
            <w:rPr>
              <w:color w:val="auto"/>
              <w:highlight w:val="none"/>
            </w:rPr>
            <w:fldChar w:fldCharType="separate"/>
          </w:r>
          <w:r>
            <w:rPr>
              <w:rFonts w:hint="default" w:ascii="仿宋" w:hAnsi="仿宋" w:eastAsia="仿宋" w:cs="仿宋"/>
              <w:color w:val="auto"/>
              <w:szCs w:val="20"/>
              <w:lang w:val="zh-CN"/>
            </w:rPr>
            <w:t xml:space="preserve">6. </w:t>
          </w:r>
          <w:r>
            <w:rPr>
              <w:rFonts w:hint="eastAsia" w:ascii="仿宋" w:hAnsi="仿宋" w:eastAsia="仿宋" w:cs="仿宋"/>
              <w:color w:val="auto"/>
              <w:szCs w:val="20"/>
              <w:highlight w:val="none"/>
              <w:lang w:val="zh-CN"/>
            </w:rPr>
            <w:t>采购文件的澄清、修改</w:t>
          </w:r>
          <w:r>
            <w:rPr>
              <w:color w:val="auto"/>
            </w:rPr>
            <w:tab/>
          </w:r>
          <w:r>
            <w:rPr>
              <w:color w:val="auto"/>
            </w:rPr>
            <w:fldChar w:fldCharType="begin"/>
          </w:r>
          <w:r>
            <w:rPr>
              <w:color w:val="auto"/>
            </w:rPr>
            <w:instrText xml:space="preserve"> PAGEREF _Toc19116 \h </w:instrText>
          </w:r>
          <w:r>
            <w:rPr>
              <w:color w:val="auto"/>
            </w:rPr>
            <w:fldChar w:fldCharType="separate"/>
          </w:r>
          <w:r>
            <w:rPr>
              <w:color w:val="auto"/>
            </w:rPr>
            <w:t>29</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_Toc30357 </w:instrText>
          </w:r>
          <w:r>
            <w:rPr>
              <w:color w:val="auto"/>
              <w:highlight w:val="none"/>
            </w:rPr>
            <w:fldChar w:fldCharType="separate"/>
          </w:r>
          <w:r>
            <w:rPr>
              <w:rFonts w:hint="eastAsia" w:ascii="仿宋" w:hAnsi="仿宋" w:eastAsia="仿宋" w:cs="仿宋"/>
              <w:bCs/>
              <w:color w:val="auto"/>
              <w:kern w:val="2"/>
              <w:szCs w:val="30"/>
              <w:lang w:val="en-US"/>
            </w:rPr>
            <w:t xml:space="preserve">三、 </w:t>
          </w:r>
          <w:r>
            <w:rPr>
              <w:rFonts w:hint="eastAsia" w:ascii="仿宋" w:hAnsi="仿宋" w:eastAsia="仿宋" w:cs="仿宋"/>
              <w:bCs/>
              <w:color w:val="auto"/>
              <w:kern w:val="2"/>
              <w:szCs w:val="30"/>
              <w:highlight w:val="none"/>
              <w:lang w:val="en-US"/>
            </w:rPr>
            <w:t>提交响应文件</w:t>
          </w:r>
          <w:r>
            <w:rPr>
              <w:color w:val="auto"/>
            </w:rPr>
            <w:tab/>
          </w:r>
          <w:r>
            <w:rPr>
              <w:color w:val="auto"/>
            </w:rPr>
            <w:fldChar w:fldCharType="begin"/>
          </w:r>
          <w:r>
            <w:rPr>
              <w:color w:val="auto"/>
            </w:rPr>
            <w:instrText xml:space="preserve"> PAGEREF _Toc30357 \h </w:instrText>
          </w:r>
          <w:r>
            <w:rPr>
              <w:color w:val="auto"/>
            </w:rPr>
            <w:fldChar w:fldCharType="separate"/>
          </w:r>
          <w:r>
            <w:rPr>
              <w:color w:val="auto"/>
            </w:rPr>
            <w:t>30</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_Toc1945 </w:instrText>
          </w:r>
          <w:r>
            <w:rPr>
              <w:color w:val="auto"/>
              <w:highlight w:val="none"/>
            </w:rPr>
            <w:fldChar w:fldCharType="separate"/>
          </w:r>
          <w:r>
            <w:rPr>
              <w:rFonts w:hint="default" w:ascii="仿宋" w:hAnsi="仿宋" w:eastAsia="仿宋" w:cs="仿宋"/>
              <w:color w:val="auto"/>
              <w:szCs w:val="20"/>
              <w:lang w:val="zh-CN"/>
            </w:rPr>
            <w:t xml:space="preserve">7. </w:t>
          </w:r>
          <w:r>
            <w:rPr>
              <w:rFonts w:hint="eastAsia" w:ascii="仿宋" w:hAnsi="仿宋" w:eastAsia="仿宋" w:cs="仿宋"/>
              <w:color w:val="auto"/>
              <w:szCs w:val="20"/>
              <w:highlight w:val="none"/>
              <w:lang w:val="zh-CN"/>
            </w:rPr>
            <w:t>备份响应文件</w:t>
          </w:r>
          <w:r>
            <w:rPr>
              <w:color w:val="auto"/>
            </w:rPr>
            <w:tab/>
          </w:r>
          <w:r>
            <w:rPr>
              <w:color w:val="auto"/>
            </w:rPr>
            <w:fldChar w:fldCharType="begin"/>
          </w:r>
          <w:r>
            <w:rPr>
              <w:color w:val="auto"/>
            </w:rPr>
            <w:instrText xml:space="preserve"> PAGEREF _Toc1945 \h </w:instrText>
          </w:r>
          <w:r>
            <w:rPr>
              <w:color w:val="auto"/>
            </w:rPr>
            <w:fldChar w:fldCharType="separate"/>
          </w:r>
          <w:r>
            <w:rPr>
              <w:color w:val="auto"/>
            </w:rPr>
            <w:t>30</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_Toc16385 </w:instrText>
          </w:r>
          <w:r>
            <w:rPr>
              <w:color w:val="auto"/>
              <w:highlight w:val="none"/>
            </w:rPr>
            <w:fldChar w:fldCharType="separate"/>
          </w:r>
          <w:r>
            <w:rPr>
              <w:rFonts w:hint="default" w:ascii="仿宋" w:hAnsi="仿宋" w:eastAsia="仿宋" w:cs="仿宋"/>
              <w:color w:val="auto"/>
              <w:szCs w:val="20"/>
              <w:lang w:val="zh-CN"/>
            </w:rPr>
            <w:t xml:space="preserve">8. </w:t>
          </w:r>
          <w:r>
            <w:rPr>
              <w:rFonts w:hint="eastAsia" w:ascii="仿宋" w:hAnsi="仿宋" w:eastAsia="仿宋" w:cs="仿宋"/>
              <w:color w:val="auto"/>
              <w:szCs w:val="20"/>
              <w:highlight w:val="none"/>
              <w:lang w:val="zh-CN"/>
            </w:rPr>
            <w:t>采购文件的获取</w:t>
          </w:r>
          <w:r>
            <w:rPr>
              <w:color w:val="auto"/>
            </w:rPr>
            <w:tab/>
          </w:r>
          <w:r>
            <w:rPr>
              <w:color w:val="auto"/>
            </w:rPr>
            <w:fldChar w:fldCharType="begin"/>
          </w:r>
          <w:r>
            <w:rPr>
              <w:color w:val="auto"/>
            </w:rPr>
            <w:instrText xml:space="preserve"> PAGEREF _Toc16385 \h </w:instrText>
          </w:r>
          <w:r>
            <w:rPr>
              <w:color w:val="auto"/>
            </w:rPr>
            <w:fldChar w:fldCharType="separate"/>
          </w:r>
          <w:r>
            <w:rPr>
              <w:color w:val="auto"/>
            </w:rPr>
            <w:t>30</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_Toc5981 </w:instrText>
          </w:r>
          <w:r>
            <w:rPr>
              <w:color w:val="auto"/>
              <w:highlight w:val="none"/>
            </w:rPr>
            <w:fldChar w:fldCharType="separate"/>
          </w:r>
          <w:r>
            <w:rPr>
              <w:rFonts w:hint="default" w:ascii="仿宋" w:hAnsi="仿宋" w:eastAsia="仿宋" w:cs="仿宋"/>
              <w:color w:val="auto"/>
              <w:szCs w:val="20"/>
              <w:lang w:val="zh-CN"/>
            </w:rPr>
            <w:t xml:space="preserve">9. </w:t>
          </w:r>
          <w:r>
            <w:rPr>
              <w:rFonts w:hint="eastAsia" w:ascii="仿宋" w:hAnsi="仿宋" w:eastAsia="仿宋" w:cs="仿宋"/>
              <w:color w:val="auto"/>
              <w:szCs w:val="20"/>
              <w:highlight w:val="none"/>
              <w:lang w:val="zh-CN"/>
            </w:rPr>
            <w:t>磋商前答疑会或现场考察</w:t>
          </w:r>
          <w:r>
            <w:rPr>
              <w:color w:val="auto"/>
            </w:rPr>
            <w:tab/>
          </w:r>
          <w:r>
            <w:rPr>
              <w:color w:val="auto"/>
            </w:rPr>
            <w:fldChar w:fldCharType="begin"/>
          </w:r>
          <w:r>
            <w:rPr>
              <w:color w:val="auto"/>
            </w:rPr>
            <w:instrText xml:space="preserve"> PAGEREF _Toc5981 \h </w:instrText>
          </w:r>
          <w:r>
            <w:rPr>
              <w:color w:val="auto"/>
            </w:rPr>
            <w:fldChar w:fldCharType="separate"/>
          </w:r>
          <w:r>
            <w:rPr>
              <w:color w:val="auto"/>
            </w:rPr>
            <w:t>30</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_Toc1726 </w:instrText>
          </w:r>
          <w:r>
            <w:rPr>
              <w:color w:val="auto"/>
              <w:highlight w:val="none"/>
            </w:rPr>
            <w:fldChar w:fldCharType="separate"/>
          </w:r>
          <w:r>
            <w:rPr>
              <w:rFonts w:hint="default" w:ascii="仿宋" w:hAnsi="仿宋" w:eastAsia="仿宋" w:cs="仿宋"/>
              <w:color w:val="auto"/>
              <w:szCs w:val="20"/>
              <w:lang w:val="zh-CN"/>
            </w:rPr>
            <w:t xml:space="preserve">10. </w:t>
          </w:r>
          <w:r>
            <w:rPr>
              <w:rFonts w:hint="eastAsia" w:ascii="仿宋" w:hAnsi="仿宋" w:eastAsia="仿宋" w:cs="仿宋"/>
              <w:color w:val="auto"/>
              <w:szCs w:val="20"/>
              <w:highlight w:val="none"/>
              <w:lang w:val="zh-CN"/>
            </w:rPr>
            <w:t>磋商保证金</w:t>
          </w:r>
          <w:r>
            <w:rPr>
              <w:color w:val="auto"/>
            </w:rPr>
            <w:tab/>
          </w:r>
          <w:r>
            <w:rPr>
              <w:color w:val="auto"/>
            </w:rPr>
            <w:fldChar w:fldCharType="begin"/>
          </w:r>
          <w:r>
            <w:rPr>
              <w:color w:val="auto"/>
            </w:rPr>
            <w:instrText xml:space="preserve"> PAGEREF _Toc1726 \h </w:instrText>
          </w:r>
          <w:r>
            <w:rPr>
              <w:color w:val="auto"/>
            </w:rPr>
            <w:fldChar w:fldCharType="separate"/>
          </w:r>
          <w:r>
            <w:rPr>
              <w:color w:val="auto"/>
            </w:rPr>
            <w:t>31</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_Toc12976 </w:instrText>
          </w:r>
          <w:r>
            <w:rPr>
              <w:color w:val="auto"/>
              <w:highlight w:val="none"/>
            </w:rPr>
            <w:fldChar w:fldCharType="separate"/>
          </w:r>
          <w:r>
            <w:rPr>
              <w:rFonts w:hint="default" w:ascii="仿宋" w:hAnsi="仿宋" w:eastAsia="仿宋" w:cs="仿宋"/>
              <w:color w:val="auto"/>
              <w:szCs w:val="20"/>
              <w:lang w:val="zh-CN"/>
            </w:rPr>
            <w:t xml:space="preserve">11. </w:t>
          </w:r>
          <w:r>
            <w:rPr>
              <w:rFonts w:hint="eastAsia" w:ascii="仿宋" w:hAnsi="仿宋" w:eastAsia="仿宋" w:cs="仿宋"/>
              <w:color w:val="auto"/>
              <w:szCs w:val="20"/>
              <w:highlight w:val="none"/>
              <w:lang w:val="zh-CN"/>
            </w:rPr>
            <w:t>响应文件的语言</w:t>
          </w:r>
          <w:r>
            <w:rPr>
              <w:color w:val="auto"/>
            </w:rPr>
            <w:tab/>
          </w:r>
          <w:r>
            <w:rPr>
              <w:color w:val="auto"/>
            </w:rPr>
            <w:fldChar w:fldCharType="begin"/>
          </w:r>
          <w:r>
            <w:rPr>
              <w:color w:val="auto"/>
            </w:rPr>
            <w:instrText xml:space="preserve"> PAGEREF _Toc12976 \h </w:instrText>
          </w:r>
          <w:r>
            <w:rPr>
              <w:color w:val="auto"/>
            </w:rPr>
            <w:fldChar w:fldCharType="separate"/>
          </w:r>
          <w:r>
            <w:rPr>
              <w:color w:val="auto"/>
            </w:rPr>
            <w:t>31</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_Toc29004 </w:instrText>
          </w:r>
          <w:r>
            <w:rPr>
              <w:color w:val="auto"/>
              <w:highlight w:val="none"/>
            </w:rPr>
            <w:fldChar w:fldCharType="separate"/>
          </w:r>
          <w:r>
            <w:rPr>
              <w:rFonts w:hint="default" w:ascii="仿宋" w:hAnsi="仿宋" w:eastAsia="仿宋" w:cs="仿宋"/>
              <w:color w:val="auto"/>
              <w:szCs w:val="20"/>
              <w:lang w:val="zh-CN"/>
            </w:rPr>
            <w:t xml:space="preserve">12. </w:t>
          </w:r>
          <w:r>
            <w:rPr>
              <w:rFonts w:hint="eastAsia" w:ascii="仿宋" w:hAnsi="仿宋" w:eastAsia="仿宋" w:cs="仿宋"/>
              <w:color w:val="auto"/>
              <w:szCs w:val="20"/>
              <w:highlight w:val="none"/>
              <w:lang w:val="zh-CN"/>
            </w:rPr>
            <w:t>响应文件的组成</w:t>
          </w:r>
          <w:r>
            <w:rPr>
              <w:color w:val="auto"/>
            </w:rPr>
            <w:tab/>
          </w:r>
          <w:r>
            <w:rPr>
              <w:color w:val="auto"/>
            </w:rPr>
            <w:fldChar w:fldCharType="begin"/>
          </w:r>
          <w:r>
            <w:rPr>
              <w:color w:val="auto"/>
            </w:rPr>
            <w:instrText xml:space="preserve"> PAGEREF _Toc29004 \h </w:instrText>
          </w:r>
          <w:r>
            <w:rPr>
              <w:color w:val="auto"/>
            </w:rPr>
            <w:fldChar w:fldCharType="separate"/>
          </w:r>
          <w:r>
            <w:rPr>
              <w:color w:val="auto"/>
            </w:rPr>
            <w:t>31</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_Toc7183 </w:instrText>
          </w:r>
          <w:r>
            <w:rPr>
              <w:color w:val="auto"/>
              <w:highlight w:val="none"/>
            </w:rPr>
            <w:fldChar w:fldCharType="separate"/>
          </w:r>
          <w:r>
            <w:rPr>
              <w:rFonts w:hint="default" w:ascii="仿宋" w:hAnsi="仿宋" w:eastAsia="仿宋" w:cs="仿宋"/>
              <w:color w:val="auto"/>
              <w:szCs w:val="20"/>
              <w:lang w:val="zh-CN"/>
            </w:rPr>
            <w:t xml:space="preserve">13. </w:t>
          </w:r>
          <w:r>
            <w:rPr>
              <w:rFonts w:hint="eastAsia" w:ascii="仿宋" w:hAnsi="仿宋" w:eastAsia="仿宋" w:cs="仿宋"/>
              <w:color w:val="auto"/>
              <w:szCs w:val="20"/>
              <w:highlight w:val="none"/>
              <w:lang w:val="zh-CN"/>
            </w:rPr>
            <w:t>响应文件的编制</w:t>
          </w:r>
          <w:r>
            <w:rPr>
              <w:color w:val="auto"/>
            </w:rPr>
            <w:tab/>
          </w:r>
          <w:r>
            <w:rPr>
              <w:color w:val="auto"/>
            </w:rPr>
            <w:fldChar w:fldCharType="begin"/>
          </w:r>
          <w:r>
            <w:rPr>
              <w:color w:val="auto"/>
            </w:rPr>
            <w:instrText xml:space="preserve"> PAGEREF _Toc7183 \h </w:instrText>
          </w:r>
          <w:r>
            <w:rPr>
              <w:color w:val="auto"/>
            </w:rPr>
            <w:fldChar w:fldCharType="separate"/>
          </w:r>
          <w:r>
            <w:rPr>
              <w:color w:val="auto"/>
            </w:rPr>
            <w:t>31</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_Toc7727 </w:instrText>
          </w:r>
          <w:r>
            <w:rPr>
              <w:color w:val="auto"/>
              <w:highlight w:val="none"/>
            </w:rPr>
            <w:fldChar w:fldCharType="separate"/>
          </w:r>
          <w:r>
            <w:rPr>
              <w:rFonts w:hint="default" w:ascii="仿宋" w:hAnsi="仿宋" w:eastAsia="仿宋" w:cs="仿宋"/>
              <w:color w:val="auto"/>
              <w:szCs w:val="20"/>
              <w:lang w:val="zh-CN"/>
            </w:rPr>
            <w:t xml:space="preserve">14. </w:t>
          </w:r>
          <w:r>
            <w:rPr>
              <w:rFonts w:hint="eastAsia" w:ascii="仿宋" w:hAnsi="仿宋" w:eastAsia="仿宋" w:cs="仿宋"/>
              <w:color w:val="auto"/>
              <w:szCs w:val="20"/>
              <w:highlight w:val="none"/>
              <w:lang w:val="zh-CN"/>
            </w:rPr>
            <w:t>响应文件的签署、盖章</w:t>
          </w:r>
          <w:r>
            <w:rPr>
              <w:color w:val="auto"/>
            </w:rPr>
            <w:tab/>
          </w:r>
          <w:r>
            <w:rPr>
              <w:color w:val="auto"/>
            </w:rPr>
            <w:fldChar w:fldCharType="begin"/>
          </w:r>
          <w:r>
            <w:rPr>
              <w:color w:val="auto"/>
            </w:rPr>
            <w:instrText xml:space="preserve"> PAGEREF _Toc7727 \h </w:instrText>
          </w:r>
          <w:r>
            <w:rPr>
              <w:color w:val="auto"/>
            </w:rPr>
            <w:fldChar w:fldCharType="separate"/>
          </w:r>
          <w:r>
            <w:rPr>
              <w:color w:val="auto"/>
            </w:rPr>
            <w:t>31</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_Toc11782 </w:instrText>
          </w:r>
          <w:r>
            <w:rPr>
              <w:color w:val="auto"/>
              <w:highlight w:val="none"/>
            </w:rPr>
            <w:fldChar w:fldCharType="separate"/>
          </w:r>
          <w:r>
            <w:rPr>
              <w:rFonts w:hint="default" w:ascii="仿宋" w:hAnsi="仿宋" w:eastAsia="仿宋" w:cs="仿宋"/>
              <w:color w:val="auto"/>
              <w:szCs w:val="20"/>
              <w:lang w:val="zh-CN"/>
            </w:rPr>
            <w:t xml:space="preserve">15. </w:t>
          </w:r>
          <w:r>
            <w:rPr>
              <w:rFonts w:hint="eastAsia" w:ascii="仿宋" w:hAnsi="仿宋" w:eastAsia="仿宋" w:cs="仿宋"/>
              <w:color w:val="auto"/>
              <w:szCs w:val="20"/>
              <w:highlight w:val="none"/>
              <w:lang w:val="zh-CN"/>
            </w:rPr>
            <w:t>响应文件的提交、补充、修改、撤回</w:t>
          </w:r>
          <w:r>
            <w:rPr>
              <w:color w:val="auto"/>
            </w:rPr>
            <w:tab/>
          </w:r>
          <w:r>
            <w:rPr>
              <w:color w:val="auto"/>
            </w:rPr>
            <w:fldChar w:fldCharType="begin"/>
          </w:r>
          <w:r>
            <w:rPr>
              <w:color w:val="auto"/>
            </w:rPr>
            <w:instrText xml:space="preserve"> PAGEREF _Toc11782 \h </w:instrText>
          </w:r>
          <w:r>
            <w:rPr>
              <w:color w:val="auto"/>
            </w:rPr>
            <w:fldChar w:fldCharType="separate"/>
          </w:r>
          <w:r>
            <w:rPr>
              <w:color w:val="auto"/>
            </w:rPr>
            <w:t>32</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_Toc9103 </w:instrText>
          </w:r>
          <w:r>
            <w:rPr>
              <w:color w:val="auto"/>
              <w:highlight w:val="none"/>
            </w:rPr>
            <w:fldChar w:fldCharType="separate"/>
          </w:r>
          <w:r>
            <w:rPr>
              <w:rFonts w:hint="default" w:ascii="仿宋" w:hAnsi="仿宋" w:eastAsia="仿宋" w:cs="仿宋"/>
              <w:color w:val="auto"/>
              <w:szCs w:val="20"/>
              <w:lang w:val="zh-CN"/>
            </w:rPr>
            <w:t xml:space="preserve">16. </w:t>
          </w:r>
          <w:r>
            <w:rPr>
              <w:rFonts w:hint="eastAsia" w:ascii="仿宋" w:hAnsi="仿宋" w:eastAsia="仿宋" w:cs="仿宋"/>
              <w:color w:val="auto"/>
              <w:szCs w:val="20"/>
              <w:highlight w:val="none"/>
              <w:lang w:val="zh-CN"/>
            </w:rPr>
            <w:t>响应文件的无效处理</w:t>
          </w:r>
          <w:r>
            <w:rPr>
              <w:color w:val="auto"/>
            </w:rPr>
            <w:tab/>
          </w:r>
          <w:r>
            <w:rPr>
              <w:color w:val="auto"/>
            </w:rPr>
            <w:fldChar w:fldCharType="begin"/>
          </w:r>
          <w:r>
            <w:rPr>
              <w:color w:val="auto"/>
            </w:rPr>
            <w:instrText xml:space="preserve"> PAGEREF _Toc9103 \h </w:instrText>
          </w:r>
          <w:r>
            <w:rPr>
              <w:color w:val="auto"/>
            </w:rPr>
            <w:fldChar w:fldCharType="separate"/>
          </w:r>
          <w:r>
            <w:rPr>
              <w:color w:val="auto"/>
            </w:rPr>
            <w:t>32</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_Toc23737 </w:instrText>
          </w:r>
          <w:r>
            <w:rPr>
              <w:color w:val="auto"/>
              <w:highlight w:val="none"/>
            </w:rPr>
            <w:fldChar w:fldCharType="separate"/>
          </w:r>
          <w:r>
            <w:rPr>
              <w:rFonts w:hint="default" w:ascii="仿宋" w:hAnsi="仿宋" w:eastAsia="仿宋" w:cs="仿宋"/>
              <w:color w:val="auto"/>
              <w:szCs w:val="20"/>
              <w:lang w:val="zh-CN"/>
            </w:rPr>
            <w:t xml:space="preserve">17. </w:t>
          </w:r>
          <w:r>
            <w:rPr>
              <w:rFonts w:hint="eastAsia" w:ascii="仿宋" w:hAnsi="仿宋" w:eastAsia="仿宋" w:cs="仿宋"/>
              <w:color w:val="auto"/>
              <w:szCs w:val="20"/>
              <w:highlight w:val="none"/>
              <w:lang w:val="zh-CN"/>
            </w:rPr>
            <w:t>响应文件有效期</w:t>
          </w:r>
          <w:r>
            <w:rPr>
              <w:color w:val="auto"/>
            </w:rPr>
            <w:tab/>
          </w:r>
          <w:r>
            <w:rPr>
              <w:color w:val="auto"/>
            </w:rPr>
            <w:fldChar w:fldCharType="begin"/>
          </w:r>
          <w:r>
            <w:rPr>
              <w:color w:val="auto"/>
            </w:rPr>
            <w:instrText xml:space="preserve"> PAGEREF _Toc23737 \h </w:instrText>
          </w:r>
          <w:r>
            <w:rPr>
              <w:color w:val="auto"/>
            </w:rPr>
            <w:fldChar w:fldCharType="separate"/>
          </w:r>
          <w:r>
            <w:rPr>
              <w:color w:val="auto"/>
            </w:rPr>
            <w:t>32</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_Toc2325 </w:instrText>
          </w:r>
          <w:r>
            <w:rPr>
              <w:color w:val="auto"/>
              <w:highlight w:val="none"/>
            </w:rPr>
            <w:fldChar w:fldCharType="separate"/>
          </w:r>
          <w:r>
            <w:rPr>
              <w:rFonts w:hint="eastAsia" w:ascii="仿宋" w:hAnsi="仿宋" w:eastAsia="仿宋" w:cs="仿宋"/>
              <w:bCs/>
              <w:color w:val="auto"/>
              <w:kern w:val="2"/>
              <w:szCs w:val="30"/>
              <w:lang w:val="en-US"/>
            </w:rPr>
            <w:t xml:space="preserve">四、 </w:t>
          </w:r>
          <w:r>
            <w:rPr>
              <w:rFonts w:hint="eastAsia" w:ascii="仿宋" w:hAnsi="仿宋" w:eastAsia="仿宋" w:cs="仿宋"/>
              <w:bCs/>
              <w:color w:val="auto"/>
              <w:kern w:val="2"/>
              <w:szCs w:val="30"/>
              <w:highlight w:val="none"/>
              <w:lang w:val="en-US"/>
            </w:rPr>
            <w:t>响应文件开启、资格审查与信用信息查询</w:t>
          </w:r>
          <w:r>
            <w:rPr>
              <w:color w:val="auto"/>
            </w:rPr>
            <w:tab/>
          </w:r>
          <w:r>
            <w:rPr>
              <w:color w:val="auto"/>
            </w:rPr>
            <w:fldChar w:fldCharType="begin"/>
          </w:r>
          <w:r>
            <w:rPr>
              <w:color w:val="auto"/>
            </w:rPr>
            <w:instrText xml:space="preserve"> PAGEREF _Toc2325 \h </w:instrText>
          </w:r>
          <w:r>
            <w:rPr>
              <w:color w:val="auto"/>
            </w:rPr>
            <w:fldChar w:fldCharType="separate"/>
          </w:r>
          <w:r>
            <w:rPr>
              <w:color w:val="auto"/>
            </w:rPr>
            <w:t>33</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_Toc19687 </w:instrText>
          </w:r>
          <w:r>
            <w:rPr>
              <w:color w:val="auto"/>
              <w:highlight w:val="none"/>
            </w:rPr>
            <w:fldChar w:fldCharType="separate"/>
          </w:r>
          <w:r>
            <w:rPr>
              <w:rFonts w:hint="default" w:ascii="仿宋" w:hAnsi="仿宋" w:eastAsia="仿宋" w:cs="仿宋"/>
              <w:color w:val="auto"/>
              <w:szCs w:val="20"/>
              <w:lang w:val="zh-CN"/>
            </w:rPr>
            <w:t xml:space="preserve">18. </w:t>
          </w:r>
          <w:r>
            <w:rPr>
              <w:rFonts w:hint="eastAsia" w:ascii="仿宋" w:hAnsi="仿宋" w:eastAsia="仿宋" w:cs="仿宋"/>
              <w:color w:val="auto"/>
              <w:szCs w:val="20"/>
              <w:highlight w:val="none"/>
              <w:lang w:val="zh-CN"/>
            </w:rPr>
            <w:t>响应文件开启</w:t>
          </w:r>
          <w:r>
            <w:rPr>
              <w:color w:val="auto"/>
            </w:rPr>
            <w:tab/>
          </w:r>
          <w:r>
            <w:rPr>
              <w:color w:val="auto"/>
            </w:rPr>
            <w:fldChar w:fldCharType="begin"/>
          </w:r>
          <w:r>
            <w:rPr>
              <w:color w:val="auto"/>
            </w:rPr>
            <w:instrText xml:space="preserve"> PAGEREF _Toc19687 \h </w:instrText>
          </w:r>
          <w:r>
            <w:rPr>
              <w:color w:val="auto"/>
            </w:rPr>
            <w:fldChar w:fldCharType="separate"/>
          </w:r>
          <w:r>
            <w:rPr>
              <w:color w:val="auto"/>
            </w:rPr>
            <w:t>33</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_Toc30068 </w:instrText>
          </w:r>
          <w:r>
            <w:rPr>
              <w:color w:val="auto"/>
              <w:highlight w:val="none"/>
            </w:rPr>
            <w:fldChar w:fldCharType="separate"/>
          </w:r>
          <w:r>
            <w:rPr>
              <w:rFonts w:hint="default" w:ascii="仿宋" w:hAnsi="仿宋" w:eastAsia="仿宋" w:cs="仿宋"/>
              <w:color w:val="auto"/>
              <w:szCs w:val="20"/>
              <w:lang w:val="zh-CN"/>
            </w:rPr>
            <w:t xml:space="preserve">19. </w:t>
          </w:r>
          <w:r>
            <w:rPr>
              <w:rFonts w:hint="eastAsia" w:ascii="仿宋" w:hAnsi="仿宋" w:eastAsia="仿宋" w:cs="仿宋"/>
              <w:color w:val="auto"/>
              <w:szCs w:val="20"/>
              <w:highlight w:val="none"/>
              <w:lang w:val="zh-CN"/>
            </w:rPr>
            <w:t>资格审查</w:t>
          </w:r>
          <w:r>
            <w:rPr>
              <w:color w:val="auto"/>
            </w:rPr>
            <w:tab/>
          </w:r>
          <w:r>
            <w:rPr>
              <w:color w:val="auto"/>
            </w:rPr>
            <w:fldChar w:fldCharType="begin"/>
          </w:r>
          <w:r>
            <w:rPr>
              <w:color w:val="auto"/>
            </w:rPr>
            <w:instrText xml:space="preserve"> PAGEREF _Toc30068 \h </w:instrText>
          </w:r>
          <w:r>
            <w:rPr>
              <w:color w:val="auto"/>
            </w:rPr>
            <w:fldChar w:fldCharType="separate"/>
          </w:r>
          <w:r>
            <w:rPr>
              <w:color w:val="auto"/>
            </w:rPr>
            <w:t>33</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_Toc29616 </w:instrText>
          </w:r>
          <w:r>
            <w:rPr>
              <w:color w:val="auto"/>
              <w:highlight w:val="none"/>
            </w:rPr>
            <w:fldChar w:fldCharType="separate"/>
          </w:r>
          <w:r>
            <w:rPr>
              <w:rFonts w:hint="default" w:ascii="仿宋" w:hAnsi="仿宋" w:eastAsia="仿宋" w:cs="仿宋"/>
              <w:color w:val="auto"/>
              <w:szCs w:val="20"/>
              <w:lang w:val="zh-CN"/>
            </w:rPr>
            <w:t xml:space="preserve">20. </w:t>
          </w:r>
          <w:r>
            <w:rPr>
              <w:rFonts w:hint="eastAsia" w:ascii="仿宋" w:hAnsi="仿宋" w:eastAsia="仿宋" w:cs="仿宋"/>
              <w:color w:val="auto"/>
              <w:szCs w:val="20"/>
              <w:highlight w:val="none"/>
              <w:lang w:val="zh-CN"/>
            </w:rPr>
            <w:t>信用信息查询</w:t>
          </w:r>
          <w:r>
            <w:rPr>
              <w:color w:val="auto"/>
            </w:rPr>
            <w:tab/>
          </w:r>
          <w:r>
            <w:rPr>
              <w:color w:val="auto"/>
            </w:rPr>
            <w:fldChar w:fldCharType="begin"/>
          </w:r>
          <w:r>
            <w:rPr>
              <w:color w:val="auto"/>
            </w:rPr>
            <w:instrText xml:space="preserve"> PAGEREF _Toc29616 \h </w:instrText>
          </w:r>
          <w:r>
            <w:rPr>
              <w:color w:val="auto"/>
            </w:rPr>
            <w:fldChar w:fldCharType="separate"/>
          </w:r>
          <w:r>
            <w:rPr>
              <w:color w:val="auto"/>
            </w:rPr>
            <w:t>35</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_Toc21891 </w:instrText>
          </w:r>
          <w:r>
            <w:rPr>
              <w:color w:val="auto"/>
              <w:highlight w:val="none"/>
            </w:rPr>
            <w:fldChar w:fldCharType="separate"/>
          </w:r>
          <w:r>
            <w:rPr>
              <w:rFonts w:hint="eastAsia" w:ascii="仿宋" w:hAnsi="仿宋" w:eastAsia="仿宋" w:cs="仿宋"/>
              <w:bCs/>
              <w:color w:val="auto"/>
              <w:kern w:val="2"/>
              <w:szCs w:val="30"/>
              <w:lang w:val="en-US"/>
            </w:rPr>
            <w:t xml:space="preserve">五、 </w:t>
          </w:r>
          <w:r>
            <w:rPr>
              <w:rFonts w:hint="eastAsia" w:ascii="仿宋" w:hAnsi="仿宋" w:eastAsia="仿宋" w:cs="仿宋"/>
              <w:bCs/>
              <w:color w:val="auto"/>
              <w:kern w:val="2"/>
              <w:szCs w:val="30"/>
              <w:highlight w:val="none"/>
              <w:lang w:val="en-US"/>
            </w:rPr>
            <w:t>评审</w:t>
          </w:r>
          <w:r>
            <w:rPr>
              <w:color w:val="auto"/>
            </w:rPr>
            <w:tab/>
          </w:r>
          <w:r>
            <w:rPr>
              <w:color w:val="auto"/>
            </w:rPr>
            <w:fldChar w:fldCharType="begin"/>
          </w:r>
          <w:r>
            <w:rPr>
              <w:color w:val="auto"/>
            </w:rPr>
            <w:instrText xml:space="preserve"> PAGEREF _Toc21891 \h </w:instrText>
          </w:r>
          <w:r>
            <w:rPr>
              <w:color w:val="auto"/>
            </w:rPr>
            <w:fldChar w:fldCharType="separate"/>
          </w:r>
          <w:r>
            <w:rPr>
              <w:color w:val="auto"/>
            </w:rPr>
            <w:t>35</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_Toc3560 </w:instrText>
          </w:r>
          <w:r>
            <w:rPr>
              <w:color w:val="auto"/>
              <w:highlight w:val="none"/>
            </w:rPr>
            <w:fldChar w:fldCharType="separate"/>
          </w:r>
          <w:r>
            <w:rPr>
              <w:rFonts w:hint="default" w:ascii="仿宋" w:hAnsi="仿宋" w:eastAsia="仿宋" w:cs="仿宋"/>
              <w:color w:val="auto"/>
              <w:szCs w:val="20"/>
              <w:lang w:val="zh-CN"/>
            </w:rPr>
            <w:t xml:space="preserve">21. </w:t>
          </w:r>
          <w:r>
            <w:rPr>
              <w:rFonts w:hint="eastAsia" w:ascii="仿宋" w:hAnsi="仿宋" w:eastAsia="仿宋" w:cs="仿宋"/>
              <w:color w:val="auto"/>
              <w:szCs w:val="20"/>
              <w:highlight w:val="none"/>
              <w:lang w:val="zh-CN"/>
            </w:rPr>
            <w:t>评审办法</w:t>
          </w:r>
          <w:r>
            <w:rPr>
              <w:color w:val="auto"/>
            </w:rPr>
            <w:tab/>
          </w:r>
          <w:r>
            <w:rPr>
              <w:color w:val="auto"/>
            </w:rPr>
            <w:fldChar w:fldCharType="begin"/>
          </w:r>
          <w:r>
            <w:rPr>
              <w:color w:val="auto"/>
            </w:rPr>
            <w:instrText xml:space="preserve"> PAGEREF _Toc3560 \h </w:instrText>
          </w:r>
          <w:r>
            <w:rPr>
              <w:color w:val="auto"/>
            </w:rPr>
            <w:fldChar w:fldCharType="separate"/>
          </w:r>
          <w:r>
            <w:rPr>
              <w:color w:val="auto"/>
            </w:rPr>
            <w:t>35</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_Toc12494 </w:instrText>
          </w:r>
          <w:r>
            <w:rPr>
              <w:color w:val="auto"/>
              <w:highlight w:val="none"/>
            </w:rPr>
            <w:fldChar w:fldCharType="separate"/>
          </w:r>
          <w:r>
            <w:rPr>
              <w:rFonts w:hint="eastAsia" w:ascii="仿宋" w:hAnsi="仿宋" w:eastAsia="仿宋" w:cs="仿宋"/>
              <w:bCs/>
              <w:color w:val="auto"/>
              <w:kern w:val="2"/>
              <w:szCs w:val="30"/>
              <w:lang w:val="en-US"/>
            </w:rPr>
            <w:t xml:space="preserve">六、 </w:t>
          </w:r>
          <w:r>
            <w:rPr>
              <w:rFonts w:hint="eastAsia" w:ascii="仿宋" w:hAnsi="仿宋" w:eastAsia="仿宋" w:cs="仿宋"/>
              <w:bCs/>
              <w:color w:val="auto"/>
              <w:kern w:val="2"/>
              <w:szCs w:val="30"/>
              <w:highlight w:val="none"/>
              <w:lang w:val="en-US"/>
            </w:rPr>
            <w:t>成交供应商确定</w:t>
          </w:r>
          <w:r>
            <w:rPr>
              <w:color w:val="auto"/>
            </w:rPr>
            <w:tab/>
          </w:r>
          <w:r>
            <w:rPr>
              <w:color w:val="auto"/>
            </w:rPr>
            <w:fldChar w:fldCharType="begin"/>
          </w:r>
          <w:r>
            <w:rPr>
              <w:color w:val="auto"/>
            </w:rPr>
            <w:instrText xml:space="preserve"> PAGEREF _Toc12494 \h </w:instrText>
          </w:r>
          <w:r>
            <w:rPr>
              <w:color w:val="auto"/>
            </w:rPr>
            <w:fldChar w:fldCharType="separate"/>
          </w:r>
          <w:r>
            <w:rPr>
              <w:color w:val="auto"/>
            </w:rPr>
            <w:t>35</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_Toc29384 </w:instrText>
          </w:r>
          <w:r>
            <w:rPr>
              <w:color w:val="auto"/>
              <w:highlight w:val="none"/>
            </w:rPr>
            <w:fldChar w:fldCharType="separate"/>
          </w:r>
          <w:r>
            <w:rPr>
              <w:rFonts w:hint="default" w:ascii="仿宋" w:hAnsi="仿宋" w:eastAsia="仿宋" w:cs="仿宋"/>
              <w:color w:val="auto"/>
              <w:szCs w:val="20"/>
              <w:lang w:val="zh-CN"/>
            </w:rPr>
            <w:t xml:space="preserve">22. </w:t>
          </w:r>
          <w:r>
            <w:rPr>
              <w:rFonts w:hint="eastAsia" w:ascii="仿宋" w:hAnsi="仿宋" w:eastAsia="仿宋" w:cs="仿宋"/>
              <w:color w:val="auto"/>
              <w:szCs w:val="20"/>
              <w:highlight w:val="none"/>
              <w:lang w:val="zh-CN"/>
            </w:rPr>
            <w:t>确定成交供应商</w:t>
          </w:r>
          <w:r>
            <w:rPr>
              <w:color w:val="auto"/>
            </w:rPr>
            <w:tab/>
          </w:r>
          <w:r>
            <w:rPr>
              <w:color w:val="auto"/>
            </w:rPr>
            <w:fldChar w:fldCharType="begin"/>
          </w:r>
          <w:r>
            <w:rPr>
              <w:color w:val="auto"/>
            </w:rPr>
            <w:instrText xml:space="preserve"> PAGEREF _Toc29384 \h </w:instrText>
          </w:r>
          <w:r>
            <w:rPr>
              <w:color w:val="auto"/>
            </w:rPr>
            <w:fldChar w:fldCharType="separate"/>
          </w:r>
          <w:r>
            <w:rPr>
              <w:color w:val="auto"/>
            </w:rPr>
            <w:t>35</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_Toc16393 </w:instrText>
          </w:r>
          <w:r>
            <w:rPr>
              <w:color w:val="auto"/>
              <w:highlight w:val="none"/>
            </w:rPr>
            <w:fldChar w:fldCharType="separate"/>
          </w:r>
          <w:r>
            <w:rPr>
              <w:rFonts w:hint="default" w:ascii="仿宋" w:hAnsi="仿宋" w:eastAsia="仿宋" w:cs="仿宋"/>
              <w:color w:val="auto"/>
              <w:szCs w:val="20"/>
              <w:lang w:val="zh-CN"/>
            </w:rPr>
            <w:t xml:space="preserve">23. </w:t>
          </w:r>
          <w:r>
            <w:rPr>
              <w:rFonts w:hint="eastAsia" w:ascii="仿宋" w:hAnsi="仿宋" w:eastAsia="仿宋" w:cs="仿宋"/>
              <w:color w:val="auto"/>
              <w:szCs w:val="20"/>
              <w:highlight w:val="none"/>
              <w:lang w:val="zh-CN"/>
            </w:rPr>
            <w:t>成交通知与成交结果公告</w:t>
          </w:r>
          <w:r>
            <w:rPr>
              <w:color w:val="auto"/>
            </w:rPr>
            <w:tab/>
          </w:r>
          <w:r>
            <w:rPr>
              <w:color w:val="auto"/>
            </w:rPr>
            <w:fldChar w:fldCharType="begin"/>
          </w:r>
          <w:r>
            <w:rPr>
              <w:color w:val="auto"/>
            </w:rPr>
            <w:instrText xml:space="preserve"> PAGEREF _Toc16393 \h </w:instrText>
          </w:r>
          <w:r>
            <w:rPr>
              <w:color w:val="auto"/>
            </w:rPr>
            <w:fldChar w:fldCharType="separate"/>
          </w:r>
          <w:r>
            <w:rPr>
              <w:color w:val="auto"/>
            </w:rPr>
            <w:t>36</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_Toc9513 </w:instrText>
          </w:r>
          <w:r>
            <w:rPr>
              <w:color w:val="auto"/>
              <w:highlight w:val="none"/>
            </w:rPr>
            <w:fldChar w:fldCharType="separate"/>
          </w:r>
          <w:r>
            <w:rPr>
              <w:rFonts w:hint="eastAsia" w:ascii="仿宋" w:hAnsi="仿宋" w:eastAsia="仿宋" w:cs="仿宋"/>
              <w:bCs/>
              <w:color w:val="auto"/>
              <w:kern w:val="2"/>
              <w:szCs w:val="30"/>
              <w:lang w:val="en-US"/>
            </w:rPr>
            <w:t xml:space="preserve">七、 </w:t>
          </w:r>
          <w:r>
            <w:rPr>
              <w:rFonts w:hint="eastAsia" w:ascii="仿宋" w:hAnsi="仿宋" w:eastAsia="仿宋" w:cs="仿宋"/>
              <w:bCs/>
              <w:color w:val="auto"/>
              <w:kern w:val="2"/>
              <w:szCs w:val="30"/>
              <w:highlight w:val="none"/>
              <w:lang w:val="en-US"/>
            </w:rPr>
            <w:t>合同授予</w:t>
          </w:r>
          <w:r>
            <w:rPr>
              <w:color w:val="auto"/>
            </w:rPr>
            <w:tab/>
          </w:r>
          <w:r>
            <w:rPr>
              <w:color w:val="auto"/>
            </w:rPr>
            <w:fldChar w:fldCharType="begin"/>
          </w:r>
          <w:r>
            <w:rPr>
              <w:color w:val="auto"/>
            </w:rPr>
            <w:instrText xml:space="preserve"> PAGEREF _Toc9513 \h </w:instrText>
          </w:r>
          <w:r>
            <w:rPr>
              <w:color w:val="auto"/>
            </w:rPr>
            <w:fldChar w:fldCharType="separate"/>
          </w:r>
          <w:r>
            <w:rPr>
              <w:color w:val="auto"/>
            </w:rPr>
            <w:t>36</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_Toc15311 </w:instrText>
          </w:r>
          <w:r>
            <w:rPr>
              <w:color w:val="auto"/>
              <w:highlight w:val="none"/>
            </w:rPr>
            <w:fldChar w:fldCharType="separate"/>
          </w:r>
          <w:r>
            <w:rPr>
              <w:rFonts w:hint="default" w:ascii="仿宋" w:hAnsi="仿宋" w:eastAsia="仿宋" w:cs="仿宋"/>
              <w:color w:val="auto"/>
              <w:szCs w:val="20"/>
              <w:lang w:val="zh-CN"/>
            </w:rPr>
            <w:t xml:space="preserve">24. </w:t>
          </w:r>
          <w:r>
            <w:rPr>
              <w:rFonts w:hint="eastAsia" w:ascii="仿宋" w:hAnsi="仿宋" w:eastAsia="仿宋" w:cs="仿宋"/>
              <w:color w:val="auto"/>
              <w:szCs w:val="20"/>
              <w:highlight w:val="none"/>
              <w:lang w:val="zh-CN"/>
            </w:rPr>
            <w:t>合同的签订</w:t>
          </w:r>
          <w:r>
            <w:rPr>
              <w:color w:val="auto"/>
            </w:rPr>
            <w:tab/>
          </w:r>
          <w:r>
            <w:rPr>
              <w:color w:val="auto"/>
            </w:rPr>
            <w:fldChar w:fldCharType="begin"/>
          </w:r>
          <w:r>
            <w:rPr>
              <w:color w:val="auto"/>
            </w:rPr>
            <w:instrText xml:space="preserve"> PAGEREF _Toc15311 \h </w:instrText>
          </w:r>
          <w:r>
            <w:rPr>
              <w:color w:val="auto"/>
            </w:rPr>
            <w:fldChar w:fldCharType="separate"/>
          </w:r>
          <w:r>
            <w:rPr>
              <w:color w:val="auto"/>
            </w:rPr>
            <w:t>36</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_Toc24508 </w:instrText>
          </w:r>
          <w:r>
            <w:rPr>
              <w:color w:val="auto"/>
              <w:highlight w:val="none"/>
            </w:rPr>
            <w:fldChar w:fldCharType="separate"/>
          </w:r>
          <w:r>
            <w:rPr>
              <w:rFonts w:hint="default" w:ascii="仿宋" w:hAnsi="仿宋" w:eastAsia="仿宋" w:cs="仿宋"/>
              <w:color w:val="auto"/>
              <w:szCs w:val="20"/>
              <w:lang w:val="zh-CN"/>
            </w:rPr>
            <w:t xml:space="preserve">25. </w:t>
          </w:r>
          <w:r>
            <w:rPr>
              <w:rFonts w:hint="eastAsia" w:ascii="仿宋" w:hAnsi="仿宋" w:eastAsia="仿宋" w:cs="仿宋"/>
              <w:color w:val="auto"/>
              <w:szCs w:val="20"/>
              <w:highlight w:val="none"/>
              <w:lang w:val="zh-CN"/>
            </w:rPr>
            <w:t>履约保证金</w:t>
          </w:r>
          <w:r>
            <w:rPr>
              <w:color w:val="auto"/>
            </w:rPr>
            <w:tab/>
          </w:r>
          <w:r>
            <w:rPr>
              <w:color w:val="auto"/>
            </w:rPr>
            <w:fldChar w:fldCharType="begin"/>
          </w:r>
          <w:r>
            <w:rPr>
              <w:color w:val="auto"/>
            </w:rPr>
            <w:instrText xml:space="preserve"> PAGEREF _Toc24508 \h </w:instrText>
          </w:r>
          <w:r>
            <w:rPr>
              <w:color w:val="auto"/>
            </w:rPr>
            <w:fldChar w:fldCharType="separate"/>
          </w:r>
          <w:r>
            <w:rPr>
              <w:color w:val="auto"/>
            </w:rPr>
            <w:t>37</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_Toc20105 </w:instrText>
          </w:r>
          <w:r>
            <w:rPr>
              <w:color w:val="auto"/>
              <w:highlight w:val="none"/>
            </w:rPr>
            <w:fldChar w:fldCharType="separate"/>
          </w:r>
          <w:r>
            <w:rPr>
              <w:rFonts w:hint="default" w:ascii="仿宋" w:hAnsi="仿宋" w:eastAsia="仿宋" w:cs="仿宋"/>
              <w:color w:val="auto"/>
              <w:szCs w:val="20"/>
              <w:lang w:val="zh-CN"/>
            </w:rPr>
            <w:t xml:space="preserve">26. </w:t>
          </w:r>
          <w:r>
            <w:rPr>
              <w:rFonts w:hint="eastAsia" w:ascii="仿宋" w:hAnsi="仿宋" w:eastAsia="仿宋" w:cs="仿宋"/>
              <w:color w:val="auto"/>
              <w:szCs w:val="20"/>
              <w:highlight w:val="none"/>
            </w:rPr>
            <w:t>预付款</w:t>
          </w:r>
          <w:r>
            <w:rPr>
              <w:color w:val="auto"/>
            </w:rPr>
            <w:tab/>
          </w:r>
          <w:r>
            <w:rPr>
              <w:color w:val="auto"/>
            </w:rPr>
            <w:fldChar w:fldCharType="begin"/>
          </w:r>
          <w:r>
            <w:rPr>
              <w:color w:val="auto"/>
            </w:rPr>
            <w:instrText xml:space="preserve"> PAGEREF _Toc20105 \h </w:instrText>
          </w:r>
          <w:r>
            <w:rPr>
              <w:color w:val="auto"/>
            </w:rPr>
            <w:fldChar w:fldCharType="separate"/>
          </w:r>
          <w:r>
            <w:rPr>
              <w:color w:val="auto"/>
            </w:rPr>
            <w:t>38</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_Toc31704 </w:instrText>
          </w:r>
          <w:r>
            <w:rPr>
              <w:color w:val="auto"/>
              <w:highlight w:val="none"/>
            </w:rPr>
            <w:fldChar w:fldCharType="separate"/>
          </w:r>
          <w:r>
            <w:rPr>
              <w:rFonts w:hint="eastAsia" w:ascii="仿宋" w:hAnsi="仿宋" w:eastAsia="仿宋" w:cs="仿宋"/>
              <w:bCs/>
              <w:color w:val="auto"/>
              <w:kern w:val="2"/>
              <w:szCs w:val="30"/>
              <w:lang w:val="en-US"/>
            </w:rPr>
            <w:t xml:space="preserve">八、 </w:t>
          </w:r>
          <w:r>
            <w:rPr>
              <w:rFonts w:hint="eastAsia" w:ascii="仿宋" w:hAnsi="仿宋" w:eastAsia="仿宋" w:cs="仿宋"/>
              <w:bCs/>
              <w:color w:val="auto"/>
              <w:kern w:val="2"/>
              <w:szCs w:val="30"/>
              <w:highlight w:val="none"/>
              <w:lang w:val="en-US"/>
            </w:rPr>
            <w:t>电子交易活动的中止</w:t>
          </w:r>
          <w:r>
            <w:rPr>
              <w:color w:val="auto"/>
            </w:rPr>
            <w:tab/>
          </w:r>
          <w:r>
            <w:rPr>
              <w:color w:val="auto"/>
            </w:rPr>
            <w:fldChar w:fldCharType="begin"/>
          </w:r>
          <w:r>
            <w:rPr>
              <w:color w:val="auto"/>
            </w:rPr>
            <w:instrText xml:space="preserve"> PAGEREF _Toc31704 \h </w:instrText>
          </w:r>
          <w:r>
            <w:rPr>
              <w:color w:val="auto"/>
            </w:rPr>
            <w:fldChar w:fldCharType="separate"/>
          </w:r>
          <w:r>
            <w:rPr>
              <w:color w:val="auto"/>
            </w:rPr>
            <w:t>38</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_Toc10875 </w:instrText>
          </w:r>
          <w:r>
            <w:rPr>
              <w:color w:val="auto"/>
              <w:highlight w:val="none"/>
            </w:rPr>
            <w:fldChar w:fldCharType="separate"/>
          </w:r>
          <w:r>
            <w:rPr>
              <w:rFonts w:hint="default" w:ascii="仿宋" w:hAnsi="仿宋" w:eastAsia="仿宋" w:cs="仿宋"/>
              <w:color w:val="auto"/>
              <w:szCs w:val="20"/>
            </w:rPr>
            <w:t xml:space="preserve">27. </w:t>
          </w:r>
          <w:r>
            <w:rPr>
              <w:rFonts w:hint="eastAsia" w:ascii="仿宋" w:hAnsi="仿宋" w:eastAsia="仿宋" w:cs="仿宋"/>
              <w:color w:val="auto"/>
              <w:szCs w:val="20"/>
              <w:highlight w:val="none"/>
            </w:rPr>
            <w:t>电子交易活动的中止</w:t>
          </w:r>
          <w:r>
            <w:rPr>
              <w:color w:val="auto"/>
            </w:rPr>
            <w:tab/>
          </w:r>
          <w:r>
            <w:rPr>
              <w:color w:val="auto"/>
            </w:rPr>
            <w:fldChar w:fldCharType="begin"/>
          </w:r>
          <w:r>
            <w:rPr>
              <w:color w:val="auto"/>
            </w:rPr>
            <w:instrText xml:space="preserve"> PAGEREF _Toc10875 \h </w:instrText>
          </w:r>
          <w:r>
            <w:rPr>
              <w:color w:val="auto"/>
            </w:rPr>
            <w:fldChar w:fldCharType="separate"/>
          </w:r>
          <w:r>
            <w:rPr>
              <w:color w:val="auto"/>
            </w:rPr>
            <w:t>38</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_Toc20432 </w:instrText>
          </w:r>
          <w:r>
            <w:rPr>
              <w:color w:val="auto"/>
              <w:highlight w:val="none"/>
            </w:rPr>
            <w:fldChar w:fldCharType="separate"/>
          </w:r>
          <w:r>
            <w:rPr>
              <w:rFonts w:hint="eastAsia" w:ascii="仿宋" w:hAnsi="仿宋" w:eastAsia="仿宋" w:cs="仿宋"/>
              <w:bCs/>
              <w:color w:val="auto"/>
              <w:kern w:val="2"/>
              <w:szCs w:val="30"/>
              <w:lang w:val="en-US"/>
            </w:rPr>
            <w:t xml:space="preserve">九、 </w:t>
          </w:r>
          <w:r>
            <w:rPr>
              <w:rFonts w:hint="eastAsia" w:ascii="仿宋" w:hAnsi="仿宋" w:eastAsia="仿宋" w:cs="仿宋"/>
              <w:bCs/>
              <w:color w:val="auto"/>
              <w:kern w:val="2"/>
              <w:szCs w:val="30"/>
              <w:highlight w:val="none"/>
              <w:lang w:val="en-US"/>
            </w:rPr>
            <w:t>验收</w:t>
          </w:r>
          <w:r>
            <w:rPr>
              <w:color w:val="auto"/>
            </w:rPr>
            <w:tab/>
          </w:r>
          <w:r>
            <w:rPr>
              <w:color w:val="auto"/>
            </w:rPr>
            <w:fldChar w:fldCharType="begin"/>
          </w:r>
          <w:r>
            <w:rPr>
              <w:color w:val="auto"/>
            </w:rPr>
            <w:instrText xml:space="preserve"> PAGEREF _Toc20432 \h </w:instrText>
          </w:r>
          <w:r>
            <w:rPr>
              <w:color w:val="auto"/>
            </w:rPr>
            <w:fldChar w:fldCharType="separate"/>
          </w:r>
          <w:r>
            <w:rPr>
              <w:color w:val="auto"/>
            </w:rPr>
            <w:t>39</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_Toc3398 </w:instrText>
          </w:r>
          <w:r>
            <w:rPr>
              <w:color w:val="auto"/>
              <w:highlight w:val="none"/>
            </w:rPr>
            <w:fldChar w:fldCharType="separate"/>
          </w:r>
          <w:r>
            <w:rPr>
              <w:rFonts w:hint="default" w:ascii="仿宋" w:hAnsi="仿宋" w:eastAsia="仿宋" w:cs="仿宋"/>
              <w:color w:val="auto"/>
              <w:szCs w:val="20"/>
            </w:rPr>
            <w:t xml:space="preserve">28. </w:t>
          </w:r>
          <w:r>
            <w:rPr>
              <w:rFonts w:hint="eastAsia" w:ascii="仿宋" w:hAnsi="仿宋" w:eastAsia="仿宋" w:cs="仿宋"/>
              <w:color w:val="auto"/>
              <w:szCs w:val="20"/>
              <w:highlight w:val="none"/>
            </w:rPr>
            <w:t>验收</w:t>
          </w:r>
          <w:r>
            <w:rPr>
              <w:color w:val="auto"/>
            </w:rPr>
            <w:tab/>
          </w:r>
          <w:r>
            <w:rPr>
              <w:color w:val="auto"/>
            </w:rPr>
            <w:fldChar w:fldCharType="begin"/>
          </w:r>
          <w:r>
            <w:rPr>
              <w:color w:val="auto"/>
            </w:rPr>
            <w:instrText xml:space="preserve"> PAGEREF _Toc3398 \h </w:instrText>
          </w:r>
          <w:r>
            <w:rPr>
              <w:color w:val="auto"/>
            </w:rPr>
            <w:fldChar w:fldCharType="separate"/>
          </w:r>
          <w:r>
            <w:rPr>
              <w:color w:val="auto"/>
            </w:rPr>
            <w:t>39</w:t>
          </w:r>
          <w:r>
            <w:rPr>
              <w:color w:val="auto"/>
            </w:rPr>
            <w:fldChar w:fldCharType="end"/>
          </w:r>
          <w:r>
            <w:rPr>
              <w:color w:val="auto"/>
              <w:highlight w:val="none"/>
            </w:rPr>
            <w:fldChar w:fldCharType="end"/>
          </w:r>
        </w:p>
        <w:p>
          <w:pPr>
            <w:pStyle w:val="4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_Toc18678 </w:instrText>
          </w:r>
          <w:r>
            <w:rPr>
              <w:color w:val="auto"/>
              <w:highlight w:val="none"/>
            </w:rPr>
            <w:fldChar w:fldCharType="separate"/>
          </w:r>
          <w:r>
            <w:rPr>
              <w:rFonts w:hint="eastAsia" w:ascii="仿宋" w:hAnsi="仿宋" w:eastAsia="仿宋" w:cs="仿宋"/>
              <w:color w:val="auto"/>
              <w:szCs w:val="36"/>
              <w:highlight w:val="none"/>
            </w:rPr>
            <w:t>第五部分  合同格式</w:t>
          </w:r>
          <w:r>
            <w:rPr>
              <w:color w:val="auto"/>
            </w:rPr>
            <w:tab/>
          </w:r>
          <w:r>
            <w:rPr>
              <w:color w:val="auto"/>
            </w:rPr>
            <w:fldChar w:fldCharType="begin"/>
          </w:r>
          <w:r>
            <w:rPr>
              <w:color w:val="auto"/>
            </w:rPr>
            <w:instrText xml:space="preserve"> PAGEREF _Toc18678 \h </w:instrText>
          </w:r>
          <w:r>
            <w:rPr>
              <w:color w:val="auto"/>
            </w:rPr>
            <w:fldChar w:fldCharType="separate"/>
          </w:r>
          <w:r>
            <w:rPr>
              <w:color w:val="auto"/>
            </w:rPr>
            <w:t>40</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_Toc1116 </w:instrText>
          </w:r>
          <w:r>
            <w:rPr>
              <w:color w:val="auto"/>
              <w:highlight w:val="none"/>
            </w:rPr>
            <w:fldChar w:fldCharType="separate"/>
          </w:r>
          <w:r>
            <w:rPr>
              <w:rFonts w:hint="eastAsia" w:ascii="仿宋" w:hAnsi="仿宋" w:eastAsia="仿宋" w:cs="仿宋"/>
              <w:color w:val="auto"/>
              <w:highlight w:val="none"/>
            </w:rPr>
            <w:t>（服务类）</w:t>
          </w:r>
          <w:r>
            <w:rPr>
              <w:color w:val="auto"/>
            </w:rPr>
            <w:tab/>
          </w:r>
          <w:r>
            <w:rPr>
              <w:color w:val="auto"/>
            </w:rPr>
            <w:fldChar w:fldCharType="begin"/>
          </w:r>
          <w:r>
            <w:rPr>
              <w:color w:val="auto"/>
            </w:rPr>
            <w:instrText xml:space="preserve"> PAGEREF _Toc1116 \h </w:instrText>
          </w:r>
          <w:r>
            <w:rPr>
              <w:color w:val="auto"/>
            </w:rPr>
            <w:fldChar w:fldCharType="separate"/>
          </w:r>
          <w:r>
            <w:rPr>
              <w:color w:val="auto"/>
            </w:rPr>
            <w:t>40</w:t>
          </w:r>
          <w:r>
            <w:rPr>
              <w:color w:val="auto"/>
            </w:rPr>
            <w:fldChar w:fldCharType="end"/>
          </w:r>
          <w:r>
            <w:rPr>
              <w:color w:val="auto"/>
              <w:highlight w:val="none"/>
            </w:rPr>
            <w:fldChar w:fldCharType="end"/>
          </w:r>
        </w:p>
        <w:p>
          <w:pPr>
            <w:pStyle w:val="4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_Toc26292 </w:instrText>
          </w:r>
          <w:r>
            <w:rPr>
              <w:color w:val="auto"/>
              <w:highlight w:val="none"/>
            </w:rPr>
            <w:fldChar w:fldCharType="separate"/>
          </w:r>
          <w:r>
            <w:rPr>
              <w:rFonts w:hint="eastAsia" w:ascii="仿宋" w:hAnsi="仿宋" w:eastAsia="仿宋" w:cs="仿宋"/>
              <w:color w:val="auto"/>
              <w:szCs w:val="36"/>
              <w:highlight w:val="none"/>
            </w:rPr>
            <w:t>第六部分 响应文件格式</w:t>
          </w:r>
          <w:r>
            <w:rPr>
              <w:color w:val="auto"/>
            </w:rPr>
            <w:tab/>
          </w:r>
          <w:r>
            <w:rPr>
              <w:color w:val="auto"/>
            </w:rPr>
            <w:fldChar w:fldCharType="begin"/>
          </w:r>
          <w:r>
            <w:rPr>
              <w:color w:val="auto"/>
            </w:rPr>
            <w:instrText xml:space="preserve"> PAGEREF _Toc26292 \h </w:instrText>
          </w:r>
          <w:r>
            <w:rPr>
              <w:color w:val="auto"/>
            </w:rPr>
            <w:fldChar w:fldCharType="separate"/>
          </w:r>
          <w:r>
            <w:rPr>
              <w:color w:val="auto"/>
            </w:rPr>
            <w:t>50</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_Toc8766 </w:instrText>
          </w:r>
          <w:r>
            <w:rPr>
              <w:color w:val="auto"/>
              <w:highlight w:val="none"/>
            </w:rPr>
            <w:fldChar w:fldCharType="separate"/>
          </w:r>
          <w:r>
            <w:rPr>
              <w:rFonts w:hint="eastAsia" w:ascii="仿宋" w:hAnsi="仿宋" w:eastAsia="仿宋" w:cs="仿宋"/>
              <w:color w:val="auto"/>
              <w:szCs w:val="44"/>
              <w:highlight w:val="none"/>
            </w:rPr>
            <w:t>一  资格</w:t>
          </w:r>
          <w:r>
            <w:rPr>
              <w:rFonts w:hint="eastAsia" w:ascii="仿宋" w:hAnsi="仿宋" w:eastAsia="仿宋" w:cs="仿宋"/>
              <w:bCs/>
              <w:color w:val="auto"/>
              <w:kern w:val="2"/>
              <w:szCs w:val="44"/>
              <w:highlight w:val="none"/>
              <w:lang w:val="en-US"/>
            </w:rPr>
            <w:t>审查</w:t>
          </w:r>
          <w:r>
            <w:rPr>
              <w:rFonts w:hint="eastAsia" w:ascii="仿宋" w:hAnsi="仿宋" w:eastAsia="仿宋" w:cs="仿宋"/>
              <w:color w:val="auto"/>
              <w:szCs w:val="44"/>
              <w:highlight w:val="none"/>
            </w:rPr>
            <w:t>文件格式</w:t>
          </w:r>
          <w:r>
            <w:rPr>
              <w:color w:val="auto"/>
            </w:rPr>
            <w:tab/>
          </w:r>
          <w:r>
            <w:rPr>
              <w:color w:val="auto"/>
            </w:rPr>
            <w:fldChar w:fldCharType="begin"/>
          </w:r>
          <w:r>
            <w:rPr>
              <w:color w:val="auto"/>
            </w:rPr>
            <w:instrText xml:space="preserve"> PAGEREF _Toc8766 \h </w:instrText>
          </w:r>
          <w:r>
            <w:rPr>
              <w:color w:val="auto"/>
            </w:rPr>
            <w:fldChar w:fldCharType="separate"/>
          </w:r>
          <w:r>
            <w:rPr>
              <w:color w:val="auto"/>
            </w:rPr>
            <w:t>50</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_Toc10078 </w:instrText>
          </w:r>
          <w:r>
            <w:rPr>
              <w:color w:val="auto"/>
              <w:highlight w:val="none"/>
            </w:rPr>
            <w:fldChar w:fldCharType="separate"/>
          </w:r>
          <w:r>
            <w:rPr>
              <w:rFonts w:hint="eastAsia" w:ascii="仿宋" w:hAnsi="仿宋" w:eastAsia="仿宋" w:cs="仿宋"/>
              <w:color w:val="auto"/>
              <w:szCs w:val="24"/>
              <w:highlight w:val="none"/>
            </w:rPr>
            <w:t>1.1    资格审查文件封面格式</w:t>
          </w:r>
          <w:r>
            <w:rPr>
              <w:color w:val="auto"/>
            </w:rPr>
            <w:tab/>
          </w:r>
          <w:r>
            <w:rPr>
              <w:color w:val="auto"/>
            </w:rPr>
            <w:fldChar w:fldCharType="begin"/>
          </w:r>
          <w:r>
            <w:rPr>
              <w:color w:val="auto"/>
            </w:rPr>
            <w:instrText xml:space="preserve"> PAGEREF _Toc10078 \h </w:instrText>
          </w:r>
          <w:r>
            <w:rPr>
              <w:color w:val="auto"/>
            </w:rPr>
            <w:fldChar w:fldCharType="separate"/>
          </w:r>
          <w:r>
            <w:rPr>
              <w:color w:val="auto"/>
            </w:rPr>
            <w:t>50</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_Toc4728 </w:instrText>
          </w:r>
          <w:r>
            <w:rPr>
              <w:color w:val="auto"/>
              <w:highlight w:val="none"/>
            </w:rPr>
            <w:fldChar w:fldCharType="separate"/>
          </w:r>
          <w:r>
            <w:rPr>
              <w:rFonts w:hint="eastAsia" w:ascii="仿宋" w:hAnsi="仿宋" w:eastAsia="仿宋" w:cs="仿宋"/>
              <w:color w:val="auto"/>
              <w:szCs w:val="24"/>
              <w:highlight w:val="none"/>
            </w:rPr>
            <w:t>1.2    资格审查文件目录</w:t>
          </w:r>
          <w:r>
            <w:rPr>
              <w:color w:val="auto"/>
            </w:rPr>
            <w:tab/>
          </w:r>
          <w:r>
            <w:rPr>
              <w:color w:val="auto"/>
            </w:rPr>
            <w:fldChar w:fldCharType="begin"/>
          </w:r>
          <w:r>
            <w:rPr>
              <w:color w:val="auto"/>
            </w:rPr>
            <w:instrText xml:space="preserve"> PAGEREF _Toc4728 \h </w:instrText>
          </w:r>
          <w:r>
            <w:rPr>
              <w:color w:val="auto"/>
            </w:rPr>
            <w:fldChar w:fldCharType="separate"/>
          </w:r>
          <w:r>
            <w:rPr>
              <w:color w:val="auto"/>
            </w:rPr>
            <w:t>51</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_Toc15532 </w:instrText>
          </w:r>
          <w:r>
            <w:rPr>
              <w:color w:val="auto"/>
              <w:highlight w:val="none"/>
            </w:rPr>
            <w:fldChar w:fldCharType="separate"/>
          </w:r>
          <w:r>
            <w:rPr>
              <w:rFonts w:hint="eastAsia" w:ascii="仿宋" w:hAnsi="仿宋" w:eastAsia="仿宋" w:cs="仿宋"/>
              <w:color w:val="auto"/>
              <w:szCs w:val="24"/>
              <w:highlight w:val="none"/>
            </w:rPr>
            <w:t>1.3    有效营业执照电子文档</w:t>
          </w:r>
          <w:r>
            <w:rPr>
              <w:color w:val="auto"/>
            </w:rPr>
            <w:tab/>
          </w:r>
          <w:r>
            <w:rPr>
              <w:color w:val="auto"/>
            </w:rPr>
            <w:fldChar w:fldCharType="begin"/>
          </w:r>
          <w:r>
            <w:rPr>
              <w:color w:val="auto"/>
            </w:rPr>
            <w:instrText xml:space="preserve"> PAGEREF _Toc15532 \h </w:instrText>
          </w:r>
          <w:r>
            <w:rPr>
              <w:color w:val="auto"/>
            </w:rPr>
            <w:fldChar w:fldCharType="separate"/>
          </w:r>
          <w:r>
            <w:rPr>
              <w:color w:val="auto"/>
            </w:rPr>
            <w:t>51</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_Toc10938 </w:instrText>
          </w:r>
          <w:r>
            <w:rPr>
              <w:color w:val="auto"/>
              <w:highlight w:val="none"/>
            </w:rPr>
            <w:fldChar w:fldCharType="separate"/>
          </w:r>
          <w:r>
            <w:rPr>
              <w:rFonts w:hint="eastAsia" w:ascii="仿宋" w:hAnsi="仿宋" w:eastAsia="仿宋" w:cs="仿宋"/>
              <w:color w:val="auto"/>
              <w:szCs w:val="24"/>
              <w:highlight w:val="none"/>
            </w:rPr>
            <w:t>1.4    负责人身份证电子文档</w:t>
          </w:r>
          <w:r>
            <w:rPr>
              <w:color w:val="auto"/>
            </w:rPr>
            <w:tab/>
          </w:r>
          <w:r>
            <w:rPr>
              <w:color w:val="auto"/>
            </w:rPr>
            <w:fldChar w:fldCharType="begin"/>
          </w:r>
          <w:r>
            <w:rPr>
              <w:color w:val="auto"/>
            </w:rPr>
            <w:instrText xml:space="preserve"> PAGEREF _Toc10938 \h </w:instrText>
          </w:r>
          <w:r>
            <w:rPr>
              <w:color w:val="auto"/>
            </w:rPr>
            <w:fldChar w:fldCharType="separate"/>
          </w:r>
          <w:r>
            <w:rPr>
              <w:color w:val="auto"/>
            </w:rPr>
            <w:t>51</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_Toc19715 </w:instrText>
          </w:r>
          <w:r>
            <w:rPr>
              <w:color w:val="auto"/>
              <w:highlight w:val="none"/>
            </w:rPr>
            <w:fldChar w:fldCharType="separate"/>
          </w:r>
          <w:r>
            <w:rPr>
              <w:rFonts w:hint="eastAsia" w:ascii="仿宋" w:hAnsi="仿宋" w:eastAsia="仿宋" w:cs="仿宋"/>
              <w:color w:val="auto"/>
              <w:szCs w:val="24"/>
              <w:highlight w:val="none"/>
            </w:rPr>
            <w:t>1.5    授权委托书</w:t>
          </w:r>
          <w:r>
            <w:rPr>
              <w:color w:val="auto"/>
            </w:rPr>
            <w:tab/>
          </w:r>
          <w:r>
            <w:rPr>
              <w:color w:val="auto"/>
            </w:rPr>
            <w:fldChar w:fldCharType="begin"/>
          </w:r>
          <w:r>
            <w:rPr>
              <w:color w:val="auto"/>
            </w:rPr>
            <w:instrText xml:space="preserve"> PAGEREF _Toc19715 \h </w:instrText>
          </w:r>
          <w:r>
            <w:rPr>
              <w:color w:val="auto"/>
            </w:rPr>
            <w:fldChar w:fldCharType="separate"/>
          </w:r>
          <w:r>
            <w:rPr>
              <w:color w:val="auto"/>
            </w:rPr>
            <w:t>52</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_Toc18816 </w:instrText>
          </w:r>
          <w:r>
            <w:rPr>
              <w:color w:val="auto"/>
              <w:highlight w:val="none"/>
            </w:rPr>
            <w:fldChar w:fldCharType="separate"/>
          </w:r>
          <w:r>
            <w:rPr>
              <w:rFonts w:hint="eastAsia" w:ascii="仿宋" w:hAnsi="仿宋" w:eastAsia="仿宋" w:cs="仿宋"/>
              <w:color w:val="auto"/>
              <w:szCs w:val="24"/>
              <w:highlight w:val="none"/>
            </w:rPr>
            <w:t>1.6    具有良好的财务会计制度、依法缴纳税收和社会保障资金的承诺函</w:t>
          </w:r>
          <w:r>
            <w:rPr>
              <w:color w:val="auto"/>
            </w:rPr>
            <w:tab/>
          </w:r>
          <w:r>
            <w:rPr>
              <w:color w:val="auto"/>
            </w:rPr>
            <w:fldChar w:fldCharType="begin"/>
          </w:r>
          <w:r>
            <w:rPr>
              <w:color w:val="auto"/>
            </w:rPr>
            <w:instrText xml:space="preserve"> PAGEREF _Toc18816 \h </w:instrText>
          </w:r>
          <w:r>
            <w:rPr>
              <w:color w:val="auto"/>
            </w:rPr>
            <w:fldChar w:fldCharType="separate"/>
          </w:r>
          <w:r>
            <w:rPr>
              <w:color w:val="auto"/>
            </w:rPr>
            <w:t>53</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_Toc28654 </w:instrText>
          </w:r>
          <w:r>
            <w:rPr>
              <w:color w:val="auto"/>
              <w:highlight w:val="none"/>
            </w:rPr>
            <w:fldChar w:fldCharType="separate"/>
          </w:r>
          <w:r>
            <w:rPr>
              <w:rFonts w:hint="eastAsia" w:ascii="仿宋" w:hAnsi="仿宋" w:eastAsia="仿宋" w:cs="仿宋"/>
              <w:color w:val="auto"/>
              <w:szCs w:val="24"/>
              <w:highlight w:val="none"/>
            </w:rPr>
            <w:t>1.7    具有履行合同所必需的设备和专业技术能力承诺函</w:t>
          </w:r>
          <w:r>
            <w:rPr>
              <w:color w:val="auto"/>
            </w:rPr>
            <w:tab/>
          </w:r>
          <w:r>
            <w:rPr>
              <w:color w:val="auto"/>
            </w:rPr>
            <w:fldChar w:fldCharType="begin"/>
          </w:r>
          <w:r>
            <w:rPr>
              <w:color w:val="auto"/>
            </w:rPr>
            <w:instrText xml:space="preserve"> PAGEREF _Toc28654 \h </w:instrText>
          </w:r>
          <w:r>
            <w:rPr>
              <w:color w:val="auto"/>
            </w:rPr>
            <w:fldChar w:fldCharType="separate"/>
          </w:r>
          <w:r>
            <w:rPr>
              <w:color w:val="auto"/>
            </w:rPr>
            <w:t>53</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_Toc5923 </w:instrText>
          </w:r>
          <w:r>
            <w:rPr>
              <w:color w:val="auto"/>
              <w:highlight w:val="none"/>
            </w:rPr>
            <w:fldChar w:fldCharType="separate"/>
          </w:r>
          <w:r>
            <w:rPr>
              <w:rFonts w:hint="eastAsia" w:ascii="仿宋" w:hAnsi="仿宋" w:eastAsia="仿宋" w:cs="仿宋"/>
              <w:color w:val="auto"/>
              <w:szCs w:val="24"/>
              <w:highlight w:val="none"/>
            </w:rPr>
            <w:t>1.8    无重大违法记录声明书</w:t>
          </w:r>
          <w:r>
            <w:rPr>
              <w:color w:val="auto"/>
            </w:rPr>
            <w:tab/>
          </w:r>
          <w:r>
            <w:rPr>
              <w:color w:val="auto"/>
            </w:rPr>
            <w:fldChar w:fldCharType="begin"/>
          </w:r>
          <w:r>
            <w:rPr>
              <w:color w:val="auto"/>
            </w:rPr>
            <w:instrText xml:space="preserve"> PAGEREF _Toc5923 \h </w:instrText>
          </w:r>
          <w:r>
            <w:rPr>
              <w:color w:val="auto"/>
            </w:rPr>
            <w:fldChar w:fldCharType="separate"/>
          </w:r>
          <w:r>
            <w:rPr>
              <w:color w:val="auto"/>
            </w:rPr>
            <w:t>54</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_Toc18297 </w:instrText>
          </w:r>
          <w:r>
            <w:rPr>
              <w:color w:val="auto"/>
              <w:highlight w:val="none"/>
            </w:rPr>
            <w:fldChar w:fldCharType="separate"/>
          </w:r>
          <w:r>
            <w:rPr>
              <w:rFonts w:hint="eastAsia" w:ascii="仿宋" w:hAnsi="仿宋" w:eastAsia="仿宋" w:cs="仿宋"/>
              <w:bCs w:val="0"/>
              <w:color w:val="auto"/>
              <w:highlight w:val="none"/>
            </w:rPr>
            <w:t>1.9   特定资格条件证明材料附件（若有）</w:t>
          </w:r>
          <w:r>
            <w:rPr>
              <w:color w:val="auto"/>
            </w:rPr>
            <w:tab/>
          </w:r>
          <w:r>
            <w:rPr>
              <w:color w:val="auto"/>
            </w:rPr>
            <w:fldChar w:fldCharType="begin"/>
          </w:r>
          <w:r>
            <w:rPr>
              <w:color w:val="auto"/>
            </w:rPr>
            <w:instrText xml:space="preserve"> PAGEREF _Toc18297 \h </w:instrText>
          </w:r>
          <w:r>
            <w:rPr>
              <w:color w:val="auto"/>
            </w:rPr>
            <w:fldChar w:fldCharType="separate"/>
          </w:r>
          <w:r>
            <w:rPr>
              <w:color w:val="auto"/>
            </w:rPr>
            <w:t>54</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_Toc9290 </w:instrText>
          </w:r>
          <w:r>
            <w:rPr>
              <w:color w:val="auto"/>
              <w:highlight w:val="none"/>
            </w:rPr>
            <w:fldChar w:fldCharType="separate"/>
          </w:r>
          <w:r>
            <w:rPr>
              <w:rFonts w:hint="eastAsia" w:ascii="仿宋" w:hAnsi="仿宋" w:eastAsia="仿宋" w:cs="仿宋"/>
              <w:color w:val="auto"/>
              <w:szCs w:val="44"/>
              <w:highlight w:val="none"/>
            </w:rPr>
            <w:t>二  资信商务及技术文件格式</w:t>
          </w:r>
          <w:r>
            <w:rPr>
              <w:color w:val="auto"/>
            </w:rPr>
            <w:tab/>
          </w:r>
          <w:r>
            <w:rPr>
              <w:color w:val="auto"/>
            </w:rPr>
            <w:fldChar w:fldCharType="begin"/>
          </w:r>
          <w:r>
            <w:rPr>
              <w:color w:val="auto"/>
            </w:rPr>
            <w:instrText xml:space="preserve"> PAGEREF _Toc9290 \h </w:instrText>
          </w:r>
          <w:r>
            <w:rPr>
              <w:color w:val="auto"/>
            </w:rPr>
            <w:fldChar w:fldCharType="separate"/>
          </w:r>
          <w:r>
            <w:rPr>
              <w:color w:val="auto"/>
            </w:rPr>
            <w:t>55</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_Toc25931 </w:instrText>
          </w:r>
          <w:r>
            <w:rPr>
              <w:color w:val="auto"/>
              <w:highlight w:val="none"/>
            </w:rPr>
            <w:fldChar w:fldCharType="separate"/>
          </w:r>
          <w:r>
            <w:rPr>
              <w:rFonts w:hint="eastAsia" w:ascii="仿宋" w:hAnsi="仿宋" w:eastAsia="仿宋" w:cs="仿宋"/>
              <w:color w:val="auto"/>
              <w:szCs w:val="24"/>
              <w:highlight w:val="none"/>
            </w:rPr>
            <w:t>2.1    资信及商务文件封面格式</w:t>
          </w:r>
          <w:r>
            <w:rPr>
              <w:color w:val="auto"/>
            </w:rPr>
            <w:tab/>
          </w:r>
          <w:r>
            <w:rPr>
              <w:color w:val="auto"/>
            </w:rPr>
            <w:fldChar w:fldCharType="begin"/>
          </w:r>
          <w:r>
            <w:rPr>
              <w:color w:val="auto"/>
            </w:rPr>
            <w:instrText xml:space="preserve"> PAGEREF _Toc25931 \h </w:instrText>
          </w:r>
          <w:r>
            <w:rPr>
              <w:color w:val="auto"/>
            </w:rPr>
            <w:fldChar w:fldCharType="separate"/>
          </w:r>
          <w:r>
            <w:rPr>
              <w:color w:val="auto"/>
            </w:rPr>
            <w:t>55</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_Toc30999 </w:instrText>
          </w:r>
          <w:r>
            <w:rPr>
              <w:color w:val="auto"/>
              <w:highlight w:val="none"/>
            </w:rPr>
            <w:fldChar w:fldCharType="separate"/>
          </w:r>
          <w:r>
            <w:rPr>
              <w:rFonts w:hint="eastAsia" w:ascii="仿宋" w:hAnsi="仿宋" w:eastAsia="仿宋" w:cs="仿宋"/>
              <w:color w:val="auto"/>
              <w:szCs w:val="24"/>
              <w:highlight w:val="none"/>
            </w:rPr>
            <w:t>2.2    资信商务及技术文件目录</w:t>
          </w:r>
          <w:r>
            <w:rPr>
              <w:color w:val="auto"/>
            </w:rPr>
            <w:tab/>
          </w:r>
          <w:r>
            <w:rPr>
              <w:color w:val="auto"/>
            </w:rPr>
            <w:fldChar w:fldCharType="begin"/>
          </w:r>
          <w:r>
            <w:rPr>
              <w:color w:val="auto"/>
            </w:rPr>
            <w:instrText xml:space="preserve"> PAGEREF _Toc30999 \h </w:instrText>
          </w:r>
          <w:r>
            <w:rPr>
              <w:color w:val="auto"/>
            </w:rPr>
            <w:fldChar w:fldCharType="separate"/>
          </w:r>
          <w:r>
            <w:rPr>
              <w:color w:val="auto"/>
            </w:rPr>
            <w:t>55</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_Toc25015 </w:instrText>
          </w:r>
          <w:r>
            <w:rPr>
              <w:color w:val="auto"/>
              <w:highlight w:val="none"/>
            </w:rPr>
            <w:fldChar w:fldCharType="separate"/>
          </w:r>
          <w:r>
            <w:rPr>
              <w:rFonts w:hint="eastAsia" w:ascii="仿宋" w:hAnsi="仿宋" w:eastAsia="仿宋" w:cs="仿宋"/>
              <w:color w:val="auto"/>
              <w:highlight w:val="none"/>
            </w:rPr>
            <w:t>2.3    磋商响应函</w:t>
          </w:r>
          <w:r>
            <w:rPr>
              <w:color w:val="auto"/>
            </w:rPr>
            <w:tab/>
          </w:r>
          <w:r>
            <w:rPr>
              <w:color w:val="auto"/>
            </w:rPr>
            <w:fldChar w:fldCharType="begin"/>
          </w:r>
          <w:r>
            <w:rPr>
              <w:color w:val="auto"/>
            </w:rPr>
            <w:instrText xml:space="preserve"> PAGEREF _Toc25015 \h </w:instrText>
          </w:r>
          <w:r>
            <w:rPr>
              <w:color w:val="auto"/>
            </w:rPr>
            <w:fldChar w:fldCharType="separate"/>
          </w:r>
          <w:r>
            <w:rPr>
              <w:color w:val="auto"/>
            </w:rPr>
            <w:t>56</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_Toc641 </w:instrText>
          </w:r>
          <w:r>
            <w:rPr>
              <w:color w:val="auto"/>
              <w:highlight w:val="none"/>
            </w:rPr>
            <w:fldChar w:fldCharType="separate"/>
          </w:r>
          <w:r>
            <w:rPr>
              <w:rFonts w:hint="eastAsia" w:ascii="仿宋" w:hAnsi="仿宋" w:eastAsia="仿宋" w:cs="仿宋"/>
              <w:color w:val="auto"/>
              <w:highlight w:val="none"/>
            </w:rPr>
            <w:t>2.4    成功案例及业绩（若有）</w:t>
          </w:r>
          <w:r>
            <w:rPr>
              <w:color w:val="auto"/>
            </w:rPr>
            <w:tab/>
          </w:r>
          <w:r>
            <w:rPr>
              <w:color w:val="auto"/>
            </w:rPr>
            <w:fldChar w:fldCharType="begin"/>
          </w:r>
          <w:r>
            <w:rPr>
              <w:color w:val="auto"/>
            </w:rPr>
            <w:instrText xml:space="preserve"> PAGEREF _Toc641 \h </w:instrText>
          </w:r>
          <w:r>
            <w:rPr>
              <w:color w:val="auto"/>
            </w:rPr>
            <w:fldChar w:fldCharType="separate"/>
          </w:r>
          <w:r>
            <w:rPr>
              <w:color w:val="auto"/>
            </w:rPr>
            <w:t>58</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_Toc31762 </w:instrText>
          </w:r>
          <w:r>
            <w:rPr>
              <w:color w:val="auto"/>
              <w:highlight w:val="none"/>
            </w:rPr>
            <w:fldChar w:fldCharType="separate"/>
          </w:r>
          <w:r>
            <w:rPr>
              <w:rFonts w:hint="eastAsia" w:ascii="仿宋" w:hAnsi="仿宋" w:eastAsia="仿宋" w:cs="仿宋"/>
              <w:color w:val="auto"/>
              <w:highlight w:val="none"/>
            </w:rPr>
            <w:t>2.5    商务响应表</w:t>
          </w:r>
          <w:r>
            <w:rPr>
              <w:color w:val="auto"/>
            </w:rPr>
            <w:tab/>
          </w:r>
          <w:r>
            <w:rPr>
              <w:color w:val="auto"/>
            </w:rPr>
            <w:fldChar w:fldCharType="begin"/>
          </w:r>
          <w:r>
            <w:rPr>
              <w:color w:val="auto"/>
            </w:rPr>
            <w:instrText xml:space="preserve"> PAGEREF _Toc31762 \h </w:instrText>
          </w:r>
          <w:r>
            <w:rPr>
              <w:color w:val="auto"/>
            </w:rPr>
            <w:fldChar w:fldCharType="separate"/>
          </w:r>
          <w:r>
            <w:rPr>
              <w:color w:val="auto"/>
            </w:rPr>
            <w:t>58</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_Toc30652 </w:instrText>
          </w:r>
          <w:r>
            <w:rPr>
              <w:color w:val="auto"/>
              <w:highlight w:val="none"/>
            </w:rPr>
            <w:fldChar w:fldCharType="separate"/>
          </w:r>
          <w:r>
            <w:rPr>
              <w:rFonts w:hint="eastAsia" w:ascii="仿宋" w:hAnsi="仿宋" w:eastAsia="仿宋" w:cs="仿宋"/>
              <w:color w:val="auto"/>
              <w:highlight w:val="none"/>
            </w:rPr>
            <w:t>2.6    项目理解</w:t>
          </w:r>
          <w:r>
            <w:rPr>
              <w:color w:val="auto"/>
            </w:rPr>
            <w:tab/>
          </w:r>
          <w:r>
            <w:rPr>
              <w:color w:val="auto"/>
            </w:rPr>
            <w:fldChar w:fldCharType="begin"/>
          </w:r>
          <w:r>
            <w:rPr>
              <w:color w:val="auto"/>
            </w:rPr>
            <w:instrText xml:space="preserve"> PAGEREF _Toc30652 \h </w:instrText>
          </w:r>
          <w:r>
            <w:rPr>
              <w:color w:val="auto"/>
            </w:rPr>
            <w:fldChar w:fldCharType="separate"/>
          </w:r>
          <w:r>
            <w:rPr>
              <w:color w:val="auto"/>
            </w:rPr>
            <w:t>59</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_Toc5915 </w:instrText>
          </w:r>
          <w:r>
            <w:rPr>
              <w:color w:val="auto"/>
              <w:highlight w:val="none"/>
            </w:rPr>
            <w:fldChar w:fldCharType="separate"/>
          </w: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 xml:space="preserve">    总体思路及目标</w:t>
          </w:r>
          <w:r>
            <w:rPr>
              <w:color w:val="auto"/>
            </w:rPr>
            <w:tab/>
          </w:r>
          <w:r>
            <w:rPr>
              <w:color w:val="auto"/>
            </w:rPr>
            <w:fldChar w:fldCharType="begin"/>
          </w:r>
          <w:r>
            <w:rPr>
              <w:color w:val="auto"/>
            </w:rPr>
            <w:instrText xml:space="preserve"> PAGEREF _Toc5915 \h </w:instrText>
          </w:r>
          <w:r>
            <w:rPr>
              <w:color w:val="auto"/>
            </w:rPr>
            <w:fldChar w:fldCharType="separate"/>
          </w:r>
          <w:r>
            <w:rPr>
              <w:color w:val="auto"/>
            </w:rPr>
            <w:t>59</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_Toc24476 </w:instrText>
          </w:r>
          <w:r>
            <w:rPr>
              <w:color w:val="auto"/>
              <w:highlight w:val="none"/>
            </w:rPr>
            <w:fldChar w:fldCharType="separate"/>
          </w: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8</w:t>
          </w:r>
          <w:r>
            <w:rPr>
              <w:rFonts w:hint="eastAsia" w:ascii="仿宋" w:hAnsi="仿宋" w:eastAsia="仿宋" w:cs="仿宋"/>
              <w:color w:val="auto"/>
              <w:highlight w:val="none"/>
            </w:rPr>
            <w:t xml:space="preserve">    整体服务方案</w:t>
          </w:r>
          <w:r>
            <w:rPr>
              <w:color w:val="auto"/>
            </w:rPr>
            <w:tab/>
          </w:r>
          <w:r>
            <w:rPr>
              <w:color w:val="auto"/>
            </w:rPr>
            <w:fldChar w:fldCharType="begin"/>
          </w:r>
          <w:r>
            <w:rPr>
              <w:color w:val="auto"/>
            </w:rPr>
            <w:instrText xml:space="preserve"> PAGEREF _Toc24476 \h </w:instrText>
          </w:r>
          <w:r>
            <w:rPr>
              <w:color w:val="auto"/>
            </w:rPr>
            <w:fldChar w:fldCharType="separate"/>
          </w:r>
          <w:r>
            <w:rPr>
              <w:color w:val="auto"/>
            </w:rPr>
            <w:t>59</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_Toc14642 </w:instrText>
          </w:r>
          <w:r>
            <w:rPr>
              <w:color w:val="auto"/>
              <w:highlight w:val="none"/>
            </w:rPr>
            <w:fldChar w:fldCharType="separate"/>
          </w: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9</w:t>
          </w:r>
          <w:r>
            <w:rPr>
              <w:rFonts w:hint="eastAsia" w:ascii="仿宋" w:hAnsi="仿宋" w:eastAsia="仿宋" w:cs="仿宋"/>
              <w:color w:val="auto"/>
              <w:highlight w:val="none"/>
            </w:rPr>
            <w:t xml:space="preserve">    合理化建议</w:t>
          </w:r>
          <w:r>
            <w:rPr>
              <w:color w:val="auto"/>
            </w:rPr>
            <w:tab/>
          </w:r>
          <w:r>
            <w:rPr>
              <w:color w:val="auto"/>
            </w:rPr>
            <w:fldChar w:fldCharType="begin"/>
          </w:r>
          <w:r>
            <w:rPr>
              <w:color w:val="auto"/>
            </w:rPr>
            <w:instrText xml:space="preserve"> PAGEREF _Toc14642 \h </w:instrText>
          </w:r>
          <w:r>
            <w:rPr>
              <w:color w:val="auto"/>
            </w:rPr>
            <w:fldChar w:fldCharType="separate"/>
          </w:r>
          <w:r>
            <w:rPr>
              <w:color w:val="auto"/>
            </w:rPr>
            <w:t>59</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_Toc24148 </w:instrText>
          </w:r>
          <w:r>
            <w:rPr>
              <w:color w:val="auto"/>
              <w:highlight w:val="none"/>
            </w:rPr>
            <w:fldChar w:fldCharType="separate"/>
          </w: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10</w:t>
          </w:r>
          <w:r>
            <w:rPr>
              <w:rFonts w:hint="eastAsia" w:ascii="仿宋" w:hAnsi="仿宋" w:eastAsia="仿宋" w:cs="仿宋"/>
              <w:color w:val="auto"/>
              <w:highlight w:val="none"/>
            </w:rPr>
            <w:t xml:space="preserve">    廉政管理考勤管理制度</w:t>
          </w:r>
          <w:r>
            <w:rPr>
              <w:color w:val="auto"/>
            </w:rPr>
            <w:tab/>
          </w:r>
          <w:r>
            <w:rPr>
              <w:color w:val="auto"/>
            </w:rPr>
            <w:fldChar w:fldCharType="begin"/>
          </w:r>
          <w:r>
            <w:rPr>
              <w:color w:val="auto"/>
            </w:rPr>
            <w:instrText xml:space="preserve"> PAGEREF _Toc24148 \h </w:instrText>
          </w:r>
          <w:r>
            <w:rPr>
              <w:color w:val="auto"/>
            </w:rPr>
            <w:fldChar w:fldCharType="separate"/>
          </w:r>
          <w:r>
            <w:rPr>
              <w:color w:val="auto"/>
            </w:rPr>
            <w:t>60</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_Toc14254 </w:instrText>
          </w:r>
          <w:r>
            <w:rPr>
              <w:color w:val="auto"/>
              <w:highlight w:val="none"/>
            </w:rPr>
            <w:fldChar w:fldCharType="separate"/>
          </w:r>
          <w:r>
            <w:rPr>
              <w:rFonts w:hint="eastAsia" w:ascii="仿宋" w:hAnsi="仿宋" w:eastAsia="仿宋" w:cs="仿宋"/>
              <w:color w:val="auto"/>
              <w:highlight w:val="none"/>
            </w:rPr>
            <w:t>2.1</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 xml:space="preserve">   拟投入的项目班子</w:t>
          </w:r>
          <w:r>
            <w:rPr>
              <w:color w:val="auto"/>
            </w:rPr>
            <w:tab/>
          </w:r>
          <w:r>
            <w:rPr>
              <w:color w:val="auto"/>
            </w:rPr>
            <w:fldChar w:fldCharType="begin"/>
          </w:r>
          <w:r>
            <w:rPr>
              <w:color w:val="auto"/>
            </w:rPr>
            <w:instrText xml:space="preserve"> PAGEREF _Toc14254 \h </w:instrText>
          </w:r>
          <w:r>
            <w:rPr>
              <w:color w:val="auto"/>
            </w:rPr>
            <w:fldChar w:fldCharType="separate"/>
          </w:r>
          <w:r>
            <w:rPr>
              <w:color w:val="auto"/>
            </w:rPr>
            <w:t>60</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_Toc30220 </w:instrText>
          </w:r>
          <w:r>
            <w:rPr>
              <w:color w:val="auto"/>
              <w:highlight w:val="none"/>
            </w:rPr>
            <w:fldChar w:fldCharType="separate"/>
          </w:r>
          <w:r>
            <w:rPr>
              <w:rFonts w:hint="eastAsia" w:ascii="仿宋" w:hAnsi="仿宋" w:eastAsia="仿宋" w:cs="仿宋"/>
              <w:color w:val="auto"/>
              <w:highlight w:val="none"/>
            </w:rPr>
            <w:t>2.1</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 xml:space="preserve">   重点难点分析与理解</w:t>
          </w:r>
          <w:r>
            <w:rPr>
              <w:color w:val="auto"/>
            </w:rPr>
            <w:tab/>
          </w:r>
          <w:r>
            <w:rPr>
              <w:color w:val="auto"/>
            </w:rPr>
            <w:fldChar w:fldCharType="begin"/>
          </w:r>
          <w:r>
            <w:rPr>
              <w:color w:val="auto"/>
            </w:rPr>
            <w:instrText xml:space="preserve"> PAGEREF _Toc30220 \h </w:instrText>
          </w:r>
          <w:r>
            <w:rPr>
              <w:color w:val="auto"/>
            </w:rPr>
            <w:fldChar w:fldCharType="separate"/>
          </w:r>
          <w:r>
            <w:rPr>
              <w:color w:val="auto"/>
            </w:rPr>
            <w:t>61</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_Toc11678 </w:instrText>
          </w:r>
          <w:r>
            <w:rPr>
              <w:color w:val="auto"/>
              <w:highlight w:val="none"/>
            </w:rPr>
            <w:fldChar w:fldCharType="separate"/>
          </w:r>
          <w:r>
            <w:rPr>
              <w:rFonts w:hint="eastAsia" w:ascii="仿宋" w:hAnsi="仿宋" w:eastAsia="仿宋" w:cs="仿宋"/>
              <w:color w:val="auto"/>
              <w:highlight w:val="none"/>
            </w:rPr>
            <w:t>2.1</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 xml:space="preserve">   重点难点解决措施</w:t>
          </w:r>
          <w:r>
            <w:rPr>
              <w:color w:val="auto"/>
            </w:rPr>
            <w:tab/>
          </w:r>
          <w:r>
            <w:rPr>
              <w:color w:val="auto"/>
            </w:rPr>
            <w:fldChar w:fldCharType="begin"/>
          </w:r>
          <w:r>
            <w:rPr>
              <w:color w:val="auto"/>
            </w:rPr>
            <w:instrText xml:space="preserve"> PAGEREF _Toc11678 \h </w:instrText>
          </w:r>
          <w:r>
            <w:rPr>
              <w:color w:val="auto"/>
            </w:rPr>
            <w:fldChar w:fldCharType="separate"/>
          </w:r>
          <w:r>
            <w:rPr>
              <w:color w:val="auto"/>
            </w:rPr>
            <w:t>61</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_Toc30994 </w:instrText>
          </w:r>
          <w:r>
            <w:rPr>
              <w:color w:val="auto"/>
              <w:highlight w:val="none"/>
            </w:rPr>
            <w:fldChar w:fldCharType="separate"/>
          </w:r>
          <w:r>
            <w:rPr>
              <w:rFonts w:hint="eastAsia" w:ascii="仿宋" w:hAnsi="仿宋" w:eastAsia="仿宋" w:cs="仿宋"/>
              <w:color w:val="auto"/>
              <w:highlight w:val="none"/>
            </w:rPr>
            <w:t>2.1</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 xml:space="preserve">   供应商需要说明的其他文件和说明</w:t>
          </w:r>
          <w:r>
            <w:rPr>
              <w:color w:val="auto"/>
            </w:rPr>
            <w:tab/>
          </w:r>
          <w:r>
            <w:rPr>
              <w:color w:val="auto"/>
            </w:rPr>
            <w:fldChar w:fldCharType="begin"/>
          </w:r>
          <w:r>
            <w:rPr>
              <w:color w:val="auto"/>
            </w:rPr>
            <w:instrText xml:space="preserve"> PAGEREF _Toc30994 \h </w:instrText>
          </w:r>
          <w:r>
            <w:rPr>
              <w:color w:val="auto"/>
            </w:rPr>
            <w:fldChar w:fldCharType="separate"/>
          </w:r>
          <w:r>
            <w:rPr>
              <w:color w:val="auto"/>
            </w:rPr>
            <w:t>61</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_Toc8618 </w:instrText>
          </w:r>
          <w:r>
            <w:rPr>
              <w:color w:val="auto"/>
              <w:highlight w:val="none"/>
            </w:rPr>
            <w:fldChar w:fldCharType="separate"/>
          </w:r>
          <w:r>
            <w:rPr>
              <w:rFonts w:hint="eastAsia" w:ascii="仿宋" w:hAnsi="仿宋" w:eastAsia="仿宋" w:cs="仿宋"/>
              <w:color w:val="auto"/>
              <w:szCs w:val="44"/>
              <w:highlight w:val="none"/>
            </w:rPr>
            <w:t>三  报价文件格式</w:t>
          </w:r>
          <w:r>
            <w:rPr>
              <w:color w:val="auto"/>
            </w:rPr>
            <w:tab/>
          </w:r>
          <w:r>
            <w:rPr>
              <w:color w:val="auto"/>
            </w:rPr>
            <w:fldChar w:fldCharType="begin"/>
          </w:r>
          <w:r>
            <w:rPr>
              <w:color w:val="auto"/>
            </w:rPr>
            <w:instrText xml:space="preserve"> PAGEREF _Toc8618 \h </w:instrText>
          </w:r>
          <w:r>
            <w:rPr>
              <w:color w:val="auto"/>
            </w:rPr>
            <w:fldChar w:fldCharType="separate"/>
          </w:r>
          <w:r>
            <w:rPr>
              <w:color w:val="auto"/>
            </w:rPr>
            <w:t>62</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_Toc8890 </w:instrText>
          </w:r>
          <w:r>
            <w:rPr>
              <w:color w:val="auto"/>
              <w:highlight w:val="none"/>
            </w:rPr>
            <w:fldChar w:fldCharType="separate"/>
          </w:r>
          <w:r>
            <w:rPr>
              <w:rFonts w:hint="eastAsia" w:ascii="仿宋" w:hAnsi="仿宋" w:eastAsia="仿宋" w:cs="仿宋"/>
              <w:color w:val="auto"/>
              <w:szCs w:val="24"/>
              <w:highlight w:val="none"/>
            </w:rPr>
            <w:t>3.1     报价文件文件封面格式</w:t>
          </w:r>
          <w:r>
            <w:rPr>
              <w:color w:val="auto"/>
            </w:rPr>
            <w:tab/>
          </w:r>
          <w:r>
            <w:rPr>
              <w:color w:val="auto"/>
            </w:rPr>
            <w:fldChar w:fldCharType="begin"/>
          </w:r>
          <w:r>
            <w:rPr>
              <w:color w:val="auto"/>
            </w:rPr>
            <w:instrText xml:space="preserve"> PAGEREF _Toc8890 \h </w:instrText>
          </w:r>
          <w:r>
            <w:rPr>
              <w:color w:val="auto"/>
            </w:rPr>
            <w:fldChar w:fldCharType="separate"/>
          </w:r>
          <w:r>
            <w:rPr>
              <w:color w:val="auto"/>
            </w:rPr>
            <w:t>62</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_Toc7158 </w:instrText>
          </w:r>
          <w:r>
            <w:rPr>
              <w:color w:val="auto"/>
              <w:highlight w:val="none"/>
            </w:rPr>
            <w:fldChar w:fldCharType="separate"/>
          </w:r>
          <w:r>
            <w:rPr>
              <w:rFonts w:hint="eastAsia" w:ascii="仿宋" w:hAnsi="仿宋" w:eastAsia="仿宋" w:cs="仿宋"/>
              <w:color w:val="auto"/>
              <w:szCs w:val="24"/>
              <w:highlight w:val="none"/>
            </w:rPr>
            <w:t>3.2     报价文件文件目录</w:t>
          </w:r>
          <w:r>
            <w:rPr>
              <w:color w:val="auto"/>
            </w:rPr>
            <w:tab/>
          </w:r>
          <w:r>
            <w:rPr>
              <w:color w:val="auto"/>
            </w:rPr>
            <w:fldChar w:fldCharType="begin"/>
          </w:r>
          <w:r>
            <w:rPr>
              <w:color w:val="auto"/>
            </w:rPr>
            <w:instrText xml:space="preserve"> PAGEREF _Toc7158 \h </w:instrText>
          </w:r>
          <w:r>
            <w:rPr>
              <w:color w:val="auto"/>
            </w:rPr>
            <w:fldChar w:fldCharType="separate"/>
          </w:r>
          <w:r>
            <w:rPr>
              <w:color w:val="auto"/>
            </w:rPr>
            <w:t>62</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_Toc13356 </w:instrText>
          </w:r>
          <w:r>
            <w:rPr>
              <w:color w:val="auto"/>
              <w:highlight w:val="none"/>
            </w:rPr>
            <w:fldChar w:fldCharType="separate"/>
          </w:r>
          <w:r>
            <w:rPr>
              <w:rFonts w:hint="eastAsia" w:ascii="仿宋" w:hAnsi="仿宋" w:eastAsia="仿宋" w:cs="仿宋"/>
              <w:color w:val="auto"/>
              <w:szCs w:val="24"/>
              <w:highlight w:val="none"/>
            </w:rPr>
            <w:t>3.3     开标一览表格式</w:t>
          </w:r>
          <w:r>
            <w:rPr>
              <w:color w:val="auto"/>
            </w:rPr>
            <w:tab/>
          </w:r>
          <w:r>
            <w:rPr>
              <w:color w:val="auto"/>
            </w:rPr>
            <w:fldChar w:fldCharType="begin"/>
          </w:r>
          <w:r>
            <w:rPr>
              <w:color w:val="auto"/>
            </w:rPr>
            <w:instrText xml:space="preserve"> PAGEREF _Toc13356 \h </w:instrText>
          </w:r>
          <w:r>
            <w:rPr>
              <w:color w:val="auto"/>
            </w:rPr>
            <w:fldChar w:fldCharType="separate"/>
          </w:r>
          <w:r>
            <w:rPr>
              <w:color w:val="auto"/>
            </w:rPr>
            <w:t>63</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_Toc13369 </w:instrText>
          </w:r>
          <w:r>
            <w:rPr>
              <w:color w:val="auto"/>
              <w:highlight w:val="none"/>
            </w:rPr>
            <w:fldChar w:fldCharType="separate"/>
          </w:r>
          <w:r>
            <w:rPr>
              <w:rFonts w:hint="eastAsia" w:ascii="仿宋" w:hAnsi="仿宋" w:eastAsia="仿宋" w:cs="仿宋"/>
              <w:color w:val="auto"/>
              <w:szCs w:val="24"/>
              <w:highlight w:val="none"/>
            </w:rPr>
            <w:t xml:space="preserve">3.4     </w:t>
          </w:r>
          <w:r>
            <w:rPr>
              <w:rFonts w:hint="eastAsia" w:ascii="仿宋" w:hAnsi="仿宋" w:eastAsia="仿宋" w:cs="仿宋"/>
              <w:color w:val="auto"/>
              <w:kern w:val="0"/>
              <w:highlight w:val="none"/>
            </w:rPr>
            <w:t>报价</w:t>
          </w:r>
          <w:r>
            <w:rPr>
              <w:rFonts w:hint="eastAsia" w:ascii="仿宋" w:hAnsi="仿宋" w:eastAsia="仿宋" w:cs="仿宋"/>
              <w:bCs w:val="0"/>
              <w:color w:val="auto"/>
              <w:highlight w:val="none"/>
            </w:rPr>
            <w:t>明细表</w:t>
          </w:r>
          <w:r>
            <w:rPr>
              <w:rFonts w:hint="eastAsia" w:ascii="仿宋" w:hAnsi="仿宋" w:eastAsia="仿宋" w:cs="仿宋"/>
              <w:color w:val="auto"/>
              <w:szCs w:val="24"/>
              <w:highlight w:val="none"/>
            </w:rPr>
            <w:t>格式</w:t>
          </w:r>
          <w:r>
            <w:rPr>
              <w:color w:val="auto"/>
            </w:rPr>
            <w:tab/>
          </w:r>
          <w:r>
            <w:rPr>
              <w:color w:val="auto"/>
            </w:rPr>
            <w:fldChar w:fldCharType="begin"/>
          </w:r>
          <w:r>
            <w:rPr>
              <w:color w:val="auto"/>
            </w:rPr>
            <w:instrText xml:space="preserve"> PAGEREF _Toc13369 \h </w:instrText>
          </w:r>
          <w:r>
            <w:rPr>
              <w:color w:val="auto"/>
            </w:rPr>
            <w:fldChar w:fldCharType="separate"/>
          </w:r>
          <w:r>
            <w:rPr>
              <w:color w:val="auto"/>
            </w:rPr>
            <w:t>64</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_Toc7344 </w:instrText>
          </w:r>
          <w:r>
            <w:rPr>
              <w:color w:val="auto"/>
              <w:highlight w:val="none"/>
            </w:rPr>
            <w:fldChar w:fldCharType="separate"/>
          </w:r>
          <w:r>
            <w:rPr>
              <w:rFonts w:hint="eastAsia" w:ascii="仿宋" w:hAnsi="仿宋" w:eastAsia="仿宋" w:cs="仿宋"/>
              <w:bCs w:val="0"/>
              <w:color w:val="auto"/>
              <w:highlight w:val="none"/>
            </w:rPr>
            <w:t xml:space="preserve">3.5   </w:t>
          </w:r>
          <w:r>
            <w:rPr>
              <w:rFonts w:hint="eastAsia" w:ascii="仿宋" w:hAnsi="仿宋" w:eastAsia="仿宋" w:cs="仿宋"/>
              <w:bCs w:val="0"/>
              <w:color w:val="auto"/>
              <w:highlight w:val="none"/>
              <w:lang w:val="en-US" w:eastAsia="zh-CN"/>
            </w:rPr>
            <w:t xml:space="preserve">  </w:t>
          </w:r>
          <w:r>
            <w:rPr>
              <w:rFonts w:hint="eastAsia" w:ascii="仿宋" w:hAnsi="仿宋" w:eastAsia="仿宋" w:cs="仿宋"/>
              <w:bCs w:val="0"/>
              <w:color w:val="auto"/>
              <w:highlight w:val="none"/>
            </w:rPr>
            <w:t>中小企业声明函（服务）</w:t>
          </w:r>
          <w:r>
            <w:rPr>
              <w:color w:val="auto"/>
            </w:rPr>
            <w:tab/>
          </w:r>
          <w:r>
            <w:rPr>
              <w:color w:val="auto"/>
            </w:rPr>
            <w:fldChar w:fldCharType="begin"/>
          </w:r>
          <w:r>
            <w:rPr>
              <w:color w:val="auto"/>
            </w:rPr>
            <w:instrText xml:space="preserve"> PAGEREF _Toc7344 \h </w:instrText>
          </w:r>
          <w:r>
            <w:rPr>
              <w:color w:val="auto"/>
            </w:rPr>
            <w:fldChar w:fldCharType="separate"/>
          </w:r>
          <w:r>
            <w:rPr>
              <w:color w:val="auto"/>
            </w:rPr>
            <w:t>65</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_Toc8547 </w:instrText>
          </w:r>
          <w:r>
            <w:rPr>
              <w:color w:val="auto"/>
              <w:highlight w:val="none"/>
            </w:rPr>
            <w:fldChar w:fldCharType="separate"/>
          </w:r>
          <w:r>
            <w:rPr>
              <w:rFonts w:hint="eastAsia" w:ascii="仿宋" w:hAnsi="仿宋" w:eastAsia="仿宋" w:cs="仿宋"/>
              <w:bCs w:val="0"/>
              <w:color w:val="auto"/>
              <w:highlight w:val="none"/>
            </w:rPr>
            <w:t xml:space="preserve">3.6   </w:t>
          </w:r>
          <w:r>
            <w:rPr>
              <w:rFonts w:hint="eastAsia" w:ascii="仿宋" w:hAnsi="仿宋" w:eastAsia="仿宋" w:cs="仿宋"/>
              <w:bCs w:val="0"/>
              <w:color w:val="auto"/>
              <w:highlight w:val="none"/>
              <w:lang w:val="en-US" w:eastAsia="zh-CN"/>
            </w:rPr>
            <w:t xml:space="preserve">  </w:t>
          </w:r>
          <w:r>
            <w:rPr>
              <w:rFonts w:hint="eastAsia" w:ascii="仿宋" w:hAnsi="仿宋" w:eastAsia="仿宋" w:cs="仿宋"/>
              <w:bCs w:val="0"/>
              <w:color w:val="auto"/>
              <w:highlight w:val="none"/>
            </w:rPr>
            <w:t>残疾人福利性单位声明函</w:t>
          </w:r>
          <w:r>
            <w:rPr>
              <w:color w:val="auto"/>
            </w:rPr>
            <w:tab/>
          </w:r>
          <w:r>
            <w:rPr>
              <w:color w:val="auto"/>
            </w:rPr>
            <w:fldChar w:fldCharType="begin"/>
          </w:r>
          <w:r>
            <w:rPr>
              <w:color w:val="auto"/>
            </w:rPr>
            <w:instrText xml:space="preserve"> PAGEREF _Toc8547 \h </w:instrText>
          </w:r>
          <w:r>
            <w:rPr>
              <w:color w:val="auto"/>
            </w:rPr>
            <w:fldChar w:fldCharType="separate"/>
          </w:r>
          <w:r>
            <w:rPr>
              <w:color w:val="auto"/>
            </w:rPr>
            <w:t>67</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_Toc12594 </w:instrText>
          </w:r>
          <w:r>
            <w:rPr>
              <w:color w:val="auto"/>
              <w:highlight w:val="none"/>
            </w:rPr>
            <w:fldChar w:fldCharType="separate"/>
          </w:r>
          <w:r>
            <w:rPr>
              <w:rFonts w:hint="eastAsia" w:ascii="仿宋" w:hAnsi="仿宋" w:eastAsia="仿宋" w:cs="仿宋"/>
              <w:bCs w:val="0"/>
              <w:color w:val="auto"/>
              <w:highlight w:val="none"/>
            </w:rPr>
            <w:t xml:space="preserve">3.7   </w:t>
          </w:r>
          <w:r>
            <w:rPr>
              <w:rFonts w:hint="eastAsia" w:ascii="仿宋" w:hAnsi="仿宋" w:eastAsia="仿宋" w:cs="仿宋"/>
              <w:bCs w:val="0"/>
              <w:color w:val="auto"/>
              <w:highlight w:val="none"/>
              <w:lang w:val="en-US" w:eastAsia="zh-CN"/>
            </w:rPr>
            <w:t xml:space="preserve">  </w:t>
          </w:r>
          <w:r>
            <w:rPr>
              <w:rFonts w:hint="eastAsia" w:ascii="仿宋" w:hAnsi="仿宋" w:eastAsia="仿宋" w:cs="仿宋"/>
              <w:bCs w:val="0"/>
              <w:color w:val="auto"/>
              <w:highlight w:val="none"/>
            </w:rPr>
            <w:t>监狱企业证明</w:t>
          </w:r>
          <w:r>
            <w:rPr>
              <w:color w:val="auto"/>
            </w:rPr>
            <w:tab/>
          </w:r>
          <w:r>
            <w:rPr>
              <w:color w:val="auto"/>
            </w:rPr>
            <w:fldChar w:fldCharType="begin"/>
          </w:r>
          <w:r>
            <w:rPr>
              <w:color w:val="auto"/>
            </w:rPr>
            <w:instrText xml:space="preserve"> PAGEREF _Toc12594 \h </w:instrText>
          </w:r>
          <w:r>
            <w:rPr>
              <w:color w:val="auto"/>
            </w:rPr>
            <w:fldChar w:fldCharType="separate"/>
          </w:r>
          <w:r>
            <w:rPr>
              <w:color w:val="auto"/>
            </w:rPr>
            <w:t>68</w:t>
          </w:r>
          <w:r>
            <w:rPr>
              <w:color w:val="auto"/>
            </w:rPr>
            <w:fldChar w:fldCharType="end"/>
          </w:r>
          <w:r>
            <w:rPr>
              <w:color w:val="auto"/>
              <w:highlight w:val="none"/>
            </w:rPr>
            <w:fldChar w:fldCharType="end"/>
          </w:r>
        </w:p>
        <w:p>
          <w:pPr>
            <w:pStyle w:val="4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_Toc24448 </w:instrText>
          </w:r>
          <w:r>
            <w:rPr>
              <w:color w:val="auto"/>
              <w:highlight w:val="none"/>
            </w:rPr>
            <w:fldChar w:fldCharType="separate"/>
          </w:r>
          <w:r>
            <w:rPr>
              <w:rFonts w:hint="eastAsia" w:ascii="仿宋" w:hAnsi="仿宋" w:eastAsia="仿宋" w:cs="仿宋"/>
              <w:color w:val="auto"/>
              <w:szCs w:val="36"/>
              <w:highlight w:val="none"/>
            </w:rPr>
            <w:t>第七部分 评审办法</w:t>
          </w:r>
          <w:r>
            <w:rPr>
              <w:color w:val="auto"/>
            </w:rPr>
            <w:tab/>
          </w:r>
          <w:r>
            <w:rPr>
              <w:color w:val="auto"/>
            </w:rPr>
            <w:fldChar w:fldCharType="begin"/>
          </w:r>
          <w:r>
            <w:rPr>
              <w:color w:val="auto"/>
            </w:rPr>
            <w:instrText xml:space="preserve"> PAGEREF _Toc24448 \h </w:instrText>
          </w:r>
          <w:r>
            <w:rPr>
              <w:color w:val="auto"/>
            </w:rPr>
            <w:fldChar w:fldCharType="separate"/>
          </w:r>
          <w:r>
            <w:rPr>
              <w:color w:val="auto"/>
            </w:rPr>
            <w:t>70</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_Toc21782 </w:instrText>
          </w:r>
          <w:r>
            <w:rPr>
              <w:color w:val="auto"/>
              <w:highlight w:val="none"/>
            </w:rPr>
            <w:fldChar w:fldCharType="separate"/>
          </w:r>
          <w:r>
            <w:rPr>
              <w:rFonts w:hint="eastAsia" w:ascii="仿宋" w:hAnsi="仿宋" w:eastAsia="仿宋" w:cs="仿宋"/>
              <w:bCs/>
              <w:color w:val="auto"/>
              <w:kern w:val="2"/>
              <w:szCs w:val="30"/>
              <w:lang w:val="en-US"/>
            </w:rPr>
            <w:t xml:space="preserve">一、 </w:t>
          </w:r>
          <w:r>
            <w:rPr>
              <w:rFonts w:hint="eastAsia" w:ascii="仿宋" w:hAnsi="仿宋" w:eastAsia="仿宋" w:cs="仿宋"/>
              <w:bCs/>
              <w:color w:val="auto"/>
              <w:kern w:val="2"/>
              <w:szCs w:val="30"/>
              <w:highlight w:val="none"/>
              <w:lang w:val="en-US"/>
            </w:rPr>
            <w:t>评审方法</w:t>
          </w:r>
          <w:r>
            <w:rPr>
              <w:color w:val="auto"/>
            </w:rPr>
            <w:tab/>
          </w:r>
          <w:r>
            <w:rPr>
              <w:color w:val="auto"/>
            </w:rPr>
            <w:fldChar w:fldCharType="begin"/>
          </w:r>
          <w:r>
            <w:rPr>
              <w:color w:val="auto"/>
            </w:rPr>
            <w:instrText xml:space="preserve"> PAGEREF _Toc21782 \h </w:instrText>
          </w:r>
          <w:r>
            <w:rPr>
              <w:color w:val="auto"/>
            </w:rPr>
            <w:fldChar w:fldCharType="separate"/>
          </w:r>
          <w:r>
            <w:rPr>
              <w:color w:val="auto"/>
            </w:rPr>
            <w:t>70</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_Toc26051 </w:instrText>
          </w:r>
          <w:r>
            <w:rPr>
              <w:color w:val="auto"/>
              <w:highlight w:val="none"/>
            </w:rPr>
            <w:fldChar w:fldCharType="separate"/>
          </w:r>
          <w:r>
            <w:rPr>
              <w:rFonts w:hint="eastAsia" w:ascii="仿宋" w:hAnsi="仿宋" w:eastAsia="仿宋" w:cs="仿宋"/>
              <w:bCs/>
              <w:color w:val="auto"/>
              <w:kern w:val="2"/>
              <w:szCs w:val="30"/>
              <w:lang w:val="en-US"/>
            </w:rPr>
            <w:t xml:space="preserve">二、 </w:t>
          </w:r>
          <w:r>
            <w:rPr>
              <w:rFonts w:hint="eastAsia" w:ascii="仿宋" w:hAnsi="仿宋" w:eastAsia="仿宋" w:cs="仿宋"/>
              <w:bCs/>
              <w:color w:val="auto"/>
              <w:kern w:val="2"/>
              <w:szCs w:val="30"/>
              <w:highlight w:val="none"/>
              <w:lang w:val="en-US"/>
            </w:rPr>
            <w:t>评审标准</w:t>
          </w:r>
          <w:r>
            <w:rPr>
              <w:color w:val="auto"/>
            </w:rPr>
            <w:tab/>
          </w:r>
          <w:r>
            <w:rPr>
              <w:color w:val="auto"/>
            </w:rPr>
            <w:fldChar w:fldCharType="begin"/>
          </w:r>
          <w:r>
            <w:rPr>
              <w:color w:val="auto"/>
            </w:rPr>
            <w:instrText xml:space="preserve"> PAGEREF _Toc26051 \h </w:instrText>
          </w:r>
          <w:r>
            <w:rPr>
              <w:color w:val="auto"/>
            </w:rPr>
            <w:fldChar w:fldCharType="separate"/>
          </w:r>
          <w:r>
            <w:rPr>
              <w:color w:val="auto"/>
            </w:rPr>
            <w:t>72</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_Toc18078 </w:instrText>
          </w:r>
          <w:r>
            <w:rPr>
              <w:color w:val="auto"/>
              <w:highlight w:val="none"/>
            </w:rPr>
            <w:fldChar w:fldCharType="separate"/>
          </w:r>
          <w:r>
            <w:rPr>
              <w:rFonts w:hint="eastAsia" w:ascii="仿宋" w:hAnsi="仿宋" w:eastAsia="仿宋" w:cs="仿宋"/>
              <w:bCs/>
              <w:color w:val="auto"/>
              <w:kern w:val="2"/>
              <w:szCs w:val="30"/>
              <w:lang w:val="en-US"/>
            </w:rPr>
            <w:t xml:space="preserve">三、 </w:t>
          </w:r>
          <w:r>
            <w:rPr>
              <w:rFonts w:hint="eastAsia" w:ascii="仿宋" w:hAnsi="仿宋" w:eastAsia="仿宋" w:cs="仿宋"/>
              <w:bCs/>
              <w:color w:val="auto"/>
              <w:kern w:val="2"/>
              <w:szCs w:val="30"/>
              <w:highlight w:val="none"/>
              <w:lang w:val="en-US"/>
            </w:rPr>
            <w:t>评审内容及标准</w:t>
          </w:r>
          <w:r>
            <w:rPr>
              <w:color w:val="auto"/>
            </w:rPr>
            <w:tab/>
          </w:r>
          <w:r>
            <w:rPr>
              <w:color w:val="auto"/>
            </w:rPr>
            <w:fldChar w:fldCharType="begin"/>
          </w:r>
          <w:r>
            <w:rPr>
              <w:color w:val="auto"/>
            </w:rPr>
            <w:instrText xml:space="preserve"> PAGEREF _Toc18078 \h </w:instrText>
          </w:r>
          <w:r>
            <w:rPr>
              <w:color w:val="auto"/>
            </w:rPr>
            <w:fldChar w:fldCharType="separate"/>
          </w:r>
          <w:r>
            <w:rPr>
              <w:color w:val="auto"/>
            </w:rPr>
            <w:t>72</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_Toc30172 </w:instrText>
          </w:r>
          <w:r>
            <w:rPr>
              <w:color w:val="auto"/>
              <w:highlight w:val="none"/>
            </w:rPr>
            <w:fldChar w:fldCharType="separate"/>
          </w:r>
          <w:r>
            <w:rPr>
              <w:rFonts w:hint="eastAsia" w:ascii="仿宋" w:hAnsi="仿宋" w:eastAsia="仿宋" w:cs="仿宋"/>
              <w:bCs/>
              <w:color w:val="auto"/>
              <w:kern w:val="2"/>
              <w:szCs w:val="30"/>
              <w:lang w:val="en-US"/>
            </w:rPr>
            <w:t xml:space="preserve">四、 </w:t>
          </w:r>
          <w:r>
            <w:rPr>
              <w:rFonts w:hint="eastAsia" w:ascii="仿宋" w:hAnsi="仿宋" w:eastAsia="仿宋" w:cs="仿宋"/>
              <w:bCs/>
              <w:color w:val="auto"/>
              <w:kern w:val="2"/>
              <w:szCs w:val="30"/>
              <w:highlight w:val="none"/>
              <w:lang w:val="en-US"/>
            </w:rPr>
            <w:t>评审程序</w:t>
          </w:r>
          <w:r>
            <w:rPr>
              <w:color w:val="auto"/>
            </w:rPr>
            <w:tab/>
          </w:r>
          <w:r>
            <w:rPr>
              <w:color w:val="auto"/>
            </w:rPr>
            <w:fldChar w:fldCharType="begin"/>
          </w:r>
          <w:r>
            <w:rPr>
              <w:color w:val="auto"/>
            </w:rPr>
            <w:instrText xml:space="preserve"> PAGEREF _Toc30172 \h </w:instrText>
          </w:r>
          <w:r>
            <w:rPr>
              <w:color w:val="auto"/>
            </w:rPr>
            <w:fldChar w:fldCharType="separate"/>
          </w:r>
          <w:r>
            <w:rPr>
              <w:color w:val="auto"/>
            </w:rPr>
            <w:t>75</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_Toc4961 </w:instrText>
          </w:r>
          <w:r>
            <w:rPr>
              <w:color w:val="auto"/>
              <w:highlight w:val="none"/>
            </w:rPr>
            <w:fldChar w:fldCharType="separate"/>
          </w:r>
          <w:r>
            <w:rPr>
              <w:rFonts w:hint="eastAsia" w:ascii="仿宋" w:hAnsi="仿宋" w:eastAsia="仿宋" w:cs="仿宋"/>
              <w:bCs/>
              <w:color w:val="auto"/>
              <w:kern w:val="2"/>
              <w:szCs w:val="30"/>
              <w:lang w:val="en-US"/>
            </w:rPr>
            <w:t xml:space="preserve">五、 </w:t>
          </w:r>
          <w:r>
            <w:rPr>
              <w:rFonts w:hint="eastAsia" w:ascii="仿宋" w:hAnsi="仿宋" w:eastAsia="仿宋" w:cs="仿宋"/>
              <w:bCs/>
              <w:color w:val="auto"/>
              <w:kern w:val="2"/>
              <w:szCs w:val="30"/>
              <w:highlight w:val="none"/>
              <w:lang w:val="en-US"/>
            </w:rPr>
            <w:t>评审中的其他事项</w:t>
          </w:r>
          <w:r>
            <w:rPr>
              <w:color w:val="auto"/>
            </w:rPr>
            <w:tab/>
          </w:r>
          <w:r>
            <w:rPr>
              <w:color w:val="auto"/>
            </w:rPr>
            <w:fldChar w:fldCharType="begin"/>
          </w:r>
          <w:r>
            <w:rPr>
              <w:color w:val="auto"/>
            </w:rPr>
            <w:instrText xml:space="preserve"> PAGEREF _Toc4961 \h </w:instrText>
          </w:r>
          <w:r>
            <w:rPr>
              <w:color w:val="auto"/>
            </w:rPr>
            <w:fldChar w:fldCharType="separate"/>
          </w:r>
          <w:r>
            <w:rPr>
              <w:color w:val="auto"/>
            </w:rPr>
            <w:t>77</w:t>
          </w:r>
          <w:r>
            <w:rPr>
              <w:color w:val="auto"/>
            </w:rPr>
            <w:fldChar w:fldCharType="end"/>
          </w:r>
          <w:r>
            <w:rPr>
              <w:color w:val="auto"/>
              <w:highlight w:val="none"/>
            </w:rPr>
            <w:fldChar w:fldCharType="end"/>
          </w:r>
        </w:p>
        <w:p>
          <w:pPr>
            <w:pStyle w:val="54"/>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_Toc5894 </w:instrText>
          </w:r>
          <w:r>
            <w:rPr>
              <w:color w:val="auto"/>
              <w:highlight w:val="none"/>
            </w:rPr>
            <w:fldChar w:fldCharType="separate"/>
          </w:r>
          <w:r>
            <w:rPr>
              <w:rFonts w:hint="eastAsia" w:ascii="仿宋" w:hAnsi="仿宋" w:eastAsia="仿宋" w:cs="仿宋"/>
              <w:bCs/>
              <w:color w:val="auto"/>
              <w:kern w:val="2"/>
              <w:szCs w:val="30"/>
              <w:lang w:val="en-US"/>
            </w:rPr>
            <w:t xml:space="preserve">六、 </w:t>
          </w:r>
          <w:r>
            <w:rPr>
              <w:rFonts w:hint="eastAsia" w:ascii="仿宋" w:hAnsi="仿宋" w:eastAsia="仿宋" w:cs="仿宋"/>
              <w:bCs/>
              <w:color w:val="auto"/>
              <w:kern w:val="2"/>
              <w:szCs w:val="30"/>
              <w:highlight w:val="none"/>
              <w:lang w:val="en-US"/>
            </w:rPr>
            <w:t>评审过程的保密与录像</w:t>
          </w:r>
          <w:r>
            <w:rPr>
              <w:color w:val="auto"/>
            </w:rPr>
            <w:tab/>
          </w:r>
          <w:r>
            <w:rPr>
              <w:color w:val="auto"/>
            </w:rPr>
            <w:fldChar w:fldCharType="begin"/>
          </w:r>
          <w:r>
            <w:rPr>
              <w:color w:val="auto"/>
            </w:rPr>
            <w:instrText xml:space="preserve"> PAGEREF _Toc5894 \h </w:instrText>
          </w:r>
          <w:r>
            <w:rPr>
              <w:color w:val="auto"/>
            </w:rPr>
            <w:fldChar w:fldCharType="separate"/>
          </w:r>
          <w:r>
            <w:rPr>
              <w:color w:val="auto"/>
            </w:rPr>
            <w:t>80</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_Toc7596 </w:instrText>
          </w:r>
          <w:r>
            <w:rPr>
              <w:color w:val="auto"/>
              <w:highlight w:val="none"/>
            </w:rPr>
            <w:fldChar w:fldCharType="separate"/>
          </w:r>
          <w:r>
            <w:rPr>
              <w:rFonts w:hint="eastAsia" w:ascii="仿宋" w:hAnsi="仿宋" w:eastAsia="仿宋" w:cs="仿宋"/>
              <w:color w:val="auto"/>
              <w:szCs w:val="28"/>
            </w:rPr>
            <w:t>附件1：质疑函范本及制作说明</w:t>
          </w:r>
          <w:r>
            <w:rPr>
              <w:color w:val="auto"/>
            </w:rPr>
            <w:tab/>
          </w:r>
          <w:r>
            <w:rPr>
              <w:color w:val="auto"/>
            </w:rPr>
            <w:fldChar w:fldCharType="begin"/>
          </w:r>
          <w:r>
            <w:rPr>
              <w:color w:val="auto"/>
            </w:rPr>
            <w:instrText xml:space="preserve"> PAGEREF _Toc7596 \h </w:instrText>
          </w:r>
          <w:r>
            <w:rPr>
              <w:color w:val="auto"/>
            </w:rPr>
            <w:fldChar w:fldCharType="separate"/>
          </w:r>
          <w:r>
            <w:rPr>
              <w:color w:val="auto"/>
            </w:rPr>
            <w:t>82</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_Toc8811 </w:instrText>
          </w:r>
          <w:r>
            <w:rPr>
              <w:color w:val="auto"/>
              <w:highlight w:val="none"/>
            </w:rPr>
            <w:fldChar w:fldCharType="separate"/>
          </w:r>
          <w:r>
            <w:rPr>
              <w:rFonts w:hint="eastAsia" w:ascii="仿宋" w:hAnsi="仿宋" w:eastAsia="仿宋" w:cs="仿宋"/>
              <w:color w:val="auto"/>
              <w:szCs w:val="28"/>
            </w:rPr>
            <w:t>附件2：投诉书范本及制作说明</w:t>
          </w:r>
          <w:r>
            <w:rPr>
              <w:color w:val="auto"/>
            </w:rPr>
            <w:tab/>
          </w:r>
          <w:r>
            <w:rPr>
              <w:color w:val="auto"/>
            </w:rPr>
            <w:fldChar w:fldCharType="begin"/>
          </w:r>
          <w:r>
            <w:rPr>
              <w:color w:val="auto"/>
            </w:rPr>
            <w:instrText xml:space="preserve"> PAGEREF _Toc8811 \h </w:instrText>
          </w:r>
          <w:r>
            <w:rPr>
              <w:color w:val="auto"/>
            </w:rPr>
            <w:fldChar w:fldCharType="separate"/>
          </w:r>
          <w:r>
            <w:rPr>
              <w:color w:val="auto"/>
            </w:rPr>
            <w:t>84</w:t>
          </w:r>
          <w:r>
            <w:rPr>
              <w:color w:val="auto"/>
            </w:rPr>
            <w:fldChar w:fldCharType="end"/>
          </w:r>
          <w:r>
            <w:rPr>
              <w:color w:val="auto"/>
              <w:highlight w:val="none"/>
            </w:rPr>
            <w:fldChar w:fldCharType="end"/>
          </w:r>
        </w:p>
        <w:p>
          <w:pPr>
            <w:pStyle w:val="33"/>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ind w:left="0" w:leftChars="0" w:firstLine="420" w:firstLineChars="200"/>
            <w:textAlignment w:val="auto"/>
            <w:rPr>
              <w:color w:val="auto"/>
            </w:rPr>
          </w:pPr>
          <w:r>
            <w:rPr>
              <w:color w:val="auto"/>
              <w:highlight w:val="none"/>
            </w:rPr>
            <w:fldChar w:fldCharType="begin"/>
          </w:r>
          <w:r>
            <w:rPr>
              <w:color w:val="auto"/>
              <w:highlight w:val="none"/>
            </w:rPr>
            <w:instrText xml:space="preserve"> HYPERLINK \l _Toc8647 </w:instrText>
          </w:r>
          <w:r>
            <w:rPr>
              <w:color w:val="auto"/>
              <w:highlight w:val="none"/>
            </w:rPr>
            <w:fldChar w:fldCharType="separate"/>
          </w:r>
          <w:r>
            <w:rPr>
              <w:rFonts w:hint="eastAsia" w:ascii="仿宋" w:hAnsi="仿宋" w:eastAsia="仿宋" w:cs="仿宋"/>
              <w:color w:val="auto"/>
              <w:szCs w:val="28"/>
            </w:rPr>
            <w:t>附件</w:t>
          </w:r>
          <w:r>
            <w:rPr>
              <w:rFonts w:hint="eastAsia" w:ascii="仿宋" w:hAnsi="仿宋" w:eastAsia="仿宋" w:cs="仿宋"/>
              <w:color w:val="auto"/>
              <w:szCs w:val="28"/>
              <w:lang w:val="en-US" w:eastAsia="zh-CN"/>
            </w:rPr>
            <w:t>3</w:t>
          </w:r>
          <w:r>
            <w:rPr>
              <w:rFonts w:hint="eastAsia" w:ascii="仿宋" w:hAnsi="仿宋" w:eastAsia="仿宋" w:cs="仿宋"/>
              <w:color w:val="auto"/>
              <w:szCs w:val="28"/>
            </w:rPr>
            <w:t>:</w:t>
          </w:r>
          <w:r>
            <w:rPr>
              <w:rFonts w:hint="eastAsia" w:ascii="仿宋" w:hAnsi="仿宋" w:eastAsia="仿宋" w:cs="仿宋"/>
              <w:color w:val="auto"/>
              <w:szCs w:val="28"/>
              <w:lang w:val="en-US" w:eastAsia="zh-CN"/>
            </w:rPr>
            <w:t xml:space="preserve"> 政府采购活动现场确认书</w:t>
          </w:r>
          <w:r>
            <w:rPr>
              <w:color w:val="auto"/>
            </w:rPr>
            <w:tab/>
          </w:r>
          <w:r>
            <w:rPr>
              <w:color w:val="auto"/>
            </w:rPr>
            <w:fldChar w:fldCharType="begin"/>
          </w:r>
          <w:r>
            <w:rPr>
              <w:color w:val="auto"/>
            </w:rPr>
            <w:instrText xml:space="preserve"> PAGEREF _Toc8647 \h </w:instrText>
          </w:r>
          <w:r>
            <w:rPr>
              <w:color w:val="auto"/>
            </w:rPr>
            <w:fldChar w:fldCharType="separate"/>
          </w:r>
          <w:r>
            <w:rPr>
              <w:color w:val="auto"/>
            </w:rPr>
            <w:t>86</w:t>
          </w:r>
          <w:r>
            <w:rPr>
              <w:color w:val="auto"/>
            </w:rPr>
            <w:fldChar w:fldCharType="end"/>
          </w:r>
          <w:r>
            <w:rPr>
              <w:color w:val="auto"/>
              <w:highlight w:val="none"/>
            </w:rPr>
            <w:fldChar w:fldCharType="end"/>
          </w:r>
        </w:p>
        <w:p>
          <w:pPr>
            <w:spacing w:line="360" w:lineRule="auto"/>
            <w:rPr>
              <w:color w:val="auto"/>
              <w:highlight w:val="none"/>
            </w:rPr>
          </w:pPr>
          <w:r>
            <w:rPr>
              <w:color w:val="auto"/>
              <w:highlight w:val="none"/>
            </w:rPr>
            <w:fldChar w:fldCharType="end"/>
          </w:r>
        </w:p>
      </w:sdtContent>
    </w:sdt>
    <w:p>
      <w:pPr>
        <w:bidi w:val="0"/>
        <w:rPr>
          <w:color w:val="auto"/>
        </w:rPr>
      </w:pPr>
    </w:p>
    <w:p>
      <w:pPr>
        <w:rPr>
          <w:color w:val="auto"/>
          <w:highlight w:val="none"/>
        </w:rPr>
      </w:pPr>
    </w:p>
    <w:p>
      <w:pPr>
        <w:pStyle w:val="3"/>
        <w:spacing w:before="0" w:after="0" w:line="480" w:lineRule="auto"/>
        <w:ind w:left="431" w:hanging="431"/>
        <w:jc w:val="center"/>
        <w:rPr>
          <w:rFonts w:ascii="仿宋" w:hAnsi="仿宋" w:eastAsia="仿宋" w:cs="仿宋"/>
          <w:color w:val="auto"/>
          <w:sz w:val="36"/>
          <w:szCs w:val="36"/>
          <w:highlight w:val="none"/>
        </w:rPr>
      </w:pPr>
      <w:bookmarkStart w:id="12" w:name="_Toc26173"/>
      <w:r>
        <w:rPr>
          <w:rFonts w:hint="eastAsia" w:ascii="仿宋" w:hAnsi="仿宋" w:eastAsia="仿宋" w:cs="仿宋"/>
          <w:color w:val="auto"/>
          <w:sz w:val="36"/>
          <w:szCs w:val="36"/>
          <w:highlight w:val="none"/>
        </w:rPr>
        <w:t>第一部分 竞争性磋商公告（邀请）</w:t>
      </w:r>
      <w:bookmarkEnd w:id="12"/>
    </w:p>
    <w:p>
      <w:pPr>
        <w:pBdr>
          <w:top w:val="single" w:color="auto" w:sz="4" w:space="0"/>
          <w:left w:val="single" w:color="auto" w:sz="4" w:space="4"/>
          <w:bottom w:val="single" w:color="auto" w:sz="4" w:space="1"/>
          <w:right w:val="single" w:color="auto" w:sz="4" w:space="4"/>
        </w:pBdr>
        <w:wordWrap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项目概况：</w:t>
      </w:r>
    </w:p>
    <w:p>
      <w:pPr>
        <w:pBdr>
          <w:top w:val="single" w:color="auto" w:sz="4" w:space="0"/>
          <w:left w:val="single" w:color="auto" w:sz="4" w:space="4"/>
          <w:bottom w:val="single" w:color="auto" w:sz="4" w:space="1"/>
          <w:right w:val="single" w:color="auto" w:sz="4" w:space="4"/>
        </w:pBdr>
        <w:wordWrap w:val="0"/>
        <w:spacing w:line="360" w:lineRule="auto"/>
        <w:ind w:firstLine="482" w:firstLineChars="200"/>
        <w:rPr>
          <w:rFonts w:ascii="仿宋" w:hAnsi="仿宋" w:eastAsia="仿宋" w:cs="仿宋"/>
          <w:color w:val="auto"/>
          <w:sz w:val="24"/>
          <w:highlight w:val="none"/>
        </w:rPr>
      </w:pPr>
      <w:r>
        <w:rPr>
          <w:rFonts w:hint="eastAsia" w:ascii="仿宋" w:hAnsi="仿宋" w:eastAsia="仿宋" w:cs="仿宋"/>
          <w:b/>
          <w:bCs/>
          <w:color w:val="auto"/>
          <w:sz w:val="24"/>
          <w:highlight w:val="none"/>
          <w:u w:val="single"/>
          <w:lang w:eastAsia="zh-CN"/>
        </w:rPr>
        <w:t>景宁畲族自治县经济商务科技局科技成果转移转化公共服务平台建设项目（景宁科技大市场）</w:t>
      </w:r>
      <w:r>
        <w:rPr>
          <w:rFonts w:hint="eastAsia" w:ascii="仿宋" w:hAnsi="仿宋" w:eastAsia="仿宋" w:cs="仿宋"/>
          <w:color w:val="auto"/>
          <w:sz w:val="24"/>
          <w:highlight w:val="none"/>
        </w:rPr>
        <w:t>的潜在供应商应在政采云平台线上获取（下载）采购文件，并于</w:t>
      </w:r>
      <w:r>
        <w:rPr>
          <w:rFonts w:hint="eastAsia" w:ascii="仿宋" w:hAnsi="仿宋" w:eastAsia="仿宋" w:cs="仿宋"/>
          <w:bCs/>
          <w:snapToGrid w:val="0"/>
          <w:color w:val="auto"/>
          <w:sz w:val="24"/>
          <w:highlight w:val="none"/>
          <w:u w:val="single"/>
          <w:lang w:eastAsia="zh-CN"/>
        </w:rPr>
        <w:t>2024</w:t>
      </w:r>
      <w:r>
        <w:rPr>
          <w:rFonts w:hint="eastAsia" w:ascii="仿宋" w:hAnsi="仿宋" w:eastAsia="仿宋" w:cs="仿宋"/>
          <w:bCs/>
          <w:color w:val="auto"/>
          <w:sz w:val="24"/>
          <w:highlight w:val="none"/>
        </w:rPr>
        <w:t>年</w:t>
      </w:r>
      <w:r>
        <w:rPr>
          <w:rFonts w:hint="eastAsia" w:ascii="仿宋" w:hAnsi="仿宋" w:eastAsia="仿宋" w:cs="仿宋"/>
          <w:bCs/>
          <w:snapToGrid w:val="0"/>
          <w:color w:val="auto"/>
          <w:sz w:val="24"/>
          <w:highlight w:val="none"/>
          <w:u w:val="single"/>
          <w:lang w:val="en-US" w:eastAsia="zh-CN"/>
        </w:rPr>
        <w:t xml:space="preserve"> 3 </w:t>
      </w:r>
      <w:r>
        <w:rPr>
          <w:rFonts w:hint="eastAsia" w:ascii="仿宋" w:hAnsi="仿宋" w:eastAsia="仿宋" w:cs="仿宋"/>
          <w:bCs/>
          <w:color w:val="auto"/>
          <w:sz w:val="24"/>
          <w:highlight w:val="none"/>
        </w:rPr>
        <w:t>月</w:t>
      </w:r>
      <w:r>
        <w:rPr>
          <w:rFonts w:hint="eastAsia" w:ascii="仿宋" w:hAnsi="仿宋" w:eastAsia="仿宋" w:cs="仿宋"/>
          <w:bCs/>
          <w:snapToGrid w:val="0"/>
          <w:color w:val="auto"/>
          <w:sz w:val="24"/>
          <w:highlight w:val="none"/>
          <w:u w:val="single"/>
          <w:lang w:val="en-US" w:eastAsia="zh-CN"/>
        </w:rPr>
        <w:t xml:space="preserve"> 26 </w:t>
      </w:r>
      <w:r>
        <w:rPr>
          <w:rFonts w:hint="eastAsia" w:ascii="仿宋" w:hAnsi="仿宋" w:eastAsia="仿宋" w:cs="仿宋"/>
          <w:bCs/>
          <w:color w:val="auto"/>
          <w:sz w:val="24"/>
          <w:highlight w:val="none"/>
        </w:rPr>
        <w:t>日</w:t>
      </w:r>
      <w:r>
        <w:rPr>
          <w:rFonts w:hint="eastAsia" w:ascii="仿宋" w:hAnsi="仿宋" w:eastAsia="仿宋" w:cs="仿宋"/>
          <w:bCs/>
          <w:snapToGrid w:val="0"/>
          <w:color w:val="auto"/>
          <w:sz w:val="24"/>
          <w:highlight w:val="none"/>
          <w:u w:val="single"/>
          <w:lang w:val="en-US" w:eastAsia="zh-CN"/>
        </w:rPr>
        <w:t xml:space="preserve"> 14：30 </w:t>
      </w:r>
      <w:r>
        <w:rPr>
          <w:rFonts w:hint="eastAsia" w:ascii="仿宋" w:hAnsi="仿宋" w:eastAsia="仿宋" w:cs="仿宋"/>
          <w:bCs/>
          <w:color w:val="auto"/>
          <w:sz w:val="24"/>
          <w:highlight w:val="none"/>
        </w:rPr>
        <w:t>（北京时间）前提交(上传）响应文件</w:t>
      </w:r>
      <w:r>
        <w:rPr>
          <w:rFonts w:hint="eastAsia" w:ascii="仿宋" w:hAnsi="仿宋" w:eastAsia="仿宋" w:cs="仿宋"/>
          <w:color w:val="auto"/>
          <w:sz w:val="24"/>
          <w:highlight w:val="none"/>
        </w:rPr>
        <w:t>。</w:t>
      </w: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pPr>
        <w:snapToGrid w:val="0"/>
        <w:spacing w:line="360" w:lineRule="auto"/>
        <w:ind w:firstLine="480" w:firstLineChars="200"/>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rPr>
        <w:t>项目编号：</w:t>
      </w:r>
      <w:r>
        <w:rPr>
          <w:rFonts w:hint="eastAsia" w:ascii="仿宋" w:hAnsi="仿宋" w:eastAsia="仿宋" w:cs="仿宋"/>
          <w:bCs/>
          <w:color w:val="auto"/>
          <w:sz w:val="24"/>
          <w:highlight w:val="none"/>
          <w:lang w:eastAsia="zh-CN"/>
        </w:rPr>
        <w:t>JNJKC2024（CS)-021号</w:t>
      </w:r>
    </w:p>
    <w:p>
      <w:pPr>
        <w:snapToGrid w:val="0"/>
        <w:spacing w:line="360" w:lineRule="auto"/>
        <w:ind w:firstLine="480" w:firstLineChars="200"/>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rPr>
        <w:t>项目名称：</w:t>
      </w:r>
      <w:r>
        <w:rPr>
          <w:rFonts w:hint="eastAsia" w:ascii="仿宋" w:hAnsi="仿宋" w:eastAsia="仿宋" w:cs="仿宋"/>
          <w:bCs/>
          <w:color w:val="auto"/>
          <w:sz w:val="24"/>
          <w:highlight w:val="none"/>
          <w:lang w:eastAsia="zh-CN"/>
        </w:rPr>
        <w:t>景宁畲族自治县经济商务科技局科技成果转移转化公共服务平台建设项目（景宁科技大市场）</w:t>
      </w:r>
    </w:p>
    <w:p>
      <w:pPr>
        <w:wordWrap w:val="0"/>
        <w:spacing w:line="360"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采购方式：竞争性磋商</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预算金额：</w:t>
      </w:r>
      <w:r>
        <w:rPr>
          <w:rFonts w:hint="eastAsia" w:ascii="仿宋" w:hAnsi="仿宋" w:eastAsia="仿宋" w:cs="仿宋"/>
          <w:color w:val="auto"/>
          <w:sz w:val="24"/>
          <w:highlight w:val="none"/>
          <w:lang w:val="en-US" w:eastAsia="zh-CN"/>
        </w:rPr>
        <w:t>72</w:t>
      </w:r>
      <w:r>
        <w:rPr>
          <w:rFonts w:hint="eastAsia" w:ascii="仿宋" w:hAnsi="仿宋" w:eastAsia="仿宋" w:cs="仿宋"/>
          <w:color w:val="auto"/>
          <w:sz w:val="24"/>
          <w:highlight w:val="none"/>
        </w:rPr>
        <w:t>万元</w:t>
      </w:r>
    </w:p>
    <w:p>
      <w:pPr>
        <w:snapToGrid w:val="0"/>
        <w:spacing w:line="360"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最高限价：</w:t>
      </w:r>
      <w:r>
        <w:rPr>
          <w:rFonts w:hint="eastAsia" w:ascii="仿宋" w:hAnsi="仿宋" w:eastAsia="仿宋" w:cs="仿宋"/>
          <w:b/>
          <w:color w:val="auto"/>
          <w:sz w:val="24"/>
          <w:highlight w:val="none"/>
          <w:lang w:val="en-US" w:eastAsia="zh-CN"/>
        </w:rPr>
        <w:t>71</w:t>
      </w:r>
      <w:r>
        <w:rPr>
          <w:rFonts w:hint="eastAsia" w:ascii="仿宋" w:hAnsi="仿宋" w:eastAsia="仿宋" w:cs="仿宋"/>
          <w:b/>
          <w:color w:val="auto"/>
          <w:sz w:val="24"/>
          <w:highlight w:val="none"/>
        </w:rPr>
        <w:t>万元</w:t>
      </w:r>
    </w:p>
    <w:p>
      <w:pPr>
        <w:pStyle w:val="15"/>
        <w:spacing w:line="360" w:lineRule="auto"/>
        <w:ind w:firstLine="480" w:firstLineChars="200"/>
        <w:rPr>
          <w:rFonts w:ascii="仿宋" w:hAnsi="仿宋" w:eastAsia="仿宋" w:cs="仿宋"/>
          <w:snapToGrid/>
          <w:color w:val="auto"/>
          <w:kern w:val="2"/>
          <w:sz w:val="24"/>
          <w:szCs w:val="24"/>
          <w:highlight w:val="none"/>
        </w:rPr>
      </w:pPr>
      <w:r>
        <w:rPr>
          <w:rFonts w:hint="eastAsia" w:ascii="仿宋" w:hAnsi="仿宋" w:eastAsia="仿宋" w:cs="仿宋"/>
          <w:color w:val="auto"/>
          <w:sz w:val="24"/>
          <w:highlight w:val="none"/>
        </w:rPr>
        <w:t>采购需求：</w:t>
      </w:r>
      <w:r>
        <w:rPr>
          <w:rFonts w:hint="eastAsia" w:ascii="仿宋" w:hAnsi="仿宋" w:eastAsia="仿宋" w:cs="仿宋"/>
          <w:snapToGrid/>
          <w:color w:val="auto"/>
          <w:kern w:val="2"/>
          <w:sz w:val="24"/>
          <w:szCs w:val="24"/>
          <w:highlight w:val="none"/>
        </w:rPr>
        <w:t>主要内容为</w:t>
      </w:r>
      <w:r>
        <w:rPr>
          <w:rFonts w:hint="eastAsia" w:ascii="仿宋" w:hAnsi="仿宋" w:eastAsia="仿宋" w:cs="仿宋"/>
          <w:bCs/>
          <w:color w:val="auto"/>
          <w:sz w:val="24"/>
          <w:highlight w:val="none"/>
          <w:lang w:eastAsia="zh-CN"/>
        </w:rPr>
        <w:t>科技成果转移转化公共服务平台建设</w:t>
      </w:r>
      <w:r>
        <w:rPr>
          <w:rFonts w:hint="eastAsia" w:ascii="仿宋" w:hAnsi="仿宋" w:eastAsia="仿宋" w:cs="仿宋"/>
          <w:snapToGrid/>
          <w:color w:val="auto"/>
          <w:kern w:val="2"/>
          <w:sz w:val="24"/>
          <w:szCs w:val="24"/>
          <w:highlight w:val="none"/>
        </w:rPr>
        <w:t>，详见采购文件第二部分采购需求。</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数量：1</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单位：项</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简要规格描述：详见磋商文件</w:t>
      </w:r>
    </w:p>
    <w:p>
      <w:pPr>
        <w:pStyle w:val="23"/>
        <w:ind w:firstLine="480" w:firstLineChars="200"/>
        <w:rPr>
          <w:rFonts w:ascii="仿宋" w:hAnsi="仿宋" w:eastAsia="仿宋" w:cs="仿宋"/>
          <w:color w:val="auto"/>
          <w:highlight w:val="none"/>
          <w:lang w:val="en-US"/>
        </w:rPr>
      </w:pPr>
      <w:r>
        <w:rPr>
          <w:rFonts w:hint="eastAsia" w:ascii="仿宋" w:hAnsi="仿宋" w:eastAsia="仿宋" w:cs="仿宋"/>
          <w:color w:val="auto"/>
          <w:szCs w:val="24"/>
          <w:highlight w:val="none"/>
          <w:lang w:val="en-US"/>
        </w:rPr>
        <w:t>备注：</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合同履约期限：</w:t>
      </w:r>
      <w:r>
        <w:rPr>
          <w:rFonts w:hint="eastAsia" w:ascii="仿宋" w:hAnsi="仿宋" w:eastAsia="仿宋" w:cs="仿宋"/>
          <w:bCs/>
          <w:color w:val="auto"/>
          <w:sz w:val="24"/>
          <w:highlight w:val="none"/>
        </w:rPr>
        <w:t>详见竞争性磋商文件</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本项目接受联合体：</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是；</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否，不接受联合体理由：              。</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注：不得限制大中型企业与小微企业组成联合体参与。</w:t>
      </w:r>
    </w:p>
    <w:p>
      <w:pPr>
        <w:rPr>
          <w:rFonts w:ascii="仿宋" w:hAnsi="仿宋" w:eastAsia="仿宋" w:cs="仿宋"/>
          <w:color w:val="auto"/>
          <w:highlight w:val="none"/>
        </w:rPr>
      </w:pP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二、</w:t>
      </w:r>
      <w:bookmarkStart w:id="13" w:name="_Hlk101132948"/>
      <w:r>
        <w:rPr>
          <w:rFonts w:hint="eastAsia" w:ascii="仿宋" w:hAnsi="仿宋" w:eastAsia="仿宋" w:cs="仿宋"/>
          <w:b/>
          <w:color w:val="auto"/>
          <w:sz w:val="24"/>
          <w:highlight w:val="none"/>
        </w:rPr>
        <w:t>申请人的资格要求</w:t>
      </w:r>
      <w:bookmarkEnd w:id="13"/>
      <w:r>
        <w:rPr>
          <w:rFonts w:hint="eastAsia" w:ascii="仿宋" w:hAnsi="仿宋" w:eastAsia="仿宋" w:cs="仿宋"/>
          <w:b/>
          <w:color w:val="auto"/>
          <w:sz w:val="24"/>
          <w:highlight w:val="none"/>
        </w:rPr>
        <w:t>：</w:t>
      </w:r>
    </w:p>
    <w:p>
      <w:pPr>
        <w:spacing w:line="360" w:lineRule="auto"/>
        <w:ind w:firstLine="480"/>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w:t>
      </w:r>
      <w:r>
        <w:rPr>
          <w:rFonts w:hint="eastAsia" w:ascii="仿宋" w:hAnsi="仿宋" w:eastAsia="仿宋" w:cs="仿宋"/>
          <w:color w:val="auto"/>
          <w:sz w:val="24"/>
          <w:highlight w:val="none"/>
        </w:rPr>
        <w:t>重大税收违法失信主体</w:t>
      </w:r>
      <w:r>
        <w:rPr>
          <w:rFonts w:hint="eastAsia" w:ascii="仿宋" w:hAnsi="仿宋" w:eastAsia="仿宋" w:cs="仿宋"/>
          <w:snapToGrid w:val="0"/>
          <w:color w:val="auto"/>
          <w:kern w:val="28"/>
          <w:sz w:val="24"/>
          <w:szCs w:val="20"/>
          <w:highlight w:val="none"/>
        </w:rPr>
        <w:t>、政府采购严重违法失信行为记录名单；</w:t>
      </w:r>
    </w:p>
    <w:p>
      <w:pPr>
        <w:spacing w:line="360" w:lineRule="auto"/>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 xml:space="preserve">    2.</w:t>
      </w:r>
      <w:r>
        <w:rPr>
          <w:rFonts w:hint="eastAsia" w:ascii="仿宋" w:hAnsi="仿宋" w:eastAsia="仿宋" w:cs="仿宋"/>
          <w:color w:val="auto"/>
          <w:highlight w:val="none"/>
        </w:rPr>
        <w:t xml:space="preserve"> </w:t>
      </w:r>
      <w:r>
        <w:rPr>
          <w:rFonts w:hint="eastAsia" w:ascii="仿宋" w:hAnsi="仿宋" w:eastAsia="仿宋" w:cs="仿宋"/>
          <w:snapToGrid w:val="0"/>
          <w:color w:val="auto"/>
          <w:kern w:val="28"/>
          <w:sz w:val="24"/>
          <w:szCs w:val="20"/>
          <w:highlight w:val="none"/>
        </w:rPr>
        <w:t>以联合体形式参与的，提供联合协议(本项目不接受联合体或者供应商不以联合体形式参与的，则不需要提供) ；</w:t>
      </w:r>
    </w:p>
    <w:p>
      <w:pPr>
        <w:spacing w:line="360" w:lineRule="auto"/>
        <w:ind w:firstLine="480" w:firstLineChars="200"/>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无；</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ascii="仿宋" w:hAnsi="仿宋" w:eastAsia="仿宋" w:cs="仿宋"/>
          <w:color w:val="auto"/>
          <w:sz w:val="24"/>
          <w:highlight w:val="none"/>
        </w:rPr>
        <w:t xml:space="preserve"> </w:t>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pPr>
        <w:spacing w:line="360"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rPr>
        <w:t>服务</w:t>
      </w:r>
      <w:r>
        <w:rPr>
          <w:rFonts w:hint="eastAsia" w:ascii="仿宋" w:hAnsi="仿宋" w:eastAsia="仿宋" w:cs="仿宋"/>
          <w:color w:val="auto"/>
          <w:sz w:val="24"/>
          <w:highlight w:val="none"/>
        </w:rPr>
        <w:t>全部由符合政策要求的中小企业承接，提供中小企业声明函；</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rPr>
        <w:t>服务全部由符合政策要求的小微企业承接</w:t>
      </w:r>
      <w:r>
        <w:rPr>
          <w:rFonts w:hint="eastAsia" w:ascii="仿宋" w:hAnsi="仿宋" w:eastAsia="仿宋" w:cs="仿宋"/>
          <w:color w:val="auto"/>
          <w:sz w:val="24"/>
          <w:highlight w:val="none"/>
        </w:rPr>
        <w:t>，提供中小企业声明函；</w:t>
      </w:r>
    </w:p>
    <w:p>
      <w:pPr>
        <w:spacing w:line="360" w:lineRule="auto"/>
        <w:ind w:firstLine="480" w:firstLineChars="200"/>
        <w:rPr>
          <w:rFonts w:ascii="仿宋" w:hAnsi="仿宋" w:eastAsia="仿宋" w:cs="仿宋"/>
          <w:color w:val="auto"/>
          <w:sz w:val="24"/>
          <w:highlight w:val="none"/>
        </w:rPr>
      </w:pPr>
      <w:bookmarkStart w:id="14" w:name="_Hlk101132524"/>
      <w:r>
        <w:rPr>
          <w:rFonts w:hint="eastAsia" w:ascii="仿宋" w:hAnsi="仿宋" w:eastAsia="仿宋" w:cs="仿宋"/>
          <w:color w:val="auto"/>
          <w:sz w:val="24"/>
          <w:highlight w:val="none"/>
        </w:rPr>
        <w:t>□ 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bookmarkEnd w:id="14"/>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要求合同分包，提供分包意向协议和中小企业声明函，分包意向协议中中小企业合同金额应当达到达到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pPr>
        <w:numPr>
          <w:ilvl w:val="0"/>
          <w:numId w:val="1"/>
        </w:numPr>
        <w:spacing w:line="360" w:lineRule="auto"/>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本项目的特定资格要求：无</w:t>
      </w:r>
    </w:p>
    <w:p>
      <w:pPr>
        <w:numPr>
          <w:ilvl w:val="0"/>
          <w:numId w:val="1"/>
        </w:numPr>
        <w:spacing w:line="360" w:lineRule="auto"/>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 xml:space="preserve">其他要求: </w:t>
      </w: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三、获取采购文件 </w:t>
      </w:r>
    </w:p>
    <w:p>
      <w:p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发布公告之日至</w:t>
      </w:r>
      <w:r>
        <w:rPr>
          <w:rFonts w:hint="eastAsia" w:ascii="仿宋" w:hAnsi="仿宋" w:eastAsia="仿宋" w:cs="仿宋"/>
          <w:bCs/>
          <w:snapToGrid w:val="0"/>
          <w:color w:val="auto"/>
          <w:sz w:val="24"/>
          <w:highlight w:val="none"/>
          <w:u w:val="single"/>
          <w:lang w:eastAsia="zh-CN"/>
        </w:rPr>
        <w:t>2024</w:t>
      </w:r>
      <w:r>
        <w:rPr>
          <w:rFonts w:hint="eastAsia" w:ascii="仿宋" w:hAnsi="仿宋" w:eastAsia="仿宋" w:cs="仿宋"/>
          <w:bCs/>
          <w:color w:val="auto"/>
          <w:sz w:val="24"/>
          <w:highlight w:val="none"/>
        </w:rPr>
        <w:t>年</w:t>
      </w:r>
      <w:r>
        <w:rPr>
          <w:rFonts w:hint="eastAsia" w:ascii="仿宋" w:hAnsi="仿宋" w:eastAsia="仿宋" w:cs="仿宋"/>
          <w:bCs/>
          <w:snapToGrid w:val="0"/>
          <w:color w:val="auto"/>
          <w:sz w:val="28"/>
          <w:szCs w:val="28"/>
          <w:highlight w:val="none"/>
          <w:u w:val="single"/>
          <w:lang w:val="en-US" w:eastAsia="zh-CN"/>
        </w:rPr>
        <w:t xml:space="preserve"> </w:t>
      </w:r>
      <w:r>
        <w:rPr>
          <w:rFonts w:hint="eastAsia" w:ascii="仿宋" w:hAnsi="仿宋" w:eastAsia="仿宋" w:cs="仿宋"/>
          <w:color w:val="auto"/>
          <w:sz w:val="24"/>
          <w:highlight w:val="none"/>
          <w:u w:val="single"/>
          <w:lang w:val="en-US" w:eastAsia="zh-CN"/>
        </w:rPr>
        <w:t xml:space="preserve">3 </w:t>
      </w:r>
      <w:r>
        <w:rPr>
          <w:rFonts w:hint="eastAsia" w:ascii="仿宋" w:hAnsi="仿宋" w:eastAsia="仿宋" w:cs="仿宋"/>
          <w:bCs/>
          <w:color w:val="auto"/>
          <w:sz w:val="24"/>
          <w:highlight w:val="none"/>
        </w:rPr>
        <w:t>月</w:t>
      </w:r>
      <w:r>
        <w:rPr>
          <w:rFonts w:hint="eastAsia" w:ascii="仿宋" w:hAnsi="仿宋" w:eastAsia="仿宋" w:cs="仿宋"/>
          <w:bCs/>
          <w:snapToGrid w:val="0"/>
          <w:color w:val="auto"/>
          <w:sz w:val="24"/>
          <w:highlight w:val="none"/>
          <w:u w:val="single"/>
          <w:lang w:val="en-US" w:eastAsia="zh-CN"/>
        </w:rPr>
        <w:t xml:space="preserve"> 26 </w:t>
      </w:r>
      <w:r>
        <w:rPr>
          <w:rFonts w:hint="eastAsia" w:ascii="仿宋" w:hAnsi="仿宋" w:eastAsia="仿宋" w:cs="仿宋"/>
          <w:bCs/>
          <w:color w:val="auto"/>
          <w:sz w:val="24"/>
          <w:highlight w:val="non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p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bCs/>
          <w:color w:val="auto"/>
          <w:sz w:val="24"/>
          <w:highlight w:val="none"/>
        </w:rPr>
        <w:t xml:space="preserve">政采云平台线上获取 </w:t>
      </w:r>
    </w:p>
    <w:p>
      <w:pPr>
        <w:spacing w:line="360"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方式：</w:t>
      </w:r>
    </w:p>
    <w:p>
      <w:pPr>
        <w:numPr>
          <w:ilvl w:val="0"/>
          <w:numId w:val="2"/>
        </w:num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pPr>
        <w:numPr>
          <w:ilvl w:val="0"/>
          <w:numId w:val="2"/>
        </w:num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未在浙江省政府采购网（</w:t>
      </w:r>
      <w:r>
        <w:rPr>
          <w:color w:val="auto"/>
          <w:highlight w:val="none"/>
        </w:rPr>
        <w:fldChar w:fldCharType="begin"/>
      </w:r>
      <w:r>
        <w:rPr>
          <w:color w:val="auto"/>
          <w:highlight w:val="none"/>
        </w:rPr>
        <w:instrText xml:space="preserve"> HYPERLINK "http://zfcg.czt.zj.gov.cn" </w:instrText>
      </w:r>
      <w:r>
        <w:rPr>
          <w:color w:val="auto"/>
          <w:highlight w:val="none"/>
        </w:rPr>
        <w:fldChar w:fldCharType="separate"/>
      </w:r>
      <w:r>
        <w:rPr>
          <w:rFonts w:hint="eastAsia" w:ascii="仿宋" w:hAnsi="仿宋" w:eastAsia="仿宋" w:cs="仿宋"/>
          <w:color w:val="auto"/>
          <w:sz w:val="24"/>
          <w:highlight w:val="none"/>
        </w:rPr>
        <w:t>http://zfcg.czt.zj.gov.cn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）注册成为正式供应商的，请注册完成审核成功后方可登录获取，注册流程见网址：http://</w:t>
      </w:r>
      <w:r>
        <w:rPr>
          <w:color w:val="auto"/>
          <w:highlight w:val="none"/>
        </w:rPr>
        <w:fldChar w:fldCharType="begin"/>
      </w:r>
      <w:r>
        <w:rPr>
          <w:color w:val="auto"/>
          <w:highlight w:val="none"/>
        </w:rPr>
        <w:instrText xml:space="preserve"> HYPERLINK "http://zfcg.czt.zj.gov.cn/register/2017-07-24/6728.html?_=2020-03-09%2006:00:22" </w:instrText>
      </w:r>
      <w:r>
        <w:rPr>
          <w:color w:val="auto"/>
          <w:highlight w:val="none"/>
        </w:rPr>
        <w:fldChar w:fldCharType="separate"/>
      </w:r>
      <w:r>
        <w:rPr>
          <w:rFonts w:hint="eastAsia" w:ascii="仿宋" w:hAnsi="仿宋" w:eastAsia="仿宋" w:cs="仿宋"/>
          <w:color w:val="auto"/>
          <w:sz w:val="24"/>
          <w:highlight w:val="none"/>
        </w:rPr>
        <w:t>zfcg.czt.zj.gov.cn/register/2017-07-24/6728.html?_=2020-03-09%2006:</w:t>
      </w:r>
      <w:bookmarkStart w:id="15" w:name="_Hlt34749271"/>
      <w:bookmarkStart w:id="16" w:name="_Hlt34749270"/>
      <w:r>
        <w:rPr>
          <w:rFonts w:hint="eastAsia" w:ascii="仿宋" w:hAnsi="仿宋" w:eastAsia="仿宋" w:cs="仿宋"/>
          <w:color w:val="auto"/>
          <w:sz w:val="24"/>
          <w:highlight w:val="none"/>
        </w:rPr>
        <w:t>0</w:t>
      </w:r>
      <w:bookmarkEnd w:id="15"/>
      <w:bookmarkEnd w:id="16"/>
      <w:r>
        <w:rPr>
          <w:rFonts w:hint="eastAsia" w:ascii="仿宋" w:hAnsi="仿宋" w:eastAsia="仿宋" w:cs="仿宋"/>
          <w:color w:val="auto"/>
          <w:sz w:val="24"/>
          <w:highlight w:val="none"/>
        </w:rPr>
        <w:t>0:22</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 xml:space="preserve"> ，注册咨询电话：400-881-7190；</w:t>
      </w:r>
    </w:p>
    <w:p>
      <w:pPr>
        <w:numPr>
          <w:ilvl w:val="0"/>
          <w:numId w:val="2"/>
        </w:num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在浙江政府采购网采购公告附件中以“游客”身份（或丽水市公共资源交易网）获取的采购文件仅供阅览；潜在供应商未按上述第</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 1 \* GB2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⑴</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条方式获取采购文件的不得对采购文件提起质疑投诉。</w:t>
      </w:r>
    </w:p>
    <w:p>
      <w:pPr>
        <w:numPr>
          <w:ilvl w:val="0"/>
          <w:numId w:val="2"/>
        </w:num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四、响应文件提交（上传）</w:t>
      </w:r>
    </w:p>
    <w:p>
      <w:pPr>
        <w:spacing w:line="360" w:lineRule="auto"/>
        <w:ind w:firstLine="480" w:firstLineChars="200"/>
        <w:rPr>
          <w:rFonts w:ascii="仿宋" w:hAnsi="仿宋" w:eastAsia="仿宋" w:cs="仿宋"/>
          <w:bCs/>
          <w:color w:val="auto"/>
          <w:sz w:val="24"/>
          <w:highlight w:val="none"/>
          <w:u w:val="single"/>
        </w:rPr>
      </w:pPr>
      <w:r>
        <w:rPr>
          <w:rFonts w:hint="eastAsia" w:ascii="仿宋" w:hAnsi="仿宋" w:eastAsia="仿宋" w:cs="仿宋"/>
          <w:bCs/>
          <w:color w:val="auto"/>
          <w:sz w:val="24"/>
          <w:highlight w:val="none"/>
        </w:rPr>
        <w:t>1</w:t>
      </w:r>
      <w:r>
        <w:rPr>
          <w:rFonts w:hint="eastAsia" w:ascii="仿宋" w:hAnsi="仿宋" w:eastAsia="仿宋" w:cs="仿宋"/>
          <w:color w:val="auto"/>
          <w:sz w:val="24"/>
          <w:highlight w:val="none"/>
        </w:rPr>
        <w:t xml:space="preserve">. </w:t>
      </w:r>
      <w:r>
        <w:rPr>
          <w:rFonts w:hint="eastAsia" w:ascii="仿宋" w:hAnsi="仿宋" w:eastAsia="仿宋" w:cs="仿宋"/>
          <w:bCs/>
          <w:color w:val="auto"/>
          <w:sz w:val="24"/>
          <w:highlight w:val="none"/>
        </w:rPr>
        <w:t>截止时间：</w:t>
      </w:r>
      <w:r>
        <w:rPr>
          <w:rFonts w:hint="eastAsia" w:ascii="仿宋" w:hAnsi="仿宋" w:eastAsia="仿宋" w:cs="仿宋"/>
          <w:bCs/>
          <w:snapToGrid w:val="0"/>
          <w:color w:val="auto"/>
          <w:sz w:val="24"/>
          <w:highlight w:val="none"/>
          <w:u w:val="single"/>
          <w:lang w:eastAsia="zh-CN"/>
        </w:rPr>
        <w:t>2024</w:t>
      </w:r>
      <w:r>
        <w:rPr>
          <w:rFonts w:hint="eastAsia" w:ascii="仿宋" w:hAnsi="仿宋" w:eastAsia="仿宋" w:cs="仿宋"/>
          <w:bCs/>
          <w:color w:val="auto"/>
          <w:sz w:val="24"/>
          <w:highlight w:val="none"/>
        </w:rPr>
        <w:t>年</w:t>
      </w:r>
      <w:r>
        <w:rPr>
          <w:rFonts w:hint="eastAsia" w:ascii="仿宋" w:hAnsi="仿宋" w:eastAsia="仿宋" w:cs="仿宋"/>
          <w:bCs/>
          <w:snapToGrid w:val="0"/>
          <w:color w:val="auto"/>
          <w:sz w:val="24"/>
          <w:highlight w:val="none"/>
          <w:u w:val="single"/>
          <w:lang w:val="en-US" w:eastAsia="zh-CN"/>
        </w:rPr>
        <w:t xml:space="preserve">  3 </w:t>
      </w:r>
      <w:r>
        <w:rPr>
          <w:rFonts w:hint="eastAsia" w:ascii="仿宋" w:hAnsi="仿宋" w:eastAsia="仿宋" w:cs="仿宋"/>
          <w:bCs/>
          <w:color w:val="auto"/>
          <w:sz w:val="24"/>
          <w:highlight w:val="none"/>
        </w:rPr>
        <w:t>月</w:t>
      </w:r>
      <w:r>
        <w:rPr>
          <w:rFonts w:hint="eastAsia" w:ascii="仿宋" w:hAnsi="仿宋" w:eastAsia="仿宋" w:cs="仿宋"/>
          <w:bCs/>
          <w:snapToGrid w:val="0"/>
          <w:color w:val="auto"/>
          <w:sz w:val="24"/>
          <w:highlight w:val="none"/>
          <w:u w:val="single"/>
          <w:lang w:val="en-US" w:eastAsia="zh-CN"/>
        </w:rPr>
        <w:t xml:space="preserve"> 26 </w:t>
      </w:r>
      <w:r>
        <w:rPr>
          <w:rFonts w:hint="eastAsia" w:ascii="仿宋" w:hAnsi="仿宋" w:eastAsia="仿宋" w:cs="仿宋"/>
          <w:bCs/>
          <w:color w:val="auto"/>
          <w:sz w:val="24"/>
          <w:highlight w:val="none"/>
        </w:rPr>
        <w:t>日</w:t>
      </w:r>
      <w:r>
        <w:rPr>
          <w:rFonts w:hint="eastAsia" w:ascii="仿宋" w:hAnsi="仿宋" w:eastAsia="仿宋" w:cs="仿宋"/>
          <w:bCs/>
          <w:snapToGrid w:val="0"/>
          <w:color w:val="auto"/>
          <w:sz w:val="24"/>
          <w:highlight w:val="none"/>
          <w:u w:val="single"/>
          <w:lang w:val="en-US" w:eastAsia="zh-CN"/>
        </w:rPr>
        <w:t xml:space="preserve"> 14：30 </w:t>
      </w:r>
      <w:r>
        <w:rPr>
          <w:rFonts w:hint="eastAsia" w:ascii="仿宋" w:hAnsi="仿宋" w:eastAsia="仿宋" w:cs="仿宋"/>
          <w:bCs/>
          <w:color w:val="auto"/>
          <w:sz w:val="24"/>
          <w:highlight w:val="none"/>
        </w:rPr>
        <w:t>（北京时间）；</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 地点：</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 1 \* GB2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⑴</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 xml:space="preserve"> 电子加密磋商响应文件：在“政府采购云平台”上传提交，“电子加密磋商响应文件”成功上传提交后，供应商自行打印磋商响应文件接收回执。</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 2 \* GB2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⑵</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备份磋商响应文件：供应商自行确定是否提交；若提交请将备份磋商响应文件以电子邮件的形式发送至（</w:t>
      </w:r>
      <w:r>
        <w:rPr>
          <w:rFonts w:hint="eastAsia" w:ascii="仿宋" w:hAnsi="仿宋" w:eastAsia="仿宋" w:cs="仿宋"/>
          <w:bCs/>
          <w:snapToGrid w:val="0"/>
          <w:color w:val="auto"/>
          <w:sz w:val="24"/>
          <w:highlight w:val="none"/>
        </w:rPr>
        <w:t>596722349</w:t>
      </w:r>
      <w:r>
        <w:rPr>
          <w:rFonts w:hint="eastAsia" w:ascii="仿宋" w:hAnsi="仿宋" w:eastAsia="仿宋" w:cs="仿宋"/>
          <w:color w:val="auto"/>
          <w:sz w:val="24"/>
          <w:highlight w:val="none"/>
        </w:rPr>
        <w:t>@</w:t>
      </w:r>
      <w:r>
        <w:rPr>
          <w:rFonts w:hint="eastAsia" w:ascii="仿宋" w:hAnsi="仿宋" w:eastAsia="仿宋" w:cs="仿宋"/>
          <w:bCs/>
          <w:snapToGrid w:val="0"/>
          <w:color w:val="auto"/>
          <w:sz w:val="24"/>
          <w:highlight w:val="none"/>
        </w:rPr>
        <w:t>qq</w:t>
      </w:r>
      <w:r>
        <w:rPr>
          <w:rFonts w:hint="eastAsia" w:ascii="仿宋" w:hAnsi="仿宋" w:eastAsia="仿宋" w:cs="仿宋"/>
          <w:color w:val="auto"/>
          <w:sz w:val="24"/>
          <w:highlight w:val="none"/>
        </w:rPr>
        <w:t>.com），备份磋商响应文件在“电子加密磋商响应文件”在线解密失败后启用，否则不予以启用；未在规定时间内发送备份磋商响应文件造成的响应无效或失败由供应商自行承当。</w:t>
      </w:r>
    </w:p>
    <w:p>
      <w:pPr>
        <w:spacing w:line="360" w:lineRule="auto"/>
        <w:rPr>
          <w:rFonts w:ascii="仿宋" w:hAnsi="仿宋" w:eastAsia="仿宋" w:cs="仿宋"/>
          <w:color w:val="auto"/>
          <w:sz w:val="24"/>
          <w:highlight w:val="none"/>
        </w:rPr>
      </w:pPr>
      <w:r>
        <w:rPr>
          <w:rFonts w:hint="eastAsia" w:ascii="仿宋" w:hAnsi="仿宋" w:eastAsia="仿宋" w:cs="仿宋"/>
          <w:b/>
          <w:color w:val="auto"/>
          <w:sz w:val="24"/>
          <w:highlight w:val="none"/>
        </w:rPr>
        <w:t xml:space="preserve">五、响应文件开启 </w:t>
      </w:r>
    </w:p>
    <w:p>
      <w:pPr>
        <w:spacing w:line="360" w:lineRule="auto"/>
        <w:ind w:firstLine="482" w:firstLineChars="200"/>
        <w:rPr>
          <w:rFonts w:ascii="仿宋" w:hAnsi="仿宋" w:eastAsia="仿宋" w:cs="仿宋"/>
          <w:bCs/>
          <w:color w:val="auto"/>
          <w:sz w:val="24"/>
          <w:highlight w:val="none"/>
          <w:u w:val="single"/>
        </w:rPr>
      </w:pPr>
      <w:r>
        <w:rPr>
          <w:rFonts w:hint="eastAsia" w:ascii="仿宋" w:hAnsi="仿宋" w:eastAsia="仿宋" w:cs="仿宋"/>
          <w:b/>
          <w:color w:val="auto"/>
          <w:sz w:val="24"/>
          <w:highlight w:val="none"/>
        </w:rPr>
        <w:t>开启时间：</w:t>
      </w:r>
      <w:r>
        <w:rPr>
          <w:rFonts w:hint="eastAsia" w:ascii="仿宋" w:hAnsi="仿宋" w:eastAsia="仿宋" w:cs="仿宋"/>
          <w:bCs/>
          <w:snapToGrid w:val="0"/>
          <w:color w:val="auto"/>
          <w:sz w:val="24"/>
          <w:highlight w:val="none"/>
          <w:u w:val="single"/>
          <w:lang w:eastAsia="zh-CN"/>
        </w:rPr>
        <w:t>2024</w:t>
      </w:r>
      <w:r>
        <w:rPr>
          <w:rFonts w:hint="eastAsia" w:ascii="仿宋" w:hAnsi="仿宋" w:eastAsia="仿宋" w:cs="仿宋"/>
          <w:bCs/>
          <w:color w:val="auto"/>
          <w:sz w:val="24"/>
          <w:highlight w:val="none"/>
        </w:rPr>
        <w:t>年</w:t>
      </w:r>
      <w:r>
        <w:rPr>
          <w:rFonts w:hint="eastAsia" w:ascii="仿宋" w:hAnsi="仿宋" w:eastAsia="仿宋" w:cs="仿宋"/>
          <w:bCs/>
          <w:snapToGrid w:val="0"/>
          <w:color w:val="auto"/>
          <w:sz w:val="24"/>
          <w:highlight w:val="none"/>
          <w:u w:val="single"/>
          <w:lang w:val="en-US" w:eastAsia="zh-CN"/>
        </w:rPr>
        <w:t xml:space="preserve"> 3 </w:t>
      </w:r>
      <w:r>
        <w:rPr>
          <w:rFonts w:hint="eastAsia" w:ascii="仿宋" w:hAnsi="仿宋" w:eastAsia="仿宋" w:cs="仿宋"/>
          <w:bCs/>
          <w:color w:val="auto"/>
          <w:sz w:val="24"/>
          <w:highlight w:val="none"/>
        </w:rPr>
        <w:t>月</w:t>
      </w:r>
      <w:r>
        <w:rPr>
          <w:rFonts w:hint="eastAsia" w:ascii="仿宋" w:hAnsi="仿宋" w:eastAsia="仿宋" w:cs="仿宋"/>
          <w:bCs/>
          <w:snapToGrid w:val="0"/>
          <w:color w:val="auto"/>
          <w:sz w:val="24"/>
          <w:highlight w:val="none"/>
          <w:u w:val="single"/>
          <w:lang w:val="en-US" w:eastAsia="zh-CN"/>
        </w:rPr>
        <w:t xml:space="preserve"> 26 </w:t>
      </w:r>
      <w:r>
        <w:rPr>
          <w:rFonts w:hint="eastAsia" w:ascii="仿宋" w:hAnsi="仿宋" w:eastAsia="仿宋" w:cs="仿宋"/>
          <w:bCs/>
          <w:color w:val="auto"/>
          <w:sz w:val="24"/>
          <w:highlight w:val="none"/>
        </w:rPr>
        <w:t>日</w:t>
      </w:r>
      <w:r>
        <w:rPr>
          <w:rFonts w:hint="eastAsia" w:ascii="仿宋" w:hAnsi="仿宋" w:eastAsia="仿宋" w:cs="仿宋"/>
          <w:bCs/>
          <w:snapToGrid w:val="0"/>
          <w:color w:val="auto"/>
          <w:sz w:val="24"/>
          <w:highlight w:val="none"/>
          <w:u w:val="single"/>
          <w:lang w:val="en-US" w:eastAsia="zh-CN"/>
        </w:rPr>
        <w:t xml:space="preserve"> 14：30 </w:t>
      </w:r>
      <w:r>
        <w:rPr>
          <w:rFonts w:hint="eastAsia" w:ascii="仿宋" w:hAnsi="仿宋" w:eastAsia="仿宋" w:cs="仿宋"/>
          <w:bCs/>
          <w:snapToGrid w:val="0"/>
          <w:color w:val="auto"/>
          <w:sz w:val="24"/>
          <w:highlight w:val="none"/>
          <w:u w:val="none"/>
          <w:lang w:val="en-US" w:eastAsia="zh-CN"/>
        </w:rPr>
        <w:t>（</w:t>
      </w:r>
      <w:r>
        <w:rPr>
          <w:rFonts w:hint="eastAsia" w:ascii="仿宋" w:hAnsi="仿宋" w:eastAsia="仿宋" w:cs="仿宋"/>
          <w:bCs/>
          <w:color w:val="auto"/>
          <w:sz w:val="24"/>
          <w:highlight w:val="none"/>
        </w:rPr>
        <w:t>北京时间）</w:t>
      </w:r>
    </w:p>
    <w:p>
      <w:p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bCs/>
          <w:color w:val="auto"/>
          <w:sz w:val="24"/>
          <w:highlight w:val="none"/>
        </w:rPr>
        <w:t>浙江政府采购网—用户入驻/登录—用户登录—项目采购—开标评标—进入开标大厅</w:t>
      </w:r>
    </w:p>
    <w:p>
      <w:pPr>
        <w:spacing w:line="360" w:lineRule="auto"/>
        <w:rPr>
          <w:rFonts w:ascii="仿宋" w:hAnsi="仿宋" w:eastAsia="仿宋" w:cs="仿宋"/>
          <w:color w:val="auto"/>
          <w:sz w:val="24"/>
          <w:highlight w:val="none"/>
        </w:rPr>
      </w:pPr>
      <w:r>
        <w:rPr>
          <w:rFonts w:hint="eastAsia" w:ascii="仿宋" w:hAnsi="仿宋" w:eastAsia="仿宋" w:cs="仿宋"/>
          <w:b/>
          <w:color w:val="auto"/>
          <w:sz w:val="24"/>
          <w:highlight w:val="none"/>
        </w:rPr>
        <w:t xml:space="preserve">六、公告期限 </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自本公告发布之日起3个工作日。</w:t>
      </w: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七、其他补充事宜</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w:t>
      </w:r>
      <w:r>
        <w:rPr>
          <w:rFonts w:hint="eastAsia" w:ascii="仿宋" w:hAnsi="仿宋" w:eastAsia="仿宋" w:cs="仿宋"/>
          <w:color w:val="auto"/>
          <w:sz w:val="24"/>
          <w:highlight w:val="none"/>
          <w:shd w:val="clear" w:color="auto" w:fill="FFFFFF"/>
        </w:rPr>
        <w:t>浙江省财政厅关于进一步加大政府采购支持中小企业力度助力扎实稳住经济 的通知》（浙财采监〔2022〕8号）</w:t>
      </w:r>
      <w:r>
        <w:rPr>
          <w:rFonts w:hint="eastAsia" w:ascii="仿宋" w:hAnsi="仿宋" w:eastAsia="仿宋" w:cs="仿宋"/>
          <w:color w:val="auto"/>
          <w:sz w:val="24"/>
          <w:highlight w:val="none"/>
        </w:rPr>
        <w:t>已分别于2022年1月29日、2022年2月1日和2022年7月1日开始实施，此前有关规定与上述文件内容不一致的，按上述文件要求执行。</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4.其他事项：</w:t>
      </w:r>
      <w:r>
        <w:rPr>
          <w:rFonts w:hint="eastAsia" w:ascii="仿宋" w:hAnsi="仿宋" w:eastAsia="仿宋" w:cs="仿宋"/>
          <w:b/>
          <w:bCs/>
          <w:color w:val="auto"/>
          <w:sz w:val="24"/>
          <w:highlight w:val="none"/>
        </w:rPr>
        <w:t>（1）需要落实的政府采购政策：</w:t>
      </w:r>
      <w:r>
        <w:rPr>
          <w:rFonts w:hint="eastAsia" w:ascii="仿宋" w:hAnsi="仿宋" w:eastAsia="仿宋" w:cs="仿宋"/>
          <w:color w:val="auto"/>
          <w:sz w:val="24"/>
          <w:highlight w:val="none"/>
        </w:rPr>
        <w:t>包括节约资源、保护环境、支持创新、促进中小企业发展等。详见采购文件的第四部分总则。</w:t>
      </w:r>
      <w:r>
        <w:rPr>
          <w:rFonts w:hint="eastAsia" w:ascii="仿宋" w:hAnsi="仿宋" w:eastAsia="仿宋" w:cs="仿宋"/>
          <w:b/>
          <w:bCs/>
          <w:color w:val="auto"/>
          <w:sz w:val="24"/>
          <w:highlight w:val="none"/>
        </w:rPr>
        <w:t>（2）电子交易的说明：①电子交易：</w:t>
      </w:r>
      <w:r>
        <w:rPr>
          <w:rFonts w:hint="eastAsia" w:ascii="仿宋" w:hAnsi="仿宋" w:eastAsia="仿宋" w:cs="仿宋"/>
          <w:color w:val="auto"/>
          <w:sz w:val="24"/>
          <w:highlight w:val="none"/>
        </w:rPr>
        <w:t>本项目以数据电文形式，依托“政府采购云平台（www.zcygov.cn）”进行招投标活动，不接受纸质响应文件；</w:t>
      </w:r>
      <w:r>
        <w:rPr>
          <w:rFonts w:hint="eastAsia" w:ascii="仿宋" w:hAnsi="仿宋" w:eastAsia="仿宋" w:cs="仿宋"/>
          <w:b/>
          <w:bCs/>
          <w:color w:val="auto"/>
          <w:sz w:val="24"/>
          <w:highlight w:val="none"/>
        </w:rPr>
        <w:t>②响应准备：</w:t>
      </w:r>
      <w:r>
        <w:rPr>
          <w:rFonts w:hint="eastAsia" w:ascii="仿宋" w:hAnsi="仿宋" w:eastAsia="仿宋" w:cs="仿宋"/>
          <w:color w:val="auto"/>
          <w:sz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bCs/>
          <w:color w:val="auto"/>
          <w:sz w:val="24"/>
          <w:highlight w:val="none"/>
        </w:rPr>
        <w:t>③采购文件的获取：</w:t>
      </w:r>
      <w:r>
        <w:rPr>
          <w:rFonts w:hint="eastAsia" w:ascii="仿宋" w:hAnsi="仿宋" w:eastAsia="仿宋" w:cs="仿宋"/>
          <w:color w:val="auto"/>
          <w:sz w:val="24"/>
          <w:highlight w:val="none"/>
        </w:rPr>
        <w:t>使用账号登录或者使用CA登录政采云平台；进入“项目采购”应用，在获取采购文件菜单中选择项目，获取采购文件；</w:t>
      </w:r>
      <w:r>
        <w:rPr>
          <w:rFonts w:hint="eastAsia" w:ascii="仿宋" w:hAnsi="仿宋" w:eastAsia="仿宋" w:cs="仿宋"/>
          <w:b/>
          <w:bCs/>
          <w:color w:val="auto"/>
          <w:sz w:val="24"/>
          <w:highlight w:val="none"/>
        </w:rPr>
        <w:t>④响应文件的制作：</w:t>
      </w:r>
      <w:r>
        <w:rPr>
          <w:rFonts w:hint="eastAsia" w:ascii="仿宋" w:hAnsi="仿宋" w:eastAsia="仿宋" w:cs="仿宋"/>
          <w:color w:val="auto"/>
          <w:sz w:val="24"/>
          <w:highlight w:val="none"/>
        </w:rPr>
        <w:t>在“政采云电子交易客户端”中完成“填写基本信息”、“导入投标文件”、“标书关联”、“标书检查”、“电子签名”、“生成电子标书”等操作；⑤采购人、采购代理机构将依托政采云平台完成本项目的电子交易活动，平台不接受未按上述方式获取采购文件的供应商进行投标活动； ⑥对未按上述方式获取采购文件的供应商对该文件提出的质疑，采购人或采购代理机构将不予处理；⑦不提供采购文件纸质版；</w:t>
      </w:r>
      <w:r>
        <w:rPr>
          <w:rFonts w:hint="eastAsia" w:ascii="仿宋" w:hAnsi="仿宋" w:eastAsia="仿宋" w:cs="仿宋"/>
          <w:b/>
          <w:bCs/>
          <w:color w:val="auto"/>
          <w:sz w:val="24"/>
          <w:highlight w:val="none"/>
        </w:rPr>
        <w:t>⑧响应文件的传输递交：</w:t>
      </w:r>
      <w:r>
        <w:rPr>
          <w:rFonts w:hint="eastAsia" w:ascii="仿宋" w:hAnsi="仿宋" w:eastAsia="仿宋" w:cs="仿宋"/>
          <w:color w:val="auto"/>
          <w:sz w:val="24"/>
          <w:highlight w:val="none"/>
        </w:rPr>
        <w:t>供应商在响应文件提交（上传）截止时间前将加密的响应文件上传至政府采购云平台，还可以在响应文件提交（上传）截止时间前直接提交或者以电子邮件的形式递交备份响应文件1份。备份响应文件的制作、存储、密封详见采购文件第四部分第7点—“备份响应文件”；</w:t>
      </w:r>
      <w:r>
        <w:rPr>
          <w:rFonts w:hint="eastAsia" w:ascii="仿宋" w:hAnsi="仿宋" w:eastAsia="仿宋" w:cs="仿宋"/>
          <w:b/>
          <w:bCs/>
          <w:color w:val="auto"/>
          <w:sz w:val="24"/>
          <w:highlight w:val="none"/>
        </w:rPr>
        <w:t>⑨响应文件的解密：</w:t>
      </w:r>
      <w:r>
        <w:rPr>
          <w:rFonts w:hint="eastAsia" w:ascii="仿宋" w:hAnsi="仿宋" w:eastAsia="仿宋" w:cs="仿宋"/>
          <w:color w:val="auto"/>
          <w:sz w:val="24"/>
          <w:highlight w:val="none"/>
        </w:rPr>
        <w:t>供应商按照平台提示和采购文件的规定在半小时内完成在线解密。通过“政府采购云平台”上传递交的响应文件无法按时解密，供应商递交了备份响应文件的，以备份响应文件为依据，否则视为响应文件撤回。通过“政府采购云平台”上传递交的响应文件已按时解密的，备份响应文件自动失效。供应商仅提交备份响应文件，未在电子交易平台传输递交响应文件的，响应文件无效；</w:t>
      </w:r>
      <w:r>
        <w:rPr>
          <w:rFonts w:hint="eastAsia" w:ascii="仿宋" w:hAnsi="仿宋" w:eastAsia="仿宋" w:cs="仿宋"/>
          <w:b/>
          <w:bCs/>
          <w:color w:val="auto"/>
          <w:sz w:val="24"/>
          <w:highlight w:val="none"/>
        </w:rPr>
        <w:t>⑩具体操作指南：</w:t>
      </w:r>
      <w:r>
        <w:rPr>
          <w:rFonts w:hint="eastAsia" w:ascii="仿宋" w:hAnsi="仿宋" w:eastAsia="仿宋" w:cs="仿宋"/>
          <w:color w:val="auto"/>
          <w:sz w:val="24"/>
          <w:highlight w:val="none"/>
        </w:rPr>
        <w:t>详见政采云平台“服务中心-帮助文档-项目采购-操作流程-电子招投标-政府采购项目电子交易管理操作指南-供应商”。（3）采购文件公告期限与竞争性磋商公告的公告期限一致。</w:t>
      </w: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八、对本次采购提出询问、质疑、投诉，请按以下方式联系</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1.采购人信息</w:t>
      </w:r>
    </w:p>
    <w:p>
      <w:pPr>
        <w:snapToGrid w:val="0"/>
        <w:spacing w:line="360" w:lineRule="auto"/>
        <w:ind w:firstLine="480" w:firstLineChars="200"/>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景宁畲族自治县经济商务科技局</w:t>
      </w:r>
    </w:p>
    <w:p>
      <w:pPr>
        <w:snapToGrid w:val="0"/>
        <w:spacing w:line="360" w:lineRule="auto"/>
        <w:ind w:firstLine="480" w:firstLineChars="200"/>
        <w:rPr>
          <w:rFonts w:hint="default" w:ascii="仿宋" w:hAnsi="仿宋" w:eastAsia="仿宋_GB2312;仿宋" w:cs="仿宋"/>
          <w:color w:val="auto"/>
          <w:sz w:val="24"/>
          <w:highlight w:val="none"/>
          <w:lang w:val="en-US" w:eastAsia="zh-CN"/>
        </w:rPr>
      </w:pPr>
      <w:r>
        <w:rPr>
          <w:rFonts w:hint="eastAsia" w:ascii="仿宋" w:hAnsi="仿宋" w:eastAsia="仿宋" w:cs="仿宋"/>
          <w:color w:val="auto"/>
          <w:sz w:val="24"/>
          <w:highlight w:val="none"/>
        </w:rPr>
        <w:t xml:space="preserve">地  址： </w:t>
      </w:r>
      <w:r>
        <w:rPr>
          <w:rFonts w:hint="eastAsia" w:ascii="仿宋_GB2312;仿宋" w:hAnsi="仿宋_GB2312;仿宋" w:eastAsia="仿宋_GB2312;仿宋" w:cs="仿宋_GB2312;仿宋"/>
          <w:color w:val="auto"/>
          <w:sz w:val="24"/>
          <w:highlight w:val="none"/>
        </w:rPr>
        <w:t>景宁畲族自治县</w:t>
      </w:r>
      <w:r>
        <w:rPr>
          <w:rFonts w:hint="eastAsia" w:ascii="仿宋_GB2312;仿宋" w:hAnsi="仿宋_GB2312;仿宋" w:eastAsia="仿宋_GB2312;仿宋" w:cs="仿宋_GB2312;仿宋"/>
          <w:color w:val="auto"/>
          <w:sz w:val="24"/>
          <w:highlight w:val="none"/>
          <w:lang w:val="en-US" w:eastAsia="zh-CN"/>
        </w:rPr>
        <w:t>复兴西路28号</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叶承娟</w:t>
      </w:r>
      <w:r>
        <w:rPr>
          <w:rFonts w:hint="eastAsia" w:ascii="仿宋" w:hAnsi="仿宋" w:eastAsia="仿宋" w:cs="仿宋"/>
          <w:color w:val="auto"/>
          <w:sz w:val="24"/>
          <w:highlight w:val="none"/>
        </w:rPr>
        <w:t xml:space="preserve">        项目联系方式（询问）：</w:t>
      </w:r>
      <w:r>
        <w:rPr>
          <w:rFonts w:hint="eastAsia" w:ascii="仿宋" w:hAnsi="仿宋" w:eastAsia="仿宋" w:cs="仿宋"/>
          <w:color w:val="auto"/>
          <w:sz w:val="24"/>
          <w:highlight w:val="none"/>
          <w:lang w:val="en-US" w:eastAsia="zh-CN"/>
        </w:rPr>
        <w:t>0578-5610235</w:t>
      </w:r>
      <w:r>
        <w:rPr>
          <w:rFonts w:hint="eastAsia" w:ascii="仿宋" w:hAnsi="仿宋" w:eastAsia="仿宋" w:cs="仿宋"/>
          <w:color w:val="auto"/>
          <w:sz w:val="24"/>
          <w:highlight w:val="none"/>
        </w:rPr>
        <w:t xml:space="preserve">  </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val="en-US" w:eastAsia="zh-CN"/>
        </w:rPr>
        <w:t>王鑫巧</w:t>
      </w:r>
      <w:r>
        <w:rPr>
          <w:rFonts w:hint="eastAsia" w:ascii="仿宋" w:hAnsi="仿宋" w:eastAsia="仿宋" w:cs="仿宋"/>
          <w:color w:val="auto"/>
          <w:sz w:val="24"/>
          <w:highlight w:val="none"/>
        </w:rPr>
        <w:t xml:space="preserve">                  质疑联系方式：</w:t>
      </w:r>
      <w:r>
        <w:rPr>
          <w:rFonts w:hint="eastAsia" w:ascii="仿宋" w:hAnsi="仿宋" w:eastAsia="仿宋" w:cs="仿宋"/>
          <w:color w:val="auto"/>
          <w:sz w:val="24"/>
          <w:highlight w:val="none"/>
          <w:lang w:val="en-US" w:eastAsia="zh-CN"/>
        </w:rPr>
        <w:t>0578-5887297</w:t>
      </w:r>
      <w:r>
        <w:rPr>
          <w:rFonts w:hint="eastAsia" w:ascii="仿宋" w:hAnsi="仿宋" w:eastAsia="仿宋" w:cs="仿宋"/>
          <w:color w:val="auto"/>
          <w:sz w:val="24"/>
          <w:highlight w:val="none"/>
        </w:rPr>
        <w:t xml:space="preserve"> </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2.采购代理机构信息            </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名    称：浙江建科工程项目管理有限公司</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地    址：景宁畲族自治县人民北路祥源商贸城2幢2楼</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传    真：0</w:t>
      </w:r>
      <w:r>
        <w:rPr>
          <w:rFonts w:ascii="仿宋" w:hAnsi="仿宋" w:eastAsia="仿宋" w:cs="仿宋"/>
          <w:color w:val="auto"/>
          <w:sz w:val="24"/>
          <w:highlight w:val="none"/>
        </w:rPr>
        <w:t>578-5081333</w:t>
      </w:r>
      <w:r>
        <w:rPr>
          <w:rFonts w:hint="eastAsia" w:ascii="仿宋" w:hAnsi="仿宋" w:eastAsia="仿宋" w:cs="仿宋"/>
          <w:color w:val="auto"/>
          <w:sz w:val="24"/>
          <w:highlight w:val="none"/>
        </w:rPr>
        <w:t xml:space="preserve">             </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项目联系人（询问）：姚亚          </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项目联系方式（询问）：0</w:t>
      </w:r>
      <w:r>
        <w:rPr>
          <w:rFonts w:ascii="仿宋" w:hAnsi="仿宋" w:eastAsia="仿宋" w:cs="仿宋"/>
          <w:color w:val="auto"/>
          <w:sz w:val="24"/>
          <w:highlight w:val="none"/>
        </w:rPr>
        <w:t>578-5083626</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质疑联系人：陈芬芬              </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质疑联系方式：0</w:t>
      </w:r>
      <w:r>
        <w:rPr>
          <w:rFonts w:ascii="仿宋" w:hAnsi="仿宋" w:eastAsia="仿宋" w:cs="仿宋"/>
          <w:color w:val="auto"/>
          <w:sz w:val="24"/>
          <w:highlight w:val="none"/>
        </w:rPr>
        <w:t>578-5081333</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3.同级政府采购监督管理部门            </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名    称：景宁畲族自治县财政局政府采购监管科</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地    址：景宁畲族自治县团结西路59号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传    真：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联系人 ：张先生</w:t>
      </w:r>
    </w:p>
    <w:p>
      <w:pPr>
        <w:spacing w:line="360" w:lineRule="auto"/>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监督投诉电话：电话：0578-5081219 </w:t>
      </w:r>
    </w:p>
    <w:p>
      <w:pPr>
        <w:spacing w:line="360" w:lineRule="auto"/>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    若对项目采购电子交易系统操作有疑问，可登录政采云（https://www.zcygov.cn/），点击右侧咨询小采，获取采小蜜智能服务管家帮助，或拨打政采云服务热线95763获取热线服务帮助。</w:t>
      </w:r>
    </w:p>
    <w:p>
      <w:pPr>
        <w:snapToGrid w:val="0"/>
        <w:spacing w:line="360" w:lineRule="auto"/>
        <w:ind w:firstLine="480" w:firstLineChars="200"/>
        <w:rPr>
          <w:rFonts w:ascii="仿宋" w:hAnsi="仿宋" w:eastAsia="仿宋" w:cs="仿宋"/>
          <w:color w:val="auto"/>
          <w:sz w:val="24"/>
          <w:highlight w:val="none"/>
        </w:rPr>
        <w:sectPr>
          <w:headerReference r:id="rId9" w:type="first"/>
          <w:headerReference r:id="rId8" w:type="default"/>
          <w:pgSz w:w="11905" w:h="16838"/>
          <w:pgMar w:top="1440" w:right="1803" w:bottom="1440" w:left="1803" w:header="851" w:footer="992" w:gutter="0"/>
          <w:pgNumType w:start="2"/>
          <w:cols w:space="0" w:num="1"/>
          <w:rtlGutter w:val="0"/>
          <w:docGrid w:linePitch="312" w:charSpace="0"/>
        </w:sectPr>
      </w:pPr>
      <w:r>
        <w:rPr>
          <w:rFonts w:hint="eastAsia" w:ascii="仿宋" w:hAnsi="仿宋" w:eastAsia="仿宋" w:cs="仿宋"/>
          <w:color w:val="auto"/>
          <w:sz w:val="24"/>
          <w:highlight w:val="none"/>
        </w:rPr>
        <w:t>CA问题联系电话（人工）：汇信CA 400-888-4636；天谷CA 400-087-8198。</w:t>
      </w:r>
    </w:p>
    <w:p>
      <w:pPr>
        <w:pStyle w:val="3"/>
        <w:spacing w:before="0" w:after="0" w:line="480" w:lineRule="auto"/>
        <w:ind w:left="431" w:hanging="431"/>
        <w:jc w:val="center"/>
        <w:rPr>
          <w:rFonts w:ascii="仿宋" w:hAnsi="仿宋" w:eastAsia="仿宋" w:cs="仿宋"/>
          <w:color w:val="auto"/>
          <w:sz w:val="36"/>
          <w:szCs w:val="36"/>
          <w:highlight w:val="none"/>
        </w:rPr>
      </w:pPr>
      <w:bookmarkStart w:id="17" w:name="_Toc16532"/>
      <w:bookmarkStart w:id="18" w:name="_Toc139797632"/>
      <w:bookmarkStart w:id="19" w:name="_Toc20184"/>
      <w:bookmarkStart w:id="20" w:name="_Toc17442"/>
      <w:bookmarkStart w:id="21" w:name="_Toc139797591"/>
      <w:r>
        <w:rPr>
          <w:rFonts w:hint="eastAsia" w:ascii="仿宋" w:hAnsi="仿宋" w:eastAsia="仿宋" w:cs="仿宋"/>
          <w:color w:val="auto"/>
          <w:sz w:val="36"/>
          <w:szCs w:val="36"/>
          <w:highlight w:val="none"/>
        </w:rPr>
        <w:t>第二部分 采购需求</w:t>
      </w:r>
      <w:bookmarkEnd w:id="17"/>
      <w:bookmarkEnd w:id="18"/>
      <w:bookmarkEnd w:id="19"/>
    </w:p>
    <w:p>
      <w:pPr>
        <w:pStyle w:val="2"/>
        <w:numPr>
          <w:ilvl w:val="0"/>
          <w:numId w:val="3"/>
        </w:numPr>
        <w:textAlignment w:val="baseline"/>
        <w:rPr>
          <w:rFonts w:ascii="仿宋" w:eastAsia="仿宋" w:cs="仿宋"/>
          <w:color w:val="auto"/>
          <w:sz w:val="24"/>
          <w:szCs w:val="24"/>
          <w:highlight w:val="none"/>
          <w:lang w:val="en-US"/>
        </w:rPr>
      </w:pPr>
      <w:bookmarkStart w:id="22" w:name="_Toc10598"/>
      <w:r>
        <w:rPr>
          <w:rFonts w:hint="eastAsia" w:ascii="仿宋" w:eastAsia="仿宋" w:cs="仿宋"/>
          <w:color w:val="auto"/>
          <w:sz w:val="24"/>
          <w:szCs w:val="24"/>
          <w:highlight w:val="none"/>
          <w:lang w:val="en-US" w:eastAsia="zh-CN"/>
        </w:rPr>
        <w:t>采购</w:t>
      </w:r>
      <w:r>
        <w:rPr>
          <w:rFonts w:hint="eastAsia" w:ascii="仿宋" w:eastAsia="仿宋" w:cs="仿宋"/>
          <w:color w:val="auto"/>
          <w:sz w:val="24"/>
          <w:szCs w:val="24"/>
          <w:highlight w:val="none"/>
          <w:lang w:val="en-US"/>
        </w:rPr>
        <w:t>内容</w:t>
      </w:r>
      <w:bookmarkEnd w:id="22"/>
    </w:p>
    <w:p>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负责科技成果转移转化平台的整体运营、管理工作，平台派驻常驻人员不少于3名，主要负责的工作内容包括但不限于：</w:t>
      </w:r>
      <w:r>
        <w:rPr>
          <w:rFonts w:hint="eastAsia" w:ascii="仿宋" w:hAnsi="仿宋" w:eastAsia="仿宋" w:cs="仿宋"/>
          <w:color w:val="auto"/>
          <w:sz w:val="24"/>
          <w:szCs w:val="24"/>
          <w:highlight w:val="none"/>
          <w:lang w:eastAsia="zh-CN"/>
        </w:rPr>
        <w:br w:type="textWrapping"/>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1、组织开展大型技术交易活动；</w:t>
      </w:r>
      <w:r>
        <w:rPr>
          <w:rFonts w:hint="eastAsia" w:ascii="仿宋" w:hAnsi="仿宋" w:eastAsia="仿宋" w:cs="仿宋"/>
          <w:color w:val="auto"/>
          <w:sz w:val="24"/>
          <w:szCs w:val="24"/>
          <w:highlight w:val="none"/>
          <w:lang w:eastAsia="zh-CN"/>
        </w:rPr>
        <w:br w:type="textWrapping"/>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2、技术交易与服务；</w:t>
      </w:r>
      <w:r>
        <w:rPr>
          <w:rFonts w:hint="eastAsia" w:ascii="仿宋" w:hAnsi="仿宋" w:eastAsia="仿宋" w:cs="仿宋"/>
          <w:color w:val="auto"/>
          <w:sz w:val="24"/>
          <w:szCs w:val="24"/>
          <w:highlight w:val="none"/>
          <w:lang w:eastAsia="zh-CN"/>
        </w:rPr>
        <w:br w:type="textWrapping"/>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3、引进优质技术中介服务机构；</w:t>
      </w:r>
      <w:r>
        <w:rPr>
          <w:rFonts w:hint="eastAsia" w:ascii="仿宋" w:hAnsi="仿宋" w:eastAsia="仿宋" w:cs="仿宋"/>
          <w:color w:val="auto"/>
          <w:sz w:val="24"/>
          <w:szCs w:val="24"/>
          <w:highlight w:val="none"/>
          <w:lang w:eastAsia="zh-CN"/>
        </w:rPr>
        <w:br w:type="textWrapping"/>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4、高校、科研院所的联系对接；</w:t>
      </w:r>
      <w:r>
        <w:rPr>
          <w:rFonts w:hint="eastAsia" w:ascii="仿宋" w:hAnsi="仿宋" w:eastAsia="仿宋" w:cs="仿宋"/>
          <w:color w:val="auto"/>
          <w:sz w:val="24"/>
          <w:szCs w:val="24"/>
          <w:highlight w:val="none"/>
          <w:lang w:eastAsia="zh-CN"/>
        </w:rPr>
        <w:br w:type="textWrapping"/>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5、技术市场运行与维护；</w:t>
      </w:r>
      <w:r>
        <w:rPr>
          <w:rFonts w:hint="eastAsia" w:ascii="仿宋" w:hAnsi="仿宋" w:eastAsia="仿宋" w:cs="仿宋"/>
          <w:color w:val="auto"/>
          <w:sz w:val="24"/>
          <w:szCs w:val="24"/>
          <w:highlight w:val="none"/>
          <w:lang w:eastAsia="zh-CN"/>
        </w:rPr>
        <w:br w:type="textWrapping"/>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6、政策、法规和科技信息发布；</w:t>
      </w:r>
      <w:r>
        <w:rPr>
          <w:rFonts w:hint="eastAsia" w:ascii="仿宋" w:hAnsi="仿宋" w:eastAsia="仿宋" w:cs="仿宋"/>
          <w:color w:val="auto"/>
          <w:sz w:val="24"/>
          <w:szCs w:val="24"/>
          <w:highlight w:val="none"/>
          <w:lang w:eastAsia="zh-CN"/>
        </w:rPr>
        <w:br w:type="textWrapping"/>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7、企业技术需求的征集、挖掘与发布；</w:t>
      </w:r>
      <w:r>
        <w:rPr>
          <w:rFonts w:hint="eastAsia" w:ascii="仿宋" w:hAnsi="仿宋" w:eastAsia="仿宋" w:cs="仿宋"/>
          <w:color w:val="auto"/>
          <w:sz w:val="24"/>
          <w:szCs w:val="24"/>
          <w:highlight w:val="none"/>
          <w:lang w:eastAsia="zh-CN"/>
        </w:rPr>
        <w:br w:type="textWrapping"/>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8、科技虚拟展示；</w:t>
      </w:r>
      <w:r>
        <w:rPr>
          <w:rFonts w:hint="eastAsia" w:ascii="仿宋" w:hAnsi="仿宋" w:eastAsia="仿宋" w:cs="仿宋"/>
          <w:color w:val="auto"/>
          <w:sz w:val="24"/>
          <w:szCs w:val="24"/>
          <w:highlight w:val="none"/>
          <w:lang w:eastAsia="zh-CN"/>
        </w:rPr>
        <w:br w:type="textWrapping"/>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9、技术协议管理；</w:t>
      </w:r>
      <w:r>
        <w:rPr>
          <w:rFonts w:hint="eastAsia" w:ascii="仿宋" w:hAnsi="仿宋" w:eastAsia="仿宋" w:cs="仿宋"/>
          <w:color w:val="auto"/>
          <w:sz w:val="24"/>
          <w:szCs w:val="24"/>
          <w:highlight w:val="none"/>
          <w:lang w:eastAsia="zh-CN"/>
        </w:rPr>
        <w:br w:type="textWrapping"/>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10、成果、专利和高校院所及专家团队信息发布；</w:t>
      </w:r>
      <w:r>
        <w:rPr>
          <w:rFonts w:hint="eastAsia" w:ascii="仿宋" w:hAnsi="仿宋" w:eastAsia="仿宋" w:cs="仿宋"/>
          <w:color w:val="auto"/>
          <w:sz w:val="24"/>
          <w:szCs w:val="24"/>
          <w:highlight w:val="none"/>
          <w:lang w:eastAsia="zh-CN"/>
        </w:rPr>
        <w:br w:type="textWrapping"/>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11、技术查新咨询服务；</w:t>
      </w:r>
      <w:r>
        <w:rPr>
          <w:rFonts w:hint="eastAsia" w:ascii="仿宋" w:hAnsi="仿宋" w:eastAsia="仿宋" w:cs="仿宋"/>
          <w:color w:val="auto"/>
          <w:sz w:val="24"/>
          <w:szCs w:val="24"/>
          <w:highlight w:val="none"/>
          <w:lang w:eastAsia="zh-CN"/>
        </w:rPr>
        <w:br w:type="textWrapping"/>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12、文献检索；</w:t>
      </w:r>
      <w:r>
        <w:rPr>
          <w:rFonts w:hint="eastAsia" w:ascii="仿宋" w:hAnsi="仿宋" w:eastAsia="仿宋" w:cs="仿宋"/>
          <w:color w:val="auto"/>
          <w:sz w:val="24"/>
          <w:szCs w:val="24"/>
          <w:highlight w:val="none"/>
          <w:lang w:eastAsia="zh-CN"/>
        </w:rPr>
        <w:br w:type="textWrapping"/>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13、技术和项目评价评估及可行性分析；</w:t>
      </w:r>
      <w:r>
        <w:rPr>
          <w:rFonts w:hint="eastAsia" w:ascii="仿宋" w:hAnsi="仿宋" w:eastAsia="仿宋" w:cs="仿宋"/>
          <w:color w:val="auto"/>
          <w:sz w:val="24"/>
          <w:szCs w:val="24"/>
          <w:highlight w:val="none"/>
          <w:lang w:eastAsia="zh-CN"/>
        </w:rPr>
        <w:br w:type="textWrapping"/>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14、科技推广宣传服务；</w:t>
      </w:r>
      <w:r>
        <w:rPr>
          <w:rFonts w:hint="eastAsia" w:ascii="仿宋" w:hAnsi="仿宋" w:eastAsia="仿宋" w:cs="仿宋"/>
          <w:color w:val="auto"/>
          <w:sz w:val="24"/>
          <w:szCs w:val="24"/>
          <w:highlight w:val="none"/>
          <w:lang w:eastAsia="zh-CN"/>
        </w:rPr>
        <w:br w:type="textWrapping"/>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15、政策咨询宣传等；</w:t>
      </w:r>
      <w:r>
        <w:rPr>
          <w:rFonts w:hint="eastAsia" w:ascii="仿宋" w:hAnsi="仿宋" w:eastAsia="仿宋" w:cs="仿宋"/>
          <w:color w:val="auto"/>
          <w:sz w:val="24"/>
          <w:szCs w:val="24"/>
          <w:highlight w:val="none"/>
          <w:lang w:eastAsia="zh-CN"/>
        </w:rPr>
        <w:br w:type="textWrapping"/>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16、完成企业研发费用辅导及培训工作；</w:t>
      </w:r>
      <w:r>
        <w:rPr>
          <w:rFonts w:hint="eastAsia" w:ascii="仿宋" w:hAnsi="仿宋" w:eastAsia="仿宋" w:cs="仿宋"/>
          <w:color w:val="auto"/>
          <w:sz w:val="24"/>
          <w:szCs w:val="24"/>
          <w:highlight w:val="none"/>
          <w:lang w:eastAsia="zh-CN"/>
        </w:rPr>
        <w:br w:type="textWrapping"/>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17、完成其他临时性工作。</w:t>
      </w:r>
    </w:p>
    <w:p>
      <w:pPr>
        <w:pStyle w:val="2"/>
        <w:numPr>
          <w:ilvl w:val="0"/>
          <w:numId w:val="3"/>
        </w:numPr>
        <w:textAlignment w:val="baseline"/>
        <w:rPr>
          <w:rFonts w:hint="eastAsia" w:ascii="仿宋" w:eastAsia="仿宋" w:cs="仿宋"/>
          <w:color w:val="auto"/>
          <w:sz w:val="24"/>
          <w:szCs w:val="24"/>
          <w:highlight w:val="none"/>
          <w:lang w:val="en-US" w:eastAsia="zh-CN"/>
        </w:rPr>
      </w:pPr>
      <w:bookmarkStart w:id="23" w:name="_Toc6288"/>
      <w:r>
        <w:rPr>
          <w:rFonts w:hint="eastAsia" w:ascii="仿宋" w:hAnsi="仿宋" w:eastAsia="仿宋" w:cs="仿宋"/>
          <w:color w:val="auto"/>
          <w:sz w:val="24"/>
          <w:szCs w:val="24"/>
          <w:highlight w:val="none"/>
          <w:lang w:val="en-US" w:eastAsia="zh-CN"/>
        </w:rPr>
        <w:t>▲</w:t>
      </w:r>
      <w:r>
        <w:rPr>
          <w:rFonts w:hint="eastAsia" w:ascii="仿宋" w:eastAsia="仿宋" w:cs="仿宋"/>
          <w:color w:val="auto"/>
          <w:sz w:val="24"/>
          <w:szCs w:val="24"/>
          <w:highlight w:val="none"/>
          <w:lang w:val="en-US" w:eastAsia="zh-CN"/>
        </w:rPr>
        <w:t>每年度工作要求：</w:t>
      </w:r>
      <w:bookmarkEnd w:id="23"/>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val="0"/>
          <w:bCs w:val="0"/>
          <w:color w:val="auto"/>
          <w:kern w:val="2"/>
          <w:sz w:val="24"/>
          <w:szCs w:val="24"/>
          <w:highlight w:val="none"/>
          <w:u w:val="none"/>
          <w:vertAlign w:val="baseline"/>
          <w:lang w:val="en-US" w:eastAsia="zh-CN" w:bidi="ar"/>
        </w:rPr>
      </w:pPr>
      <w:r>
        <w:rPr>
          <w:rFonts w:hint="eastAsia" w:ascii="仿宋" w:hAnsi="仿宋" w:eastAsia="仿宋" w:cs="仿宋"/>
          <w:color w:val="auto"/>
          <w:sz w:val="24"/>
          <w:szCs w:val="24"/>
          <w:highlight w:val="none"/>
          <w:lang w:val="en-US" w:eastAsia="zh-CN"/>
        </w:rPr>
        <w:t>1、组建不少于3人的服务团队，完善相关管理制度。</w:t>
      </w:r>
      <w:r>
        <w:rPr>
          <w:rFonts w:hint="eastAsia" w:ascii="仿宋" w:hAnsi="仿宋" w:eastAsia="仿宋" w:cs="仿宋"/>
          <w:color w:val="auto"/>
          <w:sz w:val="24"/>
          <w:szCs w:val="24"/>
          <w:highlight w:val="none"/>
          <w:lang w:eastAsia="zh-CN"/>
        </w:rPr>
        <w:t>积极与高校技术转移中心对接，引导其结合行业、产业特点，开展企业技术需求难题挖掘及成果转移对接相关服务，帮助企业突破关键技术瓶颈；</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2、开展各类科技活动，联合乡镇（街道、园区）与高校、院所围绕产业特色进行产学研对接交流5次以上，面向县内企业开展科技讲座、培训、专场沙龙等活动3场以上；</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3、实地走访中小企业政策宣传60次以上；</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4、征集企业技术需求40项以上，并在“浙丽科创服务平台”登记需求，通过“浙江网上技术市场”发布成果30项以上；</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5、培育国家高新技术企业、浙江省科技型中小企业（</w:t>
      </w:r>
      <w:r>
        <w:rPr>
          <w:rFonts w:hint="eastAsia" w:ascii="仿宋" w:hAnsi="仿宋" w:eastAsia="仿宋" w:cs="仿宋"/>
          <w:i w:val="0"/>
          <w:iCs w:val="0"/>
          <w:color w:val="auto"/>
          <w:kern w:val="0"/>
          <w:sz w:val="24"/>
          <w:szCs w:val="24"/>
          <w:highlight w:val="none"/>
          <w:u w:val="none"/>
          <w:lang w:eastAsia="zh-CN" w:bidi="ar"/>
        </w:rPr>
        <w:t>每年</w:t>
      </w:r>
      <w:r>
        <w:rPr>
          <w:rFonts w:hint="eastAsia" w:ascii="仿宋" w:hAnsi="仿宋" w:eastAsia="仿宋" w:cs="仿宋"/>
          <w:i w:val="0"/>
          <w:iCs w:val="0"/>
          <w:color w:val="auto"/>
          <w:kern w:val="0"/>
          <w:sz w:val="24"/>
          <w:szCs w:val="24"/>
          <w:highlight w:val="none"/>
          <w:u w:val="none"/>
          <w:lang w:val="en-US" w:eastAsia="zh-CN" w:bidi="ar"/>
        </w:rPr>
        <w:t>完成市级下达的指标要求数</w:t>
      </w:r>
      <w:r>
        <w:rPr>
          <w:rFonts w:hint="eastAsia" w:ascii="仿宋" w:hAnsi="仿宋" w:eastAsia="仿宋" w:cs="仿宋"/>
          <w:color w:val="auto"/>
          <w:sz w:val="24"/>
          <w:szCs w:val="24"/>
          <w:highlight w:val="none"/>
          <w:lang w:val="en-US" w:eastAsia="zh-CN"/>
        </w:rPr>
        <w:t>）；</w:t>
      </w:r>
    </w:p>
    <w:p>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6、完成市级下达的技术交易额，对技术交易合同进行收集和登记；</w:t>
      </w:r>
    </w:p>
    <w:p>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7、培训和实地指导覆盖科技局提供的企业规范填报统计年报，全年组织相关研发费用培训2场</w:t>
      </w:r>
      <w:r>
        <w:rPr>
          <w:rFonts w:hint="eastAsia" w:ascii="仿宋" w:hAnsi="仿宋" w:eastAsia="仿宋" w:cs="仿宋"/>
          <w:color w:val="auto"/>
          <w:sz w:val="24"/>
          <w:szCs w:val="24"/>
          <w:highlight w:val="none"/>
          <w:lang w:val="en-US" w:eastAsia="zh-CN"/>
        </w:rPr>
        <w:t>以上</w:t>
      </w:r>
      <w:r>
        <w:rPr>
          <w:rFonts w:hint="eastAsia" w:ascii="仿宋" w:hAnsi="仿宋" w:eastAsia="仿宋" w:cs="仿宋"/>
          <w:b w:val="0"/>
          <w:bCs w:val="0"/>
          <w:color w:val="auto"/>
          <w:kern w:val="2"/>
          <w:sz w:val="24"/>
          <w:szCs w:val="24"/>
          <w:highlight w:val="none"/>
          <w:lang w:val="en-US" w:eastAsia="zh-CN" w:bidi="ar-SA"/>
        </w:rPr>
        <w:t>；</w:t>
      </w:r>
    </w:p>
    <w:p>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8、全年投稿至</w:t>
      </w:r>
      <w:r>
        <w:rPr>
          <w:rFonts w:hint="eastAsia" w:ascii="仿宋" w:hAnsi="仿宋" w:eastAsia="仿宋" w:cs="仿宋"/>
          <w:b w:val="0"/>
          <w:bCs w:val="0"/>
          <w:color w:val="auto"/>
          <w:kern w:val="2"/>
          <w:sz w:val="24"/>
          <w:szCs w:val="24"/>
          <w:highlight w:val="none"/>
          <w:lang w:eastAsia="zh-CN" w:bidi="ar-SA"/>
        </w:rPr>
        <w:t>县</w:t>
      </w:r>
      <w:r>
        <w:rPr>
          <w:rFonts w:hint="eastAsia" w:ascii="仿宋" w:hAnsi="仿宋" w:eastAsia="仿宋" w:cs="仿宋"/>
          <w:b w:val="0"/>
          <w:bCs w:val="0"/>
          <w:color w:val="auto"/>
          <w:kern w:val="2"/>
          <w:sz w:val="24"/>
          <w:szCs w:val="24"/>
          <w:highlight w:val="none"/>
          <w:lang w:val="en-US" w:eastAsia="zh-CN" w:bidi="ar-SA"/>
        </w:rPr>
        <w:t>级及</w:t>
      </w:r>
      <w:r>
        <w:rPr>
          <w:rFonts w:hint="eastAsia" w:ascii="仿宋" w:hAnsi="仿宋" w:eastAsia="仿宋" w:cs="仿宋"/>
          <w:b w:val="0"/>
          <w:bCs w:val="0"/>
          <w:color w:val="auto"/>
          <w:kern w:val="2"/>
          <w:sz w:val="24"/>
          <w:szCs w:val="24"/>
          <w:highlight w:val="none"/>
          <w:lang w:eastAsia="zh-CN" w:bidi="ar-SA"/>
        </w:rPr>
        <w:t>以上</w:t>
      </w:r>
      <w:r>
        <w:rPr>
          <w:rFonts w:hint="eastAsia" w:ascii="仿宋" w:hAnsi="仿宋" w:eastAsia="仿宋" w:cs="仿宋"/>
          <w:b w:val="0"/>
          <w:bCs w:val="0"/>
          <w:color w:val="auto"/>
          <w:kern w:val="2"/>
          <w:sz w:val="24"/>
          <w:szCs w:val="24"/>
          <w:highlight w:val="none"/>
          <w:lang w:val="en-US" w:eastAsia="zh-CN" w:bidi="ar-SA"/>
        </w:rPr>
        <w:t>文章12篇</w:t>
      </w:r>
      <w:r>
        <w:rPr>
          <w:rFonts w:hint="eastAsia" w:ascii="仿宋" w:hAnsi="仿宋" w:eastAsia="仿宋" w:cs="仿宋"/>
          <w:color w:val="auto"/>
          <w:sz w:val="24"/>
          <w:szCs w:val="24"/>
          <w:highlight w:val="none"/>
          <w:lang w:val="en-US" w:eastAsia="zh-CN"/>
        </w:rPr>
        <w:t>以上</w:t>
      </w:r>
      <w:r>
        <w:rPr>
          <w:rFonts w:hint="eastAsia" w:ascii="仿宋" w:hAnsi="仿宋" w:eastAsia="仿宋" w:cs="仿宋"/>
          <w:b w:val="0"/>
          <w:bCs w:val="0"/>
          <w:color w:val="auto"/>
          <w:kern w:val="2"/>
          <w:sz w:val="24"/>
          <w:szCs w:val="24"/>
          <w:highlight w:val="none"/>
          <w:lang w:val="en-US" w:eastAsia="zh-CN" w:bidi="ar-SA"/>
        </w:rPr>
        <w:t>；</w:t>
      </w:r>
    </w:p>
    <w:p>
      <w:pPr>
        <w:pageBreakBefore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b w:val="0"/>
          <w:bCs w:val="0"/>
          <w:color w:val="auto"/>
          <w:kern w:val="2"/>
          <w:sz w:val="24"/>
          <w:szCs w:val="24"/>
          <w:highlight w:val="none"/>
          <w:lang w:val="en-US" w:eastAsia="zh-CN" w:bidi="ar-SA"/>
        </w:rPr>
        <w:t>9、完成科技局交办的其他工作（如创新券推广、科技项目申报等工作开展）</w:t>
      </w:r>
      <w:r>
        <w:rPr>
          <w:rFonts w:hint="eastAsia" w:ascii="仿宋" w:hAnsi="仿宋" w:eastAsia="仿宋" w:cs="仿宋"/>
          <w:i w:val="0"/>
          <w:iCs w:val="0"/>
          <w:color w:val="auto"/>
          <w:kern w:val="0"/>
          <w:sz w:val="24"/>
          <w:szCs w:val="24"/>
          <w:highlight w:val="none"/>
          <w:u w:val="none"/>
          <w:lang w:val="en-US" w:eastAsia="zh-CN" w:bidi="ar"/>
        </w:rPr>
        <w:t>。</w:t>
      </w:r>
    </w:p>
    <w:p>
      <w:pPr>
        <w:pStyle w:val="2"/>
        <w:numPr>
          <w:ilvl w:val="0"/>
          <w:numId w:val="3"/>
        </w:numPr>
        <w:textAlignment w:val="baseline"/>
        <w:rPr>
          <w:rFonts w:hint="eastAsia" w:ascii="仿宋" w:eastAsia="仿宋" w:cs="仿宋"/>
          <w:color w:val="auto"/>
          <w:sz w:val="24"/>
          <w:szCs w:val="24"/>
          <w:highlight w:val="none"/>
          <w:lang w:val="en-US" w:eastAsia="zh-CN"/>
        </w:rPr>
      </w:pPr>
      <w:bookmarkStart w:id="24" w:name="_Toc23233"/>
      <w:r>
        <w:rPr>
          <w:rFonts w:hint="eastAsia" w:ascii="仿宋" w:eastAsia="仿宋" w:cs="仿宋"/>
          <w:color w:val="auto"/>
          <w:sz w:val="24"/>
          <w:szCs w:val="24"/>
          <w:highlight w:val="none"/>
          <w:lang w:val="en-US" w:eastAsia="zh-CN"/>
        </w:rPr>
        <w:t>考核评分标准</w:t>
      </w:r>
      <w:r>
        <w:rPr>
          <w:rFonts w:hint="default" w:ascii="仿宋" w:eastAsia="仿宋" w:cs="仿宋"/>
          <w:color w:val="auto"/>
          <w:sz w:val="24"/>
          <w:szCs w:val="24"/>
          <w:highlight w:val="none"/>
          <w:lang w:val="en-US" w:eastAsia="zh-CN"/>
        </w:rPr>
        <w:t>（两年）</w:t>
      </w:r>
      <w:r>
        <w:rPr>
          <w:rFonts w:hint="eastAsia" w:ascii="仿宋" w:eastAsia="仿宋" w:cs="仿宋"/>
          <w:color w:val="auto"/>
          <w:sz w:val="24"/>
          <w:szCs w:val="24"/>
          <w:highlight w:val="none"/>
          <w:lang w:val="en-US" w:eastAsia="zh-CN"/>
        </w:rPr>
        <w:t>：</w:t>
      </w:r>
      <w:bookmarkEnd w:id="24"/>
    </w:p>
    <w:tbl>
      <w:tblPr>
        <w:tblStyle w:val="62"/>
        <w:tblpPr w:leftFromText="180" w:rightFromText="180" w:vertAnchor="text" w:horzAnchor="page" w:tblpX="1285" w:tblpY="155"/>
        <w:tblOverlap w:val="never"/>
        <w:tblW w:w="943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75"/>
        <w:gridCol w:w="1234"/>
        <w:gridCol w:w="3096"/>
        <w:gridCol w:w="735"/>
        <w:gridCol w:w="369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2" w:hRule="atLeast"/>
        </w:trPr>
        <w:tc>
          <w:tcPr>
            <w:tcW w:w="6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序号</w:t>
            </w:r>
          </w:p>
        </w:tc>
        <w:tc>
          <w:tcPr>
            <w:tcW w:w="123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工作任务</w:t>
            </w:r>
          </w:p>
        </w:tc>
        <w:tc>
          <w:tcPr>
            <w:tcW w:w="30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eastAsia="zh-CN" w:bidi="ar"/>
              </w:rPr>
              <w:t>总</w:t>
            </w:r>
            <w:r>
              <w:rPr>
                <w:rFonts w:hint="eastAsia" w:ascii="仿宋" w:hAnsi="仿宋" w:eastAsia="仿宋" w:cs="仿宋"/>
                <w:i w:val="0"/>
                <w:iCs w:val="0"/>
                <w:color w:val="auto"/>
                <w:kern w:val="0"/>
                <w:sz w:val="24"/>
                <w:szCs w:val="24"/>
                <w:highlight w:val="none"/>
                <w:u w:val="none"/>
                <w:lang w:val="en-US" w:eastAsia="zh-CN" w:bidi="ar"/>
              </w:rPr>
              <w:t>考核内容</w:t>
            </w: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分值</w:t>
            </w:r>
          </w:p>
        </w:tc>
        <w:tc>
          <w:tcPr>
            <w:tcW w:w="3697" w:type="dxa"/>
            <w:tcBorders>
              <w:top w:val="single" w:color="000000" w:sz="4" w:space="0"/>
              <w:left w:val="single" w:color="000000" w:sz="4" w:space="0"/>
              <w:bottom w:val="single" w:color="000000" w:sz="4" w:space="0"/>
              <w:right w:val="single" w:color="000000" w:sz="4" w:space="0"/>
            </w:tcBorders>
            <w:noWrap w:val="0"/>
            <w:vAlign w:val="center"/>
          </w:tcPr>
          <w:p>
            <w:pPr>
              <w:pStyle w:val="29"/>
              <w:ind w:left="0" w:leftChars="0" w:firstLine="0" w:firstLineChars="0"/>
              <w:jc w:val="center"/>
              <w:rPr>
                <w:rFonts w:hint="eastAsia" w:ascii="仿宋" w:hAnsi="仿宋" w:eastAsia="仿宋" w:cs="仿宋"/>
                <w:color w:val="auto"/>
                <w:sz w:val="24"/>
                <w:szCs w:val="24"/>
                <w:highlight w:val="none"/>
                <w:lang w:val="en-US"/>
              </w:rPr>
            </w:pPr>
            <w:r>
              <w:rPr>
                <w:rFonts w:hint="eastAsia" w:ascii="仿宋" w:hAnsi="仿宋" w:eastAsia="仿宋" w:cs="仿宋"/>
                <w:i w:val="0"/>
                <w:iCs w:val="0"/>
                <w:color w:val="auto"/>
                <w:kern w:val="0"/>
                <w:sz w:val="24"/>
                <w:szCs w:val="24"/>
                <w:highlight w:val="none"/>
                <w:u w:val="none"/>
                <w:lang w:eastAsia="zh-CN" w:bidi="ar"/>
              </w:rPr>
              <w:t>年度考核</w:t>
            </w:r>
            <w:r>
              <w:rPr>
                <w:rFonts w:hint="eastAsia" w:ascii="仿宋" w:hAnsi="仿宋" w:eastAsia="仿宋" w:cs="仿宋"/>
                <w:i w:val="0"/>
                <w:iCs w:val="0"/>
                <w:color w:val="auto"/>
                <w:kern w:val="0"/>
                <w:sz w:val="24"/>
                <w:szCs w:val="24"/>
                <w:highlight w:val="none"/>
                <w:u w:val="none"/>
                <w:lang w:val="en-US" w:eastAsia="zh-CN" w:bidi="ar"/>
              </w:rPr>
              <w:t>评分标准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6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1234" w:type="dxa"/>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大市场建设管理</w:t>
            </w:r>
          </w:p>
        </w:tc>
        <w:tc>
          <w:tcPr>
            <w:tcW w:w="30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建立专业的服务与技术人才团队不少于3人</w:t>
            </w: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w:t>
            </w:r>
          </w:p>
        </w:tc>
        <w:tc>
          <w:tcPr>
            <w:tcW w:w="36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根据人员到位、工作配合情况给分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w:t>
            </w:r>
          </w:p>
        </w:tc>
        <w:tc>
          <w:tcPr>
            <w:tcW w:w="1234" w:type="dxa"/>
            <w:vMerge w:val="continue"/>
            <w:tcBorders>
              <w:left w:val="single" w:color="000000" w:sz="4" w:space="0"/>
              <w:bottom w:val="single" w:color="auto"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p>
        </w:tc>
        <w:tc>
          <w:tcPr>
            <w:tcW w:w="30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常态化管理大市场，制定平台管理办法</w:t>
            </w: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w:t>
            </w:r>
          </w:p>
        </w:tc>
        <w:tc>
          <w:tcPr>
            <w:tcW w:w="36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良好运行管理景宁科技大市场，根据制度完善和运行情况得分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000000" w:sz="4" w:space="0"/>
              <w:left w:val="single" w:color="000000" w:sz="4" w:space="0"/>
              <w:bottom w:val="single" w:color="000000" w:sz="4" w:space="0"/>
              <w:right w:val="single" w:color="auto"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w:t>
            </w:r>
          </w:p>
        </w:tc>
        <w:tc>
          <w:tcPr>
            <w:tcW w:w="1234"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开展各类科技活动</w:t>
            </w:r>
          </w:p>
        </w:tc>
        <w:tc>
          <w:tcPr>
            <w:tcW w:w="3096" w:type="dxa"/>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联合乡镇（街道、园区）与高校、院所围绕产业特色进行产学研对接交流</w:t>
            </w:r>
            <w:r>
              <w:rPr>
                <w:rFonts w:hint="eastAsia" w:ascii="仿宋" w:hAnsi="仿宋" w:eastAsia="仿宋" w:cs="仿宋"/>
                <w:i w:val="0"/>
                <w:iCs w:val="0"/>
                <w:color w:val="auto"/>
                <w:kern w:val="0"/>
                <w:sz w:val="24"/>
                <w:szCs w:val="24"/>
                <w:highlight w:val="none"/>
                <w:u w:val="none"/>
                <w:lang w:eastAsia="zh-CN" w:bidi="ar"/>
              </w:rPr>
              <w:t>10</w:t>
            </w:r>
            <w:r>
              <w:rPr>
                <w:rFonts w:hint="eastAsia" w:ascii="仿宋" w:hAnsi="仿宋" w:eastAsia="仿宋" w:cs="仿宋"/>
                <w:i w:val="0"/>
                <w:iCs w:val="0"/>
                <w:color w:val="auto"/>
                <w:kern w:val="0"/>
                <w:sz w:val="24"/>
                <w:szCs w:val="24"/>
                <w:highlight w:val="none"/>
                <w:u w:val="none"/>
                <w:lang w:val="en-US" w:eastAsia="zh-CN" w:bidi="ar"/>
              </w:rPr>
              <w:t>次以上</w:t>
            </w: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36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eastAsia="zh-CN" w:bidi="ar"/>
              </w:rPr>
              <w:t>每年对接交流5次以上，</w:t>
            </w:r>
            <w:r>
              <w:rPr>
                <w:rFonts w:hint="eastAsia" w:ascii="仿宋" w:hAnsi="仿宋" w:eastAsia="仿宋" w:cs="仿宋"/>
                <w:i w:val="0"/>
                <w:iCs w:val="0"/>
                <w:color w:val="auto"/>
                <w:kern w:val="0"/>
                <w:sz w:val="24"/>
                <w:szCs w:val="24"/>
                <w:highlight w:val="none"/>
                <w:u w:val="none"/>
                <w:lang w:val="en-US" w:eastAsia="zh-CN" w:bidi="ar"/>
              </w:rPr>
              <w:t>按</w:t>
            </w:r>
            <w:r>
              <w:rPr>
                <w:rFonts w:hint="eastAsia" w:ascii="仿宋" w:hAnsi="仿宋" w:eastAsia="仿宋" w:cs="仿宋"/>
                <w:i w:val="0"/>
                <w:iCs w:val="0"/>
                <w:color w:val="auto"/>
                <w:kern w:val="0"/>
                <w:sz w:val="24"/>
                <w:szCs w:val="24"/>
                <w:highlight w:val="none"/>
                <w:u w:val="none"/>
                <w:lang w:eastAsia="zh-CN" w:bidi="ar"/>
              </w:rPr>
              <w:t>年度</w:t>
            </w:r>
            <w:r>
              <w:rPr>
                <w:rFonts w:hint="eastAsia" w:ascii="仿宋" w:hAnsi="仿宋" w:eastAsia="仿宋" w:cs="仿宋"/>
                <w:i w:val="0"/>
                <w:iCs w:val="0"/>
                <w:color w:val="auto"/>
                <w:kern w:val="0"/>
                <w:sz w:val="24"/>
                <w:szCs w:val="24"/>
                <w:highlight w:val="none"/>
                <w:u w:val="none"/>
                <w:lang w:val="en-US" w:eastAsia="zh-CN" w:bidi="ar"/>
              </w:rPr>
              <w:t>完成情况得分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75" w:type="dxa"/>
            <w:tcBorders>
              <w:top w:val="single" w:color="000000" w:sz="4" w:space="0"/>
              <w:left w:val="single" w:color="000000" w:sz="4" w:space="0"/>
              <w:bottom w:val="single" w:color="000000" w:sz="4" w:space="0"/>
              <w:right w:val="single" w:color="auto"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w:t>
            </w:r>
          </w:p>
        </w:tc>
        <w:tc>
          <w:tcPr>
            <w:tcW w:w="1234"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p>
        </w:tc>
        <w:tc>
          <w:tcPr>
            <w:tcW w:w="3096" w:type="dxa"/>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面向县内企业开展科技讲座、培训、专场沙龙等活动</w:t>
            </w:r>
            <w:r>
              <w:rPr>
                <w:rFonts w:hint="eastAsia" w:ascii="仿宋" w:hAnsi="仿宋" w:eastAsia="仿宋" w:cs="仿宋"/>
                <w:i w:val="0"/>
                <w:iCs w:val="0"/>
                <w:color w:val="auto"/>
                <w:kern w:val="0"/>
                <w:sz w:val="24"/>
                <w:szCs w:val="24"/>
                <w:highlight w:val="none"/>
                <w:u w:val="none"/>
                <w:lang w:eastAsia="zh-CN" w:bidi="ar"/>
              </w:rPr>
              <w:t>6</w:t>
            </w:r>
            <w:r>
              <w:rPr>
                <w:rFonts w:hint="eastAsia" w:ascii="仿宋" w:hAnsi="仿宋" w:eastAsia="仿宋" w:cs="仿宋"/>
                <w:i w:val="0"/>
                <w:iCs w:val="0"/>
                <w:color w:val="auto"/>
                <w:kern w:val="0"/>
                <w:sz w:val="24"/>
                <w:szCs w:val="24"/>
                <w:highlight w:val="none"/>
                <w:u w:val="none"/>
                <w:lang w:val="en-US" w:eastAsia="zh-CN" w:bidi="ar"/>
              </w:rPr>
              <w:t>场以上</w:t>
            </w: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36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eastAsia="zh-CN" w:bidi="ar"/>
              </w:rPr>
              <w:t>每年组织开展3场以上，</w:t>
            </w:r>
            <w:r>
              <w:rPr>
                <w:rFonts w:hint="eastAsia" w:ascii="仿宋" w:hAnsi="仿宋" w:eastAsia="仿宋" w:cs="仿宋"/>
                <w:i w:val="0"/>
                <w:iCs w:val="0"/>
                <w:color w:val="auto"/>
                <w:kern w:val="0"/>
                <w:sz w:val="24"/>
                <w:szCs w:val="24"/>
                <w:highlight w:val="none"/>
                <w:u w:val="none"/>
                <w:lang w:val="en-US" w:eastAsia="zh-CN" w:bidi="ar"/>
              </w:rPr>
              <w:t>按</w:t>
            </w:r>
            <w:r>
              <w:rPr>
                <w:rFonts w:hint="eastAsia" w:ascii="仿宋" w:hAnsi="仿宋" w:eastAsia="仿宋" w:cs="仿宋"/>
                <w:i w:val="0"/>
                <w:iCs w:val="0"/>
                <w:color w:val="auto"/>
                <w:kern w:val="0"/>
                <w:sz w:val="24"/>
                <w:szCs w:val="24"/>
                <w:highlight w:val="none"/>
                <w:u w:val="none"/>
                <w:lang w:eastAsia="zh-CN" w:bidi="ar"/>
              </w:rPr>
              <w:t>年度</w:t>
            </w:r>
            <w:r>
              <w:rPr>
                <w:rFonts w:hint="eastAsia" w:ascii="仿宋" w:hAnsi="仿宋" w:eastAsia="仿宋" w:cs="仿宋"/>
                <w:i w:val="0"/>
                <w:iCs w:val="0"/>
                <w:color w:val="auto"/>
                <w:kern w:val="0"/>
                <w:sz w:val="24"/>
                <w:szCs w:val="24"/>
                <w:highlight w:val="none"/>
                <w:u w:val="none"/>
                <w:lang w:val="en-US" w:eastAsia="zh-CN" w:bidi="ar"/>
              </w:rPr>
              <w:t>完成情况得分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675" w:type="dxa"/>
            <w:tcBorders>
              <w:top w:val="single" w:color="000000" w:sz="4" w:space="0"/>
              <w:left w:val="single" w:color="000000" w:sz="4" w:space="0"/>
              <w:bottom w:val="single" w:color="000000" w:sz="4" w:space="0"/>
              <w:right w:val="single" w:color="auto"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12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企业走访</w:t>
            </w:r>
          </w:p>
        </w:tc>
        <w:tc>
          <w:tcPr>
            <w:tcW w:w="3096" w:type="dxa"/>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实地走访中小企业政策宣传不少于</w:t>
            </w:r>
            <w:r>
              <w:rPr>
                <w:rFonts w:hint="eastAsia" w:ascii="仿宋" w:hAnsi="仿宋" w:eastAsia="仿宋" w:cs="仿宋"/>
                <w:i w:val="0"/>
                <w:iCs w:val="0"/>
                <w:color w:val="auto"/>
                <w:kern w:val="0"/>
                <w:sz w:val="24"/>
                <w:szCs w:val="24"/>
                <w:highlight w:val="none"/>
                <w:u w:val="none"/>
                <w:lang w:eastAsia="zh-CN" w:bidi="ar"/>
              </w:rPr>
              <w:t>120</w:t>
            </w:r>
            <w:r>
              <w:rPr>
                <w:rFonts w:hint="eastAsia" w:ascii="仿宋" w:hAnsi="仿宋" w:eastAsia="仿宋" w:cs="仿宋"/>
                <w:i w:val="0"/>
                <w:iCs w:val="0"/>
                <w:color w:val="auto"/>
                <w:kern w:val="0"/>
                <w:sz w:val="24"/>
                <w:szCs w:val="24"/>
                <w:highlight w:val="none"/>
                <w:u w:val="none"/>
                <w:lang w:val="en-US" w:eastAsia="zh-CN" w:bidi="ar"/>
              </w:rPr>
              <w:t>次</w:t>
            </w: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36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eastAsia="zh-CN" w:bidi="ar"/>
              </w:rPr>
              <w:t>每年</w:t>
            </w:r>
            <w:r>
              <w:rPr>
                <w:rFonts w:hint="eastAsia" w:ascii="仿宋" w:hAnsi="仿宋" w:eastAsia="仿宋" w:cs="仿宋"/>
                <w:i w:val="0"/>
                <w:iCs w:val="0"/>
                <w:color w:val="auto"/>
                <w:kern w:val="0"/>
                <w:sz w:val="24"/>
                <w:szCs w:val="24"/>
                <w:highlight w:val="none"/>
                <w:u w:val="none"/>
                <w:lang w:val="en-US" w:eastAsia="zh-CN" w:bidi="ar"/>
              </w:rPr>
              <w:t>完成走访宣传60次</w:t>
            </w:r>
            <w:r>
              <w:rPr>
                <w:rFonts w:hint="eastAsia" w:ascii="仿宋" w:hAnsi="仿宋" w:eastAsia="仿宋" w:cs="仿宋"/>
                <w:i w:val="0"/>
                <w:iCs w:val="0"/>
                <w:color w:val="auto"/>
                <w:kern w:val="0"/>
                <w:sz w:val="24"/>
                <w:szCs w:val="24"/>
                <w:highlight w:val="none"/>
                <w:u w:val="none"/>
                <w:lang w:eastAsia="zh-CN" w:bidi="ar"/>
              </w:rPr>
              <w:t>以上</w:t>
            </w:r>
            <w:r>
              <w:rPr>
                <w:rFonts w:hint="eastAsia" w:ascii="仿宋" w:hAnsi="仿宋" w:eastAsia="仿宋" w:cs="仿宋"/>
                <w:i w:val="0"/>
                <w:iCs w:val="0"/>
                <w:color w:val="auto"/>
                <w:kern w:val="0"/>
                <w:sz w:val="24"/>
                <w:szCs w:val="24"/>
                <w:highlight w:val="none"/>
                <w:u w:val="none"/>
                <w:lang w:val="en-US" w:eastAsia="zh-CN" w:bidi="ar"/>
              </w:rPr>
              <w:t>得10分，少一次扣0.5分，扣完为止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0" w:hRule="atLeast"/>
        </w:trPr>
        <w:tc>
          <w:tcPr>
            <w:tcW w:w="6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w:t>
            </w:r>
          </w:p>
        </w:tc>
        <w:tc>
          <w:tcPr>
            <w:tcW w:w="1234" w:type="dxa"/>
            <w:vMerge w:val="restart"/>
            <w:tcBorders>
              <w:top w:val="single" w:color="auto" w:sz="4" w:space="0"/>
              <w:left w:val="single" w:color="000000" w:sz="4" w:space="0"/>
              <w:bottom w:val="single" w:color="auto"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构建企业技术需求闭环解决机制</w:t>
            </w:r>
          </w:p>
        </w:tc>
        <w:tc>
          <w:tcPr>
            <w:tcW w:w="30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收集技术</w:t>
            </w:r>
            <w:r>
              <w:rPr>
                <w:rFonts w:hint="eastAsia" w:ascii="仿宋" w:hAnsi="仿宋" w:eastAsia="仿宋" w:cs="仿宋"/>
                <w:i w:val="0"/>
                <w:iCs w:val="0"/>
                <w:color w:val="auto"/>
                <w:kern w:val="0"/>
                <w:sz w:val="24"/>
                <w:szCs w:val="24"/>
                <w:highlight w:val="none"/>
                <w:u w:val="none"/>
                <w:lang w:eastAsia="zh-CN" w:bidi="ar"/>
              </w:rPr>
              <w:t>需求80项以上，并在</w:t>
            </w:r>
            <w:r>
              <w:rPr>
                <w:rFonts w:hint="eastAsia" w:ascii="仿宋" w:hAnsi="仿宋" w:eastAsia="仿宋" w:cs="仿宋"/>
                <w:i w:val="0"/>
                <w:iCs w:val="0"/>
                <w:color w:val="auto"/>
                <w:kern w:val="0"/>
                <w:sz w:val="24"/>
                <w:szCs w:val="24"/>
                <w:highlight w:val="none"/>
                <w:u w:val="none"/>
                <w:lang w:val="en-US" w:eastAsia="zh-CN" w:bidi="ar"/>
              </w:rPr>
              <w:t>“浙丽科创服务平台”登记</w:t>
            </w: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36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eastAsia="zh-CN" w:bidi="ar"/>
              </w:rPr>
              <w:t>每年</w:t>
            </w:r>
            <w:r>
              <w:rPr>
                <w:rFonts w:hint="eastAsia" w:ascii="仿宋" w:hAnsi="仿宋" w:eastAsia="仿宋" w:cs="仿宋"/>
                <w:i w:val="0"/>
                <w:iCs w:val="0"/>
                <w:color w:val="auto"/>
                <w:kern w:val="0"/>
                <w:sz w:val="24"/>
                <w:szCs w:val="24"/>
                <w:highlight w:val="none"/>
                <w:u w:val="none"/>
                <w:lang w:val="en-US" w:eastAsia="zh-CN" w:bidi="ar"/>
              </w:rPr>
              <w:t>征集企业技术需求40项，并在“浙丽科创服务平台”登记需求，按完成情况给分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8</w:t>
            </w:r>
          </w:p>
        </w:tc>
        <w:tc>
          <w:tcPr>
            <w:tcW w:w="1234" w:type="dxa"/>
            <w:vMerge w:val="continue"/>
            <w:tcBorders>
              <w:top w:val="single" w:color="auto" w:sz="4" w:space="0"/>
              <w:left w:val="single" w:color="000000" w:sz="4" w:space="0"/>
              <w:bottom w:val="single" w:color="auto"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p>
        </w:tc>
        <w:tc>
          <w:tcPr>
            <w:tcW w:w="30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eastAsia="zh-CN" w:bidi="ar"/>
              </w:rPr>
            </w:pPr>
            <w:r>
              <w:rPr>
                <w:rFonts w:hint="eastAsia" w:ascii="仿宋" w:hAnsi="仿宋" w:eastAsia="仿宋" w:cs="仿宋"/>
                <w:i w:val="0"/>
                <w:iCs w:val="0"/>
                <w:color w:val="auto"/>
                <w:kern w:val="0"/>
                <w:sz w:val="24"/>
                <w:szCs w:val="24"/>
                <w:highlight w:val="none"/>
                <w:u w:val="none"/>
                <w:lang w:val="en-US" w:eastAsia="zh-CN" w:bidi="ar"/>
              </w:rPr>
              <w:t>通过浙江网上技术市场发布成果</w:t>
            </w:r>
            <w:r>
              <w:rPr>
                <w:rFonts w:hint="eastAsia" w:ascii="仿宋" w:hAnsi="仿宋" w:eastAsia="仿宋" w:cs="仿宋"/>
                <w:i w:val="0"/>
                <w:iCs w:val="0"/>
                <w:color w:val="auto"/>
                <w:kern w:val="0"/>
                <w:sz w:val="24"/>
                <w:szCs w:val="24"/>
                <w:highlight w:val="none"/>
                <w:u w:val="none"/>
                <w:lang w:eastAsia="zh-CN" w:bidi="ar"/>
              </w:rPr>
              <w:t>6</w:t>
            </w:r>
            <w:r>
              <w:rPr>
                <w:rFonts w:hint="eastAsia" w:ascii="仿宋" w:hAnsi="仿宋" w:eastAsia="仿宋" w:cs="仿宋"/>
                <w:i w:val="0"/>
                <w:iCs w:val="0"/>
                <w:color w:val="auto"/>
                <w:kern w:val="0"/>
                <w:sz w:val="24"/>
                <w:szCs w:val="24"/>
                <w:highlight w:val="none"/>
                <w:u w:val="none"/>
                <w:lang w:val="en-US" w:eastAsia="zh-CN" w:bidi="ar"/>
              </w:rPr>
              <w:t>0项</w:t>
            </w:r>
            <w:r>
              <w:rPr>
                <w:rFonts w:hint="eastAsia" w:ascii="仿宋" w:hAnsi="仿宋" w:eastAsia="仿宋" w:cs="仿宋"/>
                <w:i w:val="0"/>
                <w:iCs w:val="0"/>
                <w:color w:val="auto"/>
                <w:kern w:val="0"/>
                <w:sz w:val="24"/>
                <w:szCs w:val="24"/>
                <w:highlight w:val="none"/>
                <w:u w:val="none"/>
                <w:lang w:eastAsia="zh-CN" w:bidi="ar"/>
              </w:rPr>
              <w:t>以上</w:t>
            </w: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36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eastAsia="zh-CN" w:bidi="ar"/>
              </w:rPr>
              <w:t>每年</w:t>
            </w:r>
            <w:r>
              <w:rPr>
                <w:rFonts w:hint="eastAsia" w:ascii="仿宋" w:hAnsi="仿宋" w:eastAsia="仿宋" w:cs="仿宋"/>
                <w:i w:val="0"/>
                <w:iCs w:val="0"/>
                <w:color w:val="auto"/>
                <w:kern w:val="0"/>
                <w:sz w:val="24"/>
                <w:szCs w:val="24"/>
                <w:highlight w:val="none"/>
                <w:u w:val="none"/>
                <w:lang w:val="en-US" w:eastAsia="zh-CN" w:bidi="ar"/>
              </w:rPr>
              <w:t>通过浙江网上技术市场发布成果30项</w:t>
            </w:r>
            <w:r>
              <w:rPr>
                <w:rFonts w:hint="eastAsia" w:ascii="仿宋" w:hAnsi="仿宋" w:eastAsia="仿宋" w:cs="仿宋"/>
                <w:i w:val="0"/>
                <w:iCs w:val="0"/>
                <w:color w:val="auto"/>
                <w:kern w:val="0"/>
                <w:sz w:val="24"/>
                <w:szCs w:val="24"/>
                <w:highlight w:val="none"/>
                <w:u w:val="none"/>
                <w:lang w:eastAsia="zh-CN" w:bidi="ar"/>
              </w:rPr>
              <w:t>以上</w:t>
            </w:r>
            <w:r>
              <w:rPr>
                <w:rFonts w:hint="eastAsia" w:ascii="仿宋" w:hAnsi="仿宋" w:eastAsia="仿宋" w:cs="仿宋"/>
                <w:i w:val="0"/>
                <w:iCs w:val="0"/>
                <w:color w:val="auto"/>
                <w:kern w:val="0"/>
                <w:sz w:val="24"/>
                <w:szCs w:val="24"/>
                <w:highlight w:val="none"/>
                <w:u w:val="none"/>
                <w:lang w:val="en-US" w:eastAsia="zh-CN" w:bidi="ar"/>
              </w:rPr>
              <w:t>得5分，少一项扣0.2分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675" w:type="dxa"/>
            <w:tcBorders>
              <w:top w:val="single" w:color="000000" w:sz="4" w:space="0"/>
              <w:left w:val="single" w:color="000000" w:sz="4" w:space="0"/>
              <w:bottom w:val="single" w:color="000000" w:sz="4" w:space="0"/>
              <w:right w:val="single" w:color="auto"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w:t>
            </w:r>
          </w:p>
        </w:tc>
        <w:tc>
          <w:tcPr>
            <w:tcW w:w="1234"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企业培育</w:t>
            </w:r>
          </w:p>
        </w:tc>
        <w:tc>
          <w:tcPr>
            <w:tcW w:w="3096" w:type="dxa"/>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eastAsia="zh-CN" w:bidi="ar"/>
              </w:rPr>
            </w:pPr>
            <w:r>
              <w:rPr>
                <w:rFonts w:hint="eastAsia" w:ascii="仿宋" w:hAnsi="仿宋" w:eastAsia="仿宋" w:cs="仿宋"/>
                <w:i w:val="0"/>
                <w:iCs w:val="0"/>
                <w:color w:val="auto"/>
                <w:kern w:val="0"/>
                <w:sz w:val="24"/>
                <w:szCs w:val="24"/>
                <w:highlight w:val="none"/>
                <w:u w:val="none"/>
                <w:lang w:val="en-US" w:eastAsia="zh-CN" w:bidi="ar"/>
              </w:rPr>
              <w:t>培育国家高新技术企业</w:t>
            </w: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36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eastAsia="zh-CN" w:bidi="ar"/>
              </w:rPr>
              <w:t>每年</w:t>
            </w:r>
            <w:r>
              <w:rPr>
                <w:rFonts w:hint="eastAsia" w:ascii="仿宋" w:hAnsi="仿宋" w:eastAsia="仿宋" w:cs="仿宋"/>
                <w:i w:val="0"/>
                <w:iCs w:val="0"/>
                <w:color w:val="auto"/>
                <w:kern w:val="0"/>
                <w:sz w:val="24"/>
                <w:szCs w:val="24"/>
                <w:highlight w:val="none"/>
                <w:u w:val="none"/>
                <w:lang w:val="en-US" w:eastAsia="zh-CN" w:bidi="ar"/>
              </w:rPr>
              <w:t>根据市级指标要求，按完成情况给分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8" w:hRule="atLeast"/>
        </w:trPr>
        <w:tc>
          <w:tcPr>
            <w:tcW w:w="675" w:type="dxa"/>
            <w:tcBorders>
              <w:top w:val="single" w:color="000000" w:sz="4" w:space="0"/>
              <w:left w:val="single" w:color="000000" w:sz="4" w:space="0"/>
              <w:bottom w:val="single" w:color="000000" w:sz="4" w:space="0"/>
              <w:right w:val="single" w:color="auto"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234"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p>
        </w:tc>
        <w:tc>
          <w:tcPr>
            <w:tcW w:w="3096" w:type="dxa"/>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eastAsia="zh-CN" w:bidi="ar"/>
              </w:rPr>
            </w:pPr>
            <w:r>
              <w:rPr>
                <w:rFonts w:hint="eastAsia" w:ascii="仿宋" w:hAnsi="仿宋" w:eastAsia="仿宋" w:cs="仿宋"/>
                <w:i w:val="0"/>
                <w:iCs w:val="0"/>
                <w:color w:val="auto"/>
                <w:kern w:val="0"/>
                <w:sz w:val="24"/>
                <w:szCs w:val="24"/>
                <w:highlight w:val="none"/>
                <w:u w:val="none"/>
                <w:lang w:val="en-US" w:eastAsia="zh-CN" w:bidi="ar"/>
              </w:rPr>
              <w:t>培育浙江省科技型中小企业</w:t>
            </w: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36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eastAsia="zh-CN" w:bidi="ar"/>
              </w:rPr>
              <w:t>每年</w:t>
            </w:r>
            <w:r>
              <w:rPr>
                <w:rFonts w:hint="eastAsia" w:ascii="仿宋" w:hAnsi="仿宋" w:eastAsia="仿宋" w:cs="仿宋"/>
                <w:i w:val="0"/>
                <w:iCs w:val="0"/>
                <w:color w:val="auto"/>
                <w:kern w:val="0"/>
                <w:sz w:val="24"/>
                <w:szCs w:val="24"/>
                <w:highlight w:val="none"/>
                <w:u w:val="none"/>
                <w:lang w:val="en-US" w:eastAsia="zh-CN" w:bidi="ar"/>
              </w:rPr>
              <w:t>根据市级指标要求，按完成情况给分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8" w:hRule="atLeast"/>
        </w:trPr>
        <w:tc>
          <w:tcPr>
            <w:tcW w:w="675" w:type="dxa"/>
            <w:tcBorders>
              <w:top w:val="single" w:color="000000" w:sz="4" w:space="0"/>
              <w:left w:val="single" w:color="000000" w:sz="4" w:space="0"/>
              <w:bottom w:val="single" w:color="000000" w:sz="4" w:space="0"/>
              <w:right w:val="single" w:color="auto"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11</w:t>
            </w:r>
          </w:p>
        </w:tc>
        <w:tc>
          <w:tcPr>
            <w:tcW w:w="12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技术交易额</w:t>
            </w:r>
          </w:p>
        </w:tc>
        <w:tc>
          <w:tcPr>
            <w:tcW w:w="3096" w:type="dxa"/>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技术交易合同的收集和登记，确保完成技术交易额</w:t>
            </w: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36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eastAsia="zh-CN" w:bidi="ar"/>
              </w:rPr>
              <w:t>每年</w:t>
            </w:r>
            <w:r>
              <w:rPr>
                <w:rFonts w:hint="eastAsia" w:ascii="仿宋" w:hAnsi="仿宋" w:eastAsia="仿宋" w:cs="仿宋"/>
                <w:i w:val="0"/>
                <w:iCs w:val="0"/>
                <w:color w:val="auto"/>
                <w:kern w:val="0"/>
                <w:sz w:val="24"/>
                <w:szCs w:val="24"/>
                <w:highlight w:val="none"/>
                <w:u w:val="none"/>
                <w:lang w:val="en-US" w:eastAsia="zh-CN" w:bidi="ar"/>
              </w:rPr>
              <w:t>根据市级指标要求，按完成情况给分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 w:hRule="atLeast"/>
        </w:trPr>
        <w:tc>
          <w:tcPr>
            <w:tcW w:w="675" w:type="dxa"/>
            <w:tcBorders>
              <w:top w:val="single" w:color="000000" w:sz="4" w:space="0"/>
              <w:left w:val="single" w:color="000000" w:sz="4" w:space="0"/>
              <w:bottom w:val="single" w:color="000000" w:sz="4" w:space="0"/>
              <w:right w:val="single" w:color="auto"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w:t>
            </w:r>
          </w:p>
        </w:tc>
        <w:tc>
          <w:tcPr>
            <w:tcW w:w="12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研发费用辅导及培训</w:t>
            </w:r>
          </w:p>
        </w:tc>
        <w:tc>
          <w:tcPr>
            <w:tcW w:w="3096" w:type="dxa"/>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培训和实地指导覆盖科技局提供的企业规范填报统计年报，</w:t>
            </w:r>
            <w:r>
              <w:rPr>
                <w:rFonts w:hint="eastAsia" w:ascii="仿宋" w:hAnsi="仿宋" w:eastAsia="仿宋" w:cs="仿宋"/>
                <w:i w:val="0"/>
                <w:iCs w:val="0"/>
                <w:color w:val="auto"/>
                <w:kern w:val="0"/>
                <w:sz w:val="24"/>
                <w:szCs w:val="24"/>
                <w:highlight w:val="none"/>
                <w:u w:val="none"/>
                <w:lang w:eastAsia="zh-CN" w:bidi="ar"/>
              </w:rPr>
              <w:t>每年</w:t>
            </w:r>
            <w:r>
              <w:rPr>
                <w:rFonts w:hint="eastAsia" w:ascii="仿宋" w:hAnsi="仿宋" w:eastAsia="仿宋" w:cs="仿宋"/>
                <w:i w:val="0"/>
                <w:iCs w:val="0"/>
                <w:color w:val="auto"/>
                <w:kern w:val="0"/>
                <w:sz w:val="24"/>
                <w:szCs w:val="24"/>
                <w:highlight w:val="none"/>
                <w:u w:val="none"/>
                <w:lang w:val="en-US" w:eastAsia="zh-CN" w:bidi="ar"/>
              </w:rPr>
              <w:t>组织相关研发费用培训不少于2场</w:t>
            </w: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36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按完成比例得分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8" w:hRule="atLeast"/>
        </w:trPr>
        <w:tc>
          <w:tcPr>
            <w:tcW w:w="675" w:type="dxa"/>
            <w:tcBorders>
              <w:top w:val="single" w:color="000000" w:sz="4" w:space="0"/>
              <w:left w:val="single" w:color="000000" w:sz="4" w:space="0"/>
              <w:bottom w:val="single" w:color="000000" w:sz="4" w:space="0"/>
              <w:right w:val="single" w:color="auto"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13</w:t>
            </w:r>
          </w:p>
        </w:tc>
        <w:tc>
          <w:tcPr>
            <w:tcW w:w="1234"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宣传推广</w:t>
            </w:r>
          </w:p>
        </w:tc>
        <w:tc>
          <w:tcPr>
            <w:tcW w:w="3096" w:type="dxa"/>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投稿至</w:t>
            </w:r>
            <w:r>
              <w:rPr>
                <w:rFonts w:hint="eastAsia" w:ascii="仿宋" w:hAnsi="仿宋" w:eastAsia="仿宋" w:cs="仿宋"/>
                <w:i w:val="0"/>
                <w:iCs w:val="0"/>
                <w:color w:val="auto"/>
                <w:kern w:val="0"/>
                <w:sz w:val="24"/>
                <w:szCs w:val="24"/>
                <w:highlight w:val="none"/>
                <w:u w:val="none"/>
                <w:lang w:eastAsia="zh-CN" w:bidi="ar"/>
              </w:rPr>
              <w:t>县</w:t>
            </w:r>
            <w:r>
              <w:rPr>
                <w:rFonts w:hint="eastAsia" w:ascii="仿宋" w:hAnsi="仿宋" w:eastAsia="仿宋" w:cs="仿宋"/>
                <w:i w:val="0"/>
                <w:iCs w:val="0"/>
                <w:color w:val="auto"/>
                <w:kern w:val="0"/>
                <w:sz w:val="24"/>
                <w:szCs w:val="24"/>
                <w:highlight w:val="none"/>
                <w:u w:val="none"/>
                <w:lang w:val="en-US" w:eastAsia="zh-CN" w:bidi="ar"/>
              </w:rPr>
              <w:t>级及</w:t>
            </w:r>
            <w:r>
              <w:rPr>
                <w:rFonts w:hint="eastAsia" w:ascii="仿宋" w:hAnsi="仿宋" w:eastAsia="仿宋" w:cs="仿宋"/>
                <w:i w:val="0"/>
                <w:iCs w:val="0"/>
                <w:color w:val="auto"/>
                <w:kern w:val="0"/>
                <w:sz w:val="24"/>
                <w:szCs w:val="24"/>
                <w:highlight w:val="none"/>
                <w:u w:val="none"/>
                <w:lang w:eastAsia="zh-CN" w:bidi="ar"/>
              </w:rPr>
              <w:t>上</w:t>
            </w:r>
            <w:r>
              <w:rPr>
                <w:rFonts w:hint="eastAsia" w:ascii="仿宋" w:hAnsi="仿宋" w:eastAsia="仿宋" w:cs="仿宋"/>
                <w:i w:val="0"/>
                <w:iCs w:val="0"/>
                <w:color w:val="auto"/>
                <w:kern w:val="0"/>
                <w:sz w:val="24"/>
                <w:szCs w:val="24"/>
                <w:highlight w:val="none"/>
                <w:u w:val="none"/>
                <w:lang w:val="en-US" w:eastAsia="zh-CN" w:bidi="ar"/>
              </w:rPr>
              <w:t>文章不少于</w:t>
            </w:r>
            <w:r>
              <w:rPr>
                <w:rFonts w:hint="eastAsia" w:ascii="仿宋" w:hAnsi="仿宋" w:eastAsia="仿宋" w:cs="仿宋"/>
                <w:i w:val="0"/>
                <w:iCs w:val="0"/>
                <w:color w:val="auto"/>
                <w:kern w:val="0"/>
                <w:sz w:val="24"/>
                <w:szCs w:val="24"/>
                <w:highlight w:val="none"/>
                <w:u w:val="none"/>
                <w:lang w:eastAsia="zh-CN" w:bidi="ar"/>
              </w:rPr>
              <w:t>24</w:t>
            </w:r>
            <w:r>
              <w:rPr>
                <w:rFonts w:hint="eastAsia" w:ascii="仿宋" w:hAnsi="仿宋" w:eastAsia="仿宋" w:cs="仿宋"/>
                <w:i w:val="0"/>
                <w:iCs w:val="0"/>
                <w:color w:val="auto"/>
                <w:kern w:val="0"/>
                <w:sz w:val="24"/>
                <w:szCs w:val="24"/>
                <w:highlight w:val="none"/>
                <w:u w:val="none"/>
                <w:lang w:val="en-US" w:eastAsia="zh-CN" w:bidi="ar"/>
              </w:rPr>
              <w:t>篇</w:t>
            </w: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36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eastAsia="zh-CN" w:bidi="ar"/>
              </w:rPr>
              <w:t>每年</w:t>
            </w:r>
            <w:r>
              <w:rPr>
                <w:rFonts w:hint="eastAsia" w:ascii="仿宋" w:hAnsi="仿宋" w:eastAsia="仿宋" w:cs="仿宋"/>
                <w:i w:val="0"/>
                <w:iCs w:val="0"/>
                <w:color w:val="auto"/>
                <w:kern w:val="0"/>
                <w:sz w:val="24"/>
                <w:szCs w:val="24"/>
                <w:highlight w:val="none"/>
                <w:u w:val="none"/>
                <w:lang w:val="en-US" w:eastAsia="zh-CN" w:bidi="ar"/>
              </w:rPr>
              <w:t>投稿至</w:t>
            </w:r>
            <w:r>
              <w:rPr>
                <w:rFonts w:hint="eastAsia" w:ascii="仿宋" w:hAnsi="仿宋" w:eastAsia="仿宋" w:cs="仿宋"/>
                <w:i w:val="0"/>
                <w:iCs w:val="0"/>
                <w:color w:val="auto"/>
                <w:kern w:val="0"/>
                <w:sz w:val="24"/>
                <w:szCs w:val="24"/>
                <w:highlight w:val="none"/>
                <w:u w:val="none"/>
                <w:lang w:eastAsia="zh-CN" w:bidi="ar"/>
              </w:rPr>
              <w:t>县</w:t>
            </w:r>
            <w:r>
              <w:rPr>
                <w:rFonts w:hint="eastAsia" w:ascii="仿宋" w:hAnsi="仿宋" w:eastAsia="仿宋" w:cs="仿宋"/>
                <w:i w:val="0"/>
                <w:iCs w:val="0"/>
                <w:color w:val="auto"/>
                <w:kern w:val="0"/>
                <w:sz w:val="24"/>
                <w:szCs w:val="24"/>
                <w:highlight w:val="none"/>
                <w:u w:val="none"/>
                <w:lang w:val="en-US" w:eastAsia="zh-CN" w:bidi="ar"/>
              </w:rPr>
              <w:t>级</w:t>
            </w:r>
            <w:r>
              <w:rPr>
                <w:rFonts w:hint="eastAsia" w:ascii="仿宋" w:hAnsi="仿宋" w:eastAsia="仿宋" w:cs="仿宋"/>
                <w:i w:val="0"/>
                <w:iCs w:val="0"/>
                <w:color w:val="auto"/>
                <w:kern w:val="0"/>
                <w:sz w:val="24"/>
                <w:szCs w:val="24"/>
                <w:highlight w:val="none"/>
                <w:u w:val="none"/>
                <w:lang w:eastAsia="zh-CN" w:bidi="ar"/>
              </w:rPr>
              <w:t>以上</w:t>
            </w:r>
            <w:r>
              <w:rPr>
                <w:rFonts w:hint="eastAsia" w:ascii="仿宋" w:hAnsi="仿宋" w:eastAsia="仿宋" w:cs="仿宋"/>
                <w:i w:val="0"/>
                <w:iCs w:val="0"/>
                <w:color w:val="auto"/>
                <w:kern w:val="0"/>
                <w:sz w:val="24"/>
                <w:szCs w:val="24"/>
                <w:highlight w:val="none"/>
                <w:u w:val="none"/>
                <w:lang w:val="en-US" w:eastAsia="zh-CN" w:bidi="ar"/>
              </w:rPr>
              <w:t>文章不少于12篇，少一篇扣0.5分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000000" w:sz="4" w:space="0"/>
              <w:left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14</w:t>
            </w:r>
          </w:p>
        </w:tc>
        <w:tc>
          <w:tcPr>
            <w:tcW w:w="123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其他工作</w:t>
            </w:r>
          </w:p>
        </w:tc>
        <w:tc>
          <w:tcPr>
            <w:tcW w:w="309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完成科技局交办的其他工作（如创新券推广、科技项目申报等工作开展）</w:t>
            </w:r>
          </w:p>
        </w:tc>
        <w:tc>
          <w:tcPr>
            <w:tcW w:w="735" w:type="dxa"/>
            <w:tcBorders>
              <w:top w:val="single" w:color="000000" w:sz="4" w:space="0"/>
              <w:left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36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按配合程度完成情况给分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5" w:hRule="atLeast"/>
        </w:trPr>
        <w:tc>
          <w:tcPr>
            <w:tcW w:w="675" w:type="dxa"/>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附</w:t>
            </w:r>
          </w:p>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加</w:t>
            </w:r>
          </w:p>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分</w:t>
            </w:r>
          </w:p>
        </w:tc>
        <w:tc>
          <w:tcPr>
            <w:tcW w:w="433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促成重大产学研合作项目或技术交易额超过年度任务数</w:t>
            </w:r>
          </w:p>
        </w:tc>
        <w:tc>
          <w:tcPr>
            <w:tcW w:w="735" w:type="dxa"/>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加分项不超过10分</w:t>
            </w:r>
          </w:p>
        </w:tc>
        <w:tc>
          <w:tcPr>
            <w:tcW w:w="36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促成重大产学研合作项目，每项得1分，技术交易额按照超出比例加分，此项最高得5分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675" w:type="dxa"/>
            <w:vMerge w:val="continue"/>
            <w:tcBorders>
              <w:left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p>
        </w:tc>
        <w:tc>
          <w:tcPr>
            <w:tcW w:w="433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促成科技型企业落户</w:t>
            </w:r>
          </w:p>
        </w:tc>
        <w:tc>
          <w:tcPr>
            <w:tcW w:w="735" w:type="dxa"/>
            <w:vMerge w:val="continue"/>
            <w:tcBorders>
              <w:left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p>
        </w:tc>
        <w:tc>
          <w:tcPr>
            <w:tcW w:w="36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促成科技型企业落户的每家加2分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675" w:type="dxa"/>
            <w:vMerge w:val="continue"/>
            <w:tcBorders>
              <w:left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p>
        </w:tc>
        <w:tc>
          <w:tcPr>
            <w:tcW w:w="433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获得国家级、省级、市级荣誉</w:t>
            </w:r>
          </w:p>
        </w:tc>
        <w:tc>
          <w:tcPr>
            <w:tcW w:w="735" w:type="dxa"/>
            <w:vMerge w:val="continue"/>
            <w:tcBorders>
              <w:left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p>
        </w:tc>
        <w:tc>
          <w:tcPr>
            <w:tcW w:w="36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获得国家级、省级、市级荣誉的分别加5分、4分、2分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vMerge w:val="continue"/>
            <w:tcBorders>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p>
        </w:tc>
        <w:tc>
          <w:tcPr>
            <w:tcW w:w="433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帮助企业引进高层次人才的，院士、国（省）千、国（省）万精英计划人才</w:t>
            </w:r>
          </w:p>
        </w:tc>
        <w:tc>
          <w:tcPr>
            <w:tcW w:w="735" w:type="dxa"/>
            <w:vMerge w:val="continue"/>
            <w:tcBorders>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p>
        </w:tc>
        <w:tc>
          <w:tcPr>
            <w:tcW w:w="36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0" w:lineRule="atLeast"/>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帮助企业引进高层次人才的，院士、国（省）千、国（省）万精英计划人才每名分别加5分、4分、2分</w:t>
            </w:r>
          </w:p>
        </w:tc>
      </w:tr>
    </w:tbl>
    <w:p>
      <w:pPr>
        <w:rPr>
          <w:rFonts w:hint="default" w:ascii="宋体" w:hAnsi="宋体" w:eastAsia="宋体" w:cs="宋体"/>
          <w:i w:val="0"/>
          <w:iCs w:val="0"/>
          <w:color w:val="auto"/>
          <w:kern w:val="0"/>
          <w:sz w:val="20"/>
          <w:szCs w:val="20"/>
          <w:highlight w:val="none"/>
          <w:u w:val="none"/>
          <w:lang w:val="en-US" w:eastAsia="zh-CN" w:bidi="ar"/>
        </w:rPr>
      </w:pPr>
    </w:p>
    <w:p>
      <w:pPr>
        <w:pStyle w:val="2"/>
        <w:pageBreakBefore w:val="0"/>
        <w:numPr>
          <w:ilvl w:val="0"/>
          <w:numId w:val="3"/>
        </w:numPr>
        <w:kinsoku/>
        <w:topLinePunct w:val="0"/>
        <w:bidi w:val="0"/>
        <w:spacing w:line="360" w:lineRule="auto"/>
        <w:ind w:left="142" w:leftChars="0" w:firstLine="420" w:firstLineChars="0"/>
        <w:rPr>
          <w:rFonts w:hint="eastAsia" w:ascii="仿宋" w:eastAsia="仿宋" w:cs="仿宋"/>
          <w:color w:val="auto"/>
          <w:sz w:val="24"/>
          <w:szCs w:val="24"/>
          <w:highlight w:val="none"/>
          <w:lang w:val="en-US" w:eastAsia="zh-CN"/>
        </w:rPr>
      </w:pPr>
      <w:bookmarkStart w:id="25" w:name="_Toc143"/>
      <w:r>
        <w:rPr>
          <w:rFonts w:hint="eastAsia" w:ascii="仿宋" w:eastAsia="仿宋" w:cs="仿宋"/>
          <w:color w:val="auto"/>
          <w:sz w:val="24"/>
          <w:szCs w:val="24"/>
          <w:highlight w:val="none"/>
          <w:lang w:val="en-US" w:eastAsia="zh-CN"/>
        </w:rPr>
        <w:t>服务期限</w:t>
      </w:r>
      <w:bookmarkEnd w:id="25"/>
    </w:p>
    <w:p>
      <w:pPr>
        <w:pageBreakBefore w:val="0"/>
        <w:numPr>
          <w:ilvl w:val="0"/>
          <w:numId w:val="0"/>
        </w:numPr>
        <w:kinsoku/>
        <w:topLinePunct w:val="0"/>
        <w:bidi w:val="0"/>
        <w:spacing w:line="360" w:lineRule="auto"/>
        <w:ind w:left="562" w:leftChars="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合同签订之日起两年。</w:t>
      </w:r>
    </w:p>
    <w:p>
      <w:pPr>
        <w:pStyle w:val="2"/>
        <w:pageBreakBefore w:val="0"/>
        <w:numPr>
          <w:ilvl w:val="0"/>
          <w:numId w:val="3"/>
        </w:numPr>
        <w:kinsoku/>
        <w:topLinePunct w:val="0"/>
        <w:bidi w:val="0"/>
        <w:spacing w:line="360" w:lineRule="auto"/>
        <w:textAlignment w:val="baseline"/>
        <w:rPr>
          <w:rFonts w:ascii="仿宋" w:eastAsia="仿宋" w:cs="仿宋"/>
          <w:color w:val="auto"/>
          <w:sz w:val="24"/>
          <w:szCs w:val="24"/>
          <w:highlight w:val="none"/>
          <w:lang w:val="en-US"/>
        </w:rPr>
      </w:pPr>
      <w:bookmarkStart w:id="26" w:name="_Toc14261"/>
      <w:r>
        <w:rPr>
          <w:rFonts w:hint="eastAsia" w:ascii="仿宋" w:eastAsia="仿宋" w:cs="仿宋"/>
          <w:color w:val="auto"/>
          <w:sz w:val="24"/>
          <w:szCs w:val="24"/>
          <w:highlight w:val="none"/>
          <w:lang w:val="en-US"/>
        </w:rPr>
        <w:t>付款方式</w:t>
      </w:r>
      <w:bookmarkEnd w:id="26"/>
    </w:p>
    <w:p>
      <w:pPr>
        <w:pageBreakBefore w:val="0"/>
        <w:numPr>
          <w:ilvl w:val="0"/>
          <w:numId w:val="0"/>
        </w:numPr>
        <w:kinsoku/>
        <w:topLinePunct w:val="0"/>
        <w:bidi w:val="0"/>
        <w:spacing w:line="360" w:lineRule="auto"/>
        <w:ind w:left="479" w:leftChars="228" w:firstLine="0" w:firstLineChars="0"/>
        <w:rPr>
          <w:rFonts w:hint="eastAsia" w:ascii="仿宋" w:hAnsi="仿宋" w:eastAsia="仿宋" w:cs="仿宋"/>
          <w:color w:val="auto"/>
          <w:kern w:val="2"/>
          <w:sz w:val="24"/>
          <w:szCs w:val="24"/>
          <w:highlight w:val="none"/>
          <w:lang w:val="en-US" w:eastAsia="zh-CN" w:bidi="ar-SA"/>
        </w:rPr>
      </w:pPr>
      <w:bookmarkStart w:id="27" w:name="_Toc5190"/>
      <w:bookmarkStart w:id="28" w:name="_Toc30000"/>
      <w:bookmarkStart w:id="29" w:name="_Toc7908"/>
      <w:bookmarkStart w:id="30" w:name="_Toc139797641"/>
      <w:bookmarkStart w:id="31" w:name="_Toc31917"/>
      <w:r>
        <w:rPr>
          <w:rFonts w:hint="eastAsia" w:ascii="仿宋" w:hAnsi="仿宋" w:eastAsia="仿宋" w:cs="仿宋"/>
          <w:color w:val="auto"/>
          <w:kern w:val="2"/>
          <w:sz w:val="24"/>
          <w:szCs w:val="24"/>
          <w:highlight w:val="none"/>
          <w:lang w:val="en-US" w:eastAsia="zh-CN" w:bidi="ar-SA"/>
        </w:rPr>
        <w:t>1.合同签订7个工作日内支付合同金额的30%；</w:t>
      </w:r>
      <w:r>
        <w:rPr>
          <w:rFonts w:hint="eastAsia" w:ascii="仿宋" w:hAnsi="仿宋" w:eastAsia="仿宋" w:cs="仿宋"/>
          <w:color w:val="auto"/>
          <w:kern w:val="2"/>
          <w:sz w:val="24"/>
          <w:szCs w:val="24"/>
          <w:highlight w:val="none"/>
          <w:lang w:val="en-US" w:eastAsia="zh-CN" w:bidi="ar-SA"/>
        </w:rPr>
        <w:br w:type="textWrapping"/>
      </w:r>
      <w:r>
        <w:rPr>
          <w:rFonts w:hint="eastAsia" w:ascii="仿宋" w:hAnsi="仿宋" w:eastAsia="仿宋" w:cs="仿宋"/>
          <w:color w:val="auto"/>
          <w:kern w:val="2"/>
          <w:sz w:val="24"/>
          <w:szCs w:val="24"/>
          <w:highlight w:val="none"/>
          <w:lang w:val="en-US" w:eastAsia="zh-CN" w:bidi="ar-SA"/>
        </w:rPr>
        <w:t>2.每年度任务履约完成并通过验收后支付合同金额的10%；</w:t>
      </w:r>
    </w:p>
    <w:p>
      <w:pPr>
        <w:pageBreakBefore w:val="0"/>
        <w:numPr>
          <w:ilvl w:val="0"/>
          <w:numId w:val="0"/>
        </w:numPr>
        <w:kinsoku/>
        <w:topLinePunct w:val="0"/>
        <w:bidi w:val="0"/>
        <w:spacing w:line="360" w:lineRule="auto"/>
        <w:ind w:firstLine="480" w:firstLineChars="20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w:t>
      </w:r>
      <w:r>
        <w:rPr>
          <w:rFonts w:hint="eastAsia" w:ascii="仿宋" w:hAnsi="仿宋" w:eastAsia="仿宋" w:cs="仿宋"/>
          <w:snapToGrid/>
          <w:color w:val="auto"/>
          <w:kern w:val="2"/>
          <w:sz w:val="24"/>
          <w:szCs w:val="24"/>
          <w:highlight w:val="none"/>
          <w:lang w:val="en-US" w:eastAsia="zh-CN" w:bidi="ar-SA"/>
        </w:rPr>
        <w:t>每一年度绩效考核经费为合同金额的25%</w:t>
      </w:r>
      <w:r>
        <w:rPr>
          <w:rFonts w:hint="eastAsia" w:ascii="仿宋" w:hAnsi="仿宋" w:eastAsia="仿宋" w:cs="仿宋"/>
          <w:color w:val="auto"/>
          <w:kern w:val="2"/>
          <w:sz w:val="24"/>
          <w:szCs w:val="24"/>
          <w:highlight w:val="none"/>
          <w:lang w:val="en-US" w:eastAsia="zh-CN" w:bidi="ar-SA"/>
        </w:rPr>
        <w:t>，完成相关绩效考核后支付，具体绩效经费支付按以下方式约定：</w:t>
      </w:r>
      <w:r>
        <w:rPr>
          <w:rFonts w:hint="eastAsia" w:ascii="仿宋" w:hAnsi="仿宋" w:eastAsia="仿宋" w:cs="仿宋"/>
          <w:color w:val="auto"/>
          <w:kern w:val="2"/>
          <w:sz w:val="24"/>
          <w:szCs w:val="24"/>
          <w:highlight w:val="none"/>
          <w:lang w:val="en-US" w:eastAsia="zh-CN" w:bidi="ar-SA"/>
        </w:rPr>
        <w:br w:type="textWrapping"/>
      </w:r>
      <w:r>
        <w:rPr>
          <w:rFonts w:hint="eastAsia" w:ascii="仿宋" w:hAnsi="仿宋" w:eastAsia="仿宋" w:cs="仿宋"/>
          <w:color w:val="auto"/>
          <w:kern w:val="2"/>
          <w:sz w:val="24"/>
          <w:szCs w:val="24"/>
          <w:highlight w:val="none"/>
          <w:lang w:val="en-US" w:eastAsia="zh-CN" w:bidi="ar-SA"/>
        </w:rPr>
        <w:t xml:space="preserve">    （1）考核得分低于60分（不含）的，不支付当年绩效考核经费，且合同自动终止，暨甲乙双方合作终止，由甲方按照相关政策要求另行寻求合作方，乙方不得干预、阻挠；</w:t>
      </w:r>
      <w:r>
        <w:rPr>
          <w:rFonts w:hint="eastAsia" w:ascii="仿宋" w:hAnsi="仿宋" w:eastAsia="仿宋" w:cs="仿宋"/>
          <w:color w:val="auto"/>
          <w:kern w:val="2"/>
          <w:sz w:val="24"/>
          <w:szCs w:val="24"/>
          <w:highlight w:val="none"/>
          <w:lang w:val="en-US" w:eastAsia="zh-CN" w:bidi="ar-SA"/>
        </w:rPr>
        <w:br w:type="textWrapping"/>
      </w:r>
      <w:r>
        <w:rPr>
          <w:rFonts w:hint="eastAsia" w:ascii="仿宋" w:hAnsi="仿宋" w:eastAsia="仿宋" w:cs="仿宋"/>
          <w:color w:val="auto"/>
          <w:kern w:val="2"/>
          <w:sz w:val="24"/>
          <w:szCs w:val="24"/>
          <w:highlight w:val="none"/>
          <w:lang w:val="en-US" w:eastAsia="zh-CN" w:bidi="ar-SA"/>
        </w:rPr>
        <w:t xml:space="preserve">    （2）考核得分在60分（含）-75分（不含）的，支付绩效考核经费的40%；</w:t>
      </w:r>
      <w:r>
        <w:rPr>
          <w:rFonts w:hint="eastAsia" w:ascii="仿宋" w:hAnsi="仿宋" w:eastAsia="仿宋" w:cs="仿宋"/>
          <w:color w:val="auto"/>
          <w:kern w:val="2"/>
          <w:sz w:val="24"/>
          <w:szCs w:val="24"/>
          <w:highlight w:val="none"/>
          <w:lang w:val="en-US" w:eastAsia="zh-CN" w:bidi="ar-SA"/>
        </w:rPr>
        <w:br w:type="textWrapping"/>
      </w:r>
      <w:r>
        <w:rPr>
          <w:rFonts w:hint="eastAsia" w:ascii="仿宋" w:hAnsi="仿宋" w:eastAsia="仿宋" w:cs="仿宋"/>
          <w:color w:val="auto"/>
          <w:kern w:val="2"/>
          <w:sz w:val="24"/>
          <w:szCs w:val="24"/>
          <w:highlight w:val="none"/>
          <w:lang w:val="en-US" w:eastAsia="zh-CN" w:bidi="ar-SA"/>
        </w:rPr>
        <w:t xml:space="preserve">    （3）考核得分在75分（含）-90分（不含）的，支付绩效考核经费的60%；</w:t>
      </w:r>
      <w:r>
        <w:rPr>
          <w:rFonts w:hint="eastAsia" w:ascii="仿宋" w:hAnsi="仿宋" w:eastAsia="仿宋" w:cs="仿宋"/>
          <w:color w:val="auto"/>
          <w:kern w:val="2"/>
          <w:sz w:val="24"/>
          <w:szCs w:val="24"/>
          <w:highlight w:val="none"/>
          <w:lang w:val="en-US" w:eastAsia="zh-CN" w:bidi="ar-SA"/>
        </w:rPr>
        <w:br w:type="textWrapping"/>
      </w:r>
      <w:r>
        <w:rPr>
          <w:rFonts w:hint="eastAsia" w:ascii="仿宋" w:hAnsi="仿宋" w:eastAsia="仿宋" w:cs="仿宋"/>
          <w:color w:val="auto"/>
          <w:kern w:val="2"/>
          <w:sz w:val="24"/>
          <w:szCs w:val="24"/>
          <w:highlight w:val="none"/>
          <w:lang w:val="en-US" w:eastAsia="zh-CN" w:bidi="ar-SA"/>
        </w:rPr>
        <w:t xml:space="preserve">    （4）考核得分在90分（含）以上的，支付绩效考核经费的100%，即支付合同金额的25%；</w:t>
      </w:r>
      <w:r>
        <w:rPr>
          <w:rFonts w:hint="eastAsia" w:ascii="仿宋" w:hAnsi="仿宋" w:eastAsia="仿宋" w:cs="仿宋"/>
          <w:color w:val="auto"/>
          <w:kern w:val="2"/>
          <w:sz w:val="24"/>
          <w:szCs w:val="24"/>
          <w:highlight w:val="none"/>
          <w:lang w:val="en-US" w:eastAsia="zh-CN" w:bidi="ar-SA"/>
        </w:rPr>
        <w:br w:type="textWrapping"/>
      </w:r>
      <w:r>
        <w:rPr>
          <w:rFonts w:hint="eastAsia" w:ascii="仿宋" w:hAnsi="仿宋" w:eastAsia="仿宋" w:cs="仿宋"/>
          <w:color w:val="auto"/>
          <w:kern w:val="2"/>
          <w:sz w:val="24"/>
          <w:szCs w:val="24"/>
          <w:highlight w:val="none"/>
          <w:lang w:val="en-US" w:eastAsia="zh-CN" w:bidi="ar-SA"/>
        </w:rPr>
        <w:t xml:space="preserve">    （5）根据相关政策，年度考核得分在90（含）-95（不含）,给予一次性5万元奖励，95分（含）以上的，给予一次性10万元奖励。</w:t>
      </w:r>
    </w:p>
    <w:p>
      <w:pPr>
        <w:pStyle w:val="2"/>
        <w:pageBreakBefore w:val="0"/>
        <w:numPr>
          <w:ilvl w:val="0"/>
          <w:numId w:val="3"/>
        </w:numPr>
        <w:kinsoku/>
        <w:topLinePunct w:val="0"/>
        <w:bidi w:val="0"/>
        <w:spacing w:line="360" w:lineRule="auto"/>
        <w:textAlignment w:val="baseline"/>
        <w:rPr>
          <w:rFonts w:ascii="仿宋" w:eastAsia="仿宋" w:cs="仿宋"/>
          <w:color w:val="auto"/>
          <w:sz w:val="24"/>
          <w:szCs w:val="24"/>
          <w:highlight w:val="none"/>
          <w:lang w:val="en-US"/>
        </w:rPr>
      </w:pPr>
      <w:bookmarkStart w:id="32" w:name="_Toc3970"/>
      <w:r>
        <w:rPr>
          <w:rFonts w:hint="eastAsia" w:ascii="仿宋" w:eastAsia="仿宋" w:cs="仿宋"/>
          <w:color w:val="auto"/>
          <w:sz w:val="24"/>
          <w:szCs w:val="24"/>
          <w:highlight w:val="none"/>
          <w:lang w:val="en-US"/>
        </w:rPr>
        <w:t>其他</w:t>
      </w:r>
      <w:bookmarkEnd w:id="27"/>
      <w:bookmarkEnd w:id="28"/>
      <w:bookmarkEnd w:id="29"/>
      <w:bookmarkEnd w:id="30"/>
      <w:bookmarkEnd w:id="31"/>
      <w:bookmarkEnd w:id="32"/>
    </w:p>
    <w:p>
      <w:pPr>
        <w:pageBreakBefore w:val="0"/>
        <w:widowControl/>
        <w:kinsoku/>
        <w:topLinePunct w:val="0"/>
        <w:bidi w:val="0"/>
        <w:snapToGrid w:val="0"/>
        <w:spacing w:line="360" w:lineRule="auto"/>
        <w:ind w:firstLine="480" w:firstLineChars="200"/>
        <w:jc w:val="left"/>
        <w:rPr>
          <w:rFonts w:ascii="仿宋_GB2312" w:hAnsi="Calibri" w:eastAsia="仿宋_GB2312"/>
          <w:color w:val="auto"/>
          <w:sz w:val="24"/>
          <w:highlight w:val="none"/>
        </w:rPr>
      </w:pPr>
      <w:bookmarkStart w:id="33" w:name="_Toc16659"/>
      <w:r>
        <w:rPr>
          <w:rFonts w:ascii="仿宋_GB2312" w:hAnsi="Calibri" w:eastAsia="仿宋_GB2312"/>
          <w:color w:val="auto"/>
          <w:sz w:val="24"/>
          <w:highlight w:val="none"/>
        </w:rPr>
        <w:t>1</w:t>
      </w:r>
      <w:r>
        <w:rPr>
          <w:rFonts w:hint="eastAsia" w:ascii="仿宋_GB2312" w:hAnsi="Calibri" w:eastAsia="仿宋_GB2312"/>
          <w:color w:val="auto"/>
          <w:sz w:val="24"/>
          <w:highlight w:val="none"/>
        </w:rPr>
        <w:t>、</w:t>
      </w:r>
      <w:bookmarkEnd w:id="33"/>
      <w:r>
        <w:rPr>
          <w:rFonts w:ascii="仿宋" w:hAnsi="仿宋" w:eastAsia="仿宋" w:cs="仿宋"/>
          <w:color w:val="auto"/>
          <w:kern w:val="0"/>
          <w:sz w:val="24"/>
          <w:highlight w:val="none"/>
        </w:rPr>
        <w:t>本项目所涉及的税收、人工费、</w:t>
      </w:r>
      <w:r>
        <w:rPr>
          <w:rFonts w:hint="eastAsia" w:ascii="仿宋" w:hAnsi="仿宋" w:eastAsia="仿宋" w:cs="仿宋"/>
          <w:color w:val="auto"/>
          <w:kern w:val="0"/>
          <w:sz w:val="24"/>
          <w:highlight w:val="none"/>
        </w:rPr>
        <w:t>编制</w:t>
      </w:r>
      <w:r>
        <w:rPr>
          <w:rFonts w:ascii="仿宋" w:hAnsi="仿宋" w:eastAsia="仿宋" w:cs="仿宋"/>
          <w:color w:val="auto"/>
          <w:kern w:val="0"/>
          <w:sz w:val="24"/>
          <w:highlight w:val="none"/>
        </w:rPr>
        <w:t>费等一切与之相关的所有费用都需包含在报价中。</w:t>
      </w:r>
    </w:p>
    <w:p>
      <w:pPr>
        <w:pageBreakBefore w:val="0"/>
        <w:widowControl/>
        <w:kinsoku/>
        <w:wordWrap w:val="0"/>
        <w:topLinePunct w:val="0"/>
        <w:bidi w:val="0"/>
        <w:adjustRightInd/>
        <w:snapToGrid w:val="0"/>
        <w:spacing w:line="360" w:lineRule="auto"/>
        <w:ind w:firstLine="480" w:firstLineChars="200"/>
        <w:jc w:val="left"/>
        <w:rPr>
          <w:rFonts w:ascii="仿宋_GB2312" w:hAnsi="Calibri" w:eastAsia="仿宋_GB2312"/>
          <w:color w:val="auto"/>
          <w:sz w:val="24"/>
          <w:highlight w:val="none"/>
        </w:rPr>
      </w:pPr>
      <w:r>
        <w:rPr>
          <w:rFonts w:hint="eastAsia" w:ascii="仿宋_GB2312" w:hAnsi="Calibri" w:eastAsia="仿宋_GB2312"/>
          <w:color w:val="auto"/>
          <w:sz w:val="24"/>
          <w:highlight w:val="none"/>
        </w:rPr>
        <w:t>2、</w:t>
      </w:r>
      <w:r>
        <w:rPr>
          <w:rFonts w:ascii="仿宋_GB2312" w:hAnsi="Calibri" w:eastAsia="仿宋_GB2312"/>
          <w:color w:val="auto"/>
          <w:sz w:val="24"/>
          <w:highlight w:val="none"/>
        </w:rPr>
        <w:t>本项目排名第一的中标候选人未注册成为“浙江省政府采购供应商”的，采购代理机构将暂缓发布中标通知书，由此造成的不利影响自行承担。</w:t>
      </w:r>
    </w:p>
    <w:p>
      <w:pPr>
        <w:pageBreakBefore w:val="0"/>
        <w:widowControl/>
        <w:kinsoku/>
        <w:wordWrap w:val="0"/>
        <w:topLinePunct w:val="0"/>
        <w:bidi w:val="0"/>
        <w:adjustRightInd/>
        <w:snapToGrid w:val="0"/>
        <w:spacing w:line="360" w:lineRule="auto"/>
        <w:ind w:firstLine="480" w:firstLineChars="200"/>
        <w:jc w:val="left"/>
        <w:rPr>
          <w:rFonts w:ascii="仿宋_GB2312" w:hAnsi="Calibri" w:eastAsia="仿宋_GB2312"/>
          <w:color w:val="auto"/>
          <w:sz w:val="24"/>
          <w:highlight w:val="none"/>
        </w:rPr>
      </w:pPr>
      <w:r>
        <w:rPr>
          <w:rFonts w:hint="eastAsia" w:ascii="仿宋_GB2312" w:hAnsi="Calibri" w:eastAsia="仿宋_GB2312"/>
          <w:color w:val="auto"/>
          <w:sz w:val="24"/>
          <w:highlight w:val="none"/>
        </w:rPr>
        <w:t>3、</w:t>
      </w:r>
      <w:r>
        <w:rPr>
          <w:rFonts w:ascii="仿宋_GB2312" w:hAnsi="Calibri" w:eastAsia="仿宋_GB2312"/>
          <w:color w:val="auto"/>
          <w:sz w:val="24"/>
          <w:highlight w:val="none"/>
        </w:rPr>
        <w:t xml:space="preserve"> 有关“浙江省政府采购供应商”注册事宜可向代理机构咨询，联系人：姚亚，联系电话：0578—5083626。</w:t>
      </w: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61"/>
        <w:ind w:firstLine="480"/>
        <w:rPr>
          <w:rFonts w:ascii="仿宋_GB2312" w:hAnsi="Calibri" w:eastAsia="仿宋_GB2312"/>
          <w:color w:val="auto"/>
          <w:sz w:val="24"/>
          <w:highlight w:val="none"/>
        </w:rPr>
      </w:pPr>
    </w:p>
    <w:p>
      <w:pPr>
        <w:pStyle w:val="3"/>
        <w:spacing w:before="0" w:after="0" w:line="480" w:lineRule="auto"/>
        <w:ind w:left="431" w:hanging="431"/>
        <w:jc w:val="center"/>
        <w:rPr>
          <w:rFonts w:ascii="仿宋" w:hAnsi="仿宋" w:eastAsia="仿宋" w:cs="仿宋"/>
          <w:color w:val="auto"/>
          <w:sz w:val="36"/>
          <w:szCs w:val="36"/>
          <w:highlight w:val="none"/>
        </w:rPr>
      </w:pPr>
      <w:bookmarkStart w:id="34" w:name="_Toc27539"/>
      <w:r>
        <w:rPr>
          <w:rFonts w:hint="eastAsia" w:ascii="仿宋" w:hAnsi="仿宋" w:eastAsia="仿宋" w:cs="仿宋"/>
          <w:color w:val="auto"/>
          <w:sz w:val="36"/>
          <w:szCs w:val="36"/>
          <w:highlight w:val="none"/>
        </w:rPr>
        <w:t>第三部分 竞争性磋商流程</w:t>
      </w:r>
      <w:bookmarkEnd w:id="20"/>
      <w:bookmarkEnd w:id="21"/>
      <w:bookmarkEnd w:id="34"/>
    </w:p>
    <w:p>
      <w:pPr>
        <w:pStyle w:val="139"/>
        <w:spacing w:before="0"/>
        <w:ind w:firstLine="0" w:firstLineChars="0"/>
        <w:rPr>
          <w:rFonts w:ascii="仿宋" w:hAnsi="仿宋" w:eastAsia="仿宋" w:cs="仿宋"/>
          <w:b/>
          <w:color w:val="auto"/>
          <w:highlight w:val="none"/>
        </w:rPr>
      </w:pPr>
      <w:r>
        <w:rPr>
          <w:rFonts w:hint="eastAsia" w:ascii="仿宋" w:hAnsi="仿宋" w:eastAsia="仿宋" w:cs="仿宋"/>
          <w:b/>
          <w:color w:val="auto"/>
          <w:szCs w:val="24"/>
          <w:highlight w:val="none"/>
        </w:rPr>
        <w:t>1.征集供应商</w:t>
      </w:r>
    </w:p>
    <w:p>
      <w:pPr>
        <w:pStyle w:val="139"/>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1.1邀请供应商。</w:t>
      </w:r>
    </w:p>
    <w:p>
      <w:pPr>
        <w:pStyle w:val="139"/>
        <w:spacing w:before="0"/>
        <w:ind w:left="420" w:leftChars="200" w:firstLine="0" w:firstLineChars="0"/>
        <w:rPr>
          <w:rFonts w:ascii="仿宋" w:hAnsi="仿宋" w:eastAsia="仿宋" w:cs="仿宋"/>
          <w:color w:val="auto"/>
          <w:szCs w:val="24"/>
          <w:highlight w:val="none"/>
        </w:rPr>
      </w:pPr>
      <w:r>
        <w:rPr>
          <w:rFonts w:hint="eastAsia" w:ascii="仿宋" w:hAnsi="仿宋" w:eastAsia="仿宋" w:cs="仿宋"/>
          <w:b/>
          <w:color w:val="auto"/>
          <w:szCs w:val="24"/>
          <w:highlight w:val="none"/>
        </w:rPr>
        <w:t>采用公告方式邀请供应商的，</w:t>
      </w:r>
      <w:r>
        <w:rPr>
          <w:rFonts w:hint="eastAsia" w:ascii="仿宋" w:hAnsi="仿宋" w:eastAsia="仿宋" w:cs="仿宋"/>
          <w:color w:val="auto"/>
          <w:szCs w:val="24"/>
          <w:highlight w:val="none"/>
        </w:rPr>
        <w:t>由采购人、采购代理机构在省级以上人民政府</w:t>
      </w:r>
    </w:p>
    <w:p>
      <w:pPr>
        <w:pStyle w:val="139"/>
        <w:spacing w:before="0"/>
        <w:ind w:firstLine="0" w:firstLineChars="0"/>
        <w:rPr>
          <w:rFonts w:ascii="仿宋" w:hAnsi="仿宋" w:eastAsia="仿宋" w:cs="仿宋"/>
          <w:color w:val="auto"/>
          <w:szCs w:val="24"/>
          <w:highlight w:val="none"/>
        </w:rPr>
      </w:pPr>
      <w:r>
        <w:rPr>
          <w:rFonts w:hint="eastAsia" w:ascii="仿宋" w:hAnsi="仿宋" w:eastAsia="仿宋" w:cs="仿宋"/>
          <w:color w:val="auto"/>
          <w:szCs w:val="24"/>
          <w:highlight w:val="none"/>
        </w:rPr>
        <w:t>财政部门指定的政府采购信息发布媒体上发布磋商公告，邀请符合相应资格条件的供应商参与竞争性磋商采购活动。</w:t>
      </w:r>
    </w:p>
    <w:p>
      <w:pPr>
        <w:pStyle w:val="139"/>
        <w:spacing w:before="0"/>
        <w:ind w:left="420" w:leftChars="200" w:firstLine="0" w:firstLineChars="0"/>
        <w:rPr>
          <w:rFonts w:ascii="仿宋" w:hAnsi="仿宋" w:eastAsia="仿宋" w:cs="仿宋"/>
          <w:color w:val="auto"/>
          <w:szCs w:val="24"/>
          <w:highlight w:val="none"/>
        </w:rPr>
      </w:pPr>
      <w:r>
        <w:rPr>
          <w:rFonts w:hint="eastAsia" w:ascii="仿宋" w:hAnsi="仿宋" w:eastAsia="仿宋" w:cs="仿宋"/>
          <w:b/>
          <w:color w:val="auto"/>
          <w:szCs w:val="24"/>
          <w:highlight w:val="none"/>
        </w:rPr>
        <w:t>采用随机抽取方式邀请供应商的，</w:t>
      </w:r>
      <w:r>
        <w:rPr>
          <w:rFonts w:hint="eastAsia" w:ascii="仿宋" w:hAnsi="仿宋" w:eastAsia="仿宋" w:cs="仿宋"/>
          <w:color w:val="auto"/>
          <w:szCs w:val="24"/>
          <w:highlight w:val="none"/>
        </w:rPr>
        <w:t>由采购人、采购代理机构从省级以上财政</w:t>
      </w:r>
    </w:p>
    <w:p>
      <w:pPr>
        <w:pStyle w:val="139"/>
        <w:spacing w:before="0"/>
        <w:ind w:firstLine="0" w:firstLineChars="0"/>
        <w:rPr>
          <w:rFonts w:ascii="仿宋" w:hAnsi="仿宋" w:eastAsia="仿宋" w:cs="仿宋"/>
          <w:color w:val="auto"/>
          <w:szCs w:val="24"/>
          <w:highlight w:val="none"/>
        </w:rPr>
      </w:pPr>
      <w:r>
        <w:rPr>
          <w:rFonts w:hint="eastAsia" w:ascii="仿宋" w:hAnsi="仿宋" w:eastAsia="仿宋" w:cs="仿宋"/>
          <w:color w:val="auto"/>
          <w:szCs w:val="24"/>
          <w:highlight w:val="none"/>
        </w:rPr>
        <w:t>部门建立的供应商库中随机抽取不少于3家符合相应资格条件的供应商参与竞争性磋商采购活动。</w:t>
      </w:r>
    </w:p>
    <w:p>
      <w:pPr>
        <w:pStyle w:val="139"/>
        <w:spacing w:before="0"/>
        <w:ind w:left="420" w:leftChars="200" w:firstLine="0" w:firstLineChars="0"/>
        <w:rPr>
          <w:rFonts w:ascii="仿宋" w:hAnsi="仿宋" w:eastAsia="仿宋" w:cs="仿宋"/>
          <w:color w:val="auto"/>
          <w:szCs w:val="24"/>
          <w:highlight w:val="none"/>
        </w:rPr>
      </w:pPr>
      <w:r>
        <w:rPr>
          <w:rFonts w:hint="eastAsia" w:ascii="仿宋" w:hAnsi="仿宋" w:eastAsia="仿宋" w:cs="仿宋"/>
          <w:b/>
          <w:color w:val="auto"/>
          <w:szCs w:val="24"/>
          <w:highlight w:val="none"/>
        </w:rPr>
        <w:t>采用书面推荐方式邀请供应商的，</w:t>
      </w:r>
      <w:r>
        <w:rPr>
          <w:rFonts w:hint="eastAsia" w:ascii="仿宋" w:hAnsi="仿宋" w:eastAsia="仿宋" w:cs="仿宋"/>
          <w:color w:val="auto"/>
          <w:szCs w:val="24"/>
          <w:highlight w:val="none"/>
        </w:rPr>
        <w:t>由采购人和评审专家分别书面推荐不少于</w:t>
      </w:r>
    </w:p>
    <w:p>
      <w:pPr>
        <w:pStyle w:val="139"/>
        <w:spacing w:before="0"/>
        <w:ind w:firstLine="0" w:firstLineChars="0"/>
        <w:rPr>
          <w:rFonts w:ascii="仿宋" w:hAnsi="仿宋" w:eastAsia="仿宋" w:cs="仿宋"/>
          <w:color w:val="auto"/>
          <w:szCs w:val="24"/>
          <w:highlight w:val="none"/>
        </w:rPr>
      </w:pPr>
      <w:r>
        <w:rPr>
          <w:rFonts w:hint="eastAsia" w:ascii="仿宋" w:hAnsi="仿宋" w:eastAsia="仿宋" w:cs="仿宋"/>
          <w:color w:val="auto"/>
          <w:szCs w:val="24"/>
          <w:highlight w:val="none"/>
        </w:rPr>
        <w:t>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pPr>
        <w:pStyle w:val="139"/>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1.2供应商获取磋商文件。</w:t>
      </w:r>
    </w:p>
    <w:p>
      <w:pPr>
        <w:pStyle w:val="139"/>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1.3组织现场考察或召开答疑会（如果有）。</w:t>
      </w:r>
    </w:p>
    <w:p>
      <w:pPr>
        <w:pStyle w:val="139"/>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1.4发布更正（延期）公告，澄清或修改磋商文件（如果有）。</w:t>
      </w:r>
    </w:p>
    <w:p>
      <w:pPr>
        <w:pStyle w:val="139"/>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1.5供应商按磋商文件要求编制响应文件。</w:t>
      </w:r>
    </w:p>
    <w:p>
      <w:pPr>
        <w:pStyle w:val="139"/>
        <w:spacing w:before="0"/>
        <w:ind w:firstLine="0" w:firstLineChars="0"/>
        <w:rPr>
          <w:rFonts w:ascii="仿宋" w:hAnsi="仿宋" w:eastAsia="仿宋" w:cs="仿宋"/>
          <w:b/>
          <w:color w:val="auto"/>
          <w:highlight w:val="none"/>
        </w:rPr>
      </w:pPr>
      <w:r>
        <w:rPr>
          <w:rFonts w:hint="eastAsia" w:ascii="仿宋" w:hAnsi="仿宋" w:eastAsia="仿宋" w:cs="仿宋"/>
          <w:b/>
          <w:color w:val="auto"/>
          <w:highlight w:val="none"/>
        </w:rPr>
        <w:t>2.响应文件开启与信用信息查询</w:t>
      </w:r>
    </w:p>
    <w:p>
      <w:pPr>
        <w:pStyle w:val="139"/>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2.1供应商依据“提交响应文件的截止时间与地点”通过政采云平台在线提交响应文件。供应商在提交响应文件的截止时间前，可以补充、修改或撤回响应文件。</w:t>
      </w:r>
    </w:p>
    <w:p>
      <w:pPr>
        <w:pStyle w:val="139"/>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2.2</w:t>
      </w:r>
      <w:r>
        <w:rPr>
          <w:rFonts w:hint="eastAsia" w:ascii="仿宋" w:hAnsi="仿宋" w:eastAsia="仿宋" w:cs="仿宋"/>
          <w:color w:val="auto"/>
          <w:kern w:val="0"/>
          <w:szCs w:val="24"/>
          <w:highlight w:val="none"/>
        </w:rPr>
        <w:t>采购代理机构将通过“信用中国”网站(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76"/>
          <w:rFonts w:hint="eastAsia" w:ascii="仿宋" w:hAnsi="仿宋" w:eastAsia="仿宋" w:cs="仿宋"/>
          <w:snapToGrid/>
          <w:color w:val="auto"/>
          <w:sz w:val="24"/>
          <w:szCs w:val="24"/>
          <w:highlight w:val="none"/>
        </w:rPr>
        <w:t>www.creditchina.gov.cn</w:t>
      </w:r>
      <w:r>
        <w:rPr>
          <w:rStyle w:val="76"/>
          <w:rFonts w:hint="eastAsia" w:ascii="仿宋" w:hAnsi="仿宋" w:eastAsia="仿宋" w:cs="仿宋"/>
          <w:snapToGrid/>
          <w:color w:val="auto"/>
          <w:sz w:val="24"/>
          <w:szCs w:val="24"/>
          <w:highlight w:val="none"/>
        </w:rPr>
        <w:fldChar w:fldCharType="end"/>
      </w:r>
      <w:r>
        <w:rPr>
          <w:rFonts w:hint="eastAsia" w:ascii="仿宋" w:hAnsi="仿宋" w:eastAsia="仿宋" w:cs="仿宋"/>
          <w:color w:val="auto"/>
          <w:kern w:val="0"/>
          <w:szCs w:val="24"/>
          <w:highlight w:val="none"/>
        </w:rPr>
        <w:t>)和中国政府采购网(www.ccgp.gov.cn)渠道查询供应商响应截止时间当日的信用记录。</w:t>
      </w:r>
    </w:p>
    <w:p>
      <w:pPr>
        <w:pStyle w:val="139"/>
        <w:spacing w:before="0"/>
        <w:ind w:firstLine="0" w:firstLineChars="0"/>
        <w:rPr>
          <w:rFonts w:ascii="仿宋" w:hAnsi="仿宋" w:eastAsia="仿宋" w:cs="仿宋"/>
          <w:b/>
          <w:color w:val="auto"/>
          <w:highlight w:val="none"/>
        </w:rPr>
      </w:pPr>
      <w:r>
        <w:rPr>
          <w:rFonts w:hint="eastAsia" w:ascii="仿宋" w:hAnsi="仿宋" w:eastAsia="仿宋" w:cs="仿宋"/>
          <w:b/>
          <w:color w:val="auto"/>
          <w:highlight w:val="none"/>
        </w:rPr>
        <w:t>3.磋商与评审</w:t>
      </w:r>
    </w:p>
    <w:p>
      <w:pPr>
        <w:pStyle w:val="139"/>
        <w:spacing w:before="0"/>
        <w:ind w:firstLine="0" w:firstLineChars="0"/>
        <w:rPr>
          <w:rFonts w:ascii="仿宋" w:hAnsi="仿宋" w:eastAsia="仿宋" w:cs="仿宋"/>
          <w:bCs/>
          <w:color w:val="auto"/>
          <w:highlight w:val="none"/>
        </w:rPr>
      </w:pPr>
      <w:r>
        <w:rPr>
          <w:rFonts w:hint="eastAsia" w:ascii="仿宋" w:hAnsi="仿宋" w:eastAsia="仿宋" w:cs="仿宋"/>
          <w:bCs/>
          <w:color w:val="auto"/>
          <w:highlight w:val="none"/>
        </w:rPr>
        <w:t xml:space="preserve">  详见第七部分评审办法</w:t>
      </w:r>
    </w:p>
    <w:p>
      <w:pPr>
        <w:pStyle w:val="139"/>
        <w:spacing w:before="0"/>
        <w:ind w:firstLine="0" w:firstLineChars="0"/>
        <w:rPr>
          <w:rFonts w:ascii="仿宋" w:hAnsi="仿宋" w:eastAsia="仿宋" w:cs="仿宋"/>
          <w:b/>
          <w:color w:val="auto"/>
          <w:highlight w:val="none"/>
        </w:rPr>
      </w:pPr>
      <w:r>
        <w:rPr>
          <w:rFonts w:hint="eastAsia" w:ascii="仿宋" w:hAnsi="仿宋" w:eastAsia="仿宋" w:cs="仿宋"/>
          <w:b/>
          <w:color w:val="auto"/>
          <w:highlight w:val="none"/>
        </w:rPr>
        <w:t>4. 成交</w:t>
      </w:r>
    </w:p>
    <w:p>
      <w:pPr>
        <w:pStyle w:val="139"/>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4.1政府采购项目实行全流程电子化，评审报告送交、采购结果确定和结果公告均在线完成。采购代理机构应当依法及时将评审报告在线送交采购人确认。采购人应当在收到评审报告后5个工作日内，从评审报告提出的成交候选供应商中，按照排序由高到低的原则确定成交供应商，采购人也可以书面授权磋商小组直接确定成交供应商。</w:t>
      </w:r>
    </w:p>
    <w:p>
      <w:pPr>
        <w:pStyle w:val="139"/>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139"/>
        <w:spacing w:before="0"/>
        <w:ind w:firstLine="0" w:firstLineChars="0"/>
        <w:rPr>
          <w:rFonts w:ascii="仿宋" w:hAnsi="仿宋" w:eastAsia="仿宋" w:cs="仿宋"/>
          <w:color w:val="auto"/>
          <w:kern w:val="0"/>
          <w:szCs w:val="21"/>
          <w:highlight w:val="none"/>
        </w:rPr>
      </w:pPr>
      <w:r>
        <w:rPr>
          <w:rFonts w:hint="eastAsia" w:ascii="仿宋" w:hAnsi="仿宋" w:eastAsia="仿宋" w:cs="仿宋"/>
          <w:b/>
          <w:color w:val="auto"/>
          <w:highlight w:val="none"/>
        </w:rPr>
        <w:t>5.合同及履约验收</w:t>
      </w:r>
    </w:p>
    <w:p>
      <w:pPr>
        <w:pStyle w:val="139"/>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5.1采购人与成交供应商应当在成交通知书发出之日起30日内签订政府采购合同。</w:t>
      </w:r>
    </w:p>
    <w:p>
      <w:pPr>
        <w:tabs>
          <w:tab w:val="left" w:pos="0"/>
        </w:tabs>
        <w:spacing w:line="360" w:lineRule="auto"/>
        <w:ind w:firstLine="482"/>
        <w:rPr>
          <w:rFonts w:ascii="仿宋" w:hAnsi="仿宋" w:eastAsia="仿宋" w:cs="仿宋"/>
          <w:color w:val="auto"/>
          <w:sz w:val="24"/>
          <w:highlight w:val="none"/>
        </w:rPr>
      </w:pPr>
      <w:r>
        <w:rPr>
          <w:rFonts w:hint="eastAsia" w:ascii="仿宋" w:hAnsi="仿宋" w:eastAsia="仿宋" w:cs="仿宋"/>
          <w:color w:val="auto"/>
          <w:sz w:val="24"/>
          <w:highlight w:val="none"/>
        </w:rPr>
        <w:t>5.2成交供应商按照政策要求及合同约定缴纳履约保证金。</w:t>
      </w:r>
    </w:p>
    <w:p>
      <w:pPr>
        <w:pStyle w:val="139"/>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5.3合同履约。</w:t>
      </w:r>
    </w:p>
    <w:p>
      <w:pPr>
        <w:pStyle w:val="139"/>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5.4采购人组织验收。</w:t>
      </w:r>
    </w:p>
    <w:p>
      <w:pPr>
        <w:widowControl/>
        <w:adjustRightInd/>
        <w:jc w:val="left"/>
        <w:rPr>
          <w:rFonts w:ascii="仿宋" w:hAnsi="仿宋" w:eastAsia="仿宋" w:cs="仿宋"/>
          <w:b/>
          <w:color w:val="auto"/>
          <w:sz w:val="24"/>
          <w:szCs w:val="20"/>
          <w:highlight w:val="none"/>
        </w:rPr>
      </w:pPr>
      <w:r>
        <w:rPr>
          <w:rFonts w:hint="eastAsia" w:ascii="仿宋" w:hAnsi="仿宋" w:eastAsia="仿宋" w:cs="仿宋"/>
          <w:b/>
          <w:color w:val="auto"/>
          <w:highlight w:val="none"/>
        </w:rPr>
        <w:br w:type="page"/>
      </w:r>
    </w:p>
    <w:p>
      <w:pPr>
        <w:pStyle w:val="139"/>
        <w:spacing w:before="0"/>
        <w:ind w:firstLine="0" w:firstLineChars="0"/>
        <w:rPr>
          <w:rFonts w:ascii="仿宋" w:hAnsi="仿宋" w:eastAsia="仿宋" w:cs="仿宋"/>
          <w:b/>
          <w:color w:val="auto"/>
          <w:highlight w:val="none"/>
        </w:rPr>
      </w:pPr>
      <w:r>
        <w:rPr>
          <w:rFonts w:hint="eastAsia" w:ascii="仿宋" w:hAnsi="仿宋" w:eastAsia="仿宋" w:cs="仿宋"/>
          <w:b/>
          <w:color w:val="auto"/>
          <w:highlight w:val="none"/>
        </w:rPr>
        <w:t>6.竞争性磋商流程图</w:t>
      </w:r>
    </w:p>
    <w:p>
      <w:pPr>
        <w:pStyle w:val="139"/>
        <w:spacing w:before="0"/>
        <w:ind w:firstLine="0" w:firstLineChars="0"/>
        <w:rPr>
          <w:rFonts w:ascii="仿宋" w:hAnsi="仿宋" w:eastAsia="仿宋" w:cs="仿宋"/>
          <w:b/>
          <w:color w:val="auto"/>
          <w:highlight w:val="none"/>
        </w:rPr>
      </w:pPr>
    </w:p>
    <w:p>
      <w:pPr>
        <w:widowControl/>
        <w:adjustRightInd/>
        <w:jc w:val="center"/>
        <w:rPr>
          <w:rFonts w:ascii="仿宋" w:hAnsi="仿宋" w:eastAsia="仿宋" w:cs="仿宋"/>
          <w:color w:val="auto"/>
          <w:highlight w:val="none"/>
        </w:rPr>
      </w:pPr>
      <w:r>
        <w:rPr>
          <w:rFonts w:hint="eastAsia" w:ascii="仿宋" w:hAnsi="仿宋" w:eastAsia="仿宋" w:cs="仿宋"/>
          <w:color w:val="auto"/>
          <w:highlight w:val="none"/>
        </w:rPr>
        <w:drawing>
          <wp:inline distT="0" distB="0" distL="114300" distR="114300">
            <wp:extent cx="2370455" cy="7311390"/>
            <wp:effectExtent l="0" t="0" r="10795" b="381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7"/>
                    <a:stretch>
                      <a:fillRect/>
                    </a:stretch>
                  </pic:blipFill>
                  <pic:spPr>
                    <a:xfrm>
                      <a:off x="0" y="0"/>
                      <a:ext cx="2370455" cy="7311390"/>
                    </a:xfrm>
                    <a:prstGeom prst="rect">
                      <a:avLst/>
                    </a:prstGeom>
                    <a:noFill/>
                    <a:ln>
                      <a:noFill/>
                    </a:ln>
                  </pic:spPr>
                </pic:pic>
              </a:graphicData>
            </a:graphic>
          </wp:inline>
        </w:drawing>
      </w:r>
    </w:p>
    <w:p>
      <w:pPr>
        <w:rPr>
          <w:rFonts w:ascii="仿宋" w:hAnsi="仿宋" w:eastAsia="仿宋" w:cs="仿宋"/>
          <w:color w:val="auto"/>
          <w:highlight w:val="none"/>
        </w:rPr>
      </w:pPr>
    </w:p>
    <w:p>
      <w:pPr>
        <w:rPr>
          <w:rFonts w:ascii="仿宋" w:hAnsi="仿宋" w:eastAsia="仿宋" w:cs="仿宋"/>
          <w:color w:val="auto"/>
          <w:highlight w:val="none"/>
        </w:rPr>
      </w:pPr>
    </w:p>
    <w:p>
      <w:pPr>
        <w:rPr>
          <w:rFonts w:ascii="仿宋" w:hAnsi="仿宋" w:eastAsia="仿宋" w:cs="仿宋"/>
          <w:color w:val="auto"/>
          <w:highlight w:val="none"/>
        </w:rPr>
      </w:pPr>
    </w:p>
    <w:p>
      <w:pPr>
        <w:rPr>
          <w:rFonts w:ascii="仿宋" w:hAnsi="仿宋" w:eastAsia="仿宋" w:cs="仿宋"/>
          <w:color w:val="auto"/>
          <w:highlight w:val="none"/>
        </w:rPr>
      </w:pPr>
    </w:p>
    <w:p>
      <w:pPr>
        <w:rPr>
          <w:rFonts w:ascii="仿宋" w:hAnsi="仿宋" w:eastAsia="仿宋" w:cs="仿宋"/>
          <w:color w:val="auto"/>
          <w:highlight w:val="none"/>
        </w:rPr>
      </w:pPr>
    </w:p>
    <w:p>
      <w:pPr>
        <w:pStyle w:val="3"/>
        <w:spacing w:before="0" w:after="0" w:line="480" w:lineRule="auto"/>
        <w:ind w:left="431" w:hanging="431"/>
        <w:jc w:val="center"/>
        <w:rPr>
          <w:rFonts w:ascii="仿宋" w:hAnsi="仿宋" w:eastAsia="仿宋" w:cs="仿宋"/>
          <w:color w:val="auto"/>
          <w:sz w:val="36"/>
          <w:szCs w:val="36"/>
          <w:highlight w:val="none"/>
        </w:rPr>
      </w:pPr>
      <w:bookmarkStart w:id="35" w:name="_Toc28730"/>
      <w:bookmarkStart w:id="36" w:name="_Toc139797592"/>
      <w:bookmarkStart w:id="37" w:name="_Toc23398"/>
      <w:r>
        <w:rPr>
          <w:rFonts w:hint="eastAsia" w:ascii="仿宋" w:hAnsi="仿宋" w:eastAsia="仿宋" w:cs="仿宋"/>
          <w:color w:val="auto"/>
          <w:sz w:val="36"/>
          <w:szCs w:val="36"/>
          <w:highlight w:val="none"/>
        </w:rPr>
        <w:t>第四部分 供应商须知</w:t>
      </w:r>
      <w:bookmarkEnd w:id="35"/>
      <w:bookmarkEnd w:id="36"/>
      <w:bookmarkEnd w:id="37"/>
    </w:p>
    <w:p>
      <w:pPr>
        <w:pStyle w:val="59"/>
        <w:widowControl w:val="0"/>
        <w:overflowPunct/>
        <w:autoSpaceDE/>
        <w:autoSpaceDN/>
        <w:adjustRightInd/>
        <w:spacing w:before="240" w:after="240"/>
        <w:jc w:val="left"/>
        <w:textAlignment w:val="auto"/>
        <w:outlineLvl w:val="1"/>
        <w:rPr>
          <w:rFonts w:ascii="仿宋" w:hAnsi="仿宋" w:eastAsia="仿宋" w:cs="仿宋"/>
          <w:bCs/>
          <w:color w:val="auto"/>
          <w:kern w:val="2"/>
          <w:sz w:val="30"/>
          <w:szCs w:val="30"/>
          <w:highlight w:val="none"/>
          <w:lang w:val="en-US"/>
        </w:rPr>
      </w:pPr>
      <w:bookmarkStart w:id="38" w:name="_Toc11526"/>
      <w:bookmarkStart w:id="39" w:name="_Toc139797593"/>
      <w:bookmarkStart w:id="40" w:name="_Toc13451"/>
      <w:r>
        <w:rPr>
          <w:rFonts w:hint="eastAsia" w:ascii="仿宋" w:hAnsi="仿宋" w:eastAsia="仿宋" w:cs="仿宋"/>
          <w:bCs/>
          <w:color w:val="auto"/>
          <w:kern w:val="2"/>
          <w:sz w:val="30"/>
          <w:szCs w:val="30"/>
          <w:highlight w:val="none"/>
          <w:lang w:val="en-US"/>
        </w:rPr>
        <w:t>供应商须知前附表（一）</w:t>
      </w:r>
      <w:bookmarkEnd w:id="38"/>
      <w:bookmarkEnd w:id="39"/>
      <w:bookmarkEnd w:id="40"/>
    </w:p>
    <w:tbl>
      <w:tblPr>
        <w:tblStyle w:val="62"/>
        <w:tblW w:w="97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4"/>
        <w:gridCol w:w="1821"/>
        <w:gridCol w:w="71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tcPr>
          <w:p>
            <w:pPr>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821" w:type="dxa"/>
            <w:vAlign w:val="center"/>
          </w:tcPr>
          <w:p>
            <w:pPr>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7199" w:type="dxa"/>
            <w:vAlign w:val="center"/>
          </w:tcPr>
          <w:p>
            <w:pPr>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01" w:hRule="atLeast"/>
          <w:jc w:val="center"/>
        </w:trPr>
        <w:tc>
          <w:tcPr>
            <w:tcW w:w="714" w:type="dxa"/>
            <w:vAlign w:val="center"/>
          </w:tcPr>
          <w:p>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1821" w:type="dxa"/>
            <w:vAlign w:val="center"/>
          </w:tcPr>
          <w:p>
            <w:pPr>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项目属性</w:t>
            </w:r>
          </w:p>
        </w:tc>
        <w:tc>
          <w:tcPr>
            <w:tcW w:w="7199" w:type="dxa"/>
            <w:vAlign w:val="center"/>
          </w:tcPr>
          <w:p>
            <w:pPr>
              <w:rPr>
                <w:rFonts w:ascii="仿宋" w:hAnsi="仿宋" w:eastAsia="仿宋" w:cs="仿宋"/>
                <w:color w:val="auto"/>
                <w:sz w:val="24"/>
                <w:highlight w:val="none"/>
              </w:rPr>
            </w:pPr>
            <w:r>
              <w:rPr>
                <w:rFonts w:hint="eastAsia" w:ascii="仿宋" w:hAnsi="仿宋" w:eastAsia="仿宋" w:cs="仿宋"/>
                <w:color w:val="auto"/>
                <w:kern w:val="0"/>
                <w:sz w:val="24"/>
                <w:highlight w:val="none"/>
              </w:rPr>
              <w:t>服务</w:t>
            </w:r>
            <w:r>
              <w:rPr>
                <w:rFonts w:hint="eastAsia" w:ascii="仿宋" w:hAnsi="仿宋" w:eastAsia="仿宋" w:cs="仿宋"/>
                <w:color w:val="auto"/>
                <w:sz w:val="24"/>
                <w:highlight w:val="none"/>
              </w:rPr>
              <w:t>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1821" w:type="dxa"/>
            <w:vAlign w:val="center"/>
          </w:tcPr>
          <w:p>
            <w:pPr>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采购标的及其对应的中小企业划分标准所属行业及价格扣除</w:t>
            </w:r>
          </w:p>
        </w:tc>
        <w:tc>
          <w:tcPr>
            <w:tcW w:w="7199" w:type="dxa"/>
            <w:vAlign w:val="center"/>
          </w:tcPr>
          <w:p>
            <w:pPr>
              <w:numPr>
                <w:ilvl w:val="0"/>
                <w:numId w:val="4"/>
              </w:numP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rPr>
              <w:t>标的：</w:t>
            </w:r>
            <w:r>
              <w:rPr>
                <w:rFonts w:hint="eastAsia" w:ascii="仿宋" w:hAnsi="仿宋" w:eastAsia="仿宋" w:cs="仿宋"/>
                <w:b/>
                <w:bCs/>
                <w:color w:val="auto"/>
                <w:sz w:val="24"/>
                <w:highlight w:val="none"/>
                <w:u w:val="single"/>
                <w:lang w:eastAsia="zh-CN"/>
              </w:rPr>
              <w:t>科技成果转移转化公共服务平台建设</w:t>
            </w:r>
            <w:r>
              <w:rPr>
                <w:rFonts w:hint="eastAsia" w:ascii="仿宋" w:hAnsi="仿宋" w:eastAsia="仿宋" w:cs="仿宋"/>
                <w:b/>
                <w:bCs/>
                <w:color w:val="auto"/>
                <w:sz w:val="24"/>
                <w:highlight w:val="none"/>
                <w:u w:val="single"/>
              </w:rPr>
              <w:t>；</w:t>
            </w:r>
            <w:r>
              <w:rPr>
                <w:rFonts w:hint="eastAsia" w:ascii="仿宋" w:hAnsi="仿宋" w:eastAsia="仿宋" w:cs="仿宋"/>
                <w:color w:val="auto"/>
                <w:sz w:val="24"/>
                <w:highlight w:val="none"/>
              </w:rPr>
              <w:t>属于</w:t>
            </w:r>
            <w:r>
              <w:rPr>
                <w:rFonts w:hint="eastAsia" w:ascii="仿宋" w:hAnsi="仿宋" w:eastAsia="仿宋" w:cs="仿宋"/>
                <w:b/>
                <w:bCs/>
                <w:color w:val="auto"/>
                <w:sz w:val="24"/>
                <w:highlight w:val="none"/>
                <w:u w:val="single"/>
              </w:rPr>
              <w:t>政府购买服务</w:t>
            </w:r>
            <w:r>
              <w:rPr>
                <w:rFonts w:hint="eastAsia" w:ascii="仿宋" w:hAnsi="仿宋" w:eastAsia="仿宋" w:cs="仿宋"/>
                <w:color w:val="auto"/>
                <w:sz w:val="24"/>
                <w:highlight w:val="none"/>
              </w:rPr>
              <w:t>，所属行业：</w:t>
            </w:r>
            <w:r>
              <w:rPr>
                <w:rFonts w:hint="eastAsia" w:ascii="仿宋_GB2312" w:eastAsia="仿宋_GB2312"/>
                <w:b/>
                <w:bCs/>
                <w:color w:val="auto"/>
                <w:sz w:val="24"/>
                <w:highlight w:val="none"/>
                <w:u w:val="single"/>
              </w:rPr>
              <w:t>其他未列明行业</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rPr>
              <w:t>（2）对小型和微型企业给</w:t>
            </w:r>
            <w:r>
              <w:rPr>
                <w:rFonts w:hint="eastAsia" w:ascii="仿宋" w:hAnsi="仿宋" w:eastAsia="仿宋" w:cs="仿宋"/>
                <w:b/>
                <w:bCs/>
                <w:color w:val="auto"/>
                <w:sz w:val="24"/>
                <w:highlight w:val="none"/>
                <w:u w:val="single"/>
              </w:rPr>
              <w:t xml:space="preserve"> </w:t>
            </w:r>
            <w:r>
              <w:rPr>
                <w:rFonts w:hint="eastAsia" w:ascii="仿宋" w:hAnsi="仿宋" w:eastAsia="仿宋" w:cs="仿宋"/>
                <w:b/>
                <w:bCs/>
                <w:snapToGrid w:val="0"/>
                <w:color w:val="auto"/>
                <w:sz w:val="24"/>
                <w:highlight w:val="none"/>
                <w:u w:val="single"/>
              </w:rPr>
              <w:t xml:space="preserve">10% </w:t>
            </w:r>
            <w:r>
              <w:rPr>
                <w:rFonts w:hint="eastAsia" w:ascii="仿宋" w:hAnsi="仿宋" w:eastAsia="仿宋" w:cs="仿宋"/>
                <w:snapToGrid w:val="0"/>
                <w:color w:val="auto"/>
                <w:sz w:val="24"/>
                <w:highlight w:val="none"/>
                <w:lang w:val="zh-CN"/>
              </w:rPr>
              <w:t>的</w:t>
            </w:r>
            <w:r>
              <w:rPr>
                <w:rFonts w:hint="eastAsia" w:ascii="仿宋" w:hAnsi="仿宋" w:eastAsia="仿宋" w:cs="仿宋"/>
                <w:color w:val="auto"/>
                <w:sz w:val="24"/>
                <w:highlight w:val="none"/>
              </w:rPr>
              <w:t>价格扣除；</w:t>
            </w:r>
          </w:p>
          <w:p>
            <w:pPr>
              <w:spacing w:line="288" w:lineRule="auto"/>
              <w:rPr>
                <w:color w:val="auto"/>
                <w:highlight w:val="none"/>
              </w:rPr>
            </w:pPr>
            <w:r>
              <w:rPr>
                <w:rFonts w:hint="eastAsia" w:ascii="仿宋" w:hAnsi="仿宋" w:eastAsia="仿宋" w:cs="仿宋"/>
                <w:color w:val="auto"/>
                <w:sz w:val="24"/>
                <w:highlight w:val="none"/>
              </w:rPr>
              <w:t>（3）联合协议或者分包意向协议约定小微企业的合同份额占到合同总金额30%，给予</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%的价格扣除；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92" w:hRule="atLeast"/>
          <w:jc w:val="center"/>
        </w:trPr>
        <w:tc>
          <w:tcPr>
            <w:tcW w:w="714" w:type="dxa"/>
            <w:vAlign w:val="center"/>
          </w:tcPr>
          <w:p>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1821" w:type="dxa"/>
            <w:vAlign w:val="center"/>
          </w:tcPr>
          <w:p>
            <w:pPr>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7199" w:type="dxa"/>
            <w:vAlign w:val="center"/>
          </w:tcPr>
          <w:p>
            <w:pPr>
              <w:rPr>
                <w:rFonts w:ascii="仿宋" w:hAnsi="仿宋" w:eastAsia="仿宋" w:cs="仿宋"/>
                <w:color w:val="auto"/>
                <w:kern w:val="0"/>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rPr>
              <w:t>本项目不允许采购进口产品。</w:t>
            </w:r>
          </w:p>
          <w:p>
            <w:pPr>
              <w:rPr>
                <w:rFonts w:ascii="仿宋" w:hAnsi="仿宋" w:eastAsia="仿宋" w:cs="仿宋"/>
                <w:color w:val="auto"/>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rPr>
              <w:t>可以就</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采购进口产品。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1821" w:type="dxa"/>
            <w:vAlign w:val="center"/>
          </w:tcPr>
          <w:p>
            <w:pPr>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7199"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pPr>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不同意分包，具体理由：</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rPr>
                <w:rFonts w:ascii="仿宋" w:hAnsi="仿宋" w:eastAsia="仿宋" w:cs="仿宋"/>
                <w:color w:val="auto"/>
                <w:sz w:val="24"/>
                <w:highlight w:val="none"/>
              </w:rPr>
            </w:pPr>
            <w:r>
              <w:rPr>
                <w:rFonts w:hint="eastAsia" w:ascii="仿宋" w:hAnsi="仿宋" w:eastAsia="仿宋" w:cs="仿宋"/>
                <w:color w:val="auto"/>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5</w:t>
            </w:r>
          </w:p>
        </w:tc>
        <w:tc>
          <w:tcPr>
            <w:tcW w:w="1821" w:type="dxa"/>
            <w:vAlign w:val="center"/>
          </w:tcPr>
          <w:p>
            <w:pPr>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联合体</w:t>
            </w:r>
          </w:p>
        </w:tc>
        <w:tc>
          <w:tcPr>
            <w:tcW w:w="7199"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  不接受；</w:t>
            </w:r>
          </w:p>
          <w:p>
            <w:pPr>
              <w:rPr>
                <w:rFonts w:ascii="仿宋" w:hAnsi="仿宋" w:eastAsia="仿宋" w:cs="仿宋"/>
                <w:color w:val="auto"/>
                <w:sz w:val="24"/>
                <w:highlight w:val="none"/>
              </w:rPr>
            </w:pPr>
            <w:r>
              <w:rPr>
                <w:rFonts w:hint="eastAsia" w:ascii="仿宋" w:hAnsi="仿宋" w:eastAsia="仿宋" w:cs="仿宋"/>
                <w:color w:val="auto"/>
                <w:sz w:val="24"/>
                <w:highlight w:val="none"/>
              </w:rPr>
              <w:t>□  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6</w:t>
            </w:r>
          </w:p>
        </w:tc>
        <w:tc>
          <w:tcPr>
            <w:tcW w:w="1821" w:type="dxa"/>
            <w:vAlign w:val="center"/>
          </w:tcPr>
          <w:p>
            <w:pPr>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磋商前答疑会或现场考察</w:t>
            </w:r>
          </w:p>
        </w:tc>
        <w:tc>
          <w:tcPr>
            <w:tcW w:w="7199"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pPr>
              <w:rPr>
                <w:rFonts w:ascii="仿宋" w:hAnsi="仿宋" w:eastAsia="仿宋" w:cs="仿宋"/>
                <w:color w:val="auto"/>
                <w:sz w:val="24"/>
                <w:szCs w:val="20"/>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7</w:t>
            </w:r>
          </w:p>
        </w:tc>
        <w:tc>
          <w:tcPr>
            <w:tcW w:w="1821" w:type="dxa"/>
            <w:vAlign w:val="center"/>
          </w:tcPr>
          <w:p>
            <w:pPr>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7199"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pPr>
              <w:rPr>
                <w:rFonts w:ascii="仿宋" w:hAnsi="仿宋" w:eastAsia="仿宋" w:cs="仿宋"/>
                <w:color w:val="auto"/>
                <w:kern w:val="0"/>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rPr>
              <w:t>B要求提供，</w:t>
            </w:r>
          </w:p>
          <w:p>
            <w:pP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b/>
                <w:bCs/>
                <w:color w:val="auto"/>
                <w:sz w:val="24"/>
                <w:highlight w:val="none"/>
                <w:u w:val="single"/>
              </w:rPr>
              <w:t xml:space="preserve"> /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pP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b/>
                <w:bCs/>
                <w:color w:val="auto"/>
                <w:sz w:val="24"/>
                <w:highlight w:val="none"/>
                <w:u w:val="singl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pP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b/>
                <w:bCs/>
                <w:color w:val="auto"/>
                <w:sz w:val="24"/>
                <w:highlight w:val="none"/>
                <w:u w:val="single"/>
              </w:rPr>
              <w:t>/</w:t>
            </w:r>
            <w:r>
              <w:rPr>
                <w:rFonts w:hint="eastAsia" w:ascii="仿宋" w:hAnsi="仿宋" w:eastAsia="仿宋" w:cs="仿宋"/>
                <w:color w:val="auto"/>
                <w:kern w:val="0"/>
                <w:sz w:val="24"/>
                <w:highlight w:val="none"/>
              </w:rPr>
              <w:t>；</w:t>
            </w:r>
          </w:p>
          <w:p>
            <w:pP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（4）是否需要随样品提交检测报告：☐否；☐是，检测机构的要求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pPr>
              <w:rPr>
                <w:rFonts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b/>
                <w:bCs/>
                <w:color w:val="auto"/>
                <w:sz w:val="24"/>
                <w:highlight w:val="none"/>
                <w:lang w:eastAsia="zh-CN"/>
              </w:rPr>
              <w:t>2024</w:t>
            </w:r>
            <w:r>
              <w:rPr>
                <w:rFonts w:hint="eastAsia" w:ascii="仿宋" w:hAnsi="仿宋" w:eastAsia="仿宋" w:cs="仿宋"/>
                <w:b/>
                <w:bCs/>
                <w:color w:val="auto"/>
                <w:sz w:val="24"/>
                <w:highlight w:val="none"/>
              </w:rPr>
              <w:t>年</w:t>
            </w:r>
            <w:r>
              <w:rPr>
                <w:rFonts w:hint="eastAsia" w:ascii="仿宋" w:hAnsi="仿宋" w:eastAsia="仿宋" w:cs="仿宋"/>
                <w:b/>
                <w:bCs/>
                <w:color w:val="auto"/>
                <w:sz w:val="24"/>
                <w:highlight w:val="none"/>
                <w:u w:val="single"/>
              </w:rPr>
              <w:t xml:space="preserve">   </w:t>
            </w:r>
            <w:r>
              <w:rPr>
                <w:rFonts w:hint="eastAsia" w:ascii="仿宋" w:hAnsi="仿宋" w:eastAsia="仿宋" w:cs="仿宋"/>
                <w:b/>
                <w:bCs/>
                <w:color w:val="auto"/>
                <w:sz w:val="24"/>
                <w:highlight w:val="none"/>
              </w:rPr>
              <w:t>月</w:t>
            </w:r>
            <w:r>
              <w:rPr>
                <w:rFonts w:hint="eastAsia" w:ascii="仿宋" w:hAnsi="仿宋" w:eastAsia="仿宋" w:cs="仿宋"/>
                <w:b/>
                <w:bCs/>
                <w:color w:val="auto"/>
                <w:sz w:val="24"/>
                <w:highlight w:val="none"/>
                <w:u w:val="single"/>
              </w:rPr>
              <w:t xml:space="preserve">   </w:t>
            </w:r>
            <w:r>
              <w:rPr>
                <w:rFonts w:hint="eastAsia" w:ascii="仿宋" w:hAnsi="仿宋" w:eastAsia="仿宋" w:cs="仿宋"/>
                <w:b/>
                <w:bCs/>
                <w:color w:val="auto"/>
                <w:sz w:val="24"/>
                <w:highlight w:val="none"/>
              </w:rPr>
              <w:t>日</w:t>
            </w:r>
            <w:r>
              <w:rPr>
                <w:rFonts w:hint="eastAsia" w:ascii="仿宋" w:hAnsi="仿宋" w:eastAsia="仿宋" w:cs="仿宋"/>
                <w:b/>
                <w:bCs/>
                <w:color w:val="auto"/>
                <w:sz w:val="24"/>
                <w:highlight w:val="none"/>
                <w:u w:val="single"/>
              </w:rPr>
              <w:t xml:space="preserve">09：00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b/>
                <w:bCs/>
                <w:color w:val="auto"/>
                <w:sz w:val="24"/>
                <w:highlight w:val="none"/>
                <w:u w:val="single"/>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。请供应商在上述时间内提供样品并按规定位置安装完毕。超过截止时间的，采购人或采购代理机构将不予接收，并将清场并封闭样品现场。</w:t>
            </w:r>
          </w:p>
          <w:p>
            <w:pPr>
              <w:rPr>
                <w:rFonts w:ascii="仿宋" w:hAnsi="仿宋" w:eastAsia="仿宋" w:cs="仿宋"/>
                <w:color w:val="auto"/>
                <w:sz w:val="24"/>
                <w:highlight w:val="none"/>
              </w:rPr>
            </w:pPr>
            <w:r>
              <w:rPr>
                <w:rFonts w:hint="eastAsia" w:ascii="仿宋" w:hAnsi="仿宋" w:eastAsia="仿宋" w:cs="仿宋"/>
                <w:color w:val="auto"/>
                <w:sz w:val="24"/>
                <w:highlight w:val="none"/>
              </w:rPr>
              <w:t xml:space="preserve"> (6)采购活动结束后，对于未成交供应商提供的样品，采购人、采购代理机构将通知未成交供应商在规定的时间内取回，逾期未取回的，采购人、采购代理机构不负责保管义务；对于成交供应商提供的样品，采购人将进行保管、封存，并作为履约验收的参考。</w:t>
            </w:r>
          </w:p>
          <w:p>
            <w:pPr>
              <w:rPr>
                <w:rFonts w:ascii="仿宋" w:hAnsi="仿宋" w:eastAsia="仿宋" w:cs="仿宋"/>
                <w:b/>
                <w:color w:val="auto"/>
                <w:sz w:val="24"/>
                <w:highlight w:val="none"/>
              </w:rPr>
            </w:pPr>
            <w:r>
              <w:rPr>
                <w:rFonts w:hint="eastAsia" w:ascii="仿宋" w:hAnsi="仿宋" w:eastAsia="仿宋" w:cs="仿宋"/>
                <w:color w:val="auto"/>
                <w:sz w:val="24"/>
                <w:highlight w:val="none"/>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8</w:t>
            </w:r>
          </w:p>
        </w:tc>
        <w:tc>
          <w:tcPr>
            <w:tcW w:w="1821" w:type="dxa"/>
            <w:vAlign w:val="center"/>
          </w:tcPr>
          <w:p>
            <w:pPr>
              <w:snapToGrid w:val="0"/>
              <w:jc w:val="center"/>
              <w:rPr>
                <w:rFonts w:ascii="仿宋" w:hAnsi="仿宋" w:eastAsia="仿宋" w:cs="仿宋"/>
                <w:bCs/>
                <w:color w:val="auto"/>
                <w:sz w:val="24"/>
                <w:highlight w:val="none"/>
              </w:rPr>
            </w:pPr>
            <w:r>
              <w:rPr>
                <w:rFonts w:hint="eastAsia" w:ascii="仿宋" w:hAnsi="仿宋" w:eastAsia="仿宋" w:cs="仿宋"/>
                <w:b/>
                <w:color w:val="auto"/>
                <w:sz w:val="24"/>
                <w:highlight w:val="none"/>
              </w:rPr>
              <w:t>方案讲解演示</w:t>
            </w:r>
          </w:p>
        </w:tc>
        <w:tc>
          <w:tcPr>
            <w:tcW w:w="7199" w:type="dxa"/>
            <w:vAlign w:val="center"/>
          </w:tcPr>
          <w:p>
            <w:pPr>
              <w:pStyle w:val="713"/>
              <w:spacing w:line="288" w:lineRule="auto"/>
              <w:ind w:firstLine="0" w:firstLineChars="0"/>
              <w:rPr>
                <w:rFonts w:ascii="仿宋" w:hAnsi="仿宋" w:eastAsia="仿宋" w:cs="仿宋"/>
                <w:color w:val="auto"/>
                <w:highlight w:val="none"/>
              </w:rPr>
            </w:pPr>
            <w:r>
              <w:rPr>
                <w:rFonts w:hint="eastAsia" w:ascii="仿宋" w:hAnsi="仿宋" w:eastAsia="仿宋" w:cs="仿宋"/>
                <w:color w:val="auto"/>
                <w:highlight w:val="none"/>
              </w:rPr>
              <w:t>☑ A不组织。</w:t>
            </w:r>
          </w:p>
          <w:p>
            <w:pPr>
              <w:pStyle w:val="713"/>
              <w:spacing w:line="288" w:lineRule="auto"/>
              <w:ind w:firstLine="0" w:firstLineChars="0"/>
              <w:rPr>
                <w:rFonts w:ascii="仿宋" w:hAnsi="仿宋" w:eastAsia="仿宋" w:cs="仿宋"/>
                <w:color w:val="auto"/>
                <w:highlight w:val="none"/>
              </w:rPr>
            </w:pPr>
            <w:r>
              <w:rPr>
                <w:rFonts w:hint="eastAsia" w:ascii="仿宋" w:hAnsi="仿宋" w:eastAsia="仿宋" w:cs="仿宋"/>
                <w:color w:val="auto"/>
                <w:highlight w:val="none"/>
              </w:rPr>
              <w:t>□ B组织。</w:t>
            </w:r>
          </w:p>
          <w:p>
            <w:pPr>
              <w:pStyle w:val="713"/>
              <w:spacing w:line="288" w:lineRule="auto"/>
              <w:ind w:firstLine="0" w:firstLineChars="0"/>
              <w:rPr>
                <w:rFonts w:ascii="仿宋" w:hAnsi="仿宋" w:eastAsia="仿宋" w:cs="仿宋"/>
                <w:color w:val="auto"/>
                <w:highlight w:val="none"/>
              </w:rPr>
            </w:pPr>
            <w:r>
              <w:rPr>
                <w:rFonts w:hint="eastAsia" w:ascii="仿宋" w:hAnsi="仿宋" w:eastAsia="仿宋" w:cs="仿宋"/>
                <w:color w:val="auto"/>
                <w:highlight w:val="none"/>
              </w:rPr>
              <w:t>（1）在评审时安排每个供应商进行方案讲解演示。每个供应商演示时间不超过</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分钟，讲解次序以响应文件解密时间先后次序为准。</w:t>
            </w:r>
          </w:p>
          <w:p>
            <w:pPr>
              <w:pStyle w:val="713"/>
              <w:spacing w:line="288" w:lineRule="auto"/>
              <w:ind w:firstLine="0" w:firstLineChars="0"/>
              <w:rPr>
                <w:rFonts w:ascii="仿宋" w:hAnsi="仿宋" w:eastAsia="仿宋" w:cs="仿宋"/>
                <w:color w:val="auto"/>
                <w:highlight w:val="none"/>
              </w:rPr>
            </w:pPr>
            <w:r>
              <w:rPr>
                <w:rFonts w:hint="eastAsia" w:ascii="仿宋" w:hAnsi="仿宋" w:eastAsia="仿宋" w:cs="仿宋"/>
                <w:color w:val="auto"/>
                <w:highlight w:val="none"/>
              </w:rPr>
              <w:t>（2）演示方式：本项目方案讲解演示选择</w:t>
            </w:r>
            <w:r>
              <w:rPr>
                <w:rFonts w:hint="eastAsia" w:ascii="仿宋" w:hAnsi="仿宋" w:eastAsia="仿宋" w:cs="仿宋"/>
                <w:i/>
                <w:iCs/>
                <w:color w:val="auto"/>
                <w:highlight w:val="none"/>
                <w:u w:val="single"/>
              </w:rPr>
              <w:t>（方式三）</w:t>
            </w:r>
            <w:r>
              <w:rPr>
                <w:rFonts w:hint="eastAsia" w:ascii="仿宋" w:hAnsi="仿宋" w:eastAsia="仿宋" w:cs="仿宋"/>
                <w:color w:val="auto"/>
                <w:highlight w:val="none"/>
              </w:rPr>
              <w:t>演示：</w:t>
            </w:r>
          </w:p>
          <w:p>
            <w:pPr>
              <w:pStyle w:val="713"/>
              <w:spacing w:line="288" w:lineRule="auto"/>
              <w:ind w:firstLine="0" w:firstLineChars="0"/>
              <w:rPr>
                <w:rFonts w:ascii="仿宋" w:hAnsi="仿宋" w:eastAsia="仿宋" w:cs="仿宋"/>
                <w:color w:val="auto"/>
                <w:highlight w:val="none"/>
              </w:rPr>
            </w:pPr>
            <w:r>
              <w:rPr>
                <w:rFonts w:hint="eastAsia" w:ascii="仿宋" w:hAnsi="仿宋" w:eastAsia="仿宋" w:cs="仿宋"/>
                <w:color w:val="auto"/>
                <w:highlight w:val="none"/>
              </w:rPr>
              <w:t>方式一：政采云平台在线讲解演示。政采云平台在线讲解需供应商根据政采云平台操作要求做好准备工作，提前完善软硬件配置环境。</w:t>
            </w:r>
          </w:p>
          <w:p>
            <w:pPr>
              <w:pStyle w:val="713"/>
              <w:spacing w:line="288" w:lineRule="auto"/>
              <w:ind w:firstLine="0" w:firstLineChars="0"/>
              <w:rPr>
                <w:rFonts w:ascii="仿宋" w:hAnsi="仿宋" w:eastAsia="仿宋" w:cs="仿宋"/>
                <w:color w:val="auto"/>
                <w:highlight w:val="none"/>
              </w:rPr>
            </w:pPr>
            <w:r>
              <w:rPr>
                <w:rFonts w:hint="eastAsia" w:ascii="仿宋" w:hAnsi="仿宋" w:eastAsia="仿宋" w:cs="仿宋"/>
                <w:color w:val="auto"/>
                <w:highlight w:val="none"/>
              </w:rPr>
              <w:t>方式二：现场讲解演示。现场讲解地点为</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讲解演示所用电脑等设备由供应商自备。现场讲解演示人员进场时提供讲解人员名单（加盖公章或授权代表签名）及身份证明，讲解演示人员不超过3（可根据项目情况进行调整）人，否则不得讲解演示。讲解演示结束后可能会要求解答磋商小组提问。</w:t>
            </w:r>
          </w:p>
          <w:p>
            <w:pPr>
              <w:pStyle w:val="713"/>
              <w:spacing w:line="288" w:lineRule="auto"/>
              <w:ind w:firstLine="0" w:firstLineChars="0"/>
              <w:rPr>
                <w:rFonts w:ascii="仿宋" w:hAnsi="仿宋" w:eastAsia="仿宋" w:cs="仿宋"/>
                <w:color w:val="auto"/>
                <w:highlight w:val="none"/>
              </w:rPr>
            </w:pPr>
            <w:r>
              <w:rPr>
                <w:rFonts w:hint="eastAsia" w:ascii="仿宋" w:hAnsi="仿宋" w:eastAsia="仿宋" w:cs="仿宋"/>
                <w:color w:val="auto"/>
                <w:highlight w:val="none"/>
              </w:rPr>
              <w:t>方式三：视频演示。供应商应将演示内容提前拍摄成视频并压缩加密（密码由供应商自行保管），视频播放时间控制在</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分钟以内，并在开标时间截止前将加密视频文件一次性（限时内多次发送的，以最后一次为准，其余无效）发送至代理机指定邮箱（596722349@qq.com)，讲解开始后，代理机构按照讲解顺序分别向各供应商获取视频密码，未在规定时间内发送讲解视频或视频无法打开以及演示时长超过规定时间的，此项不得分。</w:t>
            </w:r>
          </w:p>
          <w:p>
            <w:pPr>
              <w:pStyle w:val="713"/>
              <w:spacing w:line="288" w:lineRule="auto"/>
              <w:ind w:firstLine="0" w:firstLineChars="0"/>
              <w:rPr>
                <w:b/>
                <w:color w:val="auto"/>
                <w:highlight w:val="none"/>
                <w:lang w:val="zh-CN"/>
              </w:rPr>
            </w:pPr>
            <w:r>
              <w:rPr>
                <w:rFonts w:hint="eastAsia" w:ascii="仿宋" w:hAnsi="仿宋" w:eastAsia="仿宋" w:cs="仿宋"/>
                <w:b/>
                <w:bCs/>
                <w:color w:val="auto"/>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33" w:hRule="atLeast"/>
          <w:jc w:val="center"/>
        </w:trPr>
        <w:tc>
          <w:tcPr>
            <w:tcW w:w="714" w:type="dxa"/>
            <w:vMerge w:val="restart"/>
            <w:vAlign w:val="center"/>
          </w:tcPr>
          <w:p>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8</w:t>
            </w:r>
          </w:p>
        </w:tc>
        <w:tc>
          <w:tcPr>
            <w:tcW w:w="1821" w:type="dxa"/>
            <w:vMerge w:val="restart"/>
            <w:vAlign w:val="center"/>
          </w:tcPr>
          <w:p>
            <w:pPr>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供应商应当提供的资格、资信证明文件</w:t>
            </w:r>
          </w:p>
        </w:tc>
        <w:tc>
          <w:tcPr>
            <w:tcW w:w="7199" w:type="dxa"/>
            <w:vAlign w:val="center"/>
          </w:tcPr>
          <w:p>
            <w:pPr>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（一）资格审查文件</w:t>
            </w:r>
          </w:p>
          <w:p>
            <w:pPr>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▲1. 有效的营业执照电子文档；</w:t>
            </w:r>
          </w:p>
          <w:p>
            <w:pPr>
              <w:jc w:val="left"/>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rPr>
              <w:t>2</w:t>
            </w:r>
            <w:r>
              <w:rPr>
                <w:rFonts w:hint="eastAsia" w:ascii="仿宋" w:hAnsi="仿宋" w:eastAsia="仿宋" w:cs="仿宋"/>
                <w:color w:val="auto"/>
                <w:sz w:val="24"/>
                <w:highlight w:val="none"/>
              </w:rPr>
              <w:t>. 负责人身份证电子文档。</w:t>
            </w:r>
          </w:p>
          <w:p>
            <w:pPr>
              <w:jc w:val="left"/>
              <w:rPr>
                <w:rFonts w:ascii="仿宋" w:hAnsi="仿宋" w:eastAsia="仿宋" w:cs="仿宋"/>
                <w:color w:val="auto"/>
                <w:sz w:val="24"/>
                <w:highlight w:val="none"/>
              </w:rPr>
            </w:pPr>
            <w:r>
              <w:rPr>
                <w:rFonts w:hint="eastAsia" w:ascii="仿宋" w:hAnsi="仿宋" w:eastAsia="仿宋" w:cs="仿宋"/>
                <w:color w:val="auto"/>
                <w:sz w:val="24"/>
                <w:highlight w:val="none"/>
              </w:rPr>
              <w:t>▲3. 若有委托代理人的，则还应当提供授权委托书及委托代理人的身份证电子文档；</w:t>
            </w:r>
          </w:p>
          <w:p>
            <w:pPr>
              <w:jc w:val="left"/>
              <w:rPr>
                <w:rFonts w:ascii="仿宋" w:hAnsi="仿宋" w:eastAsia="仿宋" w:cs="仿宋"/>
                <w:color w:val="auto"/>
                <w:sz w:val="24"/>
                <w:highlight w:val="none"/>
              </w:rPr>
            </w:pPr>
            <w:r>
              <w:rPr>
                <w:rFonts w:hint="eastAsia" w:ascii="仿宋" w:hAnsi="仿宋" w:eastAsia="仿宋" w:cs="仿宋"/>
                <w:color w:val="auto"/>
                <w:sz w:val="24"/>
                <w:highlight w:val="none"/>
              </w:rPr>
              <w:t>▲4. 具有良好的财务会计制度、依法缴纳税收和社会保障资金的承诺函；</w:t>
            </w:r>
          </w:p>
          <w:p>
            <w:pPr>
              <w:jc w:val="left"/>
              <w:rPr>
                <w:rFonts w:ascii="仿宋" w:hAnsi="仿宋" w:eastAsia="仿宋" w:cs="仿宋"/>
                <w:color w:val="auto"/>
                <w:sz w:val="24"/>
                <w:highlight w:val="none"/>
              </w:rPr>
            </w:pPr>
            <w:r>
              <w:rPr>
                <w:rFonts w:hint="eastAsia" w:ascii="仿宋" w:hAnsi="仿宋" w:eastAsia="仿宋" w:cs="仿宋"/>
                <w:color w:val="auto"/>
                <w:sz w:val="24"/>
                <w:highlight w:val="none"/>
              </w:rPr>
              <w:t>▲5. 具有履行合同所必需设备和专业技术能力的承诺函；</w:t>
            </w:r>
          </w:p>
          <w:p>
            <w:pPr>
              <w:jc w:val="left"/>
              <w:rPr>
                <w:rFonts w:ascii="仿宋" w:hAnsi="仿宋" w:eastAsia="仿宋" w:cs="仿宋"/>
                <w:color w:val="auto"/>
                <w:sz w:val="24"/>
                <w:highlight w:val="none"/>
              </w:rPr>
            </w:pPr>
            <w:r>
              <w:rPr>
                <w:rFonts w:hint="eastAsia" w:ascii="仿宋" w:hAnsi="仿宋" w:eastAsia="仿宋" w:cs="仿宋"/>
                <w:color w:val="auto"/>
                <w:sz w:val="24"/>
                <w:highlight w:val="none"/>
              </w:rPr>
              <w:t>▲6. 无重大违法记录声明书；</w:t>
            </w:r>
          </w:p>
          <w:p>
            <w:pPr>
              <w:jc w:val="left"/>
              <w:rPr>
                <w:rFonts w:ascii="仿宋" w:hAnsi="仿宋" w:eastAsia="仿宋" w:cs="仿宋"/>
                <w:bCs/>
                <w:color w:val="auto"/>
                <w:sz w:val="24"/>
                <w:highlight w:val="none"/>
              </w:rPr>
            </w:pPr>
            <w:r>
              <w:rPr>
                <w:rFonts w:hint="eastAsia" w:ascii="仿宋" w:hAnsi="仿宋" w:eastAsia="仿宋" w:cs="仿宋"/>
                <w:bCs/>
                <w:color w:val="auto"/>
                <w:sz w:val="24"/>
                <w:highlight w:val="none"/>
              </w:rPr>
              <w:t>▲7. 联合体协议书（若有）；</w:t>
            </w:r>
          </w:p>
          <w:p>
            <w:pPr>
              <w:jc w:val="left"/>
              <w:rPr>
                <w:rFonts w:ascii="仿宋" w:hAnsi="仿宋" w:eastAsia="仿宋" w:cs="仿宋"/>
                <w:bCs/>
                <w:color w:val="auto"/>
                <w:sz w:val="24"/>
                <w:highlight w:val="none"/>
              </w:rPr>
            </w:pPr>
            <w:r>
              <w:rPr>
                <w:rFonts w:hint="eastAsia" w:ascii="仿宋" w:hAnsi="仿宋" w:eastAsia="仿宋" w:cs="仿宋"/>
                <w:bCs/>
                <w:color w:val="auto"/>
                <w:sz w:val="24"/>
                <w:highlight w:val="none"/>
              </w:rPr>
              <w:t>▲8. 分包意向协议书（若有）；</w:t>
            </w:r>
          </w:p>
          <w:p>
            <w:pPr>
              <w:jc w:val="left"/>
              <w:rPr>
                <w:rFonts w:ascii="仿宋" w:hAnsi="仿宋" w:eastAsia="仿宋" w:cs="仿宋"/>
                <w:color w:val="auto"/>
                <w:highlight w:val="none"/>
              </w:rPr>
            </w:pPr>
            <w:r>
              <w:rPr>
                <w:rFonts w:hint="eastAsia" w:ascii="仿宋" w:hAnsi="仿宋" w:eastAsia="仿宋" w:cs="仿宋"/>
                <w:bCs/>
                <w:color w:val="auto"/>
                <w:sz w:val="24"/>
                <w:highlight w:val="none"/>
              </w:rPr>
              <w:t>▲9. 特定资格条件证明材料电子文档（若有）；</w:t>
            </w:r>
          </w:p>
          <w:p>
            <w:pPr>
              <w:jc w:val="left"/>
              <w:rPr>
                <w:rFonts w:ascii="仿宋" w:hAnsi="仿宋" w:eastAsia="仿宋" w:cs="仿宋"/>
                <w:color w:val="auto"/>
                <w:sz w:val="24"/>
                <w:highlight w:val="none"/>
              </w:rPr>
            </w:pPr>
            <w:r>
              <w:rPr>
                <w:rFonts w:hint="eastAsia" w:ascii="仿宋" w:hAnsi="仿宋" w:eastAsia="仿宋" w:cs="仿宋"/>
                <w:bCs/>
                <w:color w:val="auto"/>
                <w:sz w:val="24"/>
                <w:highlight w:val="none"/>
              </w:rPr>
              <w:t>▲10. 中小企业声明函或监狱企业声明函或残疾人福利性企业声明函（若有）（专门面向中小企业项目时适用）；</w:t>
            </w:r>
          </w:p>
          <w:p>
            <w:pPr>
              <w:jc w:val="left"/>
              <w:rPr>
                <w:rFonts w:ascii="仿宋" w:hAnsi="仿宋" w:eastAsia="仿宋" w:cs="仿宋"/>
                <w:color w:val="auto"/>
                <w:sz w:val="24"/>
                <w:highlight w:val="none"/>
              </w:rPr>
            </w:pPr>
            <w:r>
              <w:rPr>
                <w:rFonts w:hint="eastAsia" w:ascii="仿宋" w:hAnsi="仿宋" w:eastAsia="仿宋" w:cs="仿宋"/>
                <w:b/>
                <w:bCs/>
                <w:color w:val="auto"/>
                <w:sz w:val="24"/>
                <w:highlight w:val="none"/>
              </w:rPr>
              <w:t xml:space="preserve">11. </w:t>
            </w:r>
            <w:r>
              <w:rPr>
                <w:rFonts w:hint="eastAsia" w:ascii="仿宋" w:hAnsi="仿宋" w:eastAsia="仿宋" w:cs="仿宋"/>
                <w:color w:val="auto"/>
                <w:sz w:val="24"/>
                <w:highlight w:val="none"/>
              </w:rPr>
              <w:t>其他。</w:t>
            </w:r>
          </w:p>
          <w:p>
            <w:pPr>
              <w:rPr>
                <w:rFonts w:ascii="仿宋" w:hAnsi="仿宋" w:eastAsia="仿宋" w:cs="仿宋"/>
                <w:snapToGrid w:val="0"/>
                <w:color w:val="auto"/>
                <w:kern w:val="0"/>
                <w:szCs w:val="21"/>
                <w:highlight w:val="none"/>
              </w:rPr>
            </w:pPr>
            <w:r>
              <w:rPr>
                <w:rFonts w:hint="eastAsia" w:ascii="仿宋" w:hAnsi="仿宋" w:eastAsia="仿宋" w:cs="仿宋"/>
                <w:color w:val="auto"/>
                <w:sz w:val="24"/>
                <w:highlight w:val="none"/>
              </w:rPr>
              <w:t>注：编制格式要求见第六部分响应文件格式，无格式的自行设计。</w:t>
            </w:r>
            <w:r>
              <w:rPr>
                <w:rFonts w:hint="eastAsia" w:ascii="仿宋" w:hAnsi="仿宋" w:eastAsia="仿宋" w:cs="仿宋"/>
                <w:color w:val="auto"/>
                <w:kern w:val="0"/>
                <w:sz w:val="24"/>
                <w:highlight w:val="none"/>
                <w:lang w:val="zh-CN"/>
              </w:rPr>
              <w:t>供应商未提供有效的资格证明文件的，视为供应商不具备采购文件中规定的资格要求，响应文件无效。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06" w:hRule="atLeast"/>
          <w:jc w:val="center"/>
        </w:trPr>
        <w:tc>
          <w:tcPr>
            <w:tcW w:w="714" w:type="dxa"/>
            <w:vMerge w:val="continue"/>
            <w:vAlign w:val="center"/>
          </w:tcPr>
          <w:p>
            <w:pPr>
              <w:snapToGrid w:val="0"/>
              <w:jc w:val="center"/>
              <w:rPr>
                <w:rFonts w:ascii="仿宋" w:hAnsi="仿宋" w:eastAsia="仿宋" w:cs="仿宋"/>
                <w:color w:val="auto"/>
                <w:sz w:val="24"/>
                <w:highlight w:val="none"/>
              </w:rPr>
            </w:pPr>
          </w:p>
        </w:tc>
        <w:tc>
          <w:tcPr>
            <w:tcW w:w="1821" w:type="dxa"/>
            <w:vMerge w:val="continue"/>
            <w:vAlign w:val="center"/>
          </w:tcPr>
          <w:p>
            <w:pPr>
              <w:snapToGrid w:val="0"/>
              <w:jc w:val="center"/>
              <w:rPr>
                <w:rFonts w:ascii="仿宋" w:hAnsi="仿宋" w:eastAsia="仿宋" w:cs="仿宋"/>
                <w:b/>
                <w:color w:val="auto"/>
                <w:sz w:val="24"/>
                <w:highlight w:val="none"/>
              </w:rPr>
            </w:pPr>
          </w:p>
        </w:tc>
        <w:tc>
          <w:tcPr>
            <w:tcW w:w="7199" w:type="dxa"/>
            <w:vAlign w:val="center"/>
          </w:tcPr>
          <w:p>
            <w:pPr>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（二）资信商务技术文件</w:t>
            </w:r>
          </w:p>
          <w:p>
            <w:pPr>
              <w:jc w:val="left"/>
              <w:rPr>
                <w:rFonts w:ascii="仿宋" w:hAnsi="仿宋" w:eastAsia="仿宋" w:cs="仿宋"/>
                <w:bCs/>
                <w:color w:val="auto"/>
                <w:sz w:val="24"/>
                <w:highlight w:val="none"/>
              </w:rPr>
            </w:pPr>
            <w:r>
              <w:rPr>
                <w:rFonts w:hint="eastAsia" w:ascii="仿宋" w:hAnsi="仿宋" w:eastAsia="仿宋" w:cs="仿宋"/>
                <w:bCs/>
                <w:color w:val="auto"/>
                <w:sz w:val="24"/>
                <w:highlight w:val="none"/>
              </w:rPr>
              <w:t>1. 磋商响应函；</w:t>
            </w:r>
          </w:p>
          <w:p>
            <w:pPr>
              <w:jc w:val="left"/>
              <w:rPr>
                <w:rFonts w:ascii="仿宋" w:hAnsi="仿宋" w:eastAsia="仿宋" w:cs="仿宋"/>
                <w:bCs/>
                <w:color w:val="auto"/>
                <w:sz w:val="24"/>
                <w:highlight w:val="none"/>
              </w:rPr>
            </w:pPr>
            <w:r>
              <w:rPr>
                <w:rFonts w:hint="eastAsia" w:ascii="仿宋" w:hAnsi="仿宋" w:eastAsia="仿宋" w:cs="仿宋"/>
                <w:bCs/>
                <w:color w:val="auto"/>
                <w:sz w:val="24"/>
                <w:highlight w:val="none"/>
              </w:rPr>
              <w:t>2. 成功案例及业绩（若有）</w:t>
            </w:r>
          </w:p>
          <w:p>
            <w:pPr>
              <w:jc w:val="left"/>
              <w:rPr>
                <w:rFonts w:ascii="仿宋" w:hAnsi="仿宋" w:eastAsia="仿宋" w:cs="仿宋"/>
                <w:bCs/>
                <w:color w:val="auto"/>
                <w:sz w:val="24"/>
                <w:highlight w:val="none"/>
              </w:rPr>
            </w:pPr>
            <w:r>
              <w:rPr>
                <w:rFonts w:hint="eastAsia" w:ascii="仿宋" w:hAnsi="仿宋" w:eastAsia="仿宋" w:cs="仿宋"/>
                <w:bCs/>
                <w:color w:val="auto"/>
                <w:sz w:val="24"/>
                <w:highlight w:val="none"/>
              </w:rPr>
              <w:t>3. 商务响应表；</w:t>
            </w:r>
          </w:p>
          <w:p>
            <w:pPr>
              <w:ind w:left="360" w:hanging="360" w:hangingChars="150"/>
              <w:jc w:val="left"/>
              <w:rPr>
                <w:rFonts w:ascii="仿宋" w:hAnsi="仿宋" w:eastAsia="仿宋" w:cs="仿宋"/>
                <w:bCs/>
                <w:color w:val="auto"/>
                <w:sz w:val="24"/>
                <w:highlight w:val="none"/>
              </w:rPr>
            </w:pPr>
            <w:r>
              <w:rPr>
                <w:rFonts w:hint="eastAsia" w:ascii="仿宋" w:hAnsi="仿宋" w:eastAsia="仿宋" w:cs="仿宋"/>
                <w:bCs/>
                <w:color w:val="auto"/>
                <w:sz w:val="24"/>
                <w:highlight w:val="none"/>
              </w:rPr>
              <w:t>4. 实施方案及实施计划</w:t>
            </w:r>
          </w:p>
          <w:p>
            <w:pPr>
              <w:jc w:val="left"/>
              <w:rPr>
                <w:rFonts w:ascii="仿宋" w:hAnsi="仿宋" w:eastAsia="仿宋" w:cs="仿宋"/>
                <w:bCs/>
                <w:color w:val="auto"/>
                <w:sz w:val="24"/>
                <w:highlight w:val="none"/>
              </w:rPr>
            </w:pPr>
            <w:r>
              <w:rPr>
                <w:rFonts w:hint="eastAsia" w:ascii="仿宋" w:hAnsi="仿宋" w:eastAsia="仿宋" w:cs="仿宋"/>
                <w:bCs/>
                <w:color w:val="auto"/>
                <w:sz w:val="24"/>
                <w:highlight w:val="none"/>
              </w:rPr>
              <w:t>5. 供应商需要说明的其他文件和证明。</w:t>
            </w:r>
          </w:p>
          <w:p>
            <w:pPr>
              <w:jc w:val="left"/>
              <w:rPr>
                <w:rFonts w:ascii="仿宋" w:hAnsi="仿宋" w:eastAsia="仿宋" w:cs="仿宋"/>
                <w:color w:val="auto"/>
                <w:kern w:val="0"/>
                <w:sz w:val="24"/>
                <w:highlight w:val="none"/>
                <w:lang w:val="zh-CN"/>
              </w:rPr>
            </w:pPr>
            <w:r>
              <w:rPr>
                <w:rFonts w:hint="eastAsia" w:ascii="仿宋" w:hAnsi="仿宋" w:eastAsia="仿宋" w:cs="仿宋"/>
                <w:bCs/>
                <w:color w:val="auto"/>
                <w:sz w:val="24"/>
                <w:highlight w:val="none"/>
              </w:rPr>
              <w:t>注：结合“第二部分采购需求”和“第七部分评审办法”进行编制，编制格式要求见第六部分响应文件格式，无格式的自行设计。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8" w:hRule="atLeast"/>
          <w:jc w:val="center"/>
        </w:trPr>
        <w:tc>
          <w:tcPr>
            <w:tcW w:w="714" w:type="dxa"/>
            <w:vMerge w:val="continue"/>
            <w:vAlign w:val="center"/>
          </w:tcPr>
          <w:p>
            <w:pPr>
              <w:snapToGrid w:val="0"/>
              <w:jc w:val="center"/>
              <w:rPr>
                <w:rFonts w:ascii="仿宋" w:hAnsi="仿宋" w:eastAsia="仿宋" w:cs="仿宋"/>
                <w:color w:val="auto"/>
                <w:sz w:val="24"/>
                <w:highlight w:val="none"/>
              </w:rPr>
            </w:pPr>
          </w:p>
        </w:tc>
        <w:tc>
          <w:tcPr>
            <w:tcW w:w="1821" w:type="dxa"/>
            <w:vMerge w:val="continue"/>
            <w:vAlign w:val="center"/>
          </w:tcPr>
          <w:p>
            <w:pPr>
              <w:snapToGrid w:val="0"/>
              <w:jc w:val="center"/>
              <w:rPr>
                <w:rFonts w:ascii="仿宋" w:hAnsi="仿宋" w:eastAsia="仿宋" w:cs="仿宋"/>
                <w:b/>
                <w:color w:val="auto"/>
                <w:sz w:val="24"/>
                <w:highlight w:val="none"/>
              </w:rPr>
            </w:pPr>
          </w:p>
        </w:tc>
        <w:tc>
          <w:tcPr>
            <w:tcW w:w="7199" w:type="dxa"/>
            <w:vAlign w:val="center"/>
          </w:tcPr>
          <w:p>
            <w:pPr>
              <w:jc w:val="left"/>
              <w:rPr>
                <w:rFonts w:ascii="仿宋" w:hAnsi="仿宋" w:eastAsia="仿宋" w:cs="仿宋"/>
                <w:bCs/>
                <w:color w:val="auto"/>
                <w:sz w:val="24"/>
                <w:highlight w:val="none"/>
              </w:rPr>
            </w:pPr>
            <w:r>
              <w:rPr>
                <w:rFonts w:hint="eastAsia" w:ascii="仿宋" w:hAnsi="仿宋" w:eastAsia="仿宋" w:cs="仿宋"/>
                <w:b/>
                <w:bCs/>
                <w:color w:val="auto"/>
                <w:sz w:val="24"/>
                <w:highlight w:val="none"/>
              </w:rPr>
              <w:t>（一）报价文件</w:t>
            </w:r>
          </w:p>
          <w:p>
            <w:pPr>
              <w:jc w:val="left"/>
              <w:rPr>
                <w:rFonts w:ascii="仿宋" w:hAnsi="仿宋" w:eastAsia="仿宋" w:cs="仿宋"/>
                <w:bCs/>
                <w:color w:val="auto"/>
                <w:sz w:val="24"/>
                <w:highlight w:val="none"/>
              </w:rPr>
            </w:pPr>
            <w:r>
              <w:rPr>
                <w:rFonts w:hint="eastAsia" w:ascii="仿宋" w:hAnsi="仿宋" w:eastAsia="仿宋" w:cs="仿宋"/>
                <w:bCs/>
                <w:color w:val="auto"/>
                <w:sz w:val="24"/>
                <w:highlight w:val="none"/>
              </w:rPr>
              <w:t>1. 开标一览表；</w:t>
            </w:r>
          </w:p>
          <w:p>
            <w:pPr>
              <w:jc w:val="left"/>
              <w:rPr>
                <w:rFonts w:ascii="仿宋" w:hAnsi="仿宋" w:eastAsia="仿宋" w:cs="仿宋"/>
                <w:bCs/>
                <w:color w:val="auto"/>
                <w:sz w:val="24"/>
                <w:highlight w:val="none"/>
              </w:rPr>
            </w:pPr>
            <w:r>
              <w:rPr>
                <w:rFonts w:hint="eastAsia" w:ascii="仿宋" w:hAnsi="仿宋" w:eastAsia="仿宋" w:cs="仿宋"/>
                <w:bCs/>
                <w:color w:val="auto"/>
                <w:sz w:val="24"/>
                <w:highlight w:val="none"/>
              </w:rPr>
              <w:t>2. 报价明细表；</w:t>
            </w:r>
          </w:p>
          <w:p>
            <w:pPr>
              <w:jc w:val="left"/>
              <w:rPr>
                <w:rFonts w:ascii="仿宋" w:hAnsi="仿宋" w:eastAsia="仿宋" w:cs="仿宋"/>
                <w:bCs/>
                <w:color w:val="auto"/>
                <w:sz w:val="24"/>
                <w:highlight w:val="none"/>
              </w:rPr>
            </w:pPr>
            <w:r>
              <w:rPr>
                <w:rFonts w:hint="eastAsia" w:ascii="仿宋" w:hAnsi="仿宋" w:eastAsia="仿宋" w:cs="仿宋"/>
                <w:bCs/>
                <w:color w:val="auto"/>
                <w:sz w:val="24"/>
                <w:highlight w:val="none"/>
              </w:rPr>
              <w:t>3. 中小企业声明函或监狱企业声明函或残疾人福利性企业声明函（若有）；</w:t>
            </w:r>
          </w:p>
          <w:p>
            <w:pPr>
              <w:jc w:val="left"/>
              <w:rPr>
                <w:rFonts w:ascii="仿宋" w:hAnsi="仿宋" w:eastAsia="仿宋" w:cs="仿宋"/>
                <w:color w:val="auto"/>
                <w:kern w:val="0"/>
                <w:sz w:val="24"/>
                <w:highlight w:val="none"/>
                <w:lang w:val="zh-CN"/>
              </w:rPr>
            </w:pPr>
            <w:r>
              <w:rPr>
                <w:rFonts w:hint="eastAsia" w:ascii="仿宋" w:hAnsi="仿宋" w:eastAsia="仿宋" w:cs="仿宋"/>
                <w:bCs/>
                <w:color w:val="auto"/>
                <w:sz w:val="24"/>
                <w:highlight w:val="none"/>
              </w:rPr>
              <w:t>注：编制格式要求见第六部分响应文件格式，无格式的自行设计。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9</w:t>
            </w:r>
          </w:p>
        </w:tc>
        <w:tc>
          <w:tcPr>
            <w:tcW w:w="1821" w:type="dxa"/>
            <w:vAlign w:val="center"/>
          </w:tcPr>
          <w:p>
            <w:pPr>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7199" w:type="dxa"/>
            <w:vAlign w:val="center"/>
          </w:tcPr>
          <w:p>
            <w:pPr>
              <w:snapToGrid w:val="0"/>
              <w:rPr>
                <w:rFonts w:ascii="仿宋" w:hAnsi="仿宋" w:eastAsia="仿宋" w:cs="仿宋"/>
                <w:color w:val="auto"/>
                <w:highlight w:val="none"/>
              </w:rPr>
            </w:pPr>
            <w:r>
              <w:rPr>
                <w:rFonts w:hint="eastAsia" w:ascii="仿宋" w:hAnsi="仿宋" w:eastAsia="仿宋" w:cs="仿宋"/>
                <w:color w:val="auto"/>
                <w:kern w:val="0"/>
                <w:sz w:val="24"/>
                <w:highlight w:val="none"/>
              </w:rPr>
              <w:t>采购人拟采购的产品属于节能产品、环境标志产品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10</w:t>
            </w:r>
          </w:p>
        </w:tc>
        <w:tc>
          <w:tcPr>
            <w:tcW w:w="1821" w:type="dxa"/>
            <w:vAlign w:val="center"/>
          </w:tcPr>
          <w:p>
            <w:pPr>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最后报价要求</w:t>
            </w:r>
          </w:p>
        </w:tc>
        <w:tc>
          <w:tcPr>
            <w:tcW w:w="7199" w:type="dxa"/>
            <w:vAlign w:val="center"/>
          </w:tcPr>
          <w:p>
            <w:pPr>
              <w:snapToGrid w:val="0"/>
              <w:jc w:val="left"/>
              <w:rPr>
                <w:rFonts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有关本项目实施所需的所有费用（含税费）均计入报价。</w:t>
            </w:r>
            <w:r>
              <w:rPr>
                <w:rFonts w:hint="eastAsia" w:ascii="仿宋" w:hAnsi="仿宋" w:eastAsia="仿宋" w:cs="仿宋"/>
                <w:color w:val="auto"/>
                <w:sz w:val="24"/>
                <w:highlight w:val="none"/>
              </w:rPr>
              <w:t>报价单是报价的唯一载体</w:t>
            </w:r>
            <w:r>
              <w:rPr>
                <w:rFonts w:hint="eastAsia" w:ascii="仿宋" w:hAnsi="仿宋" w:eastAsia="仿宋" w:cs="仿宋"/>
                <w:color w:val="auto"/>
                <w:kern w:val="0"/>
                <w:sz w:val="24"/>
                <w:highlight w:val="none"/>
                <w:lang w:val="zh-CN"/>
              </w:rPr>
              <w:t>。响应文件中价格全部采用人民币报价。采购文件未列明，而供应商认为必需的费用也需列入报价。</w:t>
            </w:r>
          </w:p>
          <w:p>
            <w:pPr>
              <w:snapToGrid w:val="0"/>
              <w:jc w:val="left"/>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最后报价出现下列情形的，响应文件无效：</w:t>
            </w:r>
          </w:p>
          <w:p>
            <w:pPr>
              <w:snapToGrid w:val="0"/>
              <w:jc w:val="left"/>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rPr>
              <w:t>1、</w:t>
            </w:r>
            <w:r>
              <w:rPr>
                <w:rFonts w:hint="eastAsia" w:ascii="仿宋" w:hAnsi="仿宋" w:eastAsia="仿宋" w:cs="仿宋"/>
                <w:b/>
                <w:color w:val="auto"/>
                <w:kern w:val="0"/>
                <w:sz w:val="24"/>
                <w:highlight w:val="none"/>
                <w:lang w:val="zh-CN"/>
              </w:rPr>
              <w:t>响应文件出现不是唯一的、有选择性最后报价的；</w:t>
            </w:r>
          </w:p>
          <w:p>
            <w:pPr>
              <w:snapToGrid w:val="0"/>
              <w:jc w:val="left"/>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rPr>
              <w:t>2、</w:t>
            </w:r>
            <w:r>
              <w:rPr>
                <w:rFonts w:hint="eastAsia" w:ascii="仿宋" w:hAnsi="仿宋" w:eastAsia="仿宋" w:cs="仿宋"/>
                <w:b/>
                <w:color w:val="auto"/>
                <w:kern w:val="0"/>
                <w:sz w:val="24"/>
                <w:highlight w:val="none"/>
                <w:lang w:val="zh-CN"/>
              </w:rPr>
              <w:t>最后报价超过采购文件中规定的预算金额或者最高限价的;</w:t>
            </w:r>
          </w:p>
          <w:p>
            <w:pPr>
              <w:rPr>
                <w:rFonts w:ascii="仿宋" w:hAnsi="仿宋" w:eastAsia="仿宋" w:cs="仿宋"/>
                <w:b/>
                <w:color w:val="auto"/>
                <w:sz w:val="24"/>
                <w:highlight w:val="none"/>
              </w:rPr>
            </w:pPr>
            <w:r>
              <w:rPr>
                <w:rFonts w:hint="eastAsia" w:ascii="仿宋" w:hAnsi="仿宋" w:eastAsia="仿宋" w:cs="仿宋"/>
                <w:b/>
                <w:color w:val="auto"/>
                <w:kern w:val="0"/>
                <w:sz w:val="24"/>
                <w:highlight w:val="none"/>
              </w:rPr>
              <w:t>3、报价明显低于其他通过符合性审查供应商的报价，有可能影响产品质量或者不能诚信履约的，未能按要求提供书面说明或者提交相关证明材料证明其报价合理性的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highlight w:val="none"/>
              </w:rPr>
              <w:t>;</w:t>
            </w:r>
          </w:p>
          <w:p>
            <w:pPr>
              <w:rPr>
                <w:rFonts w:ascii="仿宋" w:hAnsi="仿宋" w:eastAsia="仿宋" w:cs="仿宋"/>
                <w:color w:val="auto"/>
                <w:sz w:val="24"/>
                <w:highlight w:val="none"/>
              </w:rPr>
            </w:pPr>
            <w:r>
              <w:rPr>
                <w:rFonts w:hint="eastAsia" w:ascii="仿宋" w:hAnsi="仿宋" w:eastAsia="仿宋" w:cs="仿宋"/>
                <w:b/>
                <w:color w:val="auto"/>
                <w:kern w:val="0"/>
                <w:sz w:val="24"/>
                <w:highlight w:val="none"/>
              </w:rPr>
              <w:t>4、供应商对根据修正原则修正后的报价不确认的</w:t>
            </w:r>
            <w:r>
              <w:rPr>
                <w:rFonts w:hint="eastAsia" w:ascii="仿宋" w:hAnsi="仿宋" w:eastAsia="仿宋" w:cs="仿宋"/>
                <w:b/>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524" w:hRule="atLeast"/>
          <w:jc w:val="center"/>
        </w:trPr>
        <w:tc>
          <w:tcPr>
            <w:tcW w:w="714" w:type="dxa"/>
            <w:vAlign w:val="center"/>
          </w:tcPr>
          <w:p>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11</w:t>
            </w:r>
          </w:p>
        </w:tc>
        <w:tc>
          <w:tcPr>
            <w:tcW w:w="1821" w:type="dxa"/>
            <w:vAlign w:val="center"/>
          </w:tcPr>
          <w:p>
            <w:pPr>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7199" w:type="dxa"/>
            <w:vAlign w:val="center"/>
          </w:tcPr>
          <w:p>
            <w:pPr>
              <w:ind w:firstLine="480" w:firstLineChars="200"/>
              <w:rPr>
                <w:rFonts w:ascii="仿宋" w:hAnsi="仿宋" w:eastAsia="仿宋" w:cs="仿宋"/>
                <w:color w:val="auto"/>
                <w:sz w:val="24"/>
                <w:highlight w:val="none"/>
              </w:rPr>
            </w:pPr>
            <w:r>
              <w:rPr>
                <w:rFonts w:hint="eastAsia" w:ascii="仿宋" w:hAnsi="仿宋" w:eastAsia="仿宋" w:cs="仿宋"/>
                <w:snapToGrid w:val="0"/>
                <w:color w:val="auto"/>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75" w:hRule="atLeast"/>
          <w:jc w:val="center"/>
        </w:trPr>
        <w:tc>
          <w:tcPr>
            <w:tcW w:w="714" w:type="dxa"/>
            <w:vAlign w:val="center"/>
          </w:tcPr>
          <w:p>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12</w:t>
            </w:r>
          </w:p>
        </w:tc>
        <w:tc>
          <w:tcPr>
            <w:tcW w:w="1821" w:type="dxa"/>
            <w:vAlign w:val="center"/>
          </w:tcPr>
          <w:p>
            <w:pPr>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磋商响应文件份数</w:t>
            </w:r>
          </w:p>
        </w:tc>
        <w:tc>
          <w:tcPr>
            <w:tcW w:w="7199" w:type="dxa"/>
            <w:vAlign w:val="center"/>
          </w:tcPr>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1. 电子加密磋商响应文件：政府采购云平台在线提交、上传一份；</w:t>
            </w:r>
          </w:p>
          <w:p>
            <w:pPr>
              <w:wordWrap w:val="0"/>
              <w:ind w:left="360" w:hanging="360" w:hangingChars="150"/>
              <w:rPr>
                <w:rFonts w:ascii="仿宋" w:hAnsi="仿宋" w:eastAsia="仿宋" w:cs="仿宋"/>
                <w:color w:val="auto"/>
                <w:sz w:val="24"/>
                <w:highlight w:val="none"/>
              </w:rPr>
            </w:pPr>
            <w:r>
              <w:rPr>
                <w:rFonts w:hint="eastAsia" w:ascii="仿宋" w:hAnsi="仿宋" w:eastAsia="仿宋" w:cs="仿宋"/>
                <w:color w:val="auto"/>
                <w:sz w:val="24"/>
                <w:highlight w:val="none"/>
              </w:rPr>
              <w:t>2. 备份磋商响应文件：电子邮件提交一份，由供应商自行确定是否提交；若提交请将备份磋商响应文件以电子邮件的形式发送至</w:t>
            </w:r>
            <w:r>
              <w:rPr>
                <w:rFonts w:hint="eastAsia" w:ascii="仿宋" w:hAnsi="仿宋" w:eastAsia="仿宋" w:cs="仿宋"/>
                <w:color w:val="auto"/>
                <w:sz w:val="24"/>
                <w:highlight w:val="none"/>
                <w:u w:val="single"/>
              </w:rPr>
              <w:t>（</w:t>
            </w:r>
            <w:r>
              <w:rPr>
                <w:rFonts w:hint="eastAsia" w:ascii="仿宋" w:hAnsi="仿宋" w:eastAsia="仿宋" w:cs="仿宋"/>
                <w:bCs/>
                <w:color w:val="auto"/>
                <w:sz w:val="24"/>
                <w:highlight w:val="none"/>
                <w:u w:val="single"/>
              </w:rPr>
              <w:t>596722349</w:t>
            </w:r>
            <w:r>
              <w:rPr>
                <w:rFonts w:hint="eastAsia" w:ascii="仿宋" w:hAnsi="仿宋" w:eastAsia="仿宋" w:cs="仿宋"/>
                <w:color w:val="auto"/>
                <w:sz w:val="24"/>
                <w:highlight w:val="none"/>
                <w:u w:val="single"/>
              </w:rPr>
              <w:t>@</w:t>
            </w:r>
            <w:r>
              <w:rPr>
                <w:rFonts w:hint="eastAsia" w:ascii="仿宋" w:hAnsi="仿宋" w:eastAsia="仿宋" w:cs="仿宋"/>
                <w:bCs/>
                <w:color w:val="auto"/>
                <w:sz w:val="24"/>
                <w:highlight w:val="none"/>
                <w:u w:val="single"/>
              </w:rPr>
              <w:t>qq</w:t>
            </w:r>
            <w:r>
              <w:rPr>
                <w:rFonts w:hint="eastAsia" w:ascii="仿宋" w:hAnsi="仿宋" w:eastAsia="仿宋" w:cs="仿宋"/>
                <w:color w:val="auto"/>
                <w:sz w:val="24"/>
                <w:highlight w:val="none"/>
                <w:u w:val="single"/>
              </w:rPr>
              <w:t>.com）</w:t>
            </w:r>
            <w:r>
              <w:rPr>
                <w:rFonts w:hint="eastAsia" w:ascii="仿宋" w:hAnsi="仿宋" w:eastAsia="仿宋" w:cs="仿宋"/>
                <w:color w:val="auto"/>
                <w:sz w:val="24"/>
                <w:highlight w:val="none"/>
              </w:rPr>
              <w:t>。</w:t>
            </w:r>
          </w:p>
          <w:p>
            <w:pPr>
              <w:pStyle w:val="3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注：供应商在线解密失败后，启用备份磋商响应文件，否则不启用备份磋商响应文件。</w:t>
            </w:r>
          </w:p>
          <w:p>
            <w:pPr>
              <w:spacing w:line="312" w:lineRule="auto"/>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注：投标供应商在成交结果公示期间需提供与电子投标文件内容一致的纸质版投标文件，纸质响应文件的份数要求如下：</w:t>
            </w:r>
          </w:p>
          <w:p>
            <w:pPr>
              <w:spacing w:line="312" w:lineRule="auto"/>
              <w:rPr>
                <w:rFonts w:ascii="仿宋" w:hAnsi="仿宋" w:eastAsia="仿宋" w:cs="仿宋"/>
                <w:color w:val="auto"/>
                <w:sz w:val="24"/>
                <w:highlight w:val="none"/>
              </w:rPr>
            </w:pPr>
            <w:r>
              <w:rPr>
                <w:rFonts w:hint="eastAsia" w:ascii="仿宋" w:hAnsi="仿宋" w:eastAsia="仿宋" w:cs="仿宋"/>
                <w:color w:val="auto"/>
                <w:sz w:val="24"/>
                <w:highlight w:val="none"/>
              </w:rPr>
              <w:t>资格审查文件：      正本</w:t>
            </w:r>
            <w:r>
              <w:rPr>
                <w:rFonts w:hint="eastAsia" w:ascii="仿宋" w:hAnsi="仿宋" w:eastAsia="仿宋" w:cs="仿宋"/>
                <w:color w:val="auto"/>
                <w:sz w:val="24"/>
                <w:highlight w:val="none"/>
                <w:u w:val="single"/>
              </w:rPr>
              <w:t>1</w:t>
            </w:r>
            <w:r>
              <w:rPr>
                <w:rFonts w:hint="eastAsia" w:ascii="仿宋" w:hAnsi="仿宋" w:eastAsia="仿宋" w:cs="仿宋"/>
                <w:color w:val="auto"/>
                <w:sz w:val="24"/>
                <w:highlight w:val="none"/>
              </w:rPr>
              <w:t>份    副</w:t>
            </w:r>
            <w:r>
              <w:rPr>
                <w:rFonts w:hint="eastAsia" w:ascii="仿宋" w:hAnsi="仿宋" w:eastAsia="仿宋" w:cs="仿宋"/>
                <w:color w:val="auto"/>
                <w:sz w:val="24"/>
                <w:highlight w:val="none"/>
                <w:u w:val="single"/>
              </w:rPr>
              <w:t>1</w:t>
            </w:r>
            <w:r>
              <w:rPr>
                <w:rFonts w:hint="eastAsia" w:ascii="仿宋" w:hAnsi="仿宋" w:eastAsia="仿宋" w:cs="仿宋"/>
                <w:color w:val="auto"/>
                <w:sz w:val="24"/>
                <w:highlight w:val="none"/>
              </w:rPr>
              <w:t>份；</w:t>
            </w:r>
          </w:p>
          <w:p>
            <w:pPr>
              <w:spacing w:line="312" w:lineRule="auto"/>
              <w:rPr>
                <w:rFonts w:ascii="仿宋" w:hAnsi="仿宋" w:eastAsia="仿宋" w:cs="仿宋"/>
                <w:color w:val="auto"/>
                <w:sz w:val="24"/>
                <w:highlight w:val="none"/>
              </w:rPr>
            </w:pPr>
            <w:r>
              <w:rPr>
                <w:rFonts w:hint="eastAsia" w:ascii="仿宋" w:hAnsi="仿宋" w:eastAsia="仿宋" w:cs="仿宋"/>
                <w:color w:val="auto"/>
                <w:sz w:val="24"/>
                <w:highlight w:val="none"/>
              </w:rPr>
              <w:t>资信商务及技术文件：正本</w:t>
            </w:r>
            <w:r>
              <w:rPr>
                <w:rFonts w:hint="eastAsia" w:ascii="仿宋" w:hAnsi="仿宋" w:eastAsia="仿宋" w:cs="仿宋"/>
                <w:color w:val="auto"/>
                <w:sz w:val="24"/>
                <w:highlight w:val="none"/>
                <w:u w:val="single"/>
              </w:rPr>
              <w:t>1</w:t>
            </w:r>
            <w:r>
              <w:rPr>
                <w:rFonts w:hint="eastAsia" w:ascii="仿宋" w:hAnsi="仿宋" w:eastAsia="仿宋" w:cs="仿宋"/>
                <w:color w:val="auto"/>
                <w:sz w:val="24"/>
                <w:highlight w:val="none"/>
              </w:rPr>
              <w:t>份    副</w:t>
            </w:r>
            <w:r>
              <w:rPr>
                <w:rFonts w:hint="eastAsia" w:ascii="仿宋" w:hAnsi="仿宋" w:eastAsia="仿宋" w:cs="仿宋"/>
                <w:color w:val="auto"/>
                <w:sz w:val="24"/>
                <w:highlight w:val="none"/>
                <w:u w:val="single"/>
              </w:rPr>
              <w:t>1</w:t>
            </w:r>
            <w:r>
              <w:rPr>
                <w:rFonts w:hint="eastAsia" w:ascii="仿宋" w:hAnsi="仿宋" w:eastAsia="仿宋" w:cs="仿宋"/>
                <w:color w:val="auto"/>
                <w:sz w:val="24"/>
                <w:highlight w:val="none"/>
              </w:rPr>
              <w:t>份；</w:t>
            </w:r>
          </w:p>
          <w:p>
            <w:pPr>
              <w:rPr>
                <w:rFonts w:ascii="仿宋" w:hAnsi="仿宋" w:eastAsia="仿宋" w:cs="仿宋"/>
                <w:color w:val="auto"/>
                <w:highlight w:val="none"/>
              </w:rPr>
            </w:pPr>
            <w:r>
              <w:rPr>
                <w:rFonts w:hint="eastAsia" w:ascii="仿宋" w:hAnsi="仿宋" w:eastAsia="仿宋" w:cs="仿宋"/>
                <w:color w:val="auto"/>
                <w:sz w:val="24"/>
                <w:highlight w:val="none"/>
              </w:rPr>
              <w:t>报价文件：        正本</w:t>
            </w:r>
            <w:r>
              <w:rPr>
                <w:rFonts w:hint="eastAsia" w:ascii="仿宋" w:hAnsi="仿宋" w:eastAsia="仿宋" w:cs="仿宋"/>
                <w:color w:val="auto"/>
                <w:sz w:val="24"/>
                <w:highlight w:val="none"/>
                <w:u w:val="single"/>
              </w:rPr>
              <w:t>1</w:t>
            </w:r>
            <w:r>
              <w:rPr>
                <w:rFonts w:hint="eastAsia" w:ascii="仿宋" w:hAnsi="仿宋" w:eastAsia="仿宋" w:cs="仿宋"/>
                <w:color w:val="auto"/>
                <w:sz w:val="24"/>
                <w:highlight w:val="none"/>
              </w:rPr>
              <w:t>份    副</w:t>
            </w:r>
            <w:r>
              <w:rPr>
                <w:rFonts w:hint="eastAsia" w:ascii="仿宋" w:hAnsi="仿宋" w:eastAsia="仿宋" w:cs="仿宋"/>
                <w:color w:val="auto"/>
                <w:sz w:val="24"/>
                <w:highlight w:val="none"/>
                <w:u w:val="single"/>
              </w:rPr>
              <w:t>1</w:t>
            </w:r>
            <w:r>
              <w:rPr>
                <w:rFonts w:hint="eastAsia" w:ascii="仿宋" w:hAnsi="仿宋" w:eastAsia="仿宋" w:cs="仿宋"/>
                <w:color w:val="auto"/>
                <w:sz w:val="24"/>
                <w:highlight w:val="none"/>
              </w:rPr>
              <w:t>份；</w:t>
            </w:r>
          </w:p>
          <w:p>
            <w:pPr>
              <w:pStyle w:val="34"/>
              <w:rPr>
                <w:rFonts w:ascii="仿宋" w:hAnsi="仿宋" w:eastAsia="仿宋" w:cs="仿宋"/>
                <w:color w:val="auto"/>
                <w:kern w:val="28"/>
                <w:sz w:val="24"/>
                <w:highlight w:val="none"/>
              </w:rPr>
            </w:pPr>
            <w:r>
              <w:rPr>
                <w:rFonts w:hint="eastAsia" w:ascii="仿宋" w:hAnsi="仿宋" w:eastAsia="仿宋" w:cs="仿宋"/>
                <w:b/>
                <w:color w:val="auto"/>
                <w:sz w:val="24"/>
                <w:szCs w:val="24"/>
                <w:highlight w:val="none"/>
              </w:rPr>
              <w:t>采购人、采购代理机构不强制或变相强制供应商提交备份响应文件。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6" w:hRule="atLeast"/>
          <w:jc w:val="center"/>
        </w:trPr>
        <w:tc>
          <w:tcPr>
            <w:tcW w:w="714" w:type="dxa"/>
            <w:vAlign w:val="center"/>
          </w:tcPr>
          <w:p>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13</w:t>
            </w:r>
          </w:p>
        </w:tc>
        <w:tc>
          <w:tcPr>
            <w:tcW w:w="1821" w:type="dxa"/>
            <w:vAlign w:val="center"/>
          </w:tcPr>
          <w:p>
            <w:pPr>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7199" w:type="dxa"/>
            <w:vAlign w:val="center"/>
          </w:tcPr>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 联合体或者以分包方式履行合同的，联合体各方（供应商与分包供应商）分别提供与联合体协议（分包意向协议）中规定的分工内容相应的业绩证明材料，业绩数量以提供材料较少的一方为准。</w:t>
            </w:r>
          </w:p>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 联合体响应的，联合体各方均需按磋商文件第七部分评审标准要求提供资信证明文件，否则视为不符合相关要求。</w:t>
            </w:r>
          </w:p>
          <w:p>
            <w:pPr>
              <w:wordWrap w:val="0"/>
              <w:rPr>
                <w:rFonts w:ascii="仿宋" w:hAnsi="仿宋" w:eastAsia="仿宋" w:cs="仿宋"/>
                <w:color w:val="auto"/>
                <w:highlight w:val="none"/>
              </w:rPr>
            </w:pPr>
            <w:r>
              <w:rPr>
                <w:rFonts w:hint="eastAsia" w:ascii="仿宋" w:hAnsi="仿宋" w:eastAsia="仿宋" w:cs="仿宋"/>
                <w:color w:val="auto"/>
                <w:sz w:val="24"/>
                <w:highlight w:val="none"/>
              </w:rPr>
              <w:t>□ 联合体响应的，联合体中有一方或者联合体成员根据分工按磋商文件第七部分评审标准要求提供资信证明文件的，视为符合了相关要求。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16" w:hRule="atLeast"/>
          <w:jc w:val="center"/>
        </w:trPr>
        <w:tc>
          <w:tcPr>
            <w:tcW w:w="714" w:type="dxa"/>
            <w:vAlign w:val="center"/>
          </w:tcPr>
          <w:p>
            <w:pPr>
              <w:ind w:left="-88" w:leftChars="-42" w:right="-113" w:rightChars="-54"/>
              <w:jc w:val="center"/>
              <w:rPr>
                <w:rFonts w:ascii="仿宋" w:hAnsi="仿宋" w:eastAsia="仿宋" w:cs="仿宋"/>
                <w:color w:val="auto"/>
                <w:sz w:val="24"/>
                <w:highlight w:val="none"/>
              </w:rPr>
            </w:pPr>
            <w:bookmarkStart w:id="41" w:name="_Toc7462"/>
            <w:r>
              <w:rPr>
                <w:rFonts w:hint="eastAsia" w:ascii="仿宋" w:hAnsi="仿宋" w:eastAsia="仿宋" w:cs="仿宋"/>
                <w:bCs/>
                <w:snapToGrid w:val="0"/>
                <w:color w:val="auto"/>
                <w:sz w:val="24"/>
                <w:highlight w:val="none"/>
              </w:rPr>
              <w:t>14</w:t>
            </w:r>
          </w:p>
        </w:tc>
        <w:tc>
          <w:tcPr>
            <w:tcW w:w="1821" w:type="dxa"/>
            <w:vAlign w:val="center"/>
          </w:tcPr>
          <w:p>
            <w:pPr>
              <w:ind w:left="-44" w:leftChars="-53" w:right="-65" w:rightChars="-31" w:hanging="67" w:hangingChars="28"/>
              <w:jc w:val="center"/>
              <w:rPr>
                <w:rFonts w:ascii="仿宋" w:hAnsi="仿宋" w:eastAsia="仿宋" w:cs="仿宋"/>
                <w:b/>
                <w:color w:val="auto"/>
                <w:sz w:val="24"/>
                <w:highlight w:val="none"/>
              </w:rPr>
            </w:pPr>
            <w:r>
              <w:rPr>
                <w:rFonts w:hint="eastAsia" w:ascii="仿宋" w:hAnsi="仿宋" w:eastAsia="仿宋" w:cs="仿宋"/>
                <w:bCs/>
                <w:color w:val="auto"/>
                <w:sz w:val="24"/>
                <w:highlight w:val="none"/>
              </w:rPr>
              <w:t>评审办法</w:t>
            </w:r>
          </w:p>
        </w:tc>
        <w:tc>
          <w:tcPr>
            <w:tcW w:w="7199" w:type="dxa"/>
            <w:vAlign w:val="center"/>
          </w:tcPr>
          <w:p>
            <w:pPr>
              <w:rPr>
                <w:rFonts w:ascii="仿宋" w:hAnsi="仿宋" w:eastAsia="仿宋" w:cs="仿宋"/>
                <w:snapToGrid w:val="0"/>
                <w:color w:val="auto"/>
                <w:kern w:val="28"/>
                <w:sz w:val="24"/>
                <w:highlight w:val="none"/>
              </w:rPr>
            </w:pPr>
            <w:r>
              <w:rPr>
                <w:rFonts w:hint="eastAsia" w:ascii="仿宋" w:hAnsi="仿宋" w:eastAsia="仿宋" w:cs="仿宋"/>
                <w:color w:val="auto"/>
                <w:sz w:val="24"/>
                <w:highlight w:val="none"/>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51" w:hRule="atLeast"/>
          <w:jc w:val="center"/>
        </w:trPr>
        <w:tc>
          <w:tcPr>
            <w:tcW w:w="714" w:type="dxa"/>
            <w:vAlign w:val="center"/>
          </w:tcPr>
          <w:p>
            <w:pPr>
              <w:ind w:left="-88" w:leftChars="-42" w:right="-113" w:rightChars="-54"/>
              <w:jc w:val="center"/>
              <w:rPr>
                <w:rFonts w:hint="eastAsia" w:ascii="仿宋" w:hAnsi="仿宋" w:eastAsia="仿宋" w:cs="仿宋"/>
                <w:color w:val="auto"/>
                <w:sz w:val="24"/>
                <w:highlight w:val="none"/>
                <w:lang w:val="en-US" w:eastAsia="zh-CN"/>
              </w:rPr>
            </w:pPr>
            <w:r>
              <w:rPr>
                <w:rFonts w:hint="eastAsia" w:ascii="仿宋" w:hAnsi="仿宋" w:eastAsia="仿宋" w:cs="仿宋"/>
                <w:bCs/>
                <w:snapToGrid w:val="0"/>
                <w:color w:val="auto"/>
                <w:sz w:val="24"/>
                <w:highlight w:val="none"/>
              </w:rPr>
              <w:t>1</w:t>
            </w:r>
            <w:r>
              <w:rPr>
                <w:rFonts w:hint="eastAsia" w:ascii="仿宋" w:hAnsi="仿宋" w:eastAsia="仿宋" w:cs="仿宋"/>
                <w:bCs/>
                <w:snapToGrid w:val="0"/>
                <w:color w:val="auto"/>
                <w:sz w:val="24"/>
                <w:highlight w:val="none"/>
                <w:lang w:val="en-US" w:eastAsia="zh-CN"/>
              </w:rPr>
              <w:t>5</w:t>
            </w:r>
          </w:p>
        </w:tc>
        <w:tc>
          <w:tcPr>
            <w:tcW w:w="1821" w:type="dxa"/>
            <w:vAlign w:val="center"/>
          </w:tcPr>
          <w:p>
            <w:pPr>
              <w:ind w:left="-44" w:leftChars="-53" w:right="-65" w:rightChars="-31" w:hanging="67" w:hangingChars="28"/>
              <w:jc w:val="center"/>
              <w:rPr>
                <w:rFonts w:ascii="仿宋" w:hAnsi="仿宋" w:eastAsia="仿宋" w:cs="仿宋"/>
                <w:b/>
                <w:color w:val="auto"/>
                <w:sz w:val="24"/>
                <w:highlight w:val="none"/>
              </w:rPr>
            </w:pPr>
            <w:r>
              <w:rPr>
                <w:rFonts w:hint="eastAsia" w:ascii="仿宋" w:hAnsi="仿宋" w:eastAsia="仿宋" w:cs="仿宋"/>
                <w:bCs/>
                <w:color w:val="auto"/>
                <w:sz w:val="24"/>
                <w:highlight w:val="none"/>
              </w:rPr>
              <w:t>履约保证金</w:t>
            </w:r>
          </w:p>
        </w:tc>
        <w:tc>
          <w:tcPr>
            <w:tcW w:w="7199" w:type="dxa"/>
            <w:vAlign w:val="center"/>
          </w:tcPr>
          <w:p>
            <w:pPr>
              <w:rPr>
                <w:rFonts w:ascii="仿宋" w:hAnsi="仿宋" w:eastAsia="仿宋" w:cs="仿宋"/>
                <w:color w:val="auto"/>
                <w:kern w:val="0"/>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rPr>
              <w:t>不缴纳</w:t>
            </w:r>
          </w:p>
          <w:p>
            <w:pPr>
              <w:pStyle w:val="23"/>
              <w:rPr>
                <w:rFonts w:ascii="仿宋" w:hAnsi="仿宋" w:eastAsia="仿宋" w:cs="仿宋"/>
                <w:color w:val="auto"/>
                <w:highlight w:val="none"/>
              </w:rPr>
            </w:pPr>
            <w:r>
              <w:rPr>
                <w:rFonts w:hint="eastAsia" w:ascii="仿宋" w:hAnsi="仿宋" w:eastAsia="仿宋" w:cs="仿宋"/>
                <w:color w:val="auto"/>
                <w:szCs w:val="24"/>
                <w:highlight w:val="none"/>
              </w:rPr>
              <w:t xml:space="preserve">□ </w:t>
            </w:r>
            <w:r>
              <w:rPr>
                <w:rFonts w:hint="eastAsia" w:ascii="仿宋" w:hAnsi="仿宋" w:eastAsia="仿宋" w:cs="仿宋"/>
                <w:color w:val="auto"/>
                <w:kern w:val="0"/>
                <w:highlight w:val="none"/>
              </w:rPr>
              <w:t>缴纳</w:t>
            </w:r>
          </w:p>
          <w:p>
            <w:pPr>
              <w:rPr>
                <w:rFonts w:ascii="仿宋" w:hAnsi="仿宋" w:eastAsia="仿宋" w:cs="仿宋"/>
                <w:b/>
                <w:bCs/>
                <w:color w:val="auto"/>
                <w:sz w:val="24"/>
                <w:highlight w:val="none"/>
                <w:u w:val="single"/>
              </w:rPr>
            </w:pPr>
            <w:r>
              <w:rPr>
                <w:rFonts w:hint="eastAsia" w:ascii="仿宋" w:hAnsi="仿宋" w:eastAsia="仿宋" w:cs="仿宋"/>
                <w:bCs/>
                <w:color w:val="auto"/>
                <w:sz w:val="24"/>
                <w:highlight w:val="none"/>
              </w:rPr>
              <w:t>政府采购合同金额的</w:t>
            </w:r>
            <w:r>
              <w:rPr>
                <w:rFonts w:hint="eastAsia" w:ascii="仿宋" w:hAnsi="仿宋" w:eastAsia="仿宋" w:cs="仿宋"/>
                <w:bCs/>
                <w:color w:val="auto"/>
                <w:sz w:val="24"/>
                <w:highlight w:val="none"/>
                <w:u w:val="single"/>
              </w:rPr>
              <w:t>XX%</w:t>
            </w:r>
            <w:r>
              <w:rPr>
                <w:rFonts w:hint="eastAsia" w:ascii="仿宋" w:hAnsi="仿宋" w:eastAsia="仿宋" w:cs="仿宋"/>
                <w:bCs/>
                <w:color w:val="auto"/>
                <w:sz w:val="24"/>
                <w:highlight w:val="none"/>
              </w:rPr>
              <w:t>（不得超过成交金额的1%）</w:t>
            </w:r>
          </w:p>
          <w:p>
            <w:pPr>
              <w:rPr>
                <w:rFonts w:ascii="仿宋" w:hAnsi="仿宋" w:eastAsia="仿宋" w:cs="仿宋"/>
                <w:bCs/>
                <w:color w:val="auto"/>
                <w:sz w:val="24"/>
                <w:highlight w:val="none"/>
              </w:rPr>
            </w:pPr>
            <w:r>
              <w:rPr>
                <w:rFonts w:hint="eastAsia" w:ascii="仿宋" w:hAnsi="仿宋" w:eastAsia="仿宋" w:cs="仿宋"/>
                <w:bCs/>
                <w:color w:val="auto"/>
                <w:sz w:val="24"/>
                <w:highlight w:val="none"/>
              </w:rPr>
              <w:t>缴纳方式：电汇、转账、银行或保险公司出具履约保函</w:t>
            </w:r>
          </w:p>
          <w:p>
            <w:pPr>
              <w:rPr>
                <w:rFonts w:ascii="仿宋" w:hAnsi="仿宋" w:eastAsia="仿宋" w:cs="仿宋"/>
                <w:color w:val="auto"/>
                <w:sz w:val="24"/>
                <w:highlight w:val="none"/>
              </w:rPr>
            </w:pPr>
            <w:r>
              <w:rPr>
                <w:rFonts w:hint="eastAsia" w:ascii="仿宋" w:hAnsi="仿宋" w:eastAsia="仿宋" w:cs="仿宋"/>
                <w:bCs/>
                <w:color w:val="auto"/>
                <w:sz w:val="24"/>
                <w:highlight w:val="none"/>
              </w:rPr>
              <w:t>缴纳时间：</w:t>
            </w:r>
            <w:r>
              <w:rPr>
                <w:rFonts w:hint="eastAsia" w:ascii="仿宋" w:hAnsi="仿宋" w:eastAsia="仿宋" w:cs="仿宋"/>
                <w:color w:val="auto"/>
                <w:sz w:val="24"/>
                <w:highlight w:val="none"/>
              </w:rPr>
              <w:t>根据项目情况和采购人要求填写时间（不得作为签订合同的前置条件）</w:t>
            </w:r>
          </w:p>
          <w:p>
            <w:pPr>
              <w:rPr>
                <w:rFonts w:ascii="仿宋" w:hAnsi="仿宋" w:eastAsia="仿宋" w:cs="仿宋"/>
                <w:color w:val="auto"/>
                <w:sz w:val="24"/>
                <w:highlight w:val="none"/>
              </w:rPr>
            </w:pPr>
            <w:r>
              <w:rPr>
                <w:rFonts w:hint="eastAsia" w:ascii="仿宋" w:hAnsi="仿宋" w:eastAsia="仿宋" w:cs="仿宋"/>
                <w:color w:val="auto"/>
                <w:sz w:val="24"/>
                <w:highlight w:val="none"/>
              </w:rPr>
              <w:t>电汇、转账缴至如下账号：</w:t>
            </w:r>
          </w:p>
          <w:p>
            <w:pPr>
              <w:ind w:firstLine="240" w:firstLineChars="100"/>
              <w:rPr>
                <w:rFonts w:ascii="仿宋" w:hAnsi="仿宋" w:eastAsia="仿宋" w:cs="仿宋"/>
                <w:color w:val="auto"/>
                <w:sz w:val="24"/>
                <w:highlight w:val="none"/>
              </w:rPr>
            </w:pPr>
            <w:r>
              <w:rPr>
                <w:rFonts w:hint="eastAsia" w:ascii="仿宋" w:hAnsi="仿宋" w:eastAsia="仿宋" w:cs="仿宋"/>
                <w:color w:val="auto"/>
                <w:sz w:val="24"/>
                <w:highlight w:val="none"/>
              </w:rPr>
              <w:t>开 户 名：（采购人名称）</w:t>
            </w:r>
          </w:p>
          <w:p>
            <w:pPr>
              <w:ind w:firstLine="240" w:firstLineChars="100"/>
              <w:rPr>
                <w:rFonts w:ascii="仿宋" w:hAnsi="仿宋" w:eastAsia="仿宋" w:cs="仿宋"/>
                <w:color w:val="auto"/>
                <w:sz w:val="24"/>
                <w:highlight w:val="none"/>
              </w:rPr>
            </w:pPr>
            <w:r>
              <w:rPr>
                <w:rFonts w:hint="eastAsia" w:ascii="仿宋" w:hAnsi="仿宋" w:eastAsia="仿宋" w:cs="仿宋"/>
                <w:color w:val="auto"/>
                <w:sz w:val="24"/>
                <w:highlight w:val="none"/>
              </w:rPr>
              <w:t>开户银行：（采购人开户行）</w:t>
            </w:r>
          </w:p>
          <w:p>
            <w:pPr>
              <w:ind w:firstLine="240" w:firstLineChars="100"/>
              <w:rPr>
                <w:rFonts w:ascii="仿宋" w:hAnsi="仿宋" w:eastAsia="仿宋" w:cs="仿宋"/>
                <w:color w:val="auto"/>
                <w:sz w:val="24"/>
                <w:highlight w:val="none"/>
              </w:rPr>
            </w:pPr>
            <w:r>
              <w:rPr>
                <w:rFonts w:hint="eastAsia" w:ascii="仿宋" w:hAnsi="仿宋" w:eastAsia="仿宋" w:cs="仿宋"/>
                <w:color w:val="auto"/>
                <w:sz w:val="24"/>
                <w:highlight w:val="none"/>
              </w:rPr>
              <w:t>开户账号：（采购人开户账号）</w:t>
            </w:r>
          </w:p>
          <w:p>
            <w:pPr>
              <w:ind w:firstLine="240" w:firstLineChars="100"/>
              <w:rPr>
                <w:rFonts w:ascii="仿宋" w:hAnsi="仿宋" w:eastAsia="仿宋" w:cs="仿宋"/>
                <w:color w:val="auto"/>
                <w:sz w:val="24"/>
                <w:highlight w:val="none"/>
              </w:rPr>
            </w:pPr>
            <w:r>
              <w:rPr>
                <w:rFonts w:hint="eastAsia" w:ascii="仿宋" w:hAnsi="仿宋" w:eastAsia="仿宋" w:cs="仿宋"/>
                <w:color w:val="auto"/>
                <w:sz w:val="24"/>
                <w:highlight w:val="none"/>
              </w:rPr>
              <w:t>退还时间：根据项目情况和业主要求填写时间。（合同履约完成并通过组织验收后15天内给予退还）</w:t>
            </w:r>
          </w:p>
          <w:p>
            <w:pPr>
              <w:rPr>
                <w:rFonts w:ascii="仿宋" w:hAnsi="仿宋" w:eastAsia="仿宋" w:cs="仿宋"/>
                <w:snapToGrid w:val="0"/>
                <w:color w:val="auto"/>
                <w:kern w:val="28"/>
                <w:sz w:val="24"/>
                <w:highlight w:val="none"/>
              </w:rPr>
            </w:pPr>
            <w:r>
              <w:rPr>
                <w:rFonts w:hint="eastAsia" w:ascii="仿宋" w:hAnsi="仿宋" w:eastAsia="仿宋" w:cs="仿宋"/>
                <w:color w:val="auto"/>
                <w:sz w:val="24"/>
                <w:highlight w:val="none"/>
              </w:rPr>
              <w:t>履约保函：以各银行或保险公司出具的为准。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51" w:hRule="atLeast"/>
          <w:jc w:val="center"/>
        </w:trPr>
        <w:tc>
          <w:tcPr>
            <w:tcW w:w="714" w:type="dxa"/>
            <w:vAlign w:val="center"/>
          </w:tcPr>
          <w:p>
            <w:pPr>
              <w:snapToGrid w:val="0"/>
              <w:jc w:val="center"/>
              <w:rPr>
                <w:rFonts w:hint="eastAsia" w:ascii="仿宋" w:hAnsi="仿宋" w:eastAsia="仿宋" w:cs="仿宋"/>
                <w:bCs/>
                <w:snapToGrid w:val="0"/>
                <w:color w:val="auto"/>
                <w:sz w:val="24"/>
                <w:highlight w:val="none"/>
                <w:lang w:val="en-US"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6</w:t>
            </w:r>
          </w:p>
        </w:tc>
        <w:tc>
          <w:tcPr>
            <w:tcW w:w="1821" w:type="dxa"/>
            <w:vAlign w:val="center"/>
          </w:tcPr>
          <w:p>
            <w:pPr>
              <w:snapToGrid w:val="0"/>
              <w:jc w:val="center"/>
              <w:rPr>
                <w:rFonts w:ascii="仿宋" w:hAnsi="仿宋" w:eastAsia="仿宋" w:cs="仿宋"/>
                <w:bCs/>
                <w:color w:val="auto"/>
                <w:sz w:val="24"/>
                <w:highlight w:val="none"/>
              </w:rPr>
            </w:pPr>
            <w:r>
              <w:rPr>
                <w:rFonts w:hint="eastAsia" w:ascii="仿宋" w:hAnsi="仿宋" w:eastAsia="仿宋" w:cs="仿宋"/>
                <w:b/>
                <w:color w:val="auto"/>
                <w:sz w:val="24"/>
                <w:highlight w:val="none"/>
              </w:rPr>
              <w:t>采购代理服务费</w:t>
            </w:r>
          </w:p>
        </w:tc>
        <w:tc>
          <w:tcPr>
            <w:tcW w:w="7199" w:type="dxa"/>
            <w:vAlign w:val="center"/>
          </w:tcPr>
          <w:p>
            <w:pPr>
              <w:rPr>
                <w:rFonts w:ascii="仿宋" w:hAnsi="仿宋" w:eastAsia="仿宋" w:cs="仿宋"/>
                <w:color w:val="auto"/>
                <w:sz w:val="24"/>
                <w:highlight w:val="none"/>
              </w:rPr>
            </w:pPr>
            <w:r>
              <w:rPr>
                <w:rFonts w:hint="eastAsia" w:ascii="仿宋" w:hAnsi="仿宋" w:eastAsia="仿宋" w:cs="仿宋"/>
                <w:snapToGrid w:val="0"/>
                <w:color w:val="auto"/>
                <w:kern w:val="28"/>
                <w:sz w:val="24"/>
                <w:highlight w:val="none"/>
              </w:rPr>
              <w:t>由中标人支付代理服务费，费用为</w:t>
            </w:r>
            <w:r>
              <w:rPr>
                <w:rFonts w:hint="eastAsia" w:ascii="仿宋" w:hAnsi="仿宋" w:eastAsia="仿宋" w:cs="仿宋"/>
                <w:snapToGrid w:val="0"/>
                <w:color w:val="auto"/>
                <w:kern w:val="28"/>
                <w:sz w:val="24"/>
                <w:highlight w:val="none"/>
                <w:lang w:val="en-US" w:eastAsia="zh-CN"/>
              </w:rPr>
              <w:t>10650</w:t>
            </w:r>
            <w:r>
              <w:rPr>
                <w:rFonts w:hint="eastAsia" w:ascii="仿宋" w:hAnsi="仿宋" w:eastAsia="仿宋" w:cs="仿宋"/>
                <w:snapToGrid w:val="0"/>
                <w:color w:val="auto"/>
                <w:kern w:val="28"/>
                <w:sz w:val="24"/>
                <w:highlight w:val="none"/>
              </w:rPr>
              <w:t>元，中标人在中标公告发布之日起5个工作日内向代理机构一次性付清。</w:t>
            </w:r>
          </w:p>
        </w:tc>
      </w:tr>
    </w:tbl>
    <w:p>
      <w:pPr>
        <w:rPr>
          <w:rFonts w:ascii="仿宋" w:hAnsi="仿宋" w:eastAsia="仿宋" w:cs="仿宋"/>
          <w:color w:val="auto"/>
          <w:highlight w:val="none"/>
        </w:rPr>
      </w:pPr>
    </w:p>
    <w:p>
      <w:pPr>
        <w:rPr>
          <w:rFonts w:ascii="仿宋" w:hAnsi="仿宋" w:eastAsia="仿宋" w:cs="仿宋"/>
          <w:color w:val="auto"/>
          <w:highlight w:val="none"/>
        </w:rPr>
      </w:pPr>
    </w:p>
    <w:p>
      <w:pPr>
        <w:pStyle w:val="15"/>
        <w:rPr>
          <w:rFonts w:ascii="仿宋" w:hAnsi="仿宋" w:eastAsia="仿宋" w:cs="仿宋"/>
          <w:color w:val="auto"/>
          <w:highlight w:val="none"/>
        </w:rPr>
      </w:pPr>
    </w:p>
    <w:p>
      <w:pPr>
        <w:rPr>
          <w:rFonts w:ascii="仿宋" w:hAnsi="仿宋" w:eastAsia="仿宋" w:cs="仿宋"/>
          <w:color w:val="auto"/>
          <w:highlight w:val="none"/>
        </w:rPr>
      </w:pPr>
    </w:p>
    <w:p>
      <w:pPr>
        <w:pStyle w:val="15"/>
        <w:rPr>
          <w:rFonts w:ascii="仿宋" w:hAnsi="仿宋" w:eastAsia="仿宋" w:cs="仿宋"/>
          <w:color w:val="auto"/>
          <w:highlight w:val="none"/>
        </w:rPr>
      </w:pPr>
    </w:p>
    <w:p>
      <w:pPr>
        <w:rPr>
          <w:color w:val="auto"/>
        </w:rPr>
      </w:pPr>
    </w:p>
    <w:p>
      <w:pPr>
        <w:rPr>
          <w:rFonts w:ascii="仿宋" w:hAnsi="仿宋" w:eastAsia="仿宋" w:cs="仿宋"/>
          <w:color w:val="auto"/>
          <w:highlight w:val="none"/>
        </w:rPr>
      </w:pPr>
    </w:p>
    <w:p>
      <w:pPr>
        <w:bidi w:val="0"/>
        <w:rPr>
          <w:color w:val="auto"/>
        </w:rPr>
      </w:pPr>
    </w:p>
    <w:p>
      <w:pPr>
        <w:bidi w:val="0"/>
        <w:rPr>
          <w:color w:val="auto"/>
        </w:rPr>
      </w:pPr>
    </w:p>
    <w:p>
      <w:pPr>
        <w:bidi w:val="0"/>
        <w:rPr>
          <w:color w:val="auto"/>
        </w:rPr>
      </w:pPr>
    </w:p>
    <w:p>
      <w:pPr>
        <w:bidi w:val="0"/>
        <w:rPr>
          <w:color w:val="auto"/>
        </w:rPr>
      </w:pPr>
    </w:p>
    <w:p>
      <w:pPr>
        <w:bidi w:val="0"/>
        <w:rPr>
          <w:color w:val="auto"/>
        </w:rPr>
      </w:pPr>
    </w:p>
    <w:p>
      <w:pPr>
        <w:bidi w:val="0"/>
        <w:rPr>
          <w:color w:val="auto"/>
        </w:rPr>
      </w:pPr>
    </w:p>
    <w:p>
      <w:pPr>
        <w:bidi w:val="0"/>
        <w:rPr>
          <w:color w:val="auto"/>
        </w:rPr>
      </w:pPr>
    </w:p>
    <w:p>
      <w:pPr>
        <w:bidi w:val="0"/>
        <w:rPr>
          <w:color w:val="auto"/>
        </w:rPr>
      </w:pPr>
    </w:p>
    <w:p>
      <w:pPr>
        <w:pStyle w:val="15"/>
        <w:rPr>
          <w:rFonts w:ascii="仿宋" w:hAnsi="仿宋" w:eastAsia="仿宋" w:cs="仿宋"/>
          <w:color w:val="auto"/>
          <w:highlight w:val="none"/>
        </w:rPr>
      </w:pPr>
    </w:p>
    <w:p>
      <w:pPr>
        <w:rPr>
          <w:rFonts w:ascii="仿宋" w:hAnsi="仿宋" w:eastAsia="仿宋" w:cs="仿宋"/>
          <w:color w:val="auto"/>
          <w:highlight w:val="none"/>
        </w:rPr>
      </w:pPr>
    </w:p>
    <w:p>
      <w:pPr>
        <w:pStyle w:val="59"/>
        <w:widowControl w:val="0"/>
        <w:overflowPunct/>
        <w:autoSpaceDE/>
        <w:autoSpaceDN/>
        <w:adjustRightInd/>
        <w:spacing w:before="240" w:after="240"/>
        <w:jc w:val="left"/>
        <w:textAlignment w:val="auto"/>
        <w:outlineLvl w:val="1"/>
        <w:rPr>
          <w:rFonts w:ascii="仿宋" w:hAnsi="仿宋" w:eastAsia="仿宋" w:cs="仿宋"/>
          <w:bCs/>
          <w:color w:val="auto"/>
          <w:kern w:val="2"/>
          <w:sz w:val="30"/>
          <w:szCs w:val="30"/>
          <w:highlight w:val="none"/>
          <w:lang w:val="en-US"/>
        </w:rPr>
      </w:pPr>
      <w:bookmarkStart w:id="42" w:name="_Toc2899"/>
      <w:bookmarkStart w:id="43" w:name="_Toc139797594"/>
      <w:bookmarkStart w:id="44" w:name="_Toc20782"/>
      <w:r>
        <w:rPr>
          <w:rFonts w:hint="eastAsia" w:ascii="仿宋" w:hAnsi="仿宋" w:eastAsia="仿宋" w:cs="仿宋"/>
          <w:bCs/>
          <w:color w:val="auto"/>
          <w:kern w:val="2"/>
          <w:sz w:val="30"/>
          <w:szCs w:val="30"/>
          <w:highlight w:val="none"/>
          <w:lang w:val="en-US"/>
        </w:rPr>
        <w:t>供应商须知前附表（二）</w:t>
      </w:r>
      <w:bookmarkEnd w:id="41"/>
      <w:bookmarkEnd w:id="42"/>
      <w:bookmarkEnd w:id="43"/>
      <w:bookmarkEnd w:id="44"/>
    </w:p>
    <w:p>
      <w:pPr>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采购活动日程安排表</w:t>
      </w:r>
    </w:p>
    <w:tbl>
      <w:tblPr>
        <w:tblStyle w:val="62"/>
        <w:tblW w:w="98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5"/>
        <w:gridCol w:w="2149"/>
        <w:gridCol w:w="3978"/>
        <w:gridCol w:w="31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35" w:type="dxa"/>
            <w:vAlign w:val="center"/>
          </w:tcPr>
          <w:p>
            <w:pPr>
              <w:ind w:left="-126" w:leftChars="-60" w:right="-99" w:rightChars="-47"/>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2149"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工作内容</w:t>
            </w:r>
          </w:p>
        </w:tc>
        <w:tc>
          <w:tcPr>
            <w:tcW w:w="3978"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时间安排</w:t>
            </w:r>
          </w:p>
        </w:tc>
        <w:tc>
          <w:tcPr>
            <w:tcW w:w="3176"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8" w:hRule="atLeast"/>
          <w:jc w:val="center"/>
        </w:trPr>
        <w:tc>
          <w:tcPr>
            <w:tcW w:w="535" w:type="dxa"/>
            <w:vAlign w:val="center"/>
          </w:tcPr>
          <w:p>
            <w:pPr>
              <w:ind w:left="-126" w:leftChars="-60" w:right="-99" w:rightChars="-47"/>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2149"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发布竞争性磋商采购公告</w:t>
            </w:r>
          </w:p>
        </w:tc>
        <w:tc>
          <w:tcPr>
            <w:tcW w:w="3978" w:type="dxa"/>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lang w:eastAsia="zh-CN"/>
              </w:rPr>
              <w:t>2024</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lang w:val="en-US" w:eastAsia="zh-CN"/>
              </w:rPr>
              <w:t xml:space="preserve"> 3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lang w:val="en-US" w:eastAsia="zh-CN"/>
              </w:rPr>
              <w:t xml:space="preserve"> 15 </w:t>
            </w:r>
            <w:r>
              <w:rPr>
                <w:rFonts w:hint="eastAsia" w:ascii="仿宋" w:hAnsi="仿宋" w:eastAsia="仿宋" w:cs="仿宋"/>
                <w:color w:val="auto"/>
                <w:sz w:val="24"/>
                <w:highlight w:val="none"/>
              </w:rPr>
              <w:t>日</w:t>
            </w:r>
          </w:p>
        </w:tc>
        <w:tc>
          <w:tcPr>
            <w:tcW w:w="3176" w:type="dxa"/>
            <w:vAlign w:val="center"/>
          </w:tcPr>
          <w:p>
            <w:pPr>
              <w:wordWrap w:val="0"/>
              <w:jc w:val="left"/>
              <w:rPr>
                <w:rFonts w:ascii="仿宋" w:hAnsi="仿宋" w:eastAsia="仿宋" w:cs="仿宋"/>
                <w:color w:val="auto"/>
                <w:sz w:val="24"/>
                <w:highlight w:val="none"/>
              </w:rPr>
            </w:pPr>
            <w:r>
              <w:rPr>
                <w:rFonts w:hint="eastAsia" w:ascii="仿宋" w:hAnsi="仿宋" w:eastAsia="仿宋" w:cs="仿宋"/>
                <w:color w:val="auto"/>
                <w:sz w:val="24"/>
                <w:highlight w:val="none"/>
              </w:rPr>
              <w:t>1.浙江政府采购网（</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Fonts w:hint="eastAsia" w:ascii="仿宋" w:hAnsi="仿宋" w:eastAsia="仿宋" w:cs="仿宋"/>
                <w:color w:val="auto"/>
                <w:sz w:val="24"/>
                <w:highlight w:val="none"/>
              </w:rPr>
              <w:t>zfcg.czt.zj.gov.cn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w:t>
            </w:r>
          </w:p>
          <w:p>
            <w:pPr>
              <w:jc w:val="left"/>
              <w:rPr>
                <w:rFonts w:ascii="仿宋" w:hAnsi="仿宋" w:eastAsia="仿宋" w:cs="仿宋"/>
                <w:color w:val="auto"/>
                <w:sz w:val="24"/>
                <w:highlight w:val="none"/>
              </w:rPr>
            </w:pPr>
            <w:r>
              <w:rPr>
                <w:rFonts w:hint="eastAsia" w:ascii="仿宋" w:hAnsi="仿宋" w:eastAsia="仿宋" w:cs="仿宋"/>
                <w:color w:val="auto"/>
                <w:sz w:val="24"/>
                <w:highlight w:val="none"/>
              </w:rPr>
              <w:t>2.丽水市公共资源交易网（lssggzy.lishui.gov.cn）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35" w:type="dxa"/>
            <w:vAlign w:val="center"/>
          </w:tcPr>
          <w:p>
            <w:pPr>
              <w:ind w:left="-126" w:leftChars="-60" w:right="-99" w:rightChars="-47"/>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2149"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发放磋商文件</w:t>
            </w:r>
          </w:p>
        </w:tc>
        <w:tc>
          <w:tcPr>
            <w:tcW w:w="3978" w:type="dxa"/>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lang w:eastAsia="zh-CN"/>
              </w:rPr>
              <w:t>2024</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lang w:val="en-US" w:eastAsia="zh-CN"/>
              </w:rPr>
              <w:t xml:space="preserve"> 3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lang w:val="en-US" w:eastAsia="zh-CN"/>
              </w:rPr>
              <w:t xml:space="preserve"> 15</w:t>
            </w:r>
            <w:bookmarkStart w:id="945" w:name="_GoBack"/>
            <w:bookmarkEnd w:id="945"/>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日起</w:t>
            </w:r>
          </w:p>
        </w:tc>
        <w:tc>
          <w:tcPr>
            <w:tcW w:w="3176" w:type="dxa"/>
            <w:vAlign w:val="center"/>
          </w:tcPr>
          <w:p>
            <w:pPr>
              <w:tabs>
                <w:tab w:val="left" w:pos="2752"/>
              </w:tabs>
              <w:rPr>
                <w:rFonts w:ascii="仿宋" w:hAnsi="仿宋" w:eastAsia="仿宋" w:cs="仿宋"/>
                <w:color w:val="auto"/>
                <w:sz w:val="24"/>
                <w:highlight w:val="none"/>
              </w:rPr>
            </w:pPr>
            <w:r>
              <w:rPr>
                <w:rFonts w:hint="eastAsia" w:ascii="仿宋" w:hAnsi="仿宋" w:eastAsia="仿宋" w:cs="仿宋"/>
                <w:color w:val="auto"/>
                <w:sz w:val="24"/>
                <w:highlight w:val="none"/>
              </w:rPr>
              <w:t>获取方式：竞争性磋商采购公告附件自行下载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3" w:hRule="atLeast"/>
          <w:jc w:val="center"/>
        </w:trPr>
        <w:tc>
          <w:tcPr>
            <w:tcW w:w="535" w:type="dxa"/>
            <w:vAlign w:val="center"/>
          </w:tcPr>
          <w:p>
            <w:pPr>
              <w:ind w:left="-126" w:leftChars="-60" w:right="-99" w:rightChars="-47"/>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2149"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现场踏勘和地点</w:t>
            </w:r>
          </w:p>
        </w:tc>
        <w:tc>
          <w:tcPr>
            <w:tcW w:w="3978"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☑无</w:t>
            </w:r>
          </w:p>
          <w:p>
            <w:pPr>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u w:val="single"/>
                <w:lang w:eastAsia="zh-CN"/>
              </w:rPr>
              <w:t>2024</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时</w:t>
            </w:r>
          </w:p>
          <w:p>
            <w:pPr>
              <w:rPr>
                <w:rFonts w:ascii="仿宋" w:hAnsi="仿宋" w:eastAsia="仿宋" w:cs="仿宋"/>
                <w:color w:val="auto"/>
                <w:sz w:val="24"/>
                <w:highlight w:val="none"/>
              </w:rPr>
            </w:pPr>
            <w:r>
              <w:rPr>
                <w:rFonts w:hint="eastAsia" w:ascii="仿宋" w:hAnsi="仿宋" w:eastAsia="仿宋" w:cs="仿宋"/>
                <w:color w:val="auto"/>
                <w:sz w:val="24"/>
                <w:highlight w:val="none"/>
              </w:rPr>
              <w:t xml:space="preserve">地点： </w:t>
            </w:r>
          </w:p>
        </w:tc>
        <w:tc>
          <w:tcPr>
            <w:tcW w:w="3176" w:type="dxa"/>
            <w:vAlign w:val="center"/>
          </w:tcPr>
          <w:p>
            <w:pP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8" w:hRule="atLeast"/>
          <w:jc w:val="center"/>
        </w:trPr>
        <w:tc>
          <w:tcPr>
            <w:tcW w:w="535" w:type="dxa"/>
            <w:vAlign w:val="center"/>
          </w:tcPr>
          <w:p>
            <w:pPr>
              <w:ind w:left="-126" w:leftChars="-60" w:right="-99" w:rightChars="-47"/>
              <w:jc w:val="cente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2149"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更正公告</w:t>
            </w:r>
          </w:p>
        </w:tc>
        <w:tc>
          <w:tcPr>
            <w:tcW w:w="3978" w:type="dxa"/>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rPr>
              <w:t>澄清或修改内容可能影响磋商响应文件编制的，响应文件提交截止时间时间5日前，不足5日的，顺延响应文件提交截止时间；</w:t>
            </w:r>
          </w:p>
        </w:tc>
        <w:tc>
          <w:tcPr>
            <w:tcW w:w="3176" w:type="dxa"/>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rPr>
              <w:t>澄清或修改内容获取方式：更正公告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35" w:type="dxa"/>
            <w:vAlign w:val="center"/>
          </w:tcPr>
          <w:p>
            <w:pPr>
              <w:ind w:left="-126" w:leftChars="-60" w:right="-99" w:rightChars="-47"/>
              <w:jc w:val="center"/>
              <w:rPr>
                <w:rFonts w:ascii="仿宋" w:hAnsi="仿宋" w:eastAsia="仿宋" w:cs="仿宋"/>
                <w:color w:val="auto"/>
                <w:sz w:val="24"/>
                <w:highlight w:val="none"/>
              </w:rPr>
            </w:pPr>
            <w:r>
              <w:rPr>
                <w:rFonts w:hint="eastAsia" w:ascii="仿宋" w:hAnsi="仿宋" w:eastAsia="仿宋" w:cs="仿宋"/>
                <w:color w:val="auto"/>
                <w:sz w:val="24"/>
                <w:highlight w:val="none"/>
              </w:rPr>
              <w:t>5</w:t>
            </w:r>
          </w:p>
        </w:tc>
        <w:tc>
          <w:tcPr>
            <w:tcW w:w="2149" w:type="dxa"/>
            <w:vAlign w:val="center"/>
          </w:tcPr>
          <w:p>
            <w:pPr>
              <w:ind w:left="-44" w:leftChars="-53" w:right="-65" w:rightChars="-31" w:hanging="67" w:hangingChars="28"/>
              <w:jc w:val="center"/>
              <w:rPr>
                <w:rFonts w:ascii="仿宋" w:hAnsi="仿宋" w:eastAsia="仿宋" w:cs="仿宋"/>
                <w:color w:val="auto"/>
                <w:sz w:val="24"/>
                <w:highlight w:val="none"/>
              </w:rPr>
            </w:pPr>
            <w:r>
              <w:rPr>
                <w:rFonts w:hint="eastAsia" w:ascii="仿宋" w:hAnsi="仿宋" w:eastAsia="仿宋" w:cs="仿宋"/>
                <w:color w:val="auto"/>
                <w:sz w:val="24"/>
                <w:highlight w:val="none"/>
              </w:rPr>
              <w:t>响应文件提交截止时间</w:t>
            </w:r>
          </w:p>
        </w:tc>
        <w:tc>
          <w:tcPr>
            <w:tcW w:w="3978"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见第一章竞争性磋商采购公告（邀请）</w:t>
            </w:r>
          </w:p>
        </w:tc>
        <w:tc>
          <w:tcPr>
            <w:tcW w:w="3176" w:type="dxa"/>
            <w:vAlign w:val="center"/>
          </w:tcPr>
          <w:p>
            <w:pP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35" w:type="dxa"/>
            <w:vAlign w:val="center"/>
          </w:tcPr>
          <w:p>
            <w:pPr>
              <w:ind w:left="-126" w:leftChars="-60" w:right="-99" w:rightChars="-47"/>
              <w:jc w:val="center"/>
              <w:rPr>
                <w:rFonts w:ascii="仿宋" w:hAnsi="仿宋" w:eastAsia="仿宋" w:cs="仿宋"/>
                <w:color w:val="auto"/>
                <w:sz w:val="24"/>
                <w:highlight w:val="none"/>
              </w:rPr>
            </w:pPr>
            <w:r>
              <w:rPr>
                <w:rFonts w:hint="eastAsia" w:ascii="仿宋" w:hAnsi="仿宋" w:eastAsia="仿宋" w:cs="仿宋"/>
                <w:color w:val="auto"/>
                <w:sz w:val="24"/>
                <w:highlight w:val="none"/>
              </w:rPr>
              <w:t>6</w:t>
            </w:r>
          </w:p>
        </w:tc>
        <w:tc>
          <w:tcPr>
            <w:tcW w:w="2149"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开启时间</w:t>
            </w:r>
          </w:p>
        </w:tc>
        <w:tc>
          <w:tcPr>
            <w:tcW w:w="3978" w:type="dxa"/>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rPr>
              <w:t>见第一章竞争性磋商采购公告（邀请）</w:t>
            </w:r>
          </w:p>
        </w:tc>
        <w:tc>
          <w:tcPr>
            <w:tcW w:w="3176" w:type="dxa"/>
            <w:vAlign w:val="center"/>
          </w:tcPr>
          <w:p>
            <w:pP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35" w:type="dxa"/>
            <w:vAlign w:val="center"/>
          </w:tcPr>
          <w:p>
            <w:pPr>
              <w:ind w:left="-126" w:leftChars="-60" w:right="-99" w:rightChars="-47"/>
              <w:jc w:val="center"/>
              <w:rPr>
                <w:rFonts w:ascii="仿宋" w:hAnsi="仿宋" w:eastAsia="仿宋" w:cs="仿宋"/>
                <w:color w:val="auto"/>
                <w:sz w:val="24"/>
                <w:highlight w:val="none"/>
              </w:rPr>
            </w:pPr>
            <w:r>
              <w:rPr>
                <w:rFonts w:hint="eastAsia" w:ascii="仿宋" w:hAnsi="仿宋" w:eastAsia="仿宋" w:cs="仿宋"/>
                <w:color w:val="auto"/>
                <w:sz w:val="24"/>
                <w:highlight w:val="none"/>
              </w:rPr>
              <w:t>7</w:t>
            </w:r>
          </w:p>
        </w:tc>
        <w:tc>
          <w:tcPr>
            <w:tcW w:w="2149"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成交公告及成交通知书</w:t>
            </w:r>
          </w:p>
        </w:tc>
        <w:tc>
          <w:tcPr>
            <w:tcW w:w="3978" w:type="dxa"/>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rPr>
              <w:t>成交人确定之日起2个工作日内</w:t>
            </w:r>
          </w:p>
        </w:tc>
        <w:tc>
          <w:tcPr>
            <w:tcW w:w="3176" w:type="dxa"/>
            <w:vAlign w:val="center"/>
          </w:tcPr>
          <w:p>
            <w:pP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35" w:type="dxa"/>
            <w:vAlign w:val="center"/>
          </w:tcPr>
          <w:p>
            <w:pPr>
              <w:ind w:left="-126" w:leftChars="-60" w:right="-99" w:rightChars="-47"/>
              <w:jc w:val="center"/>
              <w:rPr>
                <w:rFonts w:ascii="仿宋" w:hAnsi="仿宋" w:eastAsia="仿宋" w:cs="仿宋"/>
                <w:color w:val="auto"/>
                <w:sz w:val="24"/>
                <w:highlight w:val="none"/>
              </w:rPr>
            </w:pPr>
            <w:r>
              <w:rPr>
                <w:rFonts w:hint="eastAsia" w:ascii="仿宋" w:hAnsi="仿宋" w:eastAsia="仿宋" w:cs="仿宋"/>
                <w:color w:val="auto"/>
                <w:sz w:val="24"/>
                <w:highlight w:val="none"/>
              </w:rPr>
              <w:t>8</w:t>
            </w:r>
          </w:p>
        </w:tc>
        <w:tc>
          <w:tcPr>
            <w:tcW w:w="2149"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成交结果质疑期限</w:t>
            </w:r>
          </w:p>
        </w:tc>
        <w:tc>
          <w:tcPr>
            <w:tcW w:w="3978" w:type="dxa"/>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rPr>
              <w:t>成交结果公告期限届满之日起7个工作日内</w:t>
            </w:r>
          </w:p>
        </w:tc>
        <w:tc>
          <w:tcPr>
            <w:tcW w:w="3176" w:type="dxa"/>
            <w:vAlign w:val="center"/>
          </w:tcPr>
          <w:p>
            <w:pP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35" w:type="dxa"/>
            <w:vAlign w:val="center"/>
          </w:tcPr>
          <w:p>
            <w:pPr>
              <w:ind w:left="-126" w:leftChars="-60" w:right="-99" w:rightChars="-47"/>
              <w:jc w:val="center"/>
              <w:rPr>
                <w:rFonts w:ascii="仿宋" w:hAnsi="仿宋" w:eastAsia="仿宋" w:cs="仿宋"/>
                <w:color w:val="auto"/>
                <w:sz w:val="24"/>
                <w:highlight w:val="none"/>
              </w:rPr>
            </w:pPr>
            <w:r>
              <w:rPr>
                <w:rFonts w:hint="eastAsia" w:ascii="仿宋" w:hAnsi="仿宋" w:eastAsia="仿宋" w:cs="仿宋"/>
                <w:color w:val="auto"/>
                <w:sz w:val="24"/>
                <w:highlight w:val="none"/>
              </w:rPr>
              <w:t>9</w:t>
            </w:r>
          </w:p>
        </w:tc>
        <w:tc>
          <w:tcPr>
            <w:tcW w:w="2149"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成交结果投诉期限</w:t>
            </w:r>
          </w:p>
        </w:tc>
        <w:tc>
          <w:tcPr>
            <w:tcW w:w="3978" w:type="dxa"/>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rPr>
              <w:t>质疑答复期满后15个工作日</w:t>
            </w:r>
          </w:p>
        </w:tc>
        <w:tc>
          <w:tcPr>
            <w:tcW w:w="3176" w:type="dxa"/>
            <w:vAlign w:val="center"/>
          </w:tcPr>
          <w:p>
            <w:pP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535" w:type="dxa"/>
            <w:vAlign w:val="center"/>
          </w:tcPr>
          <w:p>
            <w:pPr>
              <w:ind w:left="-126" w:leftChars="-60" w:right="-99" w:rightChars="-47"/>
              <w:jc w:val="center"/>
              <w:rPr>
                <w:rFonts w:ascii="仿宋" w:hAnsi="仿宋" w:eastAsia="仿宋" w:cs="仿宋"/>
                <w:color w:val="auto"/>
                <w:sz w:val="24"/>
                <w:highlight w:val="none"/>
              </w:rPr>
            </w:pPr>
            <w:r>
              <w:rPr>
                <w:rFonts w:hint="eastAsia" w:ascii="仿宋" w:hAnsi="仿宋" w:eastAsia="仿宋" w:cs="仿宋"/>
                <w:color w:val="auto"/>
                <w:sz w:val="24"/>
                <w:highlight w:val="none"/>
              </w:rPr>
              <w:t>10</w:t>
            </w:r>
          </w:p>
        </w:tc>
        <w:tc>
          <w:tcPr>
            <w:tcW w:w="2149"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签订合同</w:t>
            </w:r>
          </w:p>
        </w:tc>
        <w:tc>
          <w:tcPr>
            <w:tcW w:w="3978"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成交通知书发出之日起</w:t>
            </w:r>
            <w:r>
              <w:rPr>
                <w:rFonts w:hint="eastAsia" w:ascii="仿宋" w:hAnsi="仿宋" w:eastAsia="仿宋" w:cs="仿宋"/>
                <w:color w:val="auto"/>
                <w:sz w:val="24"/>
                <w:highlight w:val="none"/>
                <w:u w:val="single"/>
              </w:rPr>
              <w:t>30</w:t>
            </w:r>
            <w:r>
              <w:rPr>
                <w:rFonts w:hint="eastAsia" w:ascii="仿宋" w:hAnsi="仿宋" w:eastAsia="仿宋" w:cs="仿宋"/>
                <w:color w:val="auto"/>
                <w:sz w:val="24"/>
                <w:highlight w:val="none"/>
              </w:rPr>
              <w:t>日内，按照磋商文件和成交人磋商响应文件的规定，与成交人签订书面合同。</w:t>
            </w:r>
          </w:p>
        </w:tc>
        <w:tc>
          <w:tcPr>
            <w:tcW w:w="3176" w:type="dxa"/>
            <w:vAlign w:val="center"/>
          </w:tcPr>
          <w:p>
            <w:pPr>
              <w:rPr>
                <w:rFonts w:ascii="仿宋" w:hAnsi="仿宋" w:eastAsia="仿宋" w:cs="仿宋"/>
                <w:color w:val="auto"/>
                <w:sz w:val="24"/>
                <w:highlight w:val="none"/>
              </w:rPr>
            </w:pPr>
          </w:p>
        </w:tc>
      </w:tr>
    </w:tbl>
    <w:p>
      <w:pPr>
        <w:snapToGrid w:val="0"/>
        <w:spacing w:line="360" w:lineRule="auto"/>
        <w:jc w:val="center"/>
        <w:rPr>
          <w:rFonts w:ascii="仿宋" w:hAnsi="仿宋" w:eastAsia="仿宋" w:cs="仿宋"/>
          <w:b/>
          <w:color w:val="auto"/>
          <w:sz w:val="32"/>
          <w:szCs w:val="20"/>
          <w:highlight w:val="none"/>
        </w:rPr>
      </w:pPr>
    </w:p>
    <w:p>
      <w:pPr>
        <w:pStyle w:val="59"/>
        <w:widowControl w:val="0"/>
        <w:numPr>
          <w:ilvl w:val="0"/>
          <w:numId w:val="5"/>
        </w:numPr>
        <w:tabs>
          <w:tab w:val="left" w:pos="0"/>
        </w:tabs>
        <w:overflowPunct/>
        <w:autoSpaceDE/>
        <w:autoSpaceDN/>
        <w:adjustRightInd/>
        <w:spacing w:before="240" w:beforeLines="100" w:after="240" w:afterLines="100"/>
        <w:ind w:firstLine="0"/>
        <w:jc w:val="left"/>
        <w:textAlignment w:val="auto"/>
        <w:outlineLvl w:val="1"/>
        <w:rPr>
          <w:rFonts w:ascii="仿宋" w:hAnsi="仿宋" w:eastAsia="仿宋" w:cs="仿宋"/>
          <w:bCs/>
          <w:color w:val="auto"/>
          <w:kern w:val="2"/>
          <w:sz w:val="30"/>
          <w:szCs w:val="30"/>
          <w:highlight w:val="none"/>
          <w:lang w:val="en-US"/>
        </w:rPr>
      </w:pPr>
      <w:bookmarkStart w:id="45" w:name="_Toc139797595"/>
      <w:bookmarkStart w:id="46" w:name="_Toc27277"/>
      <w:bookmarkStart w:id="47" w:name="_Toc23873"/>
      <w:bookmarkStart w:id="48" w:name="_Toc164416483"/>
      <w:bookmarkStart w:id="49" w:name="第三部分"/>
      <w:r>
        <w:rPr>
          <w:rFonts w:hint="eastAsia" w:ascii="仿宋" w:hAnsi="仿宋" w:eastAsia="仿宋" w:cs="仿宋"/>
          <w:bCs/>
          <w:color w:val="auto"/>
          <w:kern w:val="2"/>
          <w:sz w:val="30"/>
          <w:szCs w:val="30"/>
          <w:highlight w:val="none"/>
          <w:lang w:val="en-US"/>
        </w:rPr>
        <w:t>总则</w:t>
      </w:r>
      <w:bookmarkEnd w:id="45"/>
      <w:bookmarkEnd w:id="46"/>
      <w:bookmarkEnd w:id="47"/>
    </w:p>
    <w:p>
      <w:pPr>
        <w:rPr>
          <w:rFonts w:ascii="仿宋" w:hAnsi="仿宋" w:eastAsia="仿宋" w:cs="仿宋"/>
          <w:bCs/>
          <w:color w:val="auto"/>
          <w:sz w:val="30"/>
          <w:szCs w:val="30"/>
          <w:highlight w:val="none"/>
        </w:rPr>
      </w:pPr>
    </w:p>
    <w:p>
      <w:pPr>
        <w:pStyle w:val="25"/>
        <w:rPr>
          <w:color w:val="auto"/>
          <w:highlight w:val="none"/>
        </w:rPr>
      </w:pPr>
    </w:p>
    <w:p>
      <w:pPr>
        <w:pStyle w:val="966"/>
        <w:numPr>
          <w:ilvl w:val="0"/>
          <w:numId w:val="6"/>
        </w:numPr>
        <w:adjustRightInd/>
        <w:spacing w:line="360" w:lineRule="auto"/>
        <w:ind w:left="0" w:firstLine="482" w:firstLineChars="200"/>
        <w:rPr>
          <w:rFonts w:ascii="仿宋" w:hAnsi="仿宋" w:eastAsia="仿宋" w:cs="仿宋"/>
          <w:color w:val="auto"/>
          <w:szCs w:val="20"/>
          <w:highlight w:val="none"/>
        </w:rPr>
      </w:pPr>
      <w:bookmarkStart w:id="50" w:name="_Toc139797596"/>
      <w:bookmarkStart w:id="51" w:name="_Toc30194"/>
      <w:bookmarkStart w:id="52" w:name="_Toc17537"/>
      <w:r>
        <w:rPr>
          <w:rFonts w:hint="eastAsia" w:ascii="仿宋" w:hAnsi="仿宋" w:eastAsia="仿宋" w:cs="仿宋"/>
          <w:color w:val="auto"/>
          <w:szCs w:val="20"/>
          <w:highlight w:val="none"/>
        </w:rPr>
        <w:t>适用范围</w:t>
      </w:r>
      <w:bookmarkEnd w:id="50"/>
      <w:bookmarkEnd w:id="51"/>
      <w:bookmarkEnd w:id="52"/>
    </w:p>
    <w:p>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本采购文件适用于该项目的采购邀请、响应文件提交、响应文件开启、资格审查及信用信息查询、磋商、评审、成交供应商确定、合同、验收等行为（法律、法规另有规定的，从其规定）。</w:t>
      </w:r>
    </w:p>
    <w:p>
      <w:pPr>
        <w:pStyle w:val="966"/>
        <w:numPr>
          <w:ilvl w:val="0"/>
          <w:numId w:val="6"/>
        </w:numPr>
        <w:adjustRightInd/>
        <w:spacing w:line="360" w:lineRule="auto"/>
        <w:ind w:left="0" w:firstLine="482" w:firstLineChars="200"/>
        <w:rPr>
          <w:rFonts w:ascii="仿宋" w:hAnsi="仿宋" w:eastAsia="仿宋" w:cs="仿宋"/>
          <w:color w:val="auto"/>
          <w:szCs w:val="20"/>
          <w:highlight w:val="none"/>
        </w:rPr>
      </w:pPr>
      <w:bookmarkStart w:id="53" w:name="_Toc139797597"/>
      <w:bookmarkStart w:id="54" w:name="_Toc21051"/>
      <w:bookmarkStart w:id="55" w:name="_Toc6154"/>
      <w:r>
        <w:rPr>
          <w:rFonts w:hint="eastAsia" w:ascii="仿宋" w:hAnsi="仿宋" w:eastAsia="仿宋" w:cs="仿宋"/>
          <w:color w:val="auto"/>
          <w:szCs w:val="20"/>
          <w:highlight w:val="none"/>
        </w:rPr>
        <w:t>定义</w:t>
      </w:r>
      <w:bookmarkEnd w:id="53"/>
      <w:bookmarkEnd w:id="54"/>
      <w:bookmarkEnd w:id="55"/>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 “采购人”系指竞争性磋商公告中载明的本项目的采购人。</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 “采购代理机构”系指竞争性磋商公告中载明的本项目的采购代理机构。</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 “供应商”系指是指按照本磋商文件的规定提交响应文件和报价、参与竞争性磋商采购活动的法人、其他组织或者自然人。</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pPr>
        <w:spacing w:line="360" w:lineRule="auto"/>
        <w:ind w:left="959" w:leftChars="228" w:hanging="480" w:hangingChars="200"/>
        <w:rPr>
          <w:rFonts w:ascii="仿宋" w:hAnsi="仿宋" w:eastAsia="仿宋" w:cs="仿宋"/>
          <w:color w:val="auto"/>
          <w:sz w:val="24"/>
          <w:highlight w:val="none"/>
        </w:rPr>
      </w:pPr>
      <w:r>
        <w:rPr>
          <w:rFonts w:hint="eastAsia" w:ascii="仿宋" w:hAnsi="仿宋" w:eastAsia="仿宋" w:cs="仿宋"/>
          <w:color w:val="auto"/>
          <w:sz w:val="24"/>
          <w:highlight w:val="none"/>
        </w:rPr>
        <w:t>2.5 “供应商代表”系指负责人或其授权的委托代理人；</w:t>
      </w:r>
    </w:p>
    <w:p>
      <w:pPr>
        <w:spacing w:line="360" w:lineRule="auto"/>
        <w:ind w:left="959" w:leftChars="228" w:hanging="480" w:hangingChars="200"/>
        <w:rPr>
          <w:rFonts w:ascii="仿宋" w:hAnsi="仿宋" w:eastAsia="仿宋" w:cs="仿宋"/>
          <w:color w:val="auto"/>
          <w:sz w:val="24"/>
          <w:highlight w:val="none"/>
        </w:rPr>
      </w:pPr>
      <w:r>
        <w:rPr>
          <w:rFonts w:hint="eastAsia" w:ascii="仿宋" w:hAnsi="仿宋" w:eastAsia="仿宋" w:cs="仿宋"/>
          <w:color w:val="auto"/>
          <w:sz w:val="24"/>
          <w:highlight w:val="none"/>
        </w:rPr>
        <w:t>2.6 “合同”系指采购人与成交人双方签署的规定双方权利与义务的协议，</w:t>
      </w:r>
    </w:p>
    <w:p>
      <w:pPr>
        <w:spacing w:line="360" w:lineRule="auto"/>
        <w:rPr>
          <w:rFonts w:ascii="仿宋" w:hAnsi="仿宋" w:eastAsia="仿宋" w:cs="仿宋"/>
          <w:color w:val="auto"/>
          <w:highlight w:val="none"/>
        </w:rPr>
      </w:pPr>
      <w:r>
        <w:rPr>
          <w:rFonts w:hint="eastAsia" w:ascii="仿宋" w:hAnsi="仿宋" w:eastAsia="仿宋" w:cs="仿宋"/>
          <w:color w:val="auto"/>
          <w:sz w:val="24"/>
          <w:highlight w:val="none"/>
        </w:rPr>
        <w:t>以及所有附件、附录、磋商文件和磋商响应文件所提到的构成合同的所有文件；</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2.7“电子签名”系指数据电文中以电子形式所含、所附用于识别签名人身份并表明签名人认可其中内容的数据；“公章”系指单位法定名称章。</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2.8“电子交易平台”系指本项目政府采购活动所依托的政府采购云平台（https://www.zcygov.cn/）。</w:t>
      </w:r>
    </w:p>
    <w:p>
      <w:pPr>
        <w:spacing w:line="360" w:lineRule="auto"/>
        <w:ind w:left="959" w:leftChars="228" w:hanging="480" w:hangingChars="200"/>
        <w:rPr>
          <w:rFonts w:ascii="仿宋" w:hAnsi="仿宋" w:eastAsia="仿宋" w:cs="仿宋"/>
          <w:color w:val="auto"/>
          <w:sz w:val="24"/>
          <w:highlight w:val="none"/>
        </w:rPr>
      </w:pPr>
      <w:r>
        <w:rPr>
          <w:rFonts w:hint="eastAsia" w:ascii="仿宋" w:hAnsi="仿宋" w:eastAsia="仿宋" w:cs="仿宋"/>
          <w:color w:val="auto"/>
          <w:sz w:val="24"/>
          <w:highlight w:val="none"/>
        </w:rPr>
        <w:t>2.9  “电子磋商响应文件”系指供应商通过“政采云电子交易客户端”编</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制的数据电文形式的“电子加密磋商响应文件”。</w:t>
      </w:r>
    </w:p>
    <w:p>
      <w:pPr>
        <w:spacing w:line="360" w:lineRule="auto"/>
        <w:ind w:left="959" w:leftChars="228" w:hanging="480" w:hangingChars="200"/>
        <w:rPr>
          <w:rFonts w:ascii="仿宋" w:hAnsi="仿宋" w:eastAsia="仿宋" w:cs="仿宋"/>
          <w:color w:val="auto"/>
          <w:sz w:val="24"/>
          <w:highlight w:val="none"/>
        </w:rPr>
      </w:pPr>
      <w:r>
        <w:rPr>
          <w:rFonts w:hint="eastAsia" w:ascii="仿宋" w:hAnsi="仿宋" w:eastAsia="仿宋" w:cs="仿宋"/>
          <w:color w:val="auto"/>
          <w:sz w:val="24"/>
          <w:highlight w:val="none"/>
        </w:rPr>
        <w:t>2.10“备份磋商响应文件”系指与“电子磋商响应文件”同时生成的数据电</w:t>
      </w:r>
    </w:p>
    <w:p>
      <w:pPr>
        <w:spacing w:line="360" w:lineRule="auto"/>
        <w:rPr>
          <w:rFonts w:ascii="仿宋" w:hAnsi="仿宋" w:eastAsia="仿宋" w:cs="仿宋"/>
          <w:color w:val="auto"/>
          <w:highlight w:val="none"/>
        </w:rPr>
      </w:pPr>
      <w:r>
        <w:rPr>
          <w:rFonts w:hint="eastAsia" w:ascii="仿宋" w:hAnsi="仿宋" w:eastAsia="仿宋" w:cs="仿宋"/>
          <w:color w:val="auto"/>
          <w:sz w:val="24"/>
          <w:highlight w:val="none"/>
        </w:rPr>
        <w:t>文形式的电子文件。</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  标有“▲”符号均属于“实质性条款”，不允许负偏离；</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2.12 标有“☑” 系指适用本项目的要求，“□” 系指不适用本项目的要求，标有“●”系指项目重要参数指标或条款；</w:t>
      </w:r>
    </w:p>
    <w:p>
      <w:pPr>
        <w:spacing w:line="360" w:lineRule="auto"/>
        <w:ind w:left="959" w:leftChars="228" w:hanging="480" w:hangingChars="200"/>
        <w:rPr>
          <w:rFonts w:ascii="仿宋" w:hAnsi="仿宋" w:eastAsia="仿宋" w:cs="仿宋"/>
          <w:color w:val="auto"/>
          <w:sz w:val="24"/>
          <w:highlight w:val="none"/>
        </w:rPr>
      </w:pPr>
      <w:r>
        <w:rPr>
          <w:rFonts w:hint="eastAsia" w:ascii="仿宋" w:hAnsi="仿宋" w:eastAsia="仿宋" w:cs="仿宋"/>
          <w:color w:val="auto"/>
          <w:sz w:val="24"/>
          <w:highlight w:val="none"/>
        </w:rPr>
        <w:t>2.13 “电子磋商响应文件”系指供应商通过“政采云电子交易客户端”编</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制的数据电文形式的“电子加密磋商响应文件”。</w:t>
      </w:r>
    </w:p>
    <w:p>
      <w:pPr>
        <w:spacing w:line="360" w:lineRule="auto"/>
        <w:ind w:left="959" w:leftChars="228" w:hanging="480" w:hangingChars="200"/>
        <w:rPr>
          <w:rFonts w:ascii="仿宋" w:hAnsi="仿宋" w:eastAsia="仿宋" w:cs="仿宋"/>
          <w:color w:val="auto"/>
          <w:sz w:val="24"/>
          <w:highlight w:val="none"/>
        </w:rPr>
      </w:pPr>
      <w:r>
        <w:rPr>
          <w:rFonts w:hint="eastAsia" w:ascii="仿宋" w:hAnsi="仿宋" w:eastAsia="仿宋" w:cs="仿宋"/>
          <w:color w:val="auto"/>
          <w:sz w:val="24"/>
          <w:highlight w:val="none"/>
        </w:rPr>
        <w:t>2.14 “备份磋商响应文件”系指与“电子磋商响应文件”同时生成的数据</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电文形式的电子文件。</w:t>
      </w:r>
    </w:p>
    <w:p>
      <w:pPr>
        <w:spacing w:line="360" w:lineRule="auto"/>
        <w:ind w:left="959" w:leftChars="228" w:hanging="480" w:hangingChars="200"/>
        <w:rPr>
          <w:rFonts w:ascii="仿宋" w:hAnsi="仿宋" w:eastAsia="仿宋" w:cs="仿宋"/>
          <w:color w:val="auto"/>
          <w:sz w:val="24"/>
          <w:highlight w:val="none"/>
        </w:rPr>
      </w:pPr>
      <w:r>
        <w:rPr>
          <w:rFonts w:hint="eastAsia" w:ascii="仿宋" w:hAnsi="仿宋" w:eastAsia="仿宋" w:cs="仿宋"/>
          <w:color w:val="auto"/>
          <w:sz w:val="24"/>
          <w:highlight w:val="none"/>
        </w:rPr>
        <w:t>2.15  “磋商响应文件”系指供应商提交的首次响应文件及磋商过程中的所</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有有效文件。</w:t>
      </w:r>
    </w:p>
    <w:p>
      <w:pPr>
        <w:pStyle w:val="966"/>
        <w:numPr>
          <w:ilvl w:val="0"/>
          <w:numId w:val="6"/>
        </w:numPr>
        <w:adjustRightInd/>
        <w:spacing w:line="360" w:lineRule="auto"/>
        <w:ind w:left="0" w:firstLine="482" w:firstLineChars="200"/>
        <w:rPr>
          <w:rFonts w:ascii="仿宋" w:hAnsi="仿宋" w:eastAsia="仿宋" w:cs="仿宋"/>
          <w:color w:val="auto"/>
          <w:szCs w:val="20"/>
          <w:highlight w:val="none"/>
        </w:rPr>
      </w:pPr>
      <w:bookmarkStart w:id="56" w:name="_Toc5351"/>
      <w:bookmarkStart w:id="57" w:name="_Toc139797598"/>
      <w:bookmarkStart w:id="58" w:name="_Toc16000"/>
      <w:r>
        <w:rPr>
          <w:rFonts w:hint="eastAsia" w:ascii="仿宋" w:hAnsi="仿宋" w:eastAsia="仿宋" w:cs="仿宋"/>
          <w:color w:val="auto"/>
          <w:szCs w:val="20"/>
          <w:highlight w:val="none"/>
        </w:rPr>
        <w:t>采购项目需要落实的政府采购政策</w:t>
      </w:r>
      <w:bookmarkEnd w:id="56"/>
      <w:bookmarkEnd w:id="57"/>
      <w:bookmarkEnd w:id="58"/>
    </w:p>
    <w:p>
      <w:pPr>
        <w:snapToGrid w:val="0"/>
        <w:spacing w:line="360" w:lineRule="auto"/>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3.1 是否允许采购进口产品要求</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pPr>
        <w:snapToGrid w:val="0"/>
        <w:spacing w:line="360" w:lineRule="auto"/>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3.2 支持绿色发展</w:t>
      </w:r>
    </w:p>
    <w:p>
      <w:pPr>
        <w:snapToGrid w:val="0"/>
        <w:spacing w:line="360" w:lineRule="auto"/>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3.2.1采购人拟采购的产品</w:t>
      </w:r>
      <w:r>
        <w:rPr>
          <w:rFonts w:hint="eastAsia" w:ascii="仿宋" w:hAnsi="仿宋" w:eastAsia="仿宋" w:cs="仿宋"/>
          <w:color w:val="auto"/>
          <w:kern w:val="0"/>
          <w:sz w:val="24"/>
          <w:highlight w:val="none"/>
        </w:rPr>
        <w:t>属于</w:t>
      </w:r>
      <w:r>
        <w:rPr>
          <w:rFonts w:hint="eastAsia" w:ascii="仿宋" w:hAnsi="仿宋" w:eastAsia="仿宋" w:cs="仿宋"/>
          <w:color w:val="auto"/>
          <w:sz w:val="24"/>
          <w:highlight w:val="none"/>
        </w:rPr>
        <w:t>节能产品、环境标志产品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仿宋" w:hAnsi="仿宋" w:eastAsia="仿宋" w:cs="仿宋"/>
          <w:b/>
          <w:color w:val="auto"/>
          <w:sz w:val="24"/>
          <w:highlight w:val="none"/>
        </w:rPr>
        <w:t>采购人拟采购的产品属于政府强制采购的节能产品品目清单范围的，供应商未按采购文件要求提供国家确定的认证机构出具的、处于有效期之内的节能产品认证证书的，响应文件无效。</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3.2.2纳入政府采购管理的修缮、装修类项目采购建材的，鼓励采购单位将绿色建材性能、指标等作为实质性条件纳入采购文件和合同，具体性能指标要求参考相关绿色建材政府采购需求标准。</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pPr>
        <w:snapToGrid w:val="0"/>
        <w:spacing w:line="360" w:lineRule="auto"/>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3.3支持中小企业发展</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pPr>
        <w:widowControl/>
        <w:snapToGrid w:val="0"/>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在政府采购活动中，供应商提供的服务符合下列情形的，享受中小企业扶持政策：</w:t>
      </w:r>
      <w:r>
        <w:rPr>
          <w:rFonts w:hint="eastAsia" w:ascii="仿宋" w:hAnsi="仿宋" w:eastAsia="仿宋" w:cs="仿宋"/>
          <w:color w:val="auto"/>
          <w:sz w:val="24"/>
          <w:highlight w:val="none"/>
        </w:rPr>
        <w:t>在</w:t>
      </w:r>
      <w:r>
        <w:rPr>
          <w:rFonts w:hint="eastAsia" w:ascii="仿宋" w:hAnsi="仿宋" w:eastAsia="仿宋" w:cs="仿宋"/>
          <w:color w:val="auto"/>
          <w:kern w:val="0"/>
          <w:sz w:val="24"/>
          <w:highlight w:val="none"/>
        </w:rPr>
        <w:t>服务</w:t>
      </w:r>
      <w:r>
        <w:rPr>
          <w:rFonts w:hint="eastAsia" w:ascii="仿宋" w:hAnsi="仿宋" w:eastAsia="仿宋" w:cs="仿宋"/>
          <w:color w:val="auto"/>
          <w:sz w:val="24"/>
          <w:highlight w:val="none"/>
        </w:rPr>
        <w:t>采购项目中，服务由中小企业承接，即提供服务的人员为中小企业依照《中华人民共和国劳动合同法》订立劳动合同的从业人员</w:t>
      </w:r>
      <w:r>
        <w:rPr>
          <w:rFonts w:hint="eastAsia" w:ascii="仿宋" w:hAnsi="仿宋" w:eastAsia="仿宋" w:cs="仿宋"/>
          <w:color w:val="auto"/>
          <w:kern w:val="0"/>
          <w:sz w:val="24"/>
          <w:highlight w:val="none"/>
        </w:rPr>
        <w:t>。</w:t>
      </w:r>
    </w:p>
    <w:p>
      <w:pPr>
        <w:widowControl/>
        <w:snapToGrid w:val="0"/>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w:t>
      </w:r>
      <w:r>
        <w:rPr>
          <w:rFonts w:hint="eastAsia" w:ascii="仿宋" w:hAnsi="仿宋" w:eastAsia="仿宋" w:cs="仿宋"/>
          <w:color w:val="auto"/>
          <w:sz w:val="24"/>
          <w:highlight w:val="none"/>
        </w:rPr>
        <w:t>小型、微型</w:t>
      </w:r>
      <w:r>
        <w:rPr>
          <w:rFonts w:hint="eastAsia" w:ascii="仿宋" w:hAnsi="仿宋" w:eastAsia="仿宋" w:cs="仿宋"/>
          <w:color w:val="auto"/>
          <w:kern w:val="0"/>
          <w:sz w:val="24"/>
          <w:highlight w:val="none"/>
        </w:rPr>
        <w:t>企业的，联合体视同</w:t>
      </w:r>
      <w:r>
        <w:rPr>
          <w:rFonts w:hint="eastAsia" w:ascii="仿宋" w:hAnsi="仿宋" w:eastAsia="仿宋" w:cs="仿宋"/>
          <w:color w:val="auto"/>
          <w:sz w:val="24"/>
          <w:highlight w:val="none"/>
        </w:rPr>
        <w:t>小型、微型</w:t>
      </w:r>
      <w:r>
        <w:rPr>
          <w:rFonts w:hint="eastAsia" w:ascii="仿宋" w:hAnsi="仿宋" w:eastAsia="仿宋" w:cs="仿宋"/>
          <w:color w:val="auto"/>
          <w:kern w:val="0"/>
          <w:sz w:val="24"/>
          <w:highlight w:val="none"/>
        </w:rPr>
        <w:t>企业。</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3.3.3对于未预留份额专门面向中小企业的政府采购服务项目，以及预留份额政府采购工程项目中的非预留部分标项，对小型和微型企业的最后报价给予</w:t>
      </w:r>
      <w:r>
        <w:rPr>
          <w:rFonts w:hint="eastAsia" w:ascii="仿宋" w:hAnsi="仿宋" w:eastAsia="仿宋" w:cs="仿宋"/>
          <w:color w:val="auto"/>
          <w:sz w:val="24"/>
          <w:highlight w:val="none"/>
          <w:u w:val="single"/>
        </w:rPr>
        <w:t xml:space="preserve">      10%</w:t>
      </w:r>
      <w:r>
        <w:rPr>
          <w:rFonts w:hint="eastAsia" w:ascii="仿宋" w:hAnsi="仿宋" w:eastAsia="仿宋" w:cs="仿宋"/>
          <w:color w:val="auto"/>
          <w:sz w:val="24"/>
          <w:highlight w:val="none"/>
        </w:rPr>
        <w:t xml:space="preserve"> 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w:t>
      </w:r>
      <w:r>
        <w:rPr>
          <w:rFonts w:hint="eastAsia" w:ascii="仿宋" w:hAnsi="仿宋" w:eastAsia="仿宋" w:cs="仿宋"/>
          <w:color w:val="auto"/>
          <w:sz w:val="24"/>
          <w:highlight w:val="none"/>
          <w:u w:val="single"/>
        </w:rPr>
        <w:t>4%</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3.3.4</w:t>
      </w:r>
      <w:r>
        <w:rPr>
          <w:rFonts w:hint="eastAsia" w:ascii="仿宋" w:hAnsi="仿宋" w:eastAsia="仿宋" w:cs="仿宋"/>
          <w:color w:val="auto"/>
          <w:kern w:val="0"/>
          <w:sz w:val="24"/>
          <w:highlight w:val="none"/>
        </w:rPr>
        <w:t>供应商</w:t>
      </w:r>
      <w:r>
        <w:rPr>
          <w:rFonts w:hint="eastAsia" w:ascii="仿宋" w:hAnsi="仿宋" w:eastAsia="仿宋" w:cs="仿宋"/>
          <w:color w:val="auto"/>
          <w:sz w:val="24"/>
          <w:highlight w:val="none"/>
        </w:rPr>
        <w:t>符合《关于促进残疾人就业政府采购政策的通知》（财库〔2017〕141号）规定的条件并提供《残疾人福利性单位声明函》的，则视同小型、微型企业，享受</w:t>
      </w:r>
      <w:r>
        <w:rPr>
          <w:rFonts w:hint="eastAsia" w:ascii="仿宋" w:hAnsi="仿宋" w:eastAsia="仿宋" w:cs="仿宋"/>
          <w:color w:val="auto"/>
          <w:kern w:val="0"/>
          <w:sz w:val="24"/>
          <w:highlight w:val="none"/>
        </w:rPr>
        <w:t>中小企业扶持政策</w:t>
      </w:r>
      <w:r>
        <w:rPr>
          <w:rFonts w:hint="eastAsia" w:ascii="仿宋" w:hAnsi="仿宋" w:eastAsia="仿宋" w:cs="仿宋"/>
          <w:color w:val="auto"/>
          <w:sz w:val="24"/>
          <w:highlight w:val="none"/>
        </w:rPr>
        <w:t>；</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3.3.5</w:t>
      </w:r>
      <w:r>
        <w:rPr>
          <w:rFonts w:hint="eastAsia" w:ascii="仿宋" w:hAnsi="仿宋" w:eastAsia="仿宋" w:cs="仿宋"/>
          <w:color w:val="auto"/>
          <w:kern w:val="0"/>
          <w:sz w:val="24"/>
          <w:highlight w:val="none"/>
        </w:rPr>
        <w:t>供应商</w:t>
      </w:r>
      <w:r>
        <w:rPr>
          <w:rFonts w:hint="eastAsia" w:ascii="仿宋" w:hAnsi="仿宋" w:eastAsia="仿宋" w:cs="仿宋"/>
          <w:color w:val="auto"/>
          <w:sz w:val="24"/>
          <w:highlight w:val="none"/>
        </w:rPr>
        <w:t>符合《关于政府采购支持监狱企业发展有关问题的通知》（财库[2014]68号）规定的监狱企业并提供由省级以上监狱管理局、戒毒管理局（含新疆生产建设兵团）出具的属于监狱企业证明文件的，则视同小型、微型企业，享受</w:t>
      </w:r>
      <w:r>
        <w:rPr>
          <w:rFonts w:hint="eastAsia" w:ascii="仿宋" w:hAnsi="仿宋" w:eastAsia="仿宋" w:cs="仿宋"/>
          <w:color w:val="auto"/>
          <w:kern w:val="0"/>
          <w:sz w:val="24"/>
          <w:highlight w:val="none"/>
        </w:rPr>
        <w:t>中小企业扶持政策</w:t>
      </w:r>
      <w:r>
        <w:rPr>
          <w:rFonts w:hint="eastAsia" w:ascii="仿宋" w:hAnsi="仿宋" w:eastAsia="仿宋" w:cs="仿宋"/>
          <w:color w:val="auto"/>
          <w:sz w:val="24"/>
          <w:highlight w:val="none"/>
        </w:rPr>
        <w:t>。</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pPr>
        <w:snapToGrid w:val="0"/>
        <w:spacing w:line="360" w:lineRule="auto"/>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3.4支持创新发展</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3.4.1 采购人优先采购被认定为首台套产品和“制造精品”的自主创新产品。</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3.5平等对待内外资企业和符合条件的破产重整企业：</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pPr>
        <w:pStyle w:val="966"/>
        <w:numPr>
          <w:ilvl w:val="0"/>
          <w:numId w:val="6"/>
        </w:numPr>
        <w:adjustRightInd/>
        <w:spacing w:line="360" w:lineRule="auto"/>
        <w:ind w:left="0" w:firstLine="482" w:firstLineChars="200"/>
        <w:rPr>
          <w:rFonts w:ascii="仿宋" w:hAnsi="仿宋" w:eastAsia="仿宋" w:cs="仿宋"/>
          <w:color w:val="auto"/>
          <w:szCs w:val="20"/>
          <w:highlight w:val="none"/>
        </w:rPr>
      </w:pPr>
      <w:bookmarkStart w:id="59" w:name="_Toc3450"/>
      <w:bookmarkStart w:id="60" w:name="_Toc139797599"/>
      <w:bookmarkStart w:id="61" w:name="_Toc28958"/>
      <w:r>
        <w:rPr>
          <w:rFonts w:hint="eastAsia" w:ascii="仿宋" w:hAnsi="仿宋" w:eastAsia="仿宋" w:cs="仿宋"/>
          <w:color w:val="auto"/>
          <w:szCs w:val="20"/>
          <w:highlight w:val="none"/>
          <w:lang w:val="zh-CN"/>
        </w:rPr>
        <w:t>询问、质疑、投诉</w:t>
      </w:r>
      <w:bookmarkEnd w:id="59"/>
      <w:bookmarkEnd w:id="60"/>
      <w:bookmarkEnd w:id="61"/>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highlight w:val="none"/>
        </w:rPr>
      </w:pPr>
      <w:r>
        <w:rPr>
          <w:rFonts w:hint="eastAsia" w:ascii="仿宋" w:hAnsi="仿宋" w:eastAsia="仿宋" w:cs="仿宋"/>
          <w:color w:val="auto"/>
          <w:highlight w:val="none"/>
        </w:rPr>
        <w:t>4.1在线询问、质疑、投诉</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highlight w:val="none"/>
        </w:rPr>
      </w:pPr>
      <w:r>
        <w:rPr>
          <w:rFonts w:hint="eastAsia" w:ascii="仿宋" w:hAnsi="仿宋" w:eastAsia="仿宋" w:cs="仿宋"/>
          <w:color w:val="auto"/>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napToGrid w:val="0"/>
        <w:spacing w:line="360" w:lineRule="auto"/>
        <w:ind w:firstLine="482" w:firstLineChars="200"/>
        <w:jc w:val="left"/>
        <w:rPr>
          <w:rFonts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4.2供应商询问</w:t>
      </w:r>
    </w:p>
    <w:p>
      <w:pPr>
        <w:autoSpaceDE w:val="0"/>
        <w:autoSpaceDN w:val="0"/>
        <w:snapToGrid w:val="0"/>
        <w:spacing w:line="360"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napToGrid w:val="0"/>
        <w:spacing w:line="360" w:lineRule="auto"/>
        <w:ind w:firstLine="482" w:firstLineChars="200"/>
        <w:jc w:val="left"/>
        <w:rPr>
          <w:rFonts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4.3供应商质疑</w:t>
      </w:r>
    </w:p>
    <w:p>
      <w:pPr>
        <w:pStyle w:val="34"/>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.1提出质疑的供应商应当是参与所质疑项目采购活动的供应商。潜在供应商已依法获取其可质疑的采购文件的，可以对该文件提出质疑。</w:t>
      </w:r>
    </w:p>
    <w:p>
      <w:pPr>
        <w:pStyle w:val="34"/>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pStyle w:val="15"/>
        <w:spacing w:line="360" w:lineRule="auto"/>
        <w:ind w:firstLine="480" w:firstLineChars="200"/>
        <w:rPr>
          <w:rFonts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4.3.2.1对采购文件提出质疑的，质疑期限为供应商获得采购文件之日或者采购文件公告期限届满之日起计算。</w:t>
      </w:r>
    </w:p>
    <w:p>
      <w:pPr>
        <w:pStyle w:val="34"/>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4.3.2.2对采购过程提出质疑的，质疑期限为各采购程序环节结束之日起计算。</w:t>
      </w:r>
    </w:p>
    <w:p>
      <w:pPr>
        <w:pStyle w:val="34"/>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4.3.2.3对采购结果提出质疑的，质疑期限自采购结果公告期限届满之日起计算。</w:t>
      </w:r>
    </w:p>
    <w:p>
      <w:pPr>
        <w:pStyle w:val="34"/>
        <w:snapToGrid w:val="0"/>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w:t>
      </w:r>
      <w:r>
        <w:rPr>
          <w:rFonts w:hint="eastAsia" w:ascii="仿宋" w:hAnsi="仿宋" w:eastAsia="仿宋" w:cs="仿宋"/>
          <w:color w:val="auto"/>
          <w:sz w:val="24"/>
          <w:highlight w:val="none"/>
        </w:rPr>
        <w:t>供应商提出质疑应当提交质疑函和必要的证明材料。质疑函应当包括下列内容：</w:t>
      </w:r>
    </w:p>
    <w:p>
      <w:pPr>
        <w:pStyle w:val="34"/>
        <w:snapToGrid w:val="0"/>
        <w:spacing w:line="360" w:lineRule="auto"/>
        <w:ind w:firstLine="720" w:firstLineChars="3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4.3.3.1供应商的姓名或者名称、地址、邮编、联系人及联系电话；</w:t>
      </w:r>
    </w:p>
    <w:p>
      <w:pPr>
        <w:pStyle w:val="34"/>
        <w:snapToGrid w:val="0"/>
        <w:spacing w:line="360" w:lineRule="auto"/>
        <w:ind w:firstLine="720" w:firstLineChars="3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4.3.3.2质疑项目的名称、编号；</w:t>
      </w:r>
    </w:p>
    <w:p>
      <w:pPr>
        <w:pStyle w:val="34"/>
        <w:snapToGrid w:val="0"/>
        <w:spacing w:line="360" w:lineRule="auto"/>
        <w:ind w:firstLine="720" w:firstLineChars="3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4.3.3.3具体、明确的质疑事项和与质疑事项相关的请求；</w:t>
      </w:r>
    </w:p>
    <w:p>
      <w:pPr>
        <w:pStyle w:val="34"/>
        <w:snapToGrid w:val="0"/>
        <w:spacing w:line="360" w:lineRule="auto"/>
        <w:ind w:firstLine="720" w:firstLineChars="3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4.3.3.4事实依据；</w:t>
      </w:r>
    </w:p>
    <w:p>
      <w:pPr>
        <w:pStyle w:val="34"/>
        <w:snapToGrid w:val="0"/>
        <w:spacing w:line="360" w:lineRule="auto"/>
        <w:ind w:firstLine="720" w:firstLineChars="3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4.3.3.5必要的法律依据；</w:t>
      </w:r>
    </w:p>
    <w:p>
      <w:pPr>
        <w:pStyle w:val="34"/>
        <w:snapToGrid w:val="0"/>
        <w:spacing w:line="360" w:lineRule="auto"/>
        <w:ind w:firstLine="720" w:firstLineChars="3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4.3.3.6提出质疑的日期。</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质疑人可直接在线提交、传真或邮寄方式提交质疑函（一式三份以上）。以其他方式提出的质疑，采购人或采购代理机构可不予接受、答复。</w:t>
      </w:r>
    </w:p>
    <w:p>
      <w:pPr>
        <w:numPr>
          <w:ilvl w:val="0"/>
          <w:numId w:val="7"/>
        </w:numPr>
        <w:spacing w:line="360" w:lineRule="auto"/>
        <w:ind w:left="0" w:firstLine="420" w:firstLineChars="175"/>
        <w:rPr>
          <w:rFonts w:ascii="仿宋" w:hAnsi="仿宋" w:eastAsia="仿宋" w:cs="仿宋"/>
          <w:color w:val="auto"/>
          <w:sz w:val="24"/>
          <w:highlight w:val="none"/>
        </w:rPr>
      </w:pPr>
      <w:r>
        <w:rPr>
          <w:rFonts w:hint="eastAsia" w:ascii="仿宋" w:hAnsi="仿宋" w:eastAsia="仿宋" w:cs="仿宋"/>
          <w:color w:val="auto"/>
          <w:sz w:val="24"/>
          <w:highlight w:val="none"/>
        </w:rPr>
        <w:t>政采云在线提起质疑，路径为：政采云-项目采购-询问质疑投诉-质疑列表。</w:t>
      </w:r>
    </w:p>
    <w:p>
      <w:pPr>
        <w:numPr>
          <w:ilvl w:val="0"/>
          <w:numId w:val="7"/>
        </w:numPr>
        <w:spacing w:line="360" w:lineRule="auto"/>
        <w:ind w:left="0" w:firstLine="420" w:firstLineChars="175"/>
        <w:rPr>
          <w:rFonts w:ascii="仿宋" w:hAnsi="仿宋" w:eastAsia="仿宋" w:cs="仿宋"/>
          <w:color w:val="auto"/>
          <w:sz w:val="24"/>
          <w:highlight w:val="none"/>
        </w:rPr>
      </w:pPr>
      <w:r>
        <w:rPr>
          <w:rFonts w:hint="eastAsia" w:ascii="仿宋" w:hAnsi="仿宋" w:eastAsia="仿宋" w:cs="仿宋"/>
          <w:color w:val="auto"/>
          <w:sz w:val="24"/>
          <w:highlight w:val="none"/>
        </w:rPr>
        <w:t>邮寄方式送达质疑函的，以采购人或采购代理机构实际收到邮件之日作为收到质疑的日期。</w:t>
      </w:r>
    </w:p>
    <w:p>
      <w:pPr>
        <w:numPr>
          <w:ilvl w:val="0"/>
          <w:numId w:val="7"/>
        </w:numPr>
        <w:spacing w:line="360" w:lineRule="auto"/>
        <w:ind w:left="0" w:firstLine="420" w:firstLineChars="175"/>
        <w:rPr>
          <w:rFonts w:ascii="仿宋" w:hAnsi="仿宋" w:eastAsia="仿宋" w:cs="仿宋"/>
          <w:color w:val="auto"/>
          <w:sz w:val="24"/>
          <w:highlight w:val="none"/>
        </w:rPr>
      </w:pPr>
      <w:r>
        <w:rPr>
          <w:rFonts w:hint="eastAsia" w:ascii="仿宋" w:hAnsi="仿宋" w:eastAsia="仿宋" w:cs="仿宋"/>
          <w:color w:val="auto"/>
          <w:sz w:val="24"/>
          <w:highlight w:val="none"/>
        </w:rPr>
        <w:t>传真方式送达质疑函的，质疑人应当取得采购人或采购代理机构确认收到传真的意见，并及时将质疑函原件送达采购人或采购代理机构。采购人或采购代理机构以实际收到原件之日作为收到质疑的日期。</w:t>
      </w:r>
    </w:p>
    <w:p>
      <w:pPr>
        <w:numPr>
          <w:ilvl w:val="0"/>
          <w:numId w:val="7"/>
        </w:numPr>
        <w:spacing w:line="360" w:lineRule="auto"/>
        <w:ind w:left="0" w:firstLine="420" w:firstLineChars="175"/>
        <w:rPr>
          <w:rFonts w:ascii="仿宋" w:hAnsi="仿宋" w:eastAsia="仿宋" w:cs="仿宋"/>
          <w:color w:val="auto"/>
          <w:sz w:val="24"/>
          <w:highlight w:val="none"/>
        </w:rPr>
      </w:pPr>
      <w:r>
        <w:rPr>
          <w:rFonts w:hint="eastAsia" w:ascii="仿宋" w:hAnsi="仿宋" w:eastAsia="仿宋" w:cs="仿宋"/>
          <w:color w:val="auto"/>
          <w:sz w:val="24"/>
          <w:highlight w:val="none"/>
        </w:rPr>
        <w:t>在质疑期限届满前，质疑函已经邮寄或传真成功的，质疑不视为过期。</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highlight w:val="none"/>
        </w:rPr>
      </w:pPr>
      <w:r>
        <w:rPr>
          <w:rFonts w:hint="eastAsia" w:ascii="仿宋" w:hAnsi="仿宋" w:eastAsia="仿宋" w:cs="仿宋"/>
          <w:color w:val="auto"/>
          <w:highlight w:val="none"/>
        </w:rPr>
        <w:t>4.3.4对同一采购程序环节的质疑，供应商须在法定质疑期内一次性提出。</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highlight w:val="none"/>
        </w:rPr>
      </w:pPr>
      <w:r>
        <w:rPr>
          <w:rFonts w:hint="eastAsia" w:ascii="仿宋" w:hAnsi="仿宋" w:eastAsia="仿宋" w:cs="仿宋"/>
          <w:color w:val="auto"/>
          <w:highlight w:val="none"/>
        </w:rPr>
        <w:t>4.3.5相关当事人提供外文证书或者外国语视听资料的，应当附有中文译本，由翻译机构盖章或者翻译人员签名。</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.6询问或者质疑事项可能影响采购结果的，采购人应当暂停签订合同，已经签订合同的，应当中止履行合同。</w:t>
      </w:r>
    </w:p>
    <w:p>
      <w:pPr>
        <w:spacing w:line="360" w:lineRule="auto"/>
        <w:ind w:left="959" w:leftChars="228" w:hanging="480" w:hangingChars="200"/>
        <w:rPr>
          <w:rFonts w:ascii="仿宋" w:hAnsi="仿宋" w:eastAsia="仿宋" w:cs="仿宋"/>
          <w:color w:val="auto"/>
          <w:sz w:val="24"/>
          <w:highlight w:val="none"/>
        </w:rPr>
      </w:pPr>
      <w:r>
        <w:rPr>
          <w:rFonts w:hint="eastAsia" w:ascii="仿宋" w:hAnsi="仿宋" w:eastAsia="仿宋" w:cs="仿宋"/>
          <w:color w:val="auto"/>
          <w:sz w:val="24"/>
          <w:highlight w:val="none"/>
        </w:rPr>
        <w:t>4.3.7质疑人捏造事实、提供虚假材料进行质疑的，采购人或采购代理机构</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报告同级政府采购监督管理部门，由同级政府采购监督管理部门审查，情况属实的，应列入不良行为记录，并在指定的媒体上公告；</w:t>
      </w:r>
    </w:p>
    <w:p>
      <w:pPr>
        <w:pStyle w:val="34"/>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4.3.8</w:t>
      </w:r>
      <w:r>
        <w:rPr>
          <w:rFonts w:hint="eastAsia" w:ascii="仿宋" w:hAnsi="仿宋" w:eastAsia="仿宋" w:cs="仿宋"/>
          <w:b/>
          <w:color w:val="auto"/>
          <w:sz w:val="24"/>
          <w:szCs w:val="24"/>
          <w:highlight w:val="none"/>
        </w:rPr>
        <w:t>质疑答复</w:t>
      </w:r>
    </w:p>
    <w:p>
      <w:pPr>
        <w:pStyle w:val="34"/>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质疑答复责任主体如下：</w:t>
      </w:r>
    </w:p>
    <w:p>
      <w:pPr>
        <w:widowControl/>
        <w:adjustRightInd/>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质疑答复责任主体一览表</w:t>
      </w:r>
    </w:p>
    <w:tbl>
      <w:tblPr>
        <w:tblStyle w:val="63"/>
        <w:tblW w:w="87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20"/>
        <w:gridCol w:w="3789"/>
        <w:gridCol w:w="26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6109" w:type="dxa"/>
            <w:gridSpan w:val="2"/>
            <w:vAlign w:val="center"/>
          </w:tcPr>
          <w:p>
            <w:pPr>
              <w:pStyle w:val="34"/>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质疑内容</w:t>
            </w:r>
          </w:p>
        </w:tc>
        <w:tc>
          <w:tcPr>
            <w:tcW w:w="2685" w:type="dxa"/>
            <w:vAlign w:val="center"/>
          </w:tcPr>
          <w:p>
            <w:pPr>
              <w:pStyle w:val="34"/>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质疑答复责任主体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0" w:type="dxa"/>
            <w:vMerge w:val="restart"/>
            <w:vAlign w:val="center"/>
          </w:tcPr>
          <w:p>
            <w:pPr>
              <w:pStyle w:val="34"/>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对采购文件提出质疑</w:t>
            </w:r>
          </w:p>
        </w:tc>
        <w:tc>
          <w:tcPr>
            <w:tcW w:w="3789" w:type="dxa"/>
            <w:vAlign w:val="center"/>
          </w:tcPr>
          <w:p>
            <w:pPr>
              <w:pStyle w:val="34"/>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对采购文件中特定资格条件、采购需求、评审办法、评审标准提出的质疑</w:t>
            </w:r>
          </w:p>
        </w:tc>
        <w:tc>
          <w:tcPr>
            <w:tcW w:w="2685" w:type="dxa"/>
            <w:vMerge w:val="restart"/>
            <w:vAlign w:val="center"/>
          </w:tcPr>
          <w:p>
            <w:pPr>
              <w:pStyle w:val="34"/>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采购人和采购代理机构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0" w:type="dxa"/>
            <w:vMerge w:val="continue"/>
            <w:vAlign w:val="center"/>
          </w:tcPr>
          <w:p>
            <w:pPr>
              <w:pStyle w:val="34"/>
              <w:jc w:val="center"/>
              <w:rPr>
                <w:rFonts w:ascii="仿宋" w:hAnsi="仿宋" w:eastAsia="仿宋" w:cs="仿宋"/>
                <w:color w:val="auto"/>
                <w:sz w:val="24"/>
                <w:szCs w:val="24"/>
                <w:highlight w:val="none"/>
              </w:rPr>
            </w:pPr>
          </w:p>
        </w:tc>
        <w:tc>
          <w:tcPr>
            <w:tcW w:w="3789" w:type="dxa"/>
            <w:vAlign w:val="center"/>
          </w:tcPr>
          <w:p>
            <w:pPr>
              <w:pStyle w:val="34"/>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对采购文件中其他内容提出的质疑</w:t>
            </w:r>
          </w:p>
        </w:tc>
        <w:tc>
          <w:tcPr>
            <w:tcW w:w="2685" w:type="dxa"/>
            <w:vMerge w:val="continue"/>
            <w:vAlign w:val="center"/>
          </w:tcPr>
          <w:p>
            <w:pPr>
              <w:pStyle w:val="34"/>
              <w:jc w:val="center"/>
              <w:rPr>
                <w:rFonts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0" w:type="dxa"/>
            <w:vMerge w:val="restart"/>
            <w:vAlign w:val="center"/>
          </w:tcPr>
          <w:p>
            <w:pPr>
              <w:pStyle w:val="34"/>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对采购过程提出质疑</w:t>
            </w:r>
          </w:p>
        </w:tc>
        <w:tc>
          <w:tcPr>
            <w:tcW w:w="3789" w:type="dxa"/>
            <w:vAlign w:val="center"/>
          </w:tcPr>
          <w:p>
            <w:pPr>
              <w:pStyle w:val="34"/>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有关现场考察或开启响应文件前答疑会事项提出的质疑</w:t>
            </w:r>
          </w:p>
        </w:tc>
        <w:tc>
          <w:tcPr>
            <w:tcW w:w="2685" w:type="dxa"/>
            <w:vMerge w:val="continue"/>
            <w:vAlign w:val="center"/>
          </w:tcPr>
          <w:p>
            <w:pPr>
              <w:pStyle w:val="34"/>
              <w:jc w:val="center"/>
              <w:rPr>
                <w:rFonts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0" w:type="dxa"/>
            <w:vMerge w:val="continue"/>
            <w:vAlign w:val="center"/>
          </w:tcPr>
          <w:p>
            <w:pPr>
              <w:pStyle w:val="34"/>
              <w:jc w:val="center"/>
              <w:rPr>
                <w:rFonts w:ascii="仿宋" w:hAnsi="仿宋" w:eastAsia="仿宋" w:cs="仿宋"/>
                <w:color w:val="auto"/>
                <w:sz w:val="24"/>
                <w:szCs w:val="24"/>
                <w:highlight w:val="none"/>
              </w:rPr>
            </w:pPr>
          </w:p>
        </w:tc>
        <w:tc>
          <w:tcPr>
            <w:tcW w:w="3789" w:type="dxa"/>
            <w:vAlign w:val="center"/>
          </w:tcPr>
          <w:p>
            <w:pPr>
              <w:pStyle w:val="34"/>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对采购过程中其它事项提出的质疑</w:t>
            </w:r>
          </w:p>
        </w:tc>
        <w:tc>
          <w:tcPr>
            <w:tcW w:w="2685" w:type="dxa"/>
            <w:vMerge w:val="continue"/>
            <w:vAlign w:val="center"/>
          </w:tcPr>
          <w:p>
            <w:pPr>
              <w:pStyle w:val="34"/>
              <w:jc w:val="center"/>
              <w:rPr>
                <w:rFonts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0" w:type="dxa"/>
            <w:vAlign w:val="center"/>
          </w:tcPr>
          <w:p>
            <w:pPr>
              <w:pStyle w:val="34"/>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对采购结果提出质疑</w:t>
            </w:r>
          </w:p>
        </w:tc>
        <w:tc>
          <w:tcPr>
            <w:tcW w:w="3789" w:type="dxa"/>
            <w:vAlign w:val="center"/>
          </w:tcPr>
          <w:p>
            <w:pPr>
              <w:pStyle w:val="34"/>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对采购结果提出的质疑</w:t>
            </w:r>
          </w:p>
        </w:tc>
        <w:tc>
          <w:tcPr>
            <w:tcW w:w="2685" w:type="dxa"/>
            <w:vMerge w:val="continue"/>
            <w:vAlign w:val="center"/>
          </w:tcPr>
          <w:p>
            <w:pPr>
              <w:pStyle w:val="34"/>
              <w:jc w:val="center"/>
              <w:rPr>
                <w:rFonts w:ascii="仿宋" w:hAnsi="仿宋" w:eastAsia="仿宋" w:cs="仿宋"/>
                <w:color w:val="auto"/>
                <w:sz w:val="24"/>
                <w:szCs w:val="24"/>
                <w:highlight w:val="none"/>
              </w:rPr>
            </w:pPr>
          </w:p>
        </w:tc>
      </w:tr>
    </w:tbl>
    <w:p>
      <w:pPr>
        <w:pStyle w:val="23"/>
        <w:rPr>
          <w:rFonts w:ascii="仿宋" w:hAnsi="仿宋" w:eastAsia="仿宋" w:cs="仿宋"/>
          <w:color w:val="auto"/>
          <w:highlight w:val="none"/>
          <w:lang w:val="en-US"/>
        </w:rPr>
      </w:pPr>
    </w:p>
    <w:p>
      <w:pPr>
        <w:pStyle w:val="888"/>
        <w:shd w:val="clear" w:color="auto" w:fill="FFFFFF"/>
        <w:adjustRightInd w:val="0"/>
        <w:snapToGrid w:val="0"/>
        <w:spacing w:before="0" w:beforeAutospacing="0" w:after="0" w:afterAutospacing="0" w:line="360" w:lineRule="auto"/>
        <w:ind w:firstLine="482" w:firstLineChars="200"/>
        <w:contextualSpacing/>
        <w:rPr>
          <w:rFonts w:ascii="仿宋" w:hAnsi="仿宋" w:eastAsia="仿宋" w:cs="仿宋"/>
          <w:b/>
          <w:bCs/>
          <w:color w:val="auto"/>
          <w:highlight w:val="none"/>
          <w:lang w:val="zh-CN"/>
        </w:rPr>
      </w:pPr>
      <w:r>
        <w:rPr>
          <w:rFonts w:hint="eastAsia" w:ascii="仿宋" w:hAnsi="仿宋" w:eastAsia="仿宋" w:cs="仿宋"/>
          <w:b/>
          <w:bCs/>
          <w:color w:val="auto"/>
          <w:highlight w:val="none"/>
          <w:lang w:val="zh-CN"/>
        </w:rPr>
        <w:t>4.4供应商投诉</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highlight w:val="none"/>
        </w:rPr>
      </w:pPr>
      <w:r>
        <w:rPr>
          <w:rFonts w:hint="eastAsia" w:ascii="仿宋" w:hAnsi="仿宋" w:eastAsia="仿宋" w:cs="仿宋"/>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highlight w:val="none"/>
        </w:rPr>
      </w:pPr>
      <w:r>
        <w:rPr>
          <w:rFonts w:hint="eastAsia" w:ascii="仿宋" w:hAnsi="仿宋" w:eastAsia="仿宋" w:cs="仿宋"/>
          <w:color w:val="auto"/>
          <w:highlight w:val="none"/>
        </w:rPr>
        <w:t>4.4.</w:t>
      </w:r>
      <w:r>
        <w:rPr>
          <w:rFonts w:hint="eastAsia"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highlight w:val="none"/>
        </w:rPr>
      </w:pPr>
      <w:r>
        <w:rPr>
          <w:rFonts w:hint="eastAsia" w:ascii="仿宋" w:hAnsi="仿宋" w:eastAsia="仿宋" w:cs="仿宋"/>
          <w:color w:val="auto"/>
          <w:highlight w:val="none"/>
        </w:rPr>
        <w:t>4.4.3供应商投诉应当有明确的请求和必要的证明材料。</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highlight w:val="none"/>
        </w:rPr>
      </w:pPr>
      <w:r>
        <w:rPr>
          <w:rFonts w:hint="eastAsia" w:ascii="仿宋" w:hAnsi="仿宋" w:eastAsia="仿宋" w:cs="仿宋"/>
          <w:color w:val="auto"/>
          <w:highlight w:val="none"/>
        </w:rPr>
        <w:t>4.4.4以联合体形式参加政府采购活动的，其投诉应当由组成联合体的所有供应商共同提出。</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highlight w:val="none"/>
        </w:rPr>
      </w:pPr>
      <w:r>
        <w:rPr>
          <w:rFonts w:hint="eastAsia" w:ascii="仿宋" w:hAnsi="仿宋" w:eastAsia="仿宋" w:cs="仿宋"/>
          <w:color w:val="auto"/>
          <w:highlight w:val="none"/>
        </w:rPr>
        <w:t>质疑函、投诉书范本详见附件1、附件2。</w:t>
      </w:r>
    </w:p>
    <w:p>
      <w:pPr>
        <w:spacing w:line="360" w:lineRule="auto"/>
        <w:rPr>
          <w:rFonts w:ascii="仿宋" w:hAnsi="仿宋" w:eastAsia="仿宋" w:cs="仿宋"/>
          <w:color w:val="auto"/>
          <w:sz w:val="24"/>
          <w:highlight w:val="none"/>
        </w:rPr>
      </w:pPr>
      <w:bookmarkStart w:id="62" w:name="_Toc530551837"/>
      <w:bookmarkStart w:id="63" w:name="_Toc9966"/>
      <w:bookmarkStart w:id="64" w:name="_Toc531358992"/>
      <w:r>
        <w:rPr>
          <w:rFonts w:hint="eastAsia" w:ascii="仿宋" w:hAnsi="仿宋" w:eastAsia="仿宋" w:cs="仿宋"/>
          <w:color w:val="auto"/>
          <w:sz w:val="24"/>
          <w:highlight w:val="none"/>
        </w:rPr>
        <w:t xml:space="preserve">  </w:t>
      </w:r>
      <w:r>
        <w:rPr>
          <w:rFonts w:hint="eastAsia" w:ascii="仿宋" w:hAnsi="仿宋" w:eastAsia="仿宋" w:cs="仿宋"/>
          <w:b/>
          <w:bCs/>
          <w:color w:val="auto"/>
          <w:sz w:val="24"/>
          <w:highlight w:val="none"/>
        </w:rPr>
        <w:t xml:space="preserve">  4.5特别声明</w:t>
      </w:r>
      <w:bookmarkEnd w:id="62"/>
      <w:bookmarkEnd w:id="63"/>
      <w:bookmarkEnd w:id="64"/>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4.5.1 ▲单位负责人为同一人或者存在直接控股、管理关系的不同供应商，不得参加同一合同项下的政府采购活动；</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4.5.2 ▲为采购项目提供整体设计、规范编制或者项目管理、监理、检测等服务的供应商，不得再参加该采购项目的其他采购活动；</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4.5.3  ▲金融、保险、通讯等特定行业的全国性企业所设立的区域性分支机构(或分公司)，如果已经获得总公司（总机构）授权或能够提供房产权证或其他有效财产证明材料，证明其具备实际承担责任的能力和法定的缔结合同能力，可以允许其独立参加政府采购活动，但不得使用总公司(总机构)的资质、业绩和人员；</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4.5.4 本项目排名第一的成交候选人未注册成为浙江省政府采购网“正式供应商”的，将会影响该项目合同备案及付款，由此造成的不利影响由供应商自行承担。</w:t>
      </w:r>
    </w:p>
    <w:p>
      <w:pPr>
        <w:pStyle w:val="139"/>
        <w:snapToGrid w:val="0"/>
        <w:spacing w:before="0"/>
        <w:ind w:firstLine="360"/>
        <w:rPr>
          <w:rFonts w:ascii="仿宋" w:hAnsi="仿宋" w:eastAsia="仿宋" w:cs="仿宋"/>
          <w:color w:val="auto"/>
          <w:sz w:val="18"/>
          <w:szCs w:val="18"/>
          <w:highlight w:val="none"/>
        </w:rPr>
      </w:pPr>
    </w:p>
    <w:p>
      <w:pPr>
        <w:pStyle w:val="59"/>
        <w:widowControl w:val="0"/>
        <w:numPr>
          <w:ilvl w:val="0"/>
          <w:numId w:val="5"/>
        </w:numPr>
        <w:tabs>
          <w:tab w:val="left" w:pos="0"/>
        </w:tabs>
        <w:overflowPunct/>
        <w:autoSpaceDE/>
        <w:autoSpaceDN/>
        <w:adjustRightInd/>
        <w:spacing w:before="240" w:beforeLines="100" w:after="240" w:afterLines="100"/>
        <w:ind w:firstLine="0"/>
        <w:jc w:val="left"/>
        <w:textAlignment w:val="auto"/>
        <w:outlineLvl w:val="1"/>
        <w:rPr>
          <w:rFonts w:ascii="仿宋" w:hAnsi="仿宋" w:eastAsia="仿宋" w:cs="仿宋"/>
          <w:bCs/>
          <w:color w:val="auto"/>
          <w:kern w:val="2"/>
          <w:sz w:val="30"/>
          <w:szCs w:val="30"/>
          <w:highlight w:val="none"/>
          <w:lang w:val="en-US"/>
        </w:rPr>
      </w:pPr>
      <w:bookmarkStart w:id="65" w:name="_Toc139797600"/>
      <w:bookmarkStart w:id="66" w:name="_Toc19561"/>
      <w:bookmarkStart w:id="67" w:name="_Toc3000"/>
      <w:r>
        <w:rPr>
          <w:rFonts w:hint="eastAsia" w:ascii="仿宋" w:hAnsi="仿宋" w:eastAsia="仿宋" w:cs="仿宋"/>
          <w:bCs/>
          <w:color w:val="auto"/>
          <w:kern w:val="2"/>
          <w:sz w:val="30"/>
          <w:szCs w:val="30"/>
          <w:highlight w:val="none"/>
          <w:lang w:val="en-US"/>
        </w:rPr>
        <w:t>采购文件的构成、澄清、修改</w:t>
      </w:r>
      <w:bookmarkEnd w:id="65"/>
      <w:bookmarkEnd w:id="66"/>
      <w:bookmarkEnd w:id="67"/>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68" w:name="_Toc139797601"/>
      <w:bookmarkStart w:id="69" w:name="_Toc5716"/>
      <w:bookmarkStart w:id="70" w:name="_Toc30524"/>
      <w:r>
        <w:rPr>
          <w:rFonts w:hint="eastAsia" w:ascii="仿宋" w:hAnsi="仿宋" w:eastAsia="仿宋" w:cs="仿宋"/>
          <w:color w:val="auto"/>
          <w:szCs w:val="20"/>
          <w:highlight w:val="none"/>
          <w:lang w:val="zh-CN"/>
        </w:rPr>
        <w:t>采购文件的构成</w:t>
      </w:r>
      <w:bookmarkEnd w:id="68"/>
      <w:bookmarkEnd w:id="69"/>
      <w:bookmarkEnd w:id="70"/>
    </w:p>
    <w:p>
      <w:pPr>
        <w:pStyle w:val="34"/>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 采购文件包括下列文件及附件：</w:t>
      </w:r>
    </w:p>
    <w:p>
      <w:pPr>
        <w:pStyle w:val="34"/>
        <w:tabs>
          <w:tab w:val="left" w:pos="840"/>
        </w:tabs>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5.1.1竞争性磋商公告（邀请）；</w:t>
      </w:r>
    </w:p>
    <w:p>
      <w:pPr>
        <w:pStyle w:val="34"/>
        <w:tabs>
          <w:tab w:val="left" w:pos="840"/>
        </w:tabs>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5.1.2供应商须知；</w:t>
      </w:r>
    </w:p>
    <w:p>
      <w:pPr>
        <w:pStyle w:val="34"/>
        <w:tabs>
          <w:tab w:val="left" w:pos="840"/>
        </w:tabs>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pPr>
        <w:pStyle w:val="34"/>
        <w:tabs>
          <w:tab w:val="left" w:pos="840"/>
        </w:tabs>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5.1.4评审办法；</w:t>
      </w:r>
    </w:p>
    <w:p>
      <w:pPr>
        <w:pStyle w:val="34"/>
        <w:tabs>
          <w:tab w:val="left" w:pos="840"/>
        </w:tabs>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pPr>
        <w:pStyle w:val="34"/>
        <w:tabs>
          <w:tab w:val="left" w:pos="840"/>
        </w:tabs>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磋商响应文件格式。</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澄清或者修改的内容为采购文件的组成部分</w:t>
      </w:r>
      <w:r>
        <w:rPr>
          <w:rFonts w:hint="eastAsia" w:ascii="仿宋" w:hAnsi="仿宋" w:eastAsia="仿宋" w:cs="仿宋"/>
          <w:color w:val="auto"/>
          <w:sz w:val="24"/>
          <w:highlight w:val="none"/>
        </w:rPr>
        <w:t>。</w:t>
      </w:r>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71" w:name="_Toc25182"/>
      <w:bookmarkStart w:id="72" w:name="_Toc139797602"/>
      <w:bookmarkStart w:id="73" w:name="_Toc19116"/>
      <w:r>
        <w:rPr>
          <w:rFonts w:hint="eastAsia" w:ascii="仿宋" w:hAnsi="仿宋" w:eastAsia="仿宋" w:cs="仿宋"/>
          <w:color w:val="auto"/>
          <w:szCs w:val="20"/>
          <w:highlight w:val="none"/>
          <w:lang w:val="zh-CN"/>
        </w:rPr>
        <w:t>采购文件的澄清、修改</w:t>
      </w:r>
      <w:bookmarkEnd w:id="71"/>
      <w:bookmarkEnd w:id="72"/>
      <w:bookmarkEnd w:id="73"/>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6.1   供应商应仔细阅读和检查磋商文件的全部内容。发现其中有误或有不合理要求的，应当在磋商文件的澄清、修改截止时间前以书面形式要求采购人或采购代理机构对磋商文件予以澄清、修改；</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6.2   澄清或修改内容可能影响磋商响应文件编制的，采购代理机构在响应文件提交截止时间5日前，将以发布更正公告的形式通知各潜在的供应商。不足5日的，采购代理机构有权顺延响应文件提交截止时间；</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6.3   响应文件提交截止时间前，采购代理机构可以对发出的磋商文件进行必要的澄清或修改，澄清或修改后的补充文件，作为磋商文件的组成部分，对各供应商起同等约束作用；</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6.4   澄清、修改等更正内容发布网址：政采云平台（https://www.zcygov.cn/） ；</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6.5   当磋商文件与澄清或修改文件就同一内容的表述不一致时，以最后发出的澄清或修改文件为准。</w:t>
      </w:r>
    </w:p>
    <w:p>
      <w:pPr>
        <w:pStyle w:val="139"/>
        <w:snapToGrid w:val="0"/>
        <w:spacing w:before="0"/>
        <w:ind w:firstLine="482"/>
        <w:rPr>
          <w:rFonts w:ascii="仿宋" w:hAnsi="仿宋" w:eastAsia="仿宋" w:cs="仿宋"/>
          <w:color w:val="auto"/>
          <w:highlight w:val="none"/>
        </w:rPr>
      </w:pPr>
      <w:r>
        <w:rPr>
          <w:rFonts w:hint="eastAsia" w:ascii="仿宋" w:hAnsi="仿宋" w:eastAsia="仿宋" w:cs="仿宋"/>
          <w:b/>
          <w:color w:val="auto"/>
          <w:highlight w:val="none"/>
        </w:rPr>
        <w:t>▲</w:t>
      </w:r>
      <w:r>
        <w:rPr>
          <w:rFonts w:hint="eastAsia" w:ascii="仿宋" w:hAnsi="仿宋" w:eastAsia="仿宋" w:cs="仿宋"/>
          <w:b/>
          <w:color w:val="auto"/>
          <w:szCs w:val="21"/>
          <w:highlight w:val="none"/>
        </w:rPr>
        <w:t>响应文件未按磋商文件的澄清、修改的内容编制，又不符合实质性要求的，响应无效。</w:t>
      </w:r>
    </w:p>
    <w:p>
      <w:pPr>
        <w:rPr>
          <w:rFonts w:ascii="仿宋" w:hAnsi="仿宋" w:eastAsia="仿宋" w:cs="仿宋"/>
          <w:color w:val="auto"/>
          <w:highlight w:val="none"/>
        </w:rPr>
      </w:pPr>
    </w:p>
    <w:p>
      <w:pPr>
        <w:pStyle w:val="59"/>
        <w:widowControl w:val="0"/>
        <w:numPr>
          <w:ilvl w:val="0"/>
          <w:numId w:val="5"/>
        </w:numPr>
        <w:tabs>
          <w:tab w:val="left" w:pos="0"/>
        </w:tabs>
        <w:overflowPunct/>
        <w:autoSpaceDE/>
        <w:autoSpaceDN/>
        <w:adjustRightInd/>
        <w:spacing w:before="240" w:beforeLines="100" w:after="240" w:afterLines="100"/>
        <w:ind w:firstLine="0"/>
        <w:jc w:val="left"/>
        <w:textAlignment w:val="auto"/>
        <w:outlineLvl w:val="1"/>
        <w:rPr>
          <w:rFonts w:ascii="仿宋" w:hAnsi="仿宋" w:eastAsia="仿宋" w:cs="仿宋"/>
          <w:bCs/>
          <w:color w:val="auto"/>
          <w:kern w:val="2"/>
          <w:sz w:val="30"/>
          <w:szCs w:val="30"/>
          <w:highlight w:val="none"/>
          <w:lang w:val="en-US"/>
        </w:rPr>
      </w:pPr>
      <w:bookmarkStart w:id="74" w:name="_Toc1807"/>
      <w:bookmarkStart w:id="75" w:name="_Toc139797603"/>
      <w:bookmarkStart w:id="76" w:name="_Toc30357"/>
      <w:r>
        <w:rPr>
          <w:rFonts w:hint="eastAsia" w:ascii="仿宋" w:hAnsi="仿宋" w:eastAsia="仿宋" w:cs="仿宋"/>
          <w:bCs/>
          <w:color w:val="auto"/>
          <w:kern w:val="2"/>
          <w:sz w:val="30"/>
          <w:szCs w:val="30"/>
          <w:highlight w:val="none"/>
          <w:lang w:val="en-US"/>
        </w:rPr>
        <w:t>提交响应文件</w:t>
      </w:r>
      <w:bookmarkEnd w:id="74"/>
      <w:bookmarkEnd w:id="75"/>
      <w:bookmarkEnd w:id="76"/>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77" w:name="_Toc11270"/>
      <w:bookmarkStart w:id="78" w:name="_Toc139797604"/>
      <w:bookmarkStart w:id="79" w:name="_Toc1945"/>
      <w:r>
        <w:rPr>
          <w:rFonts w:hint="eastAsia" w:ascii="仿宋" w:hAnsi="仿宋" w:eastAsia="仿宋" w:cs="仿宋"/>
          <w:color w:val="auto"/>
          <w:szCs w:val="20"/>
          <w:highlight w:val="none"/>
          <w:lang w:val="zh-CN"/>
        </w:rPr>
        <w:t>备份响应文件</w:t>
      </w:r>
      <w:bookmarkEnd w:id="77"/>
      <w:bookmarkEnd w:id="78"/>
      <w:bookmarkEnd w:id="79"/>
    </w:p>
    <w:p>
      <w:pPr>
        <w:pStyle w:val="34"/>
        <w:snapToGrid w:val="0"/>
        <w:spacing w:line="360" w:lineRule="auto"/>
        <w:ind w:firstLine="360" w:firstLineChars="150"/>
        <w:rPr>
          <w:rFonts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7.1供应商在电子交易平台传输递交响应文件后，还可以在响应文件提交（上传）截止时间前直接提交或者以邮件方式递交备份响应文件1份，</w:t>
      </w:r>
      <w:r>
        <w:rPr>
          <w:rFonts w:hint="eastAsia" w:ascii="仿宋" w:hAnsi="仿宋" w:eastAsia="仿宋" w:cs="仿宋"/>
          <w:b/>
          <w:color w:val="auto"/>
          <w:sz w:val="24"/>
          <w:szCs w:val="24"/>
          <w:highlight w:val="none"/>
        </w:rPr>
        <w:t>但采购人、采购代理机构不强制或变相强制供应商提交备份响应文件。</w:t>
      </w:r>
    </w:p>
    <w:p>
      <w:pPr>
        <w:pStyle w:val="34"/>
        <w:snapToGrid w:val="0"/>
        <w:spacing w:line="360" w:lineRule="auto"/>
        <w:ind w:firstLine="480" w:firstLineChars="200"/>
        <w:rPr>
          <w:rFonts w:ascii="仿宋" w:hAnsi="仿宋" w:eastAsia="仿宋" w:cs="仿宋"/>
          <w:b/>
          <w:color w:val="auto"/>
          <w:sz w:val="24"/>
          <w:szCs w:val="24"/>
          <w:highlight w:val="none"/>
        </w:rPr>
      </w:pPr>
      <w:r>
        <w:rPr>
          <w:rFonts w:hint="eastAsia" w:ascii="仿宋" w:hAnsi="仿宋" w:eastAsia="仿宋" w:cs="仿宋"/>
          <w:color w:val="auto"/>
          <w:sz w:val="24"/>
          <w:szCs w:val="24"/>
          <w:highlight w:val="none"/>
        </w:rPr>
        <w:t>7.2备份响应文件须在“政采云投标客户端”制作生成，以电子邮件方式提交一份，由供应商自行确定是否提交；若提交请将备份磋商响应文件以电子邮件的形式发送至</w:t>
      </w:r>
      <w:r>
        <w:rPr>
          <w:rFonts w:hint="eastAsia" w:ascii="仿宋" w:hAnsi="仿宋" w:eastAsia="仿宋" w:cs="仿宋"/>
          <w:snapToGrid/>
          <w:color w:val="auto"/>
          <w:sz w:val="24"/>
          <w:szCs w:val="24"/>
          <w:highlight w:val="none"/>
        </w:rPr>
        <w:t>（596722349@qq.com）。</w:t>
      </w:r>
    </w:p>
    <w:p>
      <w:pPr>
        <w:pStyle w:val="34"/>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7.3电子加密磋商响应文件按时解密成功的，备份磋商响应文件自动失效；电子加密磋商响应文件解密失败，按采购文件规定提交备份磋商响应文件且有效的，以备份磋商响应文件为准；电子加密磋商响应文件解密失败，又未提交备份磋商响应文件，视同放弃投标。</w:t>
      </w:r>
    </w:p>
    <w:p>
      <w:pPr>
        <w:pStyle w:val="34"/>
        <w:snapToGrid w:val="0"/>
        <w:spacing w:line="360" w:lineRule="auto"/>
        <w:ind w:firstLine="479" w:firstLineChars="199"/>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7.4</w:t>
      </w:r>
      <w:r>
        <w:rPr>
          <w:rFonts w:hint="eastAsia" w:ascii="仿宋" w:hAnsi="仿宋" w:eastAsia="仿宋" w:cs="仿宋"/>
          <w:color w:val="auto"/>
          <w:sz w:val="24"/>
          <w:szCs w:val="20"/>
          <w:highlight w:val="none"/>
        </w:rPr>
        <w:t>▲</w:t>
      </w:r>
      <w:r>
        <w:rPr>
          <w:rFonts w:hint="eastAsia" w:ascii="仿宋" w:hAnsi="仿宋" w:eastAsia="仿宋" w:cs="仿宋"/>
          <w:b/>
          <w:color w:val="auto"/>
          <w:sz w:val="24"/>
          <w:szCs w:val="24"/>
          <w:highlight w:val="none"/>
        </w:rPr>
        <w:t>供应商仅提交备份响应文件，未在电子交易平台传输递交响应文件的，响应文件无效。</w:t>
      </w:r>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80" w:name="_Toc139797605"/>
      <w:bookmarkStart w:id="81" w:name="_Toc15282"/>
      <w:bookmarkStart w:id="82" w:name="_Toc16385"/>
      <w:r>
        <w:rPr>
          <w:rFonts w:hint="eastAsia" w:ascii="仿宋" w:hAnsi="仿宋" w:eastAsia="仿宋" w:cs="仿宋"/>
          <w:color w:val="auto"/>
          <w:szCs w:val="20"/>
          <w:highlight w:val="none"/>
          <w:lang w:val="zh-CN"/>
        </w:rPr>
        <w:t>采购文件的获取</w:t>
      </w:r>
      <w:bookmarkEnd w:id="80"/>
      <w:bookmarkEnd w:id="81"/>
      <w:bookmarkEnd w:id="82"/>
    </w:p>
    <w:p>
      <w:pPr>
        <w:spacing w:line="360" w:lineRule="auto"/>
        <w:ind w:firstLine="480" w:firstLineChars="200"/>
        <w:rPr>
          <w:rFonts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详见竞争性磋商公告中获取采购文件的时间期限、地点、方式及采购文件售价。</w:t>
      </w:r>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83" w:name="_Toc10729"/>
      <w:bookmarkStart w:id="84" w:name="_Toc139797606"/>
      <w:bookmarkStart w:id="85" w:name="_Toc5981"/>
      <w:r>
        <w:rPr>
          <w:rFonts w:hint="eastAsia" w:ascii="仿宋" w:hAnsi="仿宋" w:eastAsia="仿宋" w:cs="仿宋"/>
          <w:color w:val="auto"/>
          <w:szCs w:val="20"/>
          <w:highlight w:val="none"/>
          <w:lang w:val="zh-CN"/>
        </w:rPr>
        <w:t>磋商前答疑会或现场考察</w:t>
      </w:r>
      <w:bookmarkEnd w:id="83"/>
      <w:bookmarkEnd w:id="84"/>
      <w:bookmarkEnd w:id="85"/>
    </w:p>
    <w:p>
      <w:pPr>
        <w:pStyle w:val="34"/>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采购人组织潜在供应商现场考察或者召开磋商前答疑会的，潜在供应商按第四部分供应商须知前附表的规定参加现场考察或者磋商前答疑会。</w:t>
      </w:r>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86" w:name="_Toc31937"/>
      <w:bookmarkStart w:id="87" w:name="_Toc139797607"/>
      <w:bookmarkStart w:id="88" w:name="_Toc1726"/>
      <w:r>
        <w:rPr>
          <w:rFonts w:hint="eastAsia" w:ascii="仿宋" w:hAnsi="仿宋" w:eastAsia="仿宋" w:cs="仿宋"/>
          <w:color w:val="auto"/>
          <w:szCs w:val="20"/>
          <w:highlight w:val="none"/>
          <w:lang w:val="zh-CN"/>
        </w:rPr>
        <w:t>磋商保证金</w:t>
      </w:r>
      <w:bookmarkEnd w:id="86"/>
      <w:bookmarkEnd w:id="87"/>
      <w:bookmarkEnd w:id="88"/>
    </w:p>
    <w:p>
      <w:pPr>
        <w:pStyle w:val="15"/>
        <w:spacing w:line="360" w:lineRule="auto"/>
        <w:ind w:firstLine="470" w:firstLineChars="196"/>
        <w:rPr>
          <w:rFonts w:ascii="仿宋" w:hAnsi="仿宋" w:eastAsia="仿宋" w:cs="仿宋"/>
          <w:color w:val="auto"/>
          <w:sz w:val="24"/>
          <w:highlight w:val="none"/>
        </w:rPr>
      </w:pPr>
      <w:r>
        <w:rPr>
          <w:rFonts w:hint="eastAsia" w:ascii="仿宋" w:hAnsi="仿宋" w:eastAsia="仿宋" w:cs="仿宋"/>
          <w:color w:val="auto"/>
          <w:sz w:val="24"/>
          <w:highlight w:val="none"/>
        </w:rPr>
        <w:t>本项目不需缴纳磋商保证金。</w:t>
      </w:r>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89" w:name="_Toc3121"/>
      <w:bookmarkStart w:id="90" w:name="_Toc139797608"/>
      <w:bookmarkStart w:id="91" w:name="_Toc12976"/>
      <w:r>
        <w:rPr>
          <w:rFonts w:hint="eastAsia" w:ascii="仿宋" w:hAnsi="仿宋" w:eastAsia="仿宋" w:cs="仿宋"/>
          <w:color w:val="auto"/>
          <w:szCs w:val="20"/>
          <w:highlight w:val="none"/>
          <w:lang w:val="zh-CN"/>
        </w:rPr>
        <w:t>响应文件的语言</w:t>
      </w:r>
      <w:bookmarkEnd w:id="89"/>
      <w:bookmarkEnd w:id="90"/>
      <w:bookmarkEnd w:id="91"/>
    </w:p>
    <w:p>
      <w:pPr>
        <w:autoSpaceDE w:val="0"/>
        <w:autoSpaceDN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响应文件及供应商与采购有关的来往通知、函件和文件均应使用中文。</w:t>
      </w:r>
    </w:p>
    <w:p>
      <w:pPr>
        <w:rPr>
          <w:rFonts w:ascii="仿宋" w:hAnsi="仿宋" w:eastAsia="仿宋" w:cs="仿宋"/>
          <w:color w:val="auto"/>
          <w:highlight w:val="none"/>
          <w:lang w:val="zh-CN"/>
        </w:rPr>
      </w:pPr>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92" w:name="_Toc25769"/>
      <w:bookmarkStart w:id="93" w:name="_Toc139797609"/>
      <w:bookmarkStart w:id="94" w:name="_Toc29004"/>
      <w:r>
        <w:rPr>
          <w:rFonts w:hint="eastAsia" w:ascii="仿宋" w:hAnsi="仿宋" w:eastAsia="仿宋" w:cs="仿宋"/>
          <w:color w:val="auto"/>
          <w:szCs w:val="20"/>
          <w:highlight w:val="none"/>
          <w:lang w:val="zh-CN"/>
        </w:rPr>
        <w:t>响应文件的组成</w:t>
      </w:r>
      <w:bookmarkEnd w:id="92"/>
      <w:bookmarkEnd w:id="93"/>
      <w:bookmarkEnd w:id="94"/>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12.1</w:t>
      </w:r>
      <w:r>
        <w:rPr>
          <w:rFonts w:hint="eastAsia" w:ascii="仿宋" w:hAnsi="仿宋" w:eastAsia="仿宋" w:cs="仿宋"/>
          <w:b/>
          <w:color w:val="auto"/>
          <w:sz w:val="24"/>
          <w:highlight w:val="none"/>
        </w:rPr>
        <w:t>资格审查文件</w:t>
      </w:r>
      <w:r>
        <w:rPr>
          <w:rFonts w:hint="eastAsia" w:ascii="仿宋" w:hAnsi="仿宋" w:eastAsia="仿宋" w:cs="仿宋"/>
          <w:color w:val="auto"/>
          <w:sz w:val="24"/>
          <w:highlight w:val="none"/>
        </w:rPr>
        <w:t>：</w:t>
      </w:r>
    </w:p>
    <w:p>
      <w:pPr>
        <w:spacing w:line="360" w:lineRule="auto"/>
        <w:ind w:left="840" w:leftChars="400" w:firstLine="120" w:firstLineChars="50"/>
        <w:rPr>
          <w:rFonts w:ascii="仿宋" w:hAnsi="仿宋" w:eastAsia="仿宋" w:cs="仿宋"/>
          <w:color w:val="auto"/>
          <w:sz w:val="24"/>
          <w:highlight w:val="none"/>
        </w:rPr>
      </w:pPr>
      <w:r>
        <w:rPr>
          <w:rFonts w:hint="eastAsia" w:ascii="仿宋" w:hAnsi="仿宋" w:eastAsia="仿宋" w:cs="仿宋"/>
          <w:color w:val="auto"/>
          <w:sz w:val="24"/>
          <w:highlight w:val="none"/>
        </w:rPr>
        <w:t>资格审查文件的组成：见采购文件第六部分。</w:t>
      </w:r>
    </w:p>
    <w:p>
      <w:pPr>
        <w:snapToGrid w:val="0"/>
        <w:spacing w:line="360" w:lineRule="auto"/>
        <w:ind w:firstLine="482" w:firstLineChars="200"/>
        <w:rPr>
          <w:rFonts w:ascii="仿宋" w:hAnsi="仿宋" w:eastAsia="仿宋" w:cs="仿宋"/>
          <w:b/>
          <w:bCs/>
          <w:color w:val="auto"/>
          <w:sz w:val="24"/>
          <w:highlight w:val="none"/>
          <w:lang w:val="zh-CN"/>
        </w:rPr>
      </w:pPr>
      <w:r>
        <w:rPr>
          <w:rFonts w:hint="eastAsia" w:ascii="仿宋" w:hAnsi="仿宋" w:eastAsia="仿宋" w:cs="仿宋"/>
          <w:b/>
          <w:bCs/>
          <w:color w:val="auto"/>
          <w:sz w:val="24"/>
          <w:highlight w:val="none"/>
          <w:lang w:val="zh-CN"/>
        </w:rPr>
        <w:t>1</w:t>
      </w:r>
      <w:r>
        <w:rPr>
          <w:rFonts w:hint="eastAsia" w:ascii="仿宋" w:hAnsi="仿宋" w:eastAsia="仿宋" w:cs="仿宋"/>
          <w:b/>
          <w:bCs/>
          <w:color w:val="auto"/>
          <w:sz w:val="24"/>
          <w:highlight w:val="none"/>
        </w:rPr>
        <w:t>2</w:t>
      </w:r>
      <w:r>
        <w:rPr>
          <w:rFonts w:hint="eastAsia" w:ascii="仿宋" w:hAnsi="仿宋" w:eastAsia="仿宋" w:cs="仿宋"/>
          <w:b/>
          <w:bCs/>
          <w:color w:val="auto"/>
          <w:sz w:val="24"/>
          <w:highlight w:val="none"/>
          <w:lang w:val="zh-CN"/>
        </w:rPr>
        <w:t>.</w:t>
      </w:r>
      <w:r>
        <w:rPr>
          <w:rFonts w:hint="eastAsia" w:ascii="仿宋" w:hAnsi="仿宋" w:eastAsia="仿宋" w:cs="仿宋"/>
          <w:b/>
          <w:bCs/>
          <w:color w:val="auto"/>
          <w:sz w:val="24"/>
          <w:highlight w:val="none"/>
        </w:rPr>
        <w:t>2</w:t>
      </w:r>
      <w:r>
        <w:rPr>
          <w:rFonts w:hint="eastAsia" w:ascii="仿宋" w:hAnsi="仿宋" w:eastAsia="仿宋" w:cs="仿宋"/>
          <w:b/>
          <w:bCs/>
          <w:color w:val="auto"/>
          <w:sz w:val="24"/>
          <w:highlight w:val="none"/>
          <w:lang w:val="zh-CN"/>
        </w:rPr>
        <w:t xml:space="preserve">  </w:t>
      </w:r>
      <w:r>
        <w:rPr>
          <w:rFonts w:hint="eastAsia" w:ascii="仿宋" w:hAnsi="仿宋" w:eastAsia="仿宋" w:cs="仿宋"/>
          <w:b/>
          <w:bCs/>
          <w:color w:val="auto"/>
          <w:sz w:val="24"/>
          <w:highlight w:val="none"/>
        </w:rPr>
        <w:t>资信商务及技术文件</w:t>
      </w:r>
      <w:r>
        <w:rPr>
          <w:rFonts w:hint="eastAsia" w:ascii="仿宋" w:hAnsi="仿宋" w:eastAsia="仿宋" w:cs="仿宋"/>
          <w:b/>
          <w:bCs/>
          <w:color w:val="auto"/>
          <w:sz w:val="24"/>
          <w:highlight w:val="none"/>
          <w:lang w:val="zh-CN"/>
        </w:rPr>
        <w:t>：</w:t>
      </w:r>
    </w:p>
    <w:p>
      <w:pPr>
        <w:spacing w:line="360" w:lineRule="auto"/>
        <w:ind w:left="840" w:leftChars="400" w:firstLine="120" w:firstLineChars="50"/>
        <w:rPr>
          <w:rFonts w:ascii="仿宋" w:hAnsi="仿宋" w:eastAsia="仿宋" w:cs="仿宋"/>
          <w:color w:val="auto"/>
          <w:sz w:val="24"/>
          <w:highlight w:val="none"/>
        </w:rPr>
      </w:pPr>
      <w:r>
        <w:rPr>
          <w:rFonts w:hint="eastAsia" w:ascii="仿宋" w:hAnsi="仿宋" w:eastAsia="仿宋" w:cs="仿宋"/>
          <w:color w:val="auto"/>
          <w:sz w:val="24"/>
          <w:highlight w:val="none"/>
        </w:rPr>
        <w:t>资信商务及技术文件的组成：见采购文件第六部分。</w:t>
      </w:r>
    </w:p>
    <w:p>
      <w:pPr>
        <w:snapToGrid w:val="0"/>
        <w:spacing w:line="360" w:lineRule="auto"/>
        <w:ind w:firstLine="482" w:firstLineChars="200"/>
        <w:rPr>
          <w:rFonts w:ascii="仿宋" w:hAnsi="仿宋" w:eastAsia="仿宋" w:cs="仿宋"/>
          <w:b/>
          <w:bCs/>
          <w:color w:val="auto"/>
          <w:sz w:val="24"/>
          <w:highlight w:val="none"/>
          <w:u w:val="single"/>
          <w:lang w:val="zh-CN"/>
        </w:rPr>
      </w:pPr>
      <w:r>
        <w:rPr>
          <w:rFonts w:hint="eastAsia" w:ascii="仿宋" w:hAnsi="仿宋" w:eastAsia="仿宋" w:cs="仿宋"/>
          <w:b/>
          <w:bCs/>
          <w:color w:val="auto"/>
          <w:kern w:val="0"/>
          <w:sz w:val="24"/>
          <w:highlight w:val="none"/>
          <w:lang w:val="zh-CN"/>
        </w:rPr>
        <w:t>1</w:t>
      </w:r>
      <w:r>
        <w:rPr>
          <w:rFonts w:hint="eastAsia" w:ascii="仿宋" w:hAnsi="仿宋" w:eastAsia="仿宋" w:cs="仿宋"/>
          <w:b/>
          <w:bCs/>
          <w:color w:val="auto"/>
          <w:kern w:val="0"/>
          <w:sz w:val="24"/>
          <w:highlight w:val="none"/>
        </w:rPr>
        <w:t>2</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kern w:val="0"/>
          <w:sz w:val="24"/>
          <w:highlight w:val="none"/>
        </w:rPr>
        <w:t>3</w:t>
      </w:r>
      <w:r>
        <w:rPr>
          <w:rFonts w:hint="eastAsia" w:ascii="仿宋" w:hAnsi="仿宋" w:eastAsia="仿宋" w:cs="仿宋"/>
          <w:b/>
          <w:bCs/>
          <w:color w:val="auto"/>
          <w:sz w:val="24"/>
          <w:highlight w:val="none"/>
        </w:rPr>
        <w:t xml:space="preserve">报价文件： </w:t>
      </w:r>
    </w:p>
    <w:p>
      <w:pPr>
        <w:spacing w:line="360" w:lineRule="auto"/>
        <w:ind w:left="840" w:leftChars="400" w:firstLine="120" w:firstLineChars="50"/>
        <w:rPr>
          <w:rFonts w:ascii="仿宋" w:hAnsi="仿宋" w:eastAsia="仿宋" w:cs="仿宋"/>
          <w:color w:val="auto"/>
          <w:sz w:val="24"/>
          <w:highlight w:val="none"/>
        </w:rPr>
      </w:pPr>
      <w:r>
        <w:rPr>
          <w:rFonts w:hint="eastAsia" w:ascii="仿宋" w:hAnsi="仿宋" w:eastAsia="仿宋" w:cs="仿宋"/>
          <w:color w:val="auto"/>
          <w:sz w:val="24"/>
          <w:highlight w:val="none"/>
        </w:rPr>
        <w:t>报价文件的组成：见采购文件第六部分。</w:t>
      </w:r>
    </w:p>
    <w:p>
      <w:pPr>
        <w:spacing w:line="360" w:lineRule="auto"/>
        <w:ind w:firstLine="723" w:firstLineChars="300"/>
        <w:rPr>
          <w:rFonts w:ascii="仿宋" w:hAnsi="仿宋" w:eastAsia="仿宋" w:cs="仿宋"/>
          <w:b/>
          <w:color w:val="auto"/>
          <w:sz w:val="24"/>
          <w:highlight w:val="none"/>
        </w:rPr>
      </w:pPr>
      <w:r>
        <w:rPr>
          <w:rFonts w:hint="eastAsia" w:ascii="仿宋" w:hAnsi="仿宋" w:eastAsia="仿宋" w:cs="仿宋"/>
          <w:b/>
          <w:color w:val="auto"/>
          <w:sz w:val="24"/>
          <w:highlight w:val="none"/>
        </w:rPr>
        <w:t>响应文件含有采购人不能接受的附加条件的，响应文件无效；</w:t>
      </w:r>
    </w:p>
    <w:p>
      <w:pPr>
        <w:spacing w:line="360" w:lineRule="auto"/>
        <w:ind w:firstLine="723" w:firstLineChars="300"/>
        <w:rPr>
          <w:rFonts w:ascii="仿宋" w:hAnsi="仿宋" w:eastAsia="仿宋" w:cs="仿宋"/>
          <w:b/>
          <w:color w:val="auto"/>
          <w:sz w:val="24"/>
          <w:highlight w:val="none"/>
        </w:rPr>
      </w:pPr>
      <w:r>
        <w:rPr>
          <w:rFonts w:hint="eastAsia" w:ascii="仿宋" w:hAnsi="仿宋" w:eastAsia="仿宋" w:cs="仿宋"/>
          <w:b/>
          <w:color w:val="auto"/>
          <w:sz w:val="24"/>
          <w:highlight w:val="none"/>
        </w:rPr>
        <w:t>供应商提供虚假材料的，响应文件无效。</w:t>
      </w:r>
    </w:p>
    <w:p>
      <w:pPr>
        <w:rPr>
          <w:rFonts w:ascii="仿宋" w:hAnsi="仿宋" w:eastAsia="仿宋" w:cs="仿宋"/>
          <w:color w:val="auto"/>
          <w:highlight w:val="none"/>
        </w:rPr>
      </w:pPr>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95" w:name="_Toc139797610"/>
      <w:bookmarkStart w:id="96" w:name="_Toc10969"/>
      <w:bookmarkStart w:id="97" w:name="_Toc7183"/>
      <w:r>
        <w:rPr>
          <w:rFonts w:hint="eastAsia" w:ascii="仿宋" w:hAnsi="仿宋" w:eastAsia="仿宋" w:cs="仿宋"/>
          <w:color w:val="auto"/>
          <w:szCs w:val="20"/>
          <w:highlight w:val="none"/>
          <w:lang w:val="zh-CN"/>
        </w:rPr>
        <w:t>响应文件的编制</w:t>
      </w:r>
      <w:bookmarkEnd w:id="95"/>
      <w:bookmarkEnd w:id="96"/>
      <w:bookmarkEnd w:id="97"/>
    </w:p>
    <w:p>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rPr>
        <w:t xml:space="preserve"> ▲</w:t>
      </w:r>
      <w:r>
        <w:rPr>
          <w:rFonts w:hint="eastAsia" w:ascii="仿宋" w:hAnsi="仿宋" w:eastAsia="仿宋" w:cs="仿宋"/>
          <w:color w:val="auto"/>
          <w:sz w:val="24"/>
          <w:highlight w:val="none"/>
        </w:rPr>
        <w:t>本磋商文件中若有多标项的，若参与多标项磋商的，则按每个标项分别独立编制磋商响应文件。</w:t>
      </w:r>
    </w:p>
    <w:p>
      <w:pPr>
        <w:spacing w:line="360" w:lineRule="auto"/>
        <w:ind w:firstLine="480" w:firstLineChars="200"/>
        <w:rPr>
          <w:rFonts w:ascii="仿宋" w:hAnsi="仿宋" w:eastAsia="仿宋" w:cs="仿宋"/>
          <w:b/>
          <w:color w:val="auto"/>
          <w:sz w:val="24"/>
          <w:highlight w:val="none"/>
        </w:rPr>
      </w:pPr>
      <w:r>
        <w:rPr>
          <w:rFonts w:hint="eastAsia" w:ascii="仿宋" w:hAnsi="仿宋" w:eastAsia="仿宋" w:cs="仿宋"/>
          <w:color w:val="auto"/>
          <w:kern w:val="0"/>
          <w:sz w:val="24"/>
          <w:highlight w:val="none"/>
        </w:rPr>
        <w:t xml:space="preserve">13.2 </w:t>
      </w:r>
      <w:r>
        <w:rPr>
          <w:rFonts w:hint="eastAsia" w:ascii="仿宋" w:hAnsi="仿宋" w:eastAsia="仿宋" w:cs="仿宋"/>
          <w:color w:val="auto"/>
          <w:kern w:val="0"/>
          <w:sz w:val="24"/>
          <w:highlight w:val="none"/>
          <w:lang w:val="zh-CN"/>
        </w:rPr>
        <w:t>响应文件分为资格审查文件、资信商务及技术文件、报价文件三部分。各供应商在编制响应文件时请按照采购文件第六部分规定的格式进行，混乱的编排导致响应文件被误读或磋商小组查找不到有效文件是供应商的风险。</w:t>
      </w:r>
    </w:p>
    <w:p>
      <w:pPr>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供应商进行电子投标应安装客户端软件—“政采云电子交易客户端”，并按照采购文件和电子交易平台的要求编制并加密响应文件。</w:t>
      </w:r>
      <w:r>
        <w:rPr>
          <w:rFonts w:hint="eastAsia" w:ascii="仿宋" w:hAnsi="仿宋" w:eastAsia="仿宋" w:cs="仿宋"/>
          <w:b/>
          <w:bCs/>
          <w:color w:val="auto"/>
          <w:sz w:val="24"/>
          <w:highlight w:val="none"/>
          <w:lang w:val="zh-CN"/>
        </w:rPr>
        <w:t>供应商未按规定加密的响应文件，电子交易平台将拒收并提示。</w:t>
      </w:r>
    </w:p>
    <w:p>
      <w:pPr>
        <w:snapToGrid w:val="0"/>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4</w:t>
      </w:r>
      <w:r>
        <w:rPr>
          <w:rFonts w:hint="eastAsia" w:ascii="仿宋" w:hAnsi="仿宋" w:eastAsia="仿宋" w:cs="仿宋"/>
          <w:color w:val="auto"/>
          <w:kern w:val="0"/>
          <w:sz w:val="24"/>
          <w:highlight w:val="none"/>
          <w:lang w:val="zh-CN"/>
        </w:rPr>
        <w:t>使用“政采云电子交易客户端”需要提前申领CA数字证书，申领流程请自行前往“浙江政府采购网-下载专区-电子交易客户端-CA驱动和申领流程”进行查阅。</w:t>
      </w:r>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98" w:name="_Toc32177"/>
      <w:bookmarkStart w:id="99" w:name="_Toc139797611"/>
      <w:bookmarkStart w:id="100" w:name="_Toc7727"/>
      <w:r>
        <w:rPr>
          <w:rFonts w:hint="eastAsia" w:ascii="仿宋" w:hAnsi="仿宋" w:eastAsia="仿宋" w:cs="仿宋"/>
          <w:color w:val="auto"/>
          <w:szCs w:val="20"/>
          <w:highlight w:val="none"/>
          <w:lang w:val="zh-CN"/>
        </w:rPr>
        <w:t>响应文件的签署、盖章</w:t>
      </w:r>
      <w:bookmarkEnd w:id="98"/>
      <w:bookmarkEnd w:id="99"/>
      <w:bookmarkEnd w:id="100"/>
    </w:p>
    <w:p>
      <w:pPr>
        <w:pStyle w:val="139"/>
        <w:snapToGrid w:val="0"/>
        <w:spacing w:before="0"/>
        <w:ind w:firstLine="480"/>
        <w:rPr>
          <w:rFonts w:ascii="仿宋" w:hAnsi="仿宋" w:eastAsia="仿宋" w:cs="仿宋"/>
          <w:b/>
          <w:color w:val="auto"/>
          <w:highlight w:val="none"/>
        </w:rPr>
      </w:pPr>
      <w:r>
        <w:rPr>
          <w:rFonts w:hint="eastAsia" w:ascii="仿宋" w:hAnsi="仿宋" w:eastAsia="仿宋" w:cs="仿宋"/>
          <w:color w:val="auto"/>
          <w:szCs w:val="24"/>
          <w:highlight w:val="none"/>
        </w:rPr>
        <w:t>14.1响应文件按照采购文件第六部分格式要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w:t>
      </w:r>
      <w:r>
        <w:rPr>
          <w:rFonts w:hint="eastAsia" w:ascii="仿宋" w:hAnsi="仿宋" w:eastAsia="仿宋" w:cs="仿宋"/>
          <w:b/>
          <w:bCs/>
          <w:color w:val="auto"/>
          <w:szCs w:val="24"/>
          <w:highlight w:val="none"/>
        </w:rPr>
        <w:t>供应商的响应文件未按照采购文件要求签署、盖章的，其响应文件无效。</w:t>
      </w:r>
    </w:p>
    <w:p>
      <w:pPr>
        <w:pStyle w:val="139"/>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14.2为确保网上操作合法、有效和安全，供应商应当在响应文件提交（上传）截止时间前完成在“政府采购云平台”的身份认证，确保在电子投标过程中能够对相关数据电文进行加密和使用电子签名。</w:t>
      </w:r>
    </w:p>
    <w:p>
      <w:pPr>
        <w:pStyle w:val="139"/>
        <w:snapToGrid w:val="0"/>
        <w:spacing w:before="0"/>
        <w:ind w:firstLine="480"/>
        <w:rPr>
          <w:rFonts w:ascii="仿宋" w:hAnsi="仿宋" w:eastAsia="仿宋" w:cs="仿宋"/>
          <w:color w:val="auto"/>
          <w:szCs w:val="24"/>
          <w:highlight w:val="none"/>
        </w:rPr>
      </w:pPr>
      <w:r>
        <w:rPr>
          <w:rFonts w:hint="eastAsia" w:ascii="仿宋" w:hAnsi="仿宋" w:eastAsia="仿宋" w:cs="仿宋"/>
          <w:color w:val="auto"/>
          <w:highlight w:val="none"/>
        </w:rPr>
        <w:t>14.3采购文件对响应文件签署、盖章的要求适用于电子签名。</w:t>
      </w:r>
    </w:p>
    <w:p>
      <w:pPr>
        <w:pStyle w:val="139"/>
        <w:snapToGrid w:val="0"/>
        <w:spacing w:before="0"/>
        <w:ind w:firstLine="0" w:firstLineChars="0"/>
        <w:rPr>
          <w:rFonts w:ascii="仿宋" w:hAnsi="仿宋" w:eastAsia="仿宋" w:cs="仿宋"/>
          <w:b/>
          <w:color w:val="auto"/>
          <w:szCs w:val="24"/>
          <w:highlight w:val="none"/>
        </w:rPr>
      </w:pPr>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101" w:name="_Toc139797612"/>
      <w:bookmarkStart w:id="102" w:name="_Toc6235"/>
      <w:bookmarkStart w:id="103" w:name="_Toc11782"/>
      <w:r>
        <w:rPr>
          <w:rFonts w:hint="eastAsia" w:ascii="仿宋" w:hAnsi="仿宋" w:eastAsia="仿宋" w:cs="仿宋"/>
          <w:color w:val="auto"/>
          <w:szCs w:val="20"/>
          <w:highlight w:val="none"/>
          <w:lang w:val="zh-CN"/>
        </w:rPr>
        <w:t>响应文件的提交、补充、修改、撤回</w:t>
      </w:r>
      <w:bookmarkEnd w:id="101"/>
      <w:bookmarkEnd w:id="102"/>
      <w:bookmarkEnd w:id="103"/>
    </w:p>
    <w:p>
      <w:pPr>
        <w:pStyle w:val="139"/>
        <w:snapToGrid w:val="0"/>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15.1 供应商应当在响应文件提交（上传）截止时间前完成响应文件的传输递交，并可以补充、修改或者撤回响应文件。补充或者修改响应文件的，应当先行撤回原文件，补充、修改后重新传输递交。响应文件提交（上传）截止时间前未完成传输的，视为撤回响应文件。</w:t>
      </w:r>
      <w:r>
        <w:rPr>
          <w:rFonts w:hint="eastAsia" w:ascii="仿宋" w:hAnsi="仿宋" w:eastAsia="仿宋" w:cs="仿宋"/>
          <w:b/>
          <w:bCs/>
          <w:color w:val="auto"/>
          <w:szCs w:val="24"/>
          <w:highlight w:val="none"/>
        </w:rPr>
        <w:t>响应文件提交（上传）截止时间后递交的响应文件，电子交易平台将拒收。</w:t>
      </w:r>
    </w:p>
    <w:p>
      <w:pPr>
        <w:pStyle w:val="139"/>
        <w:snapToGrid w:val="0"/>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15.2电子交易平台收到响应文件，将妥善保存并即时向供应商发出确认回执通知。在响应文件提交（上传）截止时间前，除供应商补充、修改或者撤回响应文件外，任何单位和个人不得解密或提取响应文件。在响应截止时间以后，不能补充、修改响应文件。</w:t>
      </w:r>
    </w:p>
    <w:p>
      <w:pPr>
        <w:pStyle w:val="139"/>
        <w:snapToGrid w:val="0"/>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15.3 在响应截止时间以后，不能补充、修改响应文件。</w:t>
      </w:r>
    </w:p>
    <w:p>
      <w:pPr>
        <w:pStyle w:val="139"/>
        <w:snapToGrid w:val="0"/>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15.4 在提交“最后报价”后，供应商不能退出磋商。</w:t>
      </w:r>
    </w:p>
    <w:p>
      <w:pPr>
        <w:pStyle w:val="139"/>
        <w:snapToGrid w:val="0"/>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15.5 采购人、采购代理机构可以视情况延长响应文件提交的截止时间。在上述情况下，采购代理机构与供应商以前在响应文件提交截止时间方面的全部权利、责任和义务，将适用于延长至新的响应文件提交截止时间。</w:t>
      </w:r>
    </w:p>
    <w:p>
      <w:pPr>
        <w:pStyle w:val="139"/>
        <w:snapToGrid w:val="0"/>
        <w:spacing w:before="0"/>
        <w:ind w:firstLine="480"/>
        <w:rPr>
          <w:rFonts w:ascii="仿宋" w:hAnsi="仿宋" w:eastAsia="仿宋" w:cs="仿宋"/>
          <w:color w:val="auto"/>
          <w:szCs w:val="24"/>
          <w:highlight w:val="none"/>
        </w:rPr>
      </w:pPr>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104" w:name="_Toc17528"/>
      <w:bookmarkStart w:id="105" w:name="_Toc139797613"/>
      <w:bookmarkStart w:id="106" w:name="_Toc9103"/>
      <w:r>
        <w:rPr>
          <w:rFonts w:hint="eastAsia" w:ascii="仿宋" w:hAnsi="仿宋" w:eastAsia="仿宋" w:cs="仿宋"/>
          <w:color w:val="auto"/>
          <w:szCs w:val="20"/>
          <w:highlight w:val="none"/>
          <w:lang w:val="zh-CN"/>
        </w:rPr>
        <w:t>响应文件的无效处理</w:t>
      </w:r>
      <w:bookmarkEnd w:id="104"/>
      <w:bookmarkEnd w:id="105"/>
      <w:bookmarkEnd w:id="106"/>
    </w:p>
    <w:p>
      <w:pPr>
        <w:pStyle w:val="26"/>
        <w:spacing w:line="360" w:lineRule="auto"/>
        <w:ind w:firstLine="360" w:firstLineChars="150"/>
        <w:rPr>
          <w:rFonts w:ascii="仿宋" w:hAnsi="仿宋" w:eastAsia="仿宋" w:cs="仿宋"/>
          <w:color w:val="auto"/>
          <w:highlight w:val="none"/>
        </w:rPr>
      </w:pPr>
      <w:r>
        <w:rPr>
          <w:rFonts w:hint="eastAsia" w:ascii="仿宋" w:hAnsi="仿宋" w:eastAsia="仿宋" w:cs="仿宋"/>
          <w:color w:val="auto"/>
          <w:highlight w:val="none"/>
        </w:rPr>
        <w:t>有采购文件第七部分4.2规定的情形之一的，响应文件无效：</w:t>
      </w:r>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107" w:name="_Toc139797614"/>
      <w:bookmarkStart w:id="108" w:name="_Toc27328"/>
      <w:bookmarkStart w:id="109" w:name="_Toc23737"/>
      <w:r>
        <w:rPr>
          <w:rFonts w:hint="eastAsia" w:ascii="仿宋" w:hAnsi="仿宋" w:eastAsia="仿宋" w:cs="仿宋"/>
          <w:color w:val="auto"/>
          <w:szCs w:val="20"/>
          <w:highlight w:val="none"/>
          <w:lang w:val="zh-CN"/>
        </w:rPr>
        <w:t>响应文件有效期</w:t>
      </w:r>
      <w:bookmarkEnd w:id="107"/>
      <w:bookmarkEnd w:id="108"/>
      <w:bookmarkEnd w:id="109"/>
    </w:p>
    <w:p>
      <w:pPr>
        <w:spacing w:line="360" w:lineRule="auto"/>
        <w:ind w:firstLine="480" w:firstLineChars="200"/>
        <w:rPr>
          <w:rFonts w:ascii="仿宋" w:hAnsi="仿宋" w:eastAsia="仿宋" w:cs="仿宋"/>
          <w:b/>
          <w:color w:val="auto"/>
          <w:sz w:val="24"/>
          <w:szCs w:val="21"/>
          <w:highlight w:val="none"/>
        </w:rPr>
      </w:pPr>
      <w:r>
        <w:rPr>
          <w:rFonts w:hint="eastAsia" w:ascii="仿宋" w:hAnsi="仿宋" w:eastAsia="仿宋" w:cs="仿宋"/>
          <w:color w:val="auto"/>
          <w:sz w:val="24"/>
          <w:szCs w:val="20"/>
          <w:highlight w:val="none"/>
        </w:rPr>
        <w:t>17.1响应文件有效期为从提交响应文件的截止之日起90天。▲</w:t>
      </w:r>
      <w:r>
        <w:rPr>
          <w:rFonts w:hint="eastAsia" w:ascii="仿宋" w:hAnsi="仿宋" w:eastAsia="仿宋" w:cs="仿宋"/>
          <w:b/>
          <w:color w:val="auto"/>
          <w:sz w:val="24"/>
          <w:szCs w:val="20"/>
          <w:highlight w:val="none"/>
        </w:rPr>
        <w:t>供应商的响应文件中承</w:t>
      </w:r>
      <w:r>
        <w:rPr>
          <w:rFonts w:hint="eastAsia" w:ascii="仿宋" w:hAnsi="仿宋" w:eastAsia="仿宋" w:cs="仿宋"/>
          <w:b/>
          <w:color w:val="auto"/>
          <w:sz w:val="24"/>
          <w:szCs w:val="21"/>
          <w:highlight w:val="none"/>
        </w:rPr>
        <w:t>诺的响应文件有效期少于采购文件中载明的响应文件有效期的，响应文件无效。</w:t>
      </w:r>
    </w:p>
    <w:p>
      <w:pPr>
        <w:pStyle w:val="139"/>
        <w:spacing w:before="0"/>
        <w:ind w:firstLine="480"/>
        <w:rPr>
          <w:rFonts w:ascii="仿宋" w:hAnsi="仿宋" w:eastAsia="仿宋" w:cs="仿宋"/>
          <w:color w:val="auto"/>
          <w:highlight w:val="none"/>
        </w:rPr>
      </w:pPr>
      <w:r>
        <w:rPr>
          <w:rFonts w:hint="eastAsia" w:ascii="仿宋" w:hAnsi="仿宋" w:eastAsia="仿宋" w:cs="仿宋"/>
          <w:color w:val="auto"/>
          <w:highlight w:val="none"/>
        </w:rPr>
        <w:t>17.2响应文件合格投递后，自响应文件提交截止时间起，在响应文件有效期内有效。</w:t>
      </w:r>
    </w:p>
    <w:p>
      <w:pPr>
        <w:pStyle w:val="139"/>
        <w:spacing w:before="0"/>
        <w:ind w:firstLine="480"/>
        <w:rPr>
          <w:rFonts w:ascii="仿宋" w:hAnsi="仿宋" w:eastAsia="仿宋" w:cs="仿宋"/>
          <w:color w:val="auto"/>
          <w:highlight w:val="none"/>
        </w:rPr>
      </w:pPr>
      <w:r>
        <w:rPr>
          <w:rFonts w:hint="eastAsia" w:ascii="仿宋" w:hAnsi="仿宋" w:eastAsia="仿宋" w:cs="仿宋"/>
          <w:color w:val="auto"/>
          <w:highlight w:val="none"/>
        </w:rPr>
        <w:t>17.3在原定响应文件有效期满之前，如果出现特殊情况，采购代理机构可以以书面形式通知供应商延长响应文件有效期。供应商同意延长的，不得要求或被允许修改其响应文件，供应商拒绝延长的，其响应文件无效。</w:t>
      </w:r>
    </w:p>
    <w:p>
      <w:pPr>
        <w:pStyle w:val="59"/>
        <w:widowControl w:val="0"/>
        <w:numPr>
          <w:ilvl w:val="0"/>
          <w:numId w:val="5"/>
        </w:numPr>
        <w:tabs>
          <w:tab w:val="left" w:pos="0"/>
        </w:tabs>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highlight w:val="none"/>
          <w:lang w:val="en-US"/>
        </w:rPr>
      </w:pPr>
      <w:bookmarkStart w:id="110" w:name="_Toc139797615"/>
      <w:bookmarkStart w:id="111" w:name="_Toc23356"/>
      <w:bookmarkStart w:id="112" w:name="_Toc2325"/>
      <w:r>
        <w:rPr>
          <w:rFonts w:hint="eastAsia" w:ascii="仿宋" w:hAnsi="仿宋" w:eastAsia="仿宋" w:cs="仿宋"/>
          <w:bCs/>
          <w:color w:val="auto"/>
          <w:kern w:val="2"/>
          <w:sz w:val="30"/>
          <w:szCs w:val="30"/>
          <w:highlight w:val="none"/>
          <w:lang w:val="en-US"/>
        </w:rPr>
        <w:t>响应文件开启、资格审查与信用信息查询</w:t>
      </w:r>
      <w:bookmarkEnd w:id="110"/>
      <w:bookmarkEnd w:id="111"/>
      <w:bookmarkEnd w:id="112"/>
    </w:p>
    <w:p>
      <w:pPr>
        <w:spacing w:line="360" w:lineRule="auto"/>
        <w:ind w:firstLine="480" w:firstLineChars="200"/>
        <w:rPr>
          <w:rFonts w:ascii="仿宋" w:hAnsi="仿宋" w:eastAsia="仿宋" w:cs="仿宋"/>
          <w:color w:val="auto"/>
          <w:kern w:val="0"/>
          <w:sz w:val="24"/>
          <w:szCs w:val="20"/>
          <w:highlight w:val="none"/>
          <w:lang w:val="zh-CN"/>
        </w:rPr>
      </w:pPr>
      <w:r>
        <w:rPr>
          <w:rFonts w:hint="eastAsia" w:ascii="仿宋" w:hAnsi="仿宋" w:eastAsia="仿宋" w:cs="仿宋"/>
          <w:color w:val="auto"/>
          <w:kern w:val="0"/>
          <w:sz w:val="24"/>
          <w:szCs w:val="20"/>
          <w:highlight w:val="none"/>
          <w:lang w:val="zh-CN"/>
        </w:rPr>
        <w:t>本项目通过政府采购云平台进行开标、资格审查、评审、询标，供应商应当准时在线参加，否则产生的风险由供应商自行承担（供应商务必不要离开电脑太久，并留意手机短信，建议供应商提前做好检查“政府采购云平台”内，关于“项目采购”的岗位权限是否勾选。如有问题，请致电400-881-7190）。</w:t>
      </w:r>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113" w:name="_Toc139797616"/>
      <w:bookmarkStart w:id="114" w:name="_Toc19687"/>
      <w:bookmarkStart w:id="115" w:name="_Toc30271"/>
      <w:r>
        <w:rPr>
          <w:rFonts w:hint="eastAsia" w:ascii="仿宋" w:hAnsi="仿宋" w:eastAsia="仿宋" w:cs="仿宋"/>
          <w:color w:val="auto"/>
          <w:szCs w:val="20"/>
          <w:highlight w:val="none"/>
          <w:lang w:val="zh-CN"/>
        </w:rPr>
        <w:t>响应文件开启</w:t>
      </w:r>
      <w:bookmarkEnd w:id="113"/>
      <w:bookmarkEnd w:id="114"/>
      <w:bookmarkEnd w:id="115"/>
      <w:r>
        <w:rPr>
          <w:rFonts w:hint="eastAsia" w:ascii="仿宋" w:hAnsi="仿宋" w:eastAsia="仿宋" w:cs="仿宋"/>
          <w:color w:val="auto"/>
          <w:szCs w:val="20"/>
          <w:highlight w:val="none"/>
          <w:lang w:val="zh-CN"/>
        </w:rPr>
        <w:t xml:space="preserve"> </w:t>
      </w:r>
    </w:p>
    <w:p>
      <w:pPr>
        <w:pStyle w:val="558"/>
        <w:snapToGrid w:val="0"/>
        <w:spacing w:before="0" w:line="360" w:lineRule="auto"/>
        <w:ind w:left="0" w:firstLine="480" w:firstLineChars="200"/>
        <w:contextualSpacing/>
        <w:rPr>
          <w:rFonts w:ascii="仿宋" w:hAnsi="仿宋" w:eastAsia="仿宋" w:cs="仿宋"/>
          <w:color w:val="auto"/>
          <w:sz w:val="24"/>
          <w:highlight w:val="none"/>
        </w:rPr>
      </w:pPr>
      <w:r>
        <w:rPr>
          <w:rFonts w:hint="eastAsia" w:ascii="仿宋" w:hAnsi="仿宋" w:eastAsia="仿宋" w:cs="仿宋"/>
          <w:color w:val="auto"/>
          <w:sz w:val="24"/>
          <w:highlight w:val="none"/>
        </w:rPr>
        <w:t>18.1采购代理机构按照磋商文件规定的时间通过电子交易平台组织响应文件开启，所有供应商均应当准时在线参加，否则视同认可开启结果，事后不得对采购相关人员、开启过程和开启结果提出质疑。</w:t>
      </w:r>
      <w:r>
        <w:rPr>
          <w:rFonts w:hint="eastAsia" w:ascii="仿宋" w:hAnsi="仿宋" w:eastAsia="仿宋" w:cs="仿宋"/>
          <w:b/>
          <w:bCs/>
          <w:color w:val="auto"/>
          <w:sz w:val="24"/>
          <w:highlight w:val="none"/>
        </w:rPr>
        <w:t>供应商数量不符合规定的，不得开启响应文件。</w:t>
      </w:r>
    </w:p>
    <w:p>
      <w:pPr>
        <w:pStyle w:val="558"/>
        <w:snapToGrid w:val="0"/>
        <w:spacing w:before="0" w:line="360" w:lineRule="auto"/>
        <w:ind w:left="0" w:firstLine="480" w:firstLineChars="200"/>
        <w:contextualSpacing/>
        <w:rPr>
          <w:rFonts w:ascii="仿宋" w:hAnsi="仿宋" w:eastAsia="仿宋" w:cs="仿宋"/>
          <w:color w:val="auto"/>
          <w:sz w:val="24"/>
          <w:highlight w:val="none"/>
        </w:rPr>
      </w:pPr>
      <w:r>
        <w:rPr>
          <w:rFonts w:hint="eastAsia" w:ascii="仿宋" w:hAnsi="仿宋" w:eastAsia="仿宋" w:cs="仿宋"/>
          <w:color w:val="auto"/>
          <w:sz w:val="24"/>
          <w:highlight w:val="none"/>
        </w:rPr>
        <w:t>18.2响应文件开启时，电子交易平台按响应文件开启时间自动提取所有响应文件。采购代理机构依托电子交易平台发起开始解密指令，供应商按照平台提示和采购文件的规定完成在线解密（解密时间为响应文件提交截止时间后30分钟内）。</w:t>
      </w:r>
    </w:p>
    <w:p>
      <w:pPr>
        <w:pStyle w:val="558"/>
        <w:snapToGrid w:val="0"/>
        <w:spacing w:before="0" w:line="360" w:lineRule="auto"/>
        <w:ind w:left="0" w:firstLine="480" w:firstLineChars="200"/>
        <w:contextualSpacing/>
        <w:rPr>
          <w:rFonts w:ascii="仿宋" w:hAnsi="仿宋" w:eastAsia="仿宋" w:cs="仿宋"/>
          <w:color w:val="auto"/>
          <w:sz w:val="24"/>
          <w:highlight w:val="none"/>
        </w:rPr>
      </w:pPr>
      <w:r>
        <w:rPr>
          <w:rFonts w:hint="eastAsia" w:ascii="仿宋" w:hAnsi="仿宋" w:eastAsia="仿宋" w:cs="仿宋"/>
          <w:color w:val="auto"/>
          <w:sz w:val="24"/>
          <w:highlight w:val="none"/>
        </w:rPr>
        <w:t>18.3</w:t>
      </w:r>
      <w:r>
        <w:rPr>
          <w:rFonts w:hint="eastAsia" w:ascii="仿宋" w:hAnsi="仿宋" w:eastAsia="仿宋" w:cs="仿宋"/>
          <w:b/>
          <w:bCs/>
          <w:color w:val="auto"/>
          <w:sz w:val="24"/>
          <w:highlight w:val="none"/>
        </w:rPr>
        <w:t>响应文件未按时解密，供应商提供了备份响应文件的，以备份响应文件作为依据，否则视为响应文件撤回。响应文件已按时解密的，备份响应文件自动失效。</w:t>
      </w:r>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116" w:name="_Toc23679"/>
      <w:bookmarkStart w:id="117" w:name="_Toc139797617"/>
      <w:bookmarkStart w:id="118" w:name="_Toc30068"/>
      <w:r>
        <w:rPr>
          <w:rFonts w:hint="eastAsia" w:ascii="仿宋" w:hAnsi="仿宋" w:eastAsia="仿宋" w:cs="仿宋"/>
          <w:color w:val="auto"/>
          <w:szCs w:val="20"/>
          <w:highlight w:val="none"/>
          <w:lang w:val="zh-CN"/>
        </w:rPr>
        <w:t>资格审查</w:t>
      </w:r>
      <w:bookmarkEnd w:id="116"/>
      <w:bookmarkEnd w:id="117"/>
      <w:bookmarkEnd w:id="118"/>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rPr>
        <w:t>19.1</w:t>
      </w:r>
      <w:r>
        <w:rPr>
          <w:rFonts w:hint="eastAsia" w:ascii="仿宋" w:hAnsi="仿宋" w:eastAsia="仿宋" w:cs="仿宋"/>
          <w:color w:val="auto"/>
          <w:sz w:val="24"/>
          <w:highlight w:val="none"/>
        </w:rPr>
        <w:t>采购人、采购代理机构或磋商小组依据法律法规和采购文件的规定，对供应商的资格进行审查。</w:t>
      </w:r>
    </w:p>
    <w:p>
      <w:pPr>
        <w:pStyle w:val="139"/>
        <w:spacing w:before="0"/>
        <w:ind w:firstLine="480"/>
        <w:rPr>
          <w:rFonts w:ascii="仿宋" w:hAnsi="仿宋" w:eastAsia="仿宋" w:cs="仿宋"/>
          <w:color w:val="auto"/>
          <w:highlight w:val="none"/>
        </w:rPr>
      </w:pPr>
      <w:r>
        <w:rPr>
          <w:rFonts w:hint="eastAsia" w:ascii="仿宋" w:hAnsi="仿宋" w:eastAsia="仿宋" w:cs="仿宋"/>
          <w:color w:val="auto"/>
          <w:kern w:val="0"/>
          <w:szCs w:val="24"/>
          <w:highlight w:val="none"/>
        </w:rPr>
        <w:t>19.2供应商未按照采购文件要求提供与</w:t>
      </w:r>
      <w:r>
        <w:rPr>
          <w:rFonts w:hint="eastAsia" w:ascii="仿宋" w:hAnsi="仿宋" w:eastAsia="仿宋" w:cs="仿宋"/>
          <w:color w:val="auto"/>
          <w:highlight w:val="none"/>
        </w:rPr>
        <w:t>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供应商不具备采购文件中规定的资格要求，其响应文件无效。</w:t>
      </w:r>
    </w:p>
    <w:p>
      <w:pPr>
        <w:pStyle w:val="139"/>
        <w:spacing w:before="0"/>
        <w:ind w:firstLine="480"/>
        <w:rPr>
          <w:rFonts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3对未通过资格审查的供应商，采购人或采购代理机构告知其未通过的原因。</w:t>
      </w:r>
    </w:p>
    <w:p>
      <w:pPr>
        <w:pStyle w:val="139"/>
        <w:spacing w:before="0"/>
        <w:ind w:firstLine="480"/>
        <w:rPr>
          <w:rFonts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4合格供应商不足3家的，不再评审。</w:t>
      </w:r>
    </w:p>
    <w:p>
      <w:pPr>
        <w:spacing w:line="360" w:lineRule="auto"/>
        <w:ind w:left="959" w:leftChars="228" w:hanging="480" w:hangingChars="200"/>
        <w:rPr>
          <w:rFonts w:ascii="仿宋" w:hAnsi="仿宋" w:eastAsia="仿宋" w:cs="仿宋"/>
          <w:color w:val="auto"/>
          <w:sz w:val="24"/>
          <w:highlight w:val="none"/>
        </w:rPr>
      </w:pPr>
      <w:r>
        <w:rPr>
          <w:rFonts w:hint="eastAsia" w:ascii="仿宋" w:hAnsi="仿宋" w:eastAsia="仿宋" w:cs="仿宋"/>
          <w:color w:val="auto"/>
          <w:sz w:val="24"/>
          <w:highlight w:val="none"/>
        </w:rPr>
        <w:t>19.5  ▲资格审查：全部满足下表要求的供应商为合格供应商，否则资格审查不予以通过；</w:t>
      </w:r>
    </w:p>
    <w:tbl>
      <w:tblPr>
        <w:tblStyle w:val="62"/>
        <w:tblW w:w="86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4"/>
        <w:gridCol w:w="2014"/>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ind w:left="-90" w:leftChars="-43" w:right="-101" w:rightChars="-48"/>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2014" w:type="dxa"/>
            <w:vAlign w:val="center"/>
          </w:tcPr>
          <w:p>
            <w:pPr>
              <w:ind w:left="-92" w:leftChars="-44" w:right="-80" w:rightChars="-38"/>
              <w:jc w:val="center"/>
              <w:rPr>
                <w:rFonts w:ascii="仿宋" w:hAnsi="仿宋" w:eastAsia="仿宋" w:cs="仿宋"/>
                <w:color w:val="auto"/>
                <w:sz w:val="24"/>
                <w:highlight w:val="none"/>
              </w:rPr>
            </w:pPr>
            <w:r>
              <w:rPr>
                <w:rFonts w:hint="eastAsia" w:ascii="仿宋" w:hAnsi="仿宋" w:eastAsia="仿宋" w:cs="仿宋"/>
                <w:color w:val="auto"/>
                <w:sz w:val="24"/>
                <w:highlight w:val="none"/>
              </w:rPr>
              <w:t>资格审查内容</w:t>
            </w:r>
          </w:p>
        </w:tc>
        <w:tc>
          <w:tcPr>
            <w:tcW w:w="6051"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审查因素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Merge w:val="restart"/>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2014"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营业执照</w:t>
            </w:r>
          </w:p>
        </w:tc>
        <w:tc>
          <w:tcPr>
            <w:tcW w:w="6051" w:type="dxa"/>
            <w:vAlign w:val="center"/>
          </w:tcPr>
          <w:p>
            <w:pPr>
              <w:ind w:left="-92" w:leftChars="-44" w:firstLine="91" w:firstLineChars="38"/>
              <w:jc w:val="left"/>
              <w:rPr>
                <w:rFonts w:ascii="仿宋" w:hAnsi="仿宋" w:eastAsia="仿宋" w:cs="仿宋"/>
                <w:color w:val="auto"/>
                <w:sz w:val="24"/>
                <w:highlight w:val="none"/>
              </w:rPr>
            </w:pPr>
            <w:r>
              <w:rPr>
                <w:rFonts w:hint="eastAsia" w:ascii="仿宋" w:hAnsi="仿宋" w:eastAsia="仿宋" w:cs="仿宋"/>
                <w:color w:val="auto"/>
                <w:sz w:val="24"/>
                <w:highlight w:val="none"/>
              </w:rPr>
              <w:t>营业期限在有效期内；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Merge w:val="continue"/>
            <w:vAlign w:val="center"/>
          </w:tcPr>
          <w:p>
            <w:pPr>
              <w:jc w:val="center"/>
              <w:rPr>
                <w:rFonts w:ascii="仿宋" w:hAnsi="仿宋" w:eastAsia="仿宋" w:cs="仿宋"/>
                <w:color w:val="auto"/>
                <w:sz w:val="24"/>
                <w:highlight w:val="none"/>
              </w:rPr>
            </w:pPr>
          </w:p>
        </w:tc>
        <w:tc>
          <w:tcPr>
            <w:tcW w:w="2014" w:type="dxa"/>
            <w:vAlign w:val="center"/>
          </w:tcPr>
          <w:p>
            <w:pPr>
              <w:ind w:left="-92" w:leftChars="-44" w:right="-80" w:rightChars="-38"/>
              <w:jc w:val="center"/>
              <w:rPr>
                <w:rFonts w:ascii="仿宋" w:hAnsi="仿宋" w:eastAsia="仿宋" w:cs="仿宋"/>
                <w:color w:val="auto"/>
                <w:sz w:val="24"/>
                <w:highlight w:val="none"/>
              </w:rPr>
            </w:pPr>
            <w:r>
              <w:rPr>
                <w:rFonts w:hint="eastAsia" w:ascii="仿宋" w:hAnsi="仿宋" w:eastAsia="仿宋" w:cs="仿宋"/>
                <w:color w:val="auto"/>
                <w:sz w:val="24"/>
                <w:highlight w:val="none"/>
              </w:rPr>
              <w:t>负责人身份</w:t>
            </w:r>
          </w:p>
        </w:tc>
        <w:tc>
          <w:tcPr>
            <w:tcW w:w="6051" w:type="dxa"/>
            <w:vAlign w:val="center"/>
          </w:tcPr>
          <w:p>
            <w:pPr>
              <w:ind w:left="-92" w:leftChars="-44" w:firstLine="91" w:firstLineChars="38"/>
              <w:jc w:val="left"/>
              <w:rPr>
                <w:rFonts w:ascii="仿宋" w:hAnsi="仿宋" w:eastAsia="仿宋" w:cs="仿宋"/>
                <w:color w:val="auto"/>
                <w:sz w:val="24"/>
                <w:highlight w:val="none"/>
              </w:rPr>
            </w:pPr>
            <w:r>
              <w:rPr>
                <w:rFonts w:hint="eastAsia" w:ascii="仿宋" w:hAnsi="仿宋" w:eastAsia="仿宋" w:cs="仿宋"/>
                <w:color w:val="auto"/>
                <w:sz w:val="24"/>
                <w:highlight w:val="none"/>
              </w:rPr>
              <w:t>1. 负责人身份证正、反面电子文档；</w:t>
            </w:r>
          </w:p>
          <w:p>
            <w:pPr>
              <w:ind w:left="-92" w:leftChars="-44" w:right="-80" w:rightChars="-38" w:firstLine="120" w:firstLineChars="50"/>
              <w:jc w:val="left"/>
              <w:rPr>
                <w:rFonts w:ascii="仿宋" w:hAnsi="仿宋" w:eastAsia="仿宋" w:cs="仿宋"/>
                <w:color w:val="auto"/>
                <w:sz w:val="24"/>
                <w:highlight w:val="none"/>
              </w:rPr>
            </w:pPr>
            <w:r>
              <w:rPr>
                <w:rFonts w:hint="eastAsia" w:ascii="仿宋" w:hAnsi="仿宋" w:eastAsia="仿宋" w:cs="仿宋"/>
                <w:color w:val="auto"/>
                <w:sz w:val="24"/>
                <w:highlight w:val="none"/>
              </w:rPr>
              <w:t>2. 和营业执照上的法定代表人或负责人一致；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Merge w:val="continue"/>
            <w:vAlign w:val="center"/>
          </w:tcPr>
          <w:p>
            <w:pPr>
              <w:jc w:val="center"/>
              <w:rPr>
                <w:rFonts w:ascii="仿宋" w:hAnsi="仿宋" w:eastAsia="仿宋" w:cs="仿宋"/>
                <w:color w:val="auto"/>
                <w:sz w:val="24"/>
                <w:highlight w:val="none"/>
              </w:rPr>
            </w:pPr>
          </w:p>
        </w:tc>
        <w:tc>
          <w:tcPr>
            <w:tcW w:w="2014" w:type="dxa"/>
            <w:vAlign w:val="center"/>
          </w:tcPr>
          <w:p>
            <w:pPr>
              <w:ind w:left="-92" w:leftChars="-44" w:right="-80" w:rightChars="-38"/>
              <w:jc w:val="center"/>
              <w:rPr>
                <w:rFonts w:ascii="仿宋" w:hAnsi="仿宋" w:eastAsia="仿宋" w:cs="仿宋"/>
                <w:color w:val="auto"/>
                <w:sz w:val="24"/>
                <w:highlight w:val="none"/>
              </w:rPr>
            </w:pPr>
            <w:r>
              <w:rPr>
                <w:rFonts w:hint="eastAsia" w:ascii="仿宋" w:hAnsi="仿宋" w:eastAsia="仿宋" w:cs="仿宋"/>
                <w:color w:val="auto"/>
                <w:sz w:val="24"/>
                <w:highlight w:val="none"/>
              </w:rPr>
              <w:t>授权委托书及委托代理人</w:t>
            </w:r>
          </w:p>
        </w:tc>
        <w:tc>
          <w:tcPr>
            <w:tcW w:w="6051" w:type="dxa"/>
            <w:vAlign w:val="center"/>
          </w:tcPr>
          <w:p>
            <w:pPr>
              <w:ind w:left="-92" w:leftChars="-44" w:firstLine="91" w:firstLineChars="38"/>
              <w:jc w:val="left"/>
              <w:rPr>
                <w:rFonts w:ascii="仿宋" w:hAnsi="仿宋" w:eastAsia="仿宋" w:cs="仿宋"/>
                <w:color w:val="auto"/>
                <w:sz w:val="24"/>
                <w:highlight w:val="none"/>
              </w:rPr>
            </w:pPr>
            <w:r>
              <w:rPr>
                <w:rFonts w:hint="eastAsia" w:ascii="仿宋" w:hAnsi="仿宋" w:eastAsia="仿宋" w:cs="仿宋"/>
                <w:color w:val="auto"/>
                <w:sz w:val="24"/>
                <w:highlight w:val="none"/>
              </w:rPr>
              <w:t>1. 是否按授权委托书格式内容填写且盖章；</w:t>
            </w:r>
          </w:p>
          <w:p>
            <w:pPr>
              <w:ind w:left="-92" w:leftChars="-44" w:right="-80" w:rightChars="-38" w:firstLine="120" w:firstLineChars="50"/>
              <w:jc w:val="left"/>
              <w:rPr>
                <w:rFonts w:ascii="仿宋" w:hAnsi="仿宋" w:eastAsia="仿宋" w:cs="仿宋"/>
                <w:color w:val="auto"/>
                <w:sz w:val="24"/>
                <w:highlight w:val="none"/>
              </w:rPr>
            </w:pPr>
            <w:r>
              <w:rPr>
                <w:rFonts w:hint="eastAsia" w:ascii="仿宋" w:hAnsi="仿宋" w:eastAsia="仿宋" w:cs="仿宋"/>
                <w:color w:val="auto"/>
                <w:sz w:val="24"/>
                <w:highlight w:val="none"/>
              </w:rPr>
              <w:t>2. 委托代理人的身份证正、反面电子文档；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2014" w:type="dxa"/>
            <w:vAlign w:val="center"/>
          </w:tcPr>
          <w:p>
            <w:pPr>
              <w:ind w:left="-92" w:leftChars="-44" w:right="-80" w:rightChars="-38"/>
              <w:jc w:val="center"/>
              <w:rPr>
                <w:rFonts w:ascii="仿宋" w:hAnsi="仿宋" w:eastAsia="仿宋" w:cs="仿宋"/>
                <w:color w:val="auto"/>
                <w:sz w:val="24"/>
                <w:highlight w:val="none"/>
              </w:rPr>
            </w:pPr>
            <w:r>
              <w:rPr>
                <w:rFonts w:hint="eastAsia" w:ascii="仿宋" w:hAnsi="仿宋" w:eastAsia="仿宋" w:cs="仿宋"/>
                <w:color w:val="auto"/>
                <w:sz w:val="24"/>
                <w:highlight w:val="none"/>
              </w:rPr>
              <w:t>财务状况报告依法缴纳税收和社会保障资金</w:t>
            </w:r>
          </w:p>
        </w:tc>
        <w:tc>
          <w:tcPr>
            <w:tcW w:w="6051" w:type="dxa"/>
            <w:vAlign w:val="center"/>
          </w:tcPr>
          <w:p>
            <w:pPr>
              <w:rPr>
                <w:rFonts w:ascii="仿宋" w:hAnsi="仿宋" w:eastAsia="仿宋" w:cs="仿宋"/>
                <w:color w:val="auto"/>
                <w:highlight w:val="none"/>
              </w:rPr>
            </w:pPr>
            <w:r>
              <w:rPr>
                <w:rFonts w:hint="eastAsia" w:ascii="仿宋" w:hAnsi="仿宋" w:eastAsia="仿宋" w:cs="仿宋"/>
                <w:color w:val="auto"/>
                <w:sz w:val="24"/>
                <w:highlight w:val="none"/>
              </w:rPr>
              <w:t>是否按《具有良好的财务会计制度、依法缴纳税收和社会保障资金的承诺函》格式填写且盖章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2014" w:type="dxa"/>
            <w:vAlign w:val="center"/>
          </w:tcPr>
          <w:p>
            <w:pPr>
              <w:ind w:left="-92" w:leftChars="-44" w:right="-80" w:rightChars="-38"/>
              <w:jc w:val="center"/>
              <w:rPr>
                <w:rFonts w:ascii="仿宋" w:hAnsi="仿宋" w:eastAsia="仿宋" w:cs="仿宋"/>
                <w:color w:val="auto"/>
                <w:sz w:val="24"/>
                <w:highlight w:val="none"/>
              </w:rPr>
            </w:pPr>
            <w:r>
              <w:rPr>
                <w:rFonts w:hint="eastAsia" w:ascii="仿宋" w:hAnsi="仿宋" w:eastAsia="仿宋" w:cs="仿宋"/>
                <w:color w:val="auto"/>
                <w:sz w:val="24"/>
                <w:highlight w:val="none"/>
              </w:rPr>
              <w:t>履行合同所必需的设备和专业技术能力</w:t>
            </w:r>
          </w:p>
        </w:tc>
        <w:tc>
          <w:tcPr>
            <w:tcW w:w="6051" w:type="dxa"/>
            <w:vAlign w:val="center"/>
          </w:tcPr>
          <w:p>
            <w:pPr>
              <w:ind w:left="13" w:leftChars="6"/>
              <w:rPr>
                <w:rFonts w:ascii="仿宋" w:hAnsi="仿宋" w:eastAsia="仿宋" w:cs="仿宋"/>
                <w:color w:val="auto"/>
                <w:sz w:val="24"/>
                <w:highlight w:val="none"/>
              </w:rPr>
            </w:pPr>
            <w:r>
              <w:rPr>
                <w:rFonts w:hint="eastAsia" w:ascii="仿宋" w:hAnsi="仿宋" w:eastAsia="仿宋" w:cs="仿宋"/>
                <w:color w:val="auto"/>
                <w:sz w:val="24"/>
                <w:highlight w:val="none"/>
              </w:rPr>
              <w:t>是否按《具有履行合同所必需设备和专业技术能力的承诺函》格式填写且盖章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2014"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无重大违法记录</w:t>
            </w:r>
          </w:p>
        </w:tc>
        <w:tc>
          <w:tcPr>
            <w:tcW w:w="6051" w:type="dxa"/>
            <w:vAlign w:val="center"/>
          </w:tcPr>
          <w:p>
            <w:pPr>
              <w:ind w:left="-92" w:leftChars="-44" w:firstLine="91" w:firstLineChars="38"/>
              <w:jc w:val="left"/>
              <w:rPr>
                <w:rFonts w:ascii="仿宋" w:hAnsi="仿宋" w:eastAsia="仿宋" w:cs="仿宋"/>
                <w:color w:val="auto"/>
                <w:sz w:val="24"/>
                <w:highlight w:val="none"/>
              </w:rPr>
            </w:pPr>
            <w:r>
              <w:rPr>
                <w:rFonts w:hint="eastAsia" w:ascii="仿宋" w:hAnsi="仿宋" w:eastAsia="仿宋" w:cs="仿宋"/>
                <w:color w:val="auto"/>
                <w:sz w:val="24"/>
                <w:highlight w:val="none"/>
              </w:rPr>
              <w:t>是否按《无重大违法记录声明书》格式填写且盖章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5</w:t>
            </w:r>
          </w:p>
        </w:tc>
        <w:tc>
          <w:tcPr>
            <w:tcW w:w="2014"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信用信息查询</w:t>
            </w:r>
          </w:p>
        </w:tc>
        <w:tc>
          <w:tcPr>
            <w:tcW w:w="6051" w:type="dxa"/>
            <w:vAlign w:val="center"/>
          </w:tcPr>
          <w:p>
            <w:pPr>
              <w:ind w:left="-92" w:leftChars="-44" w:firstLine="91" w:firstLineChars="38"/>
              <w:jc w:val="left"/>
              <w:rPr>
                <w:rFonts w:ascii="仿宋" w:hAnsi="仿宋" w:eastAsia="仿宋" w:cs="仿宋"/>
                <w:color w:val="auto"/>
                <w:sz w:val="24"/>
                <w:highlight w:val="none"/>
              </w:rPr>
            </w:pPr>
            <w:r>
              <w:rPr>
                <w:rFonts w:hint="eastAsia" w:ascii="仿宋" w:hAnsi="仿宋" w:eastAsia="仿宋" w:cs="仿宋"/>
                <w:color w:val="auto"/>
                <w:sz w:val="24"/>
                <w:highlight w:val="none"/>
              </w:rPr>
              <w:t>1. 查询网址：</w:t>
            </w:r>
          </w:p>
          <w:p>
            <w:pPr>
              <w:ind w:left="-92" w:leftChars="-44" w:firstLine="91" w:firstLineChars="38"/>
              <w:jc w:val="left"/>
              <w:rPr>
                <w:rFonts w:ascii="仿宋" w:hAnsi="仿宋" w:eastAsia="仿宋" w:cs="仿宋"/>
                <w:color w:val="auto"/>
                <w:sz w:val="24"/>
                <w:highlight w:val="none"/>
              </w:rPr>
            </w:pP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 1 \* GB2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⑴</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信用中国（</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76"/>
                <w:rFonts w:hint="eastAsia" w:ascii="仿宋" w:hAnsi="仿宋" w:eastAsia="仿宋" w:cs="仿宋"/>
                <w:color w:val="auto"/>
                <w:sz w:val="24"/>
                <w:szCs w:val="24"/>
                <w:highlight w:val="none"/>
              </w:rPr>
              <w:t>www.creditchina.gov.cn</w:t>
            </w:r>
            <w:r>
              <w:rPr>
                <w:rStyle w:val="76"/>
                <w:rFonts w:hint="eastAsia" w:ascii="仿宋" w:hAnsi="仿宋" w:eastAsia="仿宋" w:cs="仿宋"/>
                <w:color w:val="auto"/>
                <w:sz w:val="24"/>
                <w:szCs w:val="24"/>
                <w:highlight w:val="none"/>
              </w:rPr>
              <w:fldChar w:fldCharType="end"/>
            </w:r>
            <w:r>
              <w:rPr>
                <w:rFonts w:hint="eastAsia" w:ascii="仿宋" w:hAnsi="仿宋" w:eastAsia="仿宋" w:cs="仿宋"/>
                <w:color w:val="auto"/>
                <w:sz w:val="24"/>
                <w:highlight w:val="none"/>
              </w:rPr>
              <w:t>）</w:t>
            </w:r>
          </w:p>
          <w:p>
            <w:pPr>
              <w:ind w:left="-92" w:leftChars="-44" w:firstLine="91" w:firstLineChars="38"/>
              <w:jc w:val="left"/>
              <w:rPr>
                <w:rFonts w:ascii="仿宋" w:hAnsi="仿宋" w:eastAsia="仿宋" w:cs="仿宋"/>
                <w:color w:val="auto"/>
                <w:sz w:val="24"/>
                <w:highlight w:val="none"/>
              </w:rPr>
            </w:pP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 2 \* GB2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⑵</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中国政府采购网（</w:t>
            </w:r>
            <w:r>
              <w:rPr>
                <w:color w:val="auto"/>
                <w:highlight w:val="none"/>
              </w:rPr>
              <w:fldChar w:fldCharType="begin"/>
            </w:r>
            <w:r>
              <w:rPr>
                <w:color w:val="auto"/>
                <w:highlight w:val="none"/>
              </w:rPr>
              <w:instrText xml:space="preserve"> HYPERLINK "http://www.ccgp.gov.cn" </w:instrText>
            </w:r>
            <w:r>
              <w:rPr>
                <w:color w:val="auto"/>
                <w:highlight w:val="none"/>
              </w:rPr>
              <w:fldChar w:fldCharType="separate"/>
            </w:r>
            <w:r>
              <w:rPr>
                <w:rStyle w:val="76"/>
                <w:rFonts w:hint="eastAsia" w:ascii="仿宋" w:hAnsi="仿宋" w:eastAsia="仿宋" w:cs="仿宋"/>
                <w:color w:val="auto"/>
                <w:sz w:val="24"/>
                <w:szCs w:val="24"/>
                <w:highlight w:val="none"/>
              </w:rPr>
              <w:t>www.ccgp.gov.cn</w:t>
            </w:r>
            <w:r>
              <w:rPr>
                <w:rStyle w:val="76"/>
                <w:rFonts w:hint="eastAsia" w:ascii="仿宋" w:hAnsi="仿宋" w:eastAsia="仿宋" w:cs="仿宋"/>
                <w:color w:val="auto"/>
                <w:sz w:val="24"/>
                <w:szCs w:val="24"/>
                <w:highlight w:val="none"/>
              </w:rPr>
              <w:fldChar w:fldCharType="end"/>
            </w:r>
            <w:r>
              <w:rPr>
                <w:rFonts w:hint="eastAsia" w:ascii="仿宋" w:hAnsi="仿宋" w:eastAsia="仿宋" w:cs="仿宋"/>
                <w:color w:val="auto"/>
                <w:sz w:val="24"/>
                <w:highlight w:val="none"/>
              </w:rPr>
              <w:t>）</w:t>
            </w:r>
          </w:p>
          <w:p>
            <w:pPr>
              <w:ind w:left="-92" w:leftChars="-44" w:firstLine="91" w:firstLineChars="38"/>
              <w:jc w:val="left"/>
              <w:rPr>
                <w:rFonts w:ascii="仿宋" w:hAnsi="仿宋" w:eastAsia="仿宋" w:cs="仿宋"/>
                <w:color w:val="auto"/>
                <w:sz w:val="24"/>
                <w:highlight w:val="none"/>
              </w:rPr>
            </w:pPr>
            <w:r>
              <w:rPr>
                <w:rFonts w:hint="eastAsia" w:ascii="仿宋" w:hAnsi="仿宋" w:eastAsia="仿宋" w:cs="仿宋"/>
                <w:color w:val="auto"/>
                <w:sz w:val="24"/>
                <w:highlight w:val="none"/>
              </w:rPr>
              <w:t>2. 核对事项：</w:t>
            </w:r>
          </w:p>
          <w:p>
            <w:pPr>
              <w:ind w:left="-92" w:leftChars="-44" w:firstLine="91" w:firstLineChars="38"/>
              <w:jc w:val="left"/>
              <w:rPr>
                <w:rFonts w:ascii="仿宋" w:hAnsi="仿宋" w:eastAsia="仿宋" w:cs="仿宋"/>
                <w:color w:val="auto"/>
                <w:sz w:val="24"/>
                <w:highlight w:val="none"/>
              </w:rPr>
            </w:pPr>
            <w:r>
              <w:rPr>
                <w:rFonts w:hint="eastAsia" w:ascii="仿宋" w:hAnsi="仿宋" w:eastAsia="仿宋" w:cs="仿宋"/>
                <w:color w:val="auto"/>
                <w:sz w:val="24"/>
                <w:highlight w:val="none"/>
              </w:rPr>
              <w:t>有无被列入失信被执行人、重大税收违法失信主体、政府采购严重违法失信行为记录名单；</w:t>
            </w:r>
          </w:p>
          <w:p>
            <w:pPr>
              <w:ind w:left="-92" w:leftChars="-44" w:firstLine="91" w:firstLineChars="38"/>
              <w:jc w:val="left"/>
              <w:rPr>
                <w:rFonts w:ascii="仿宋" w:hAnsi="仿宋" w:eastAsia="仿宋" w:cs="仿宋"/>
                <w:color w:val="auto"/>
                <w:sz w:val="24"/>
                <w:highlight w:val="none"/>
              </w:rPr>
            </w:pPr>
            <w:r>
              <w:rPr>
                <w:rFonts w:hint="eastAsia" w:ascii="仿宋" w:hAnsi="仿宋" w:eastAsia="仿宋" w:cs="仿宋"/>
                <w:color w:val="auto"/>
                <w:sz w:val="24"/>
                <w:highlight w:val="none"/>
              </w:rPr>
              <w:t>注：信用信息已修复的，以修复后的信息为准。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6</w:t>
            </w:r>
          </w:p>
        </w:tc>
        <w:tc>
          <w:tcPr>
            <w:tcW w:w="2014"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联合体</w:t>
            </w:r>
          </w:p>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（若有）</w:t>
            </w:r>
          </w:p>
        </w:tc>
        <w:tc>
          <w:tcPr>
            <w:tcW w:w="6051" w:type="dxa"/>
            <w:vAlign w:val="center"/>
          </w:tcPr>
          <w:p>
            <w:pPr>
              <w:ind w:left="-92" w:leftChars="-44" w:firstLine="91" w:firstLineChars="38"/>
              <w:jc w:val="left"/>
              <w:rPr>
                <w:rFonts w:ascii="仿宋" w:hAnsi="仿宋" w:eastAsia="仿宋" w:cs="仿宋"/>
                <w:color w:val="auto"/>
                <w:sz w:val="24"/>
                <w:highlight w:val="none"/>
              </w:rPr>
            </w:pPr>
            <w:r>
              <w:rPr>
                <w:rFonts w:hint="eastAsia" w:ascii="仿宋" w:hAnsi="仿宋" w:eastAsia="仿宋" w:cs="仿宋"/>
                <w:color w:val="auto"/>
                <w:sz w:val="24"/>
                <w:highlight w:val="none"/>
              </w:rPr>
              <w:t>1. 是否按联合体协议书格式内容填写且盖章；</w:t>
            </w:r>
          </w:p>
          <w:p>
            <w:pPr>
              <w:ind w:left="-92" w:leftChars="-44" w:firstLine="91" w:firstLineChars="38"/>
              <w:jc w:val="left"/>
              <w:rPr>
                <w:rFonts w:ascii="仿宋" w:hAnsi="仿宋" w:eastAsia="仿宋" w:cs="仿宋"/>
                <w:color w:val="auto"/>
                <w:sz w:val="24"/>
                <w:highlight w:val="none"/>
              </w:rPr>
            </w:pPr>
            <w:r>
              <w:rPr>
                <w:rFonts w:hint="eastAsia" w:ascii="仿宋" w:hAnsi="仿宋" w:eastAsia="仿宋" w:cs="仿宋"/>
                <w:color w:val="auto"/>
                <w:sz w:val="24"/>
                <w:highlight w:val="none"/>
              </w:rPr>
              <w:t>2. 联合体各方资料是否齐全；</w:t>
            </w:r>
          </w:p>
          <w:p>
            <w:pPr>
              <w:ind w:left="347" w:leftChars="-6" w:right="-78" w:rightChars="-37" w:hanging="360" w:hangingChars="150"/>
              <w:jc w:val="left"/>
              <w:rPr>
                <w:rFonts w:ascii="仿宋" w:hAnsi="仿宋" w:eastAsia="仿宋" w:cs="仿宋"/>
                <w:color w:val="auto"/>
                <w:sz w:val="24"/>
                <w:highlight w:val="none"/>
              </w:rPr>
            </w:pPr>
            <w:r>
              <w:rPr>
                <w:rFonts w:hint="eastAsia" w:ascii="仿宋" w:hAnsi="仿宋" w:eastAsia="仿宋" w:cs="仿宋"/>
                <w:color w:val="auto"/>
                <w:sz w:val="24"/>
                <w:highlight w:val="none"/>
              </w:rPr>
              <w:t>3. 联合体各方资料审查内容按上述要求提供，委托书由主办方提供一份。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7</w:t>
            </w:r>
          </w:p>
        </w:tc>
        <w:tc>
          <w:tcPr>
            <w:tcW w:w="2014"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分包意向书（若有）</w:t>
            </w:r>
          </w:p>
        </w:tc>
        <w:tc>
          <w:tcPr>
            <w:tcW w:w="6051" w:type="dxa"/>
            <w:vAlign w:val="center"/>
          </w:tcPr>
          <w:p>
            <w:pPr>
              <w:ind w:left="-92" w:leftChars="-44" w:firstLine="91" w:firstLineChars="38"/>
              <w:jc w:val="left"/>
              <w:rPr>
                <w:rFonts w:ascii="仿宋" w:hAnsi="仿宋" w:eastAsia="仿宋" w:cs="仿宋"/>
                <w:color w:val="auto"/>
                <w:sz w:val="24"/>
                <w:highlight w:val="none"/>
              </w:rPr>
            </w:pPr>
            <w:r>
              <w:rPr>
                <w:rFonts w:hint="eastAsia" w:ascii="仿宋" w:hAnsi="仿宋" w:eastAsia="仿宋" w:cs="仿宋"/>
                <w:color w:val="auto"/>
                <w:sz w:val="24"/>
                <w:highlight w:val="none"/>
              </w:rPr>
              <w:t>是否按分包意向书格式内容填写且盖章；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8</w:t>
            </w:r>
          </w:p>
        </w:tc>
        <w:tc>
          <w:tcPr>
            <w:tcW w:w="2014"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特定资格条件（若有）</w:t>
            </w:r>
          </w:p>
        </w:tc>
        <w:tc>
          <w:tcPr>
            <w:tcW w:w="6051" w:type="dxa"/>
            <w:vAlign w:val="center"/>
          </w:tcPr>
          <w:p>
            <w:pPr>
              <w:ind w:left="-92" w:leftChars="-44" w:firstLine="91" w:firstLineChars="38"/>
              <w:jc w:val="left"/>
              <w:rPr>
                <w:rFonts w:ascii="仿宋" w:hAnsi="仿宋" w:eastAsia="仿宋" w:cs="仿宋"/>
                <w:color w:val="auto"/>
                <w:sz w:val="24"/>
                <w:highlight w:val="none"/>
              </w:rPr>
            </w:pPr>
            <w:r>
              <w:rPr>
                <w:rFonts w:hint="eastAsia" w:ascii="仿宋" w:hAnsi="仿宋" w:eastAsia="仿宋" w:cs="仿宋"/>
                <w:color w:val="auto"/>
                <w:sz w:val="24"/>
                <w:highlight w:val="none"/>
              </w:rPr>
              <w:t>提供特定资格条件相关证书电子文档。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9</w:t>
            </w:r>
          </w:p>
        </w:tc>
        <w:tc>
          <w:tcPr>
            <w:tcW w:w="2014"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企业类型声明函</w:t>
            </w:r>
          </w:p>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（专门面向中小企业提供）</w:t>
            </w:r>
          </w:p>
        </w:tc>
        <w:tc>
          <w:tcPr>
            <w:tcW w:w="6051" w:type="dxa"/>
            <w:vAlign w:val="center"/>
          </w:tcPr>
          <w:p>
            <w:pPr>
              <w:ind w:left="-92" w:leftChars="-44" w:firstLine="91" w:firstLineChars="38"/>
              <w:jc w:val="left"/>
              <w:rPr>
                <w:rFonts w:ascii="仿宋" w:hAnsi="仿宋" w:eastAsia="仿宋" w:cs="仿宋"/>
                <w:color w:val="auto"/>
                <w:sz w:val="24"/>
                <w:highlight w:val="none"/>
              </w:rPr>
            </w:pPr>
            <w:r>
              <w:rPr>
                <w:rFonts w:hint="eastAsia" w:ascii="仿宋" w:hAnsi="仿宋" w:eastAsia="仿宋" w:cs="仿宋"/>
                <w:color w:val="auto"/>
                <w:sz w:val="24"/>
                <w:highlight w:val="none"/>
              </w:rPr>
              <w:t>是否按声明书格式内容填写且盖章；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669" w:type="dxa"/>
            <w:gridSpan w:val="3"/>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rPr>
              <w:t>注：以上资料内容须清晰可辨，模糊不清造成资格审查不予以通过，由供应商自行负责；</w:t>
            </w:r>
          </w:p>
        </w:tc>
      </w:tr>
    </w:tbl>
    <w:p>
      <w:pPr>
        <w:spacing w:line="360" w:lineRule="auto"/>
        <w:ind w:left="960" w:hanging="960" w:hangingChars="400"/>
        <w:rPr>
          <w:rFonts w:ascii="仿宋" w:hAnsi="仿宋" w:eastAsia="仿宋" w:cs="仿宋"/>
          <w:color w:val="auto"/>
          <w:sz w:val="24"/>
          <w:highlight w:val="none"/>
        </w:rPr>
      </w:pPr>
    </w:p>
    <w:p>
      <w:pPr>
        <w:spacing w:line="360" w:lineRule="auto"/>
        <w:ind w:left="959" w:leftChars="114" w:hanging="720" w:hangingChars="300"/>
        <w:rPr>
          <w:rFonts w:ascii="仿宋" w:hAnsi="仿宋" w:eastAsia="仿宋" w:cs="仿宋"/>
          <w:color w:val="auto"/>
          <w:sz w:val="24"/>
          <w:highlight w:val="none"/>
        </w:rPr>
      </w:pPr>
      <w:r>
        <w:rPr>
          <w:rFonts w:hint="eastAsia" w:ascii="仿宋" w:hAnsi="仿宋" w:eastAsia="仿宋" w:cs="仿宋"/>
          <w:color w:val="auto"/>
          <w:sz w:val="24"/>
          <w:highlight w:val="none"/>
        </w:rPr>
        <w:t>19.6 供应商家数要求</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 1 \* GB2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⑴</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因市场竞争不充分的科研项目以及需要扶持的科技成果转化项目提交最后报价的供应商可以为2家；</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 2 \* GB2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⑵</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政府购买服务项目（含政府和社会资格合作项目）在符合性审查、提交最后报价过程中，符合要求的供应商只有2家的，采购活动可以继续进行；</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 3 \* GB2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⑶</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上述2种情形除外，采购过程中有效供应商均不得少于3家，否则不得进入评审，并按相关规定重新组织采购。</w:t>
      </w:r>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119" w:name="_Toc19923"/>
      <w:bookmarkStart w:id="120" w:name="_Toc139797618"/>
      <w:bookmarkStart w:id="121" w:name="_Toc29616"/>
      <w:r>
        <w:rPr>
          <w:rFonts w:hint="eastAsia" w:ascii="仿宋" w:hAnsi="仿宋" w:eastAsia="仿宋" w:cs="仿宋"/>
          <w:color w:val="auto"/>
          <w:szCs w:val="20"/>
          <w:highlight w:val="none"/>
          <w:lang w:val="zh-CN"/>
        </w:rPr>
        <w:t>信用信息查询</w:t>
      </w:r>
      <w:bookmarkEnd w:id="119"/>
      <w:bookmarkEnd w:id="120"/>
      <w:bookmarkEnd w:id="121"/>
    </w:p>
    <w:p>
      <w:pPr>
        <w:pStyle w:val="139"/>
        <w:spacing w:before="0"/>
        <w:ind w:firstLine="495" w:firstLineChars="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20.1信用信息查询渠道及截止时间：采购代理机构将在资格审查时通过“信用中国”网站(www.creditchina.gov.cn)、中国政府采购网(www.ccgp.gov.cn)渠道查询供应商接受资格审查时的信用记录。</w:t>
      </w:r>
    </w:p>
    <w:p>
      <w:pPr>
        <w:pStyle w:val="139"/>
        <w:spacing w:before="0"/>
        <w:ind w:firstLine="495" w:firstLineChars="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20.2信用信息查询记录和证据留存的具体方式：现场查询的供应商的信用记录、查询结果经确认后将与采购文件一起存档。</w:t>
      </w:r>
    </w:p>
    <w:p>
      <w:pPr>
        <w:pStyle w:val="139"/>
        <w:spacing w:before="0"/>
        <w:ind w:firstLine="495" w:firstLineChars="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20.3信用信息的使用规则：经查询列入失信被执行人名单、重大税收违法失信主体、政府采购严重违法失信行为记录名单的供应商将被拒绝参与政府采购活动。</w:t>
      </w:r>
    </w:p>
    <w:p>
      <w:pPr>
        <w:pStyle w:val="139"/>
        <w:spacing w:before="0"/>
        <w:ind w:firstLine="480"/>
        <w:rPr>
          <w:rFonts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pPr>
        <w:pStyle w:val="59"/>
        <w:widowControl w:val="0"/>
        <w:numPr>
          <w:ilvl w:val="0"/>
          <w:numId w:val="5"/>
        </w:numPr>
        <w:tabs>
          <w:tab w:val="left" w:pos="0"/>
        </w:tabs>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highlight w:val="none"/>
          <w:lang w:val="en-US"/>
        </w:rPr>
      </w:pPr>
      <w:bookmarkStart w:id="122" w:name="_Toc139797619"/>
      <w:bookmarkStart w:id="123" w:name="_Toc28621"/>
      <w:bookmarkStart w:id="124" w:name="_Toc21891"/>
      <w:r>
        <w:rPr>
          <w:rFonts w:hint="eastAsia" w:ascii="仿宋" w:hAnsi="仿宋" w:eastAsia="仿宋" w:cs="仿宋"/>
          <w:bCs/>
          <w:color w:val="auto"/>
          <w:kern w:val="2"/>
          <w:sz w:val="30"/>
          <w:szCs w:val="30"/>
          <w:highlight w:val="none"/>
          <w:lang w:val="en-US"/>
        </w:rPr>
        <w:t>评审</w:t>
      </w:r>
      <w:bookmarkEnd w:id="122"/>
      <w:bookmarkEnd w:id="123"/>
      <w:bookmarkEnd w:id="124"/>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125" w:name="_Toc139797620"/>
      <w:bookmarkStart w:id="126" w:name="_Toc16744"/>
      <w:bookmarkStart w:id="127" w:name="_Toc3560"/>
      <w:bookmarkStart w:id="128" w:name="_Toc91899903"/>
      <w:r>
        <w:rPr>
          <w:rFonts w:hint="eastAsia" w:ascii="仿宋" w:hAnsi="仿宋" w:eastAsia="仿宋" w:cs="仿宋"/>
          <w:color w:val="auto"/>
          <w:szCs w:val="20"/>
          <w:highlight w:val="none"/>
          <w:lang w:val="zh-CN"/>
        </w:rPr>
        <w:t>评审办法</w:t>
      </w:r>
      <w:bookmarkEnd w:id="125"/>
      <w:bookmarkEnd w:id="126"/>
      <w:bookmarkEnd w:id="127"/>
    </w:p>
    <w:p>
      <w:pPr>
        <w:spacing w:line="360" w:lineRule="auto"/>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磋商小组将根据采购文件和有关规定，履行评审工作职责，并按照评审方法及评分标准，全面衡量各供应商对采购文件的响应情况。对实质上响应采购文件的供应商</w:t>
      </w:r>
      <w:r>
        <w:rPr>
          <w:rFonts w:hint="eastAsia" w:ascii="仿宋" w:hAnsi="仿宋" w:eastAsia="仿宋" w:cs="仿宋"/>
          <w:color w:val="auto"/>
          <w:kern w:val="0"/>
          <w:sz w:val="24"/>
          <w:highlight w:val="none"/>
        </w:rPr>
        <w:t>，按照评审得分由高到低顺序推荐3名成交候选供应商，并编写评审报告。符合</w:t>
      </w:r>
      <w:r>
        <w:rPr>
          <w:rFonts w:hint="eastAsia" w:ascii="仿宋" w:hAnsi="仿宋" w:eastAsia="仿宋" w:cs="仿宋"/>
          <w:color w:val="auto"/>
          <w:sz w:val="24"/>
          <w:highlight w:val="none"/>
        </w:rPr>
        <w:t>财库〔2014〕214号</w:t>
      </w:r>
      <w:r>
        <w:rPr>
          <w:rFonts w:hint="eastAsia" w:ascii="仿宋" w:hAnsi="仿宋" w:eastAsia="仿宋" w:cs="仿宋"/>
          <w:color w:val="auto"/>
          <w:kern w:val="0"/>
          <w:sz w:val="24"/>
          <w:highlight w:val="none"/>
        </w:rPr>
        <w:t>第二十一条第三款情形的，可以推荐2家成交候选供应商。评审得分相同的，按照最后报价由低到高的顺序推荐。评审得分且最后报价相同的，按照技术指标优劣顺序推荐。</w:t>
      </w:r>
      <w:r>
        <w:rPr>
          <w:rFonts w:hint="eastAsia" w:ascii="仿宋" w:hAnsi="仿宋" w:eastAsia="仿宋" w:cs="仿宋"/>
          <w:b/>
          <w:color w:val="auto"/>
          <w:sz w:val="24"/>
          <w:highlight w:val="none"/>
        </w:rPr>
        <w:t>详见采购文件第七部分评审办法。</w:t>
      </w:r>
    </w:p>
    <w:p>
      <w:pPr>
        <w:pStyle w:val="59"/>
        <w:widowControl w:val="0"/>
        <w:numPr>
          <w:ilvl w:val="0"/>
          <w:numId w:val="5"/>
        </w:numPr>
        <w:tabs>
          <w:tab w:val="left" w:pos="0"/>
        </w:tabs>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highlight w:val="none"/>
          <w:lang w:val="en-US"/>
        </w:rPr>
      </w:pPr>
      <w:bookmarkStart w:id="129" w:name="_Toc6572"/>
      <w:bookmarkStart w:id="130" w:name="_Toc139797621"/>
      <w:bookmarkStart w:id="131" w:name="_Toc12494"/>
      <w:r>
        <w:rPr>
          <w:rFonts w:hint="eastAsia" w:ascii="仿宋" w:hAnsi="仿宋" w:eastAsia="仿宋" w:cs="仿宋"/>
          <w:bCs/>
          <w:color w:val="auto"/>
          <w:kern w:val="2"/>
          <w:sz w:val="30"/>
          <w:szCs w:val="30"/>
          <w:highlight w:val="none"/>
          <w:lang w:val="en-US"/>
        </w:rPr>
        <w:t>成交供应商确定</w:t>
      </w:r>
      <w:bookmarkEnd w:id="129"/>
      <w:bookmarkEnd w:id="130"/>
      <w:bookmarkEnd w:id="131"/>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132" w:name="_Toc3731"/>
      <w:bookmarkStart w:id="133" w:name="_Toc139797622"/>
      <w:bookmarkStart w:id="134" w:name="_Toc29384"/>
      <w:r>
        <w:rPr>
          <w:rFonts w:hint="eastAsia" w:ascii="仿宋" w:hAnsi="仿宋" w:eastAsia="仿宋" w:cs="仿宋"/>
          <w:color w:val="auto"/>
          <w:szCs w:val="20"/>
          <w:highlight w:val="none"/>
          <w:lang w:val="zh-CN"/>
        </w:rPr>
        <w:t>确定成交供应商</w:t>
      </w:r>
      <w:bookmarkEnd w:id="132"/>
      <w:bookmarkEnd w:id="133"/>
      <w:bookmarkEnd w:id="134"/>
    </w:p>
    <w:p>
      <w:pPr>
        <w:pStyle w:val="139"/>
        <w:snapToGrid w:val="0"/>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22.1政府采购项目实行全流程电子化，评审报告送交、采购结果确定和结果公告均在线完成。采购代理机构在评审结束后2个工作日内将评审报告提交采购人确认，成交通知书和成交结果公告应当在规定时间内同时发出。</w:t>
      </w:r>
    </w:p>
    <w:p>
      <w:pPr>
        <w:pStyle w:val="139"/>
        <w:snapToGrid w:val="0"/>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22.2 采购人应当自收到评审报告之日起5个工作日内，在评审报告确定的成交候选人名单中按顺序确定成交人；</w:t>
      </w:r>
    </w:p>
    <w:p>
      <w:pPr>
        <w:pStyle w:val="139"/>
        <w:snapToGrid w:val="0"/>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22.3 采购人在收到评审报告5个工作日内未按评审报告推荐的成交候选人顺序确定成交人，又不能说明合法理由的，视同按评审报告推荐的顺序确定排名第一的成交候选人为成交人；</w:t>
      </w:r>
    </w:p>
    <w:p>
      <w:pPr>
        <w:pStyle w:val="139"/>
        <w:snapToGrid w:val="0"/>
        <w:spacing w:before="0"/>
        <w:ind w:firstLine="480"/>
        <w:rPr>
          <w:rFonts w:ascii="仿宋" w:hAnsi="仿宋" w:eastAsia="仿宋" w:cs="仿宋"/>
          <w:b/>
          <w:color w:val="auto"/>
          <w:szCs w:val="24"/>
          <w:highlight w:val="none"/>
        </w:rPr>
      </w:pPr>
      <w:r>
        <w:rPr>
          <w:rFonts w:hint="eastAsia" w:ascii="仿宋" w:hAnsi="仿宋" w:eastAsia="仿宋" w:cs="仿宋"/>
          <w:color w:val="auto"/>
          <w:szCs w:val="24"/>
          <w:highlight w:val="none"/>
        </w:rPr>
        <w:t>22.4 成交人拒绝与采购人签订合同的，采购人可以按照评审报告推荐的成交人名单排序，确定下一候选人为成交人，也可以重新开展政府采购活动。</w:t>
      </w:r>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135" w:name="_Toc18422"/>
      <w:bookmarkStart w:id="136" w:name="_Toc139797623"/>
      <w:bookmarkStart w:id="137" w:name="_Toc16393"/>
      <w:r>
        <w:rPr>
          <w:rFonts w:hint="eastAsia" w:ascii="仿宋" w:hAnsi="仿宋" w:eastAsia="仿宋" w:cs="仿宋"/>
          <w:color w:val="auto"/>
          <w:szCs w:val="20"/>
          <w:highlight w:val="none"/>
          <w:lang w:val="zh-CN"/>
        </w:rPr>
        <w:t>成交通知与成交结果公告</w:t>
      </w:r>
      <w:bookmarkEnd w:id="135"/>
      <w:bookmarkEnd w:id="136"/>
      <w:bookmarkEnd w:id="137"/>
    </w:p>
    <w:p>
      <w:pPr>
        <w:widowControl/>
        <w:shd w:val="clear" w:color="auto" w:fill="FFFFFF"/>
        <w:spacing w:line="360" w:lineRule="auto"/>
        <w:ind w:firstLine="480"/>
        <w:jc w:val="left"/>
        <w:rPr>
          <w:rFonts w:ascii="仿宋" w:hAnsi="仿宋" w:eastAsia="仿宋" w:cs="仿宋"/>
          <w:color w:val="auto"/>
          <w:sz w:val="24"/>
          <w:highlight w:val="none"/>
        </w:rPr>
      </w:pPr>
      <w:r>
        <w:rPr>
          <w:rFonts w:hint="eastAsia" w:ascii="仿宋" w:hAnsi="仿宋" w:eastAsia="仿宋" w:cs="仿宋"/>
          <w:color w:val="auto"/>
          <w:sz w:val="24"/>
          <w:highlight w:val="none"/>
        </w:rPr>
        <w:t>23.1自成交供应商确定之日起1个工作日内，采购代理机构通过电子交易平台向成交供应商发出成交通知书，同时编制发布采购结果公告。采购代理机构也可以以纸质形式进行成交通知；</w:t>
      </w:r>
    </w:p>
    <w:p>
      <w:pPr>
        <w:widowControl/>
        <w:shd w:val="clear" w:color="auto" w:fill="FFFFFF"/>
        <w:spacing w:line="360" w:lineRule="auto"/>
        <w:ind w:firstLine="480"/>
        <w:jc w:val="left"/>
        <w:rPr>
          <w:rFonts w:ascii="仿宋" w:hAnsi="仿宋" w:eastAsia="仿宋" w:cs="仿宋"/>
          <w:color w:val="auto"/>
          <w:sz w:val="24"/>
          <w:highlight w:val="none"/>
        </w:rPr>
      </w:pPr>
      <w:r>
        <w:rPr>
          <w:rFonts w:hint="eastAsia" w:ascii="仿宋" w:hAnsi="仿宋" w:eastAsia="仿宋" w:cs="仿宋"/>
          <w:color w:val="auto"/>
          <w:sz w:val="24"/>
          <w:highlight w:val="none"/>
        </w:rPr>
        <w:t>23.2成交结果公告内容包括采购人及其委托的采购代理机构的名称、地址、联系方式，项目名称和项目编号，成交供应商名称、地址和成交金额，主要成交标的的名称、规格型号、数量、单价、服务要求，开标记录、资格审查情况、评审专家抽取规则、符合性审查情况、未成交情况说明、成交结果公告期限以及评审专家名单、评分汇总及明细；</w:t>
      </w:r>
    </w:p>
    <w:p>
      <w:pPr>
        <w:widowControl/>
        <w:shd w:val="clear" w:color="auto" w:fill="FFFFFF"/>
        <w:spacing w:line="360" w:lineRule="auto"/>
        <w:ind w:firstLine="480"/>
        <w:jc w:val="left"/>
        <w:rPr>
          <w:rFonts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pPr>
        <w:spacing w:line="360" w:lineRule="auto"/>
        <w:ind w:left="959" w:leftChars="228" w:hanging="480" w:hangingChars="200"/>
        <w:rPr>
          <w:rFonts w:ascii="仿宋" w:hAnsi="仿宋" w:eastAsia="仿宋" w:cs="仿宋"/>
          <w:color w:val="auto"/>
          <w:sz w:val="24"/>
          <w:highlight w:val="none"/>
        </w:rPr>
      </w:pPr>
      <w:r>
        <w:rPr>
          <w:rFonts w:hint="eastAsia" w:ascii="仿宋" w:hAnsi="仿宋" w:eastAsia="仿宋" w:cs="仿宋"/>
          <w:color w:val="auto"/>
          <w:sz w:val="24"/>
          <w:highlight w:val="none"/>
        </w:rPr>
        <w:t>23.4采购代理机构将在成交结果公告中附成交通知书，视同向成交人发出</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成交通知书，同时成交人应在成交结果公告发布后签订合同前，赴政府采购代理机构项目负责人处领取书面成交通知书；</w:t>
      </w:r>
    </w:p>
    <w:p>
      <w:pPr>
        <w:spacing w:line="360" w:lineRule="auto"/>
        <w:ind w:left="959" w:leftChars="228" w:hanging="480" w:hangingChars="200"/>
        <w:rPr>
          <w:rFonts w:ascii="仿宋" w:hAnsi="仿宋" w:eastAsia="仿宋" w:cs="仿宋"/>
          <w:color w:val="auto"/>
          <w:sz w:val="24"/>
          <w:highlight w:val="none"/>
        </w:rPr>
      </w:pPr>
      <w:r>
        <w:rPr>
          <w:rFonts w:hint="eastAsia" w:ascii="仿宋" w:hAnsi="仿宋" w:eastAsia="仿宋" w:cs="仿宋"/>
          <w:color w:val="auto"/>
          <w:sz w:val="24"/>
          <w:highlight w:val="none"/>
        </w:rPr>
        <w:t>23.5成交通知书发出后，采购人不得改变成交结果，成交人无正当理由不</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得放弃成交。否则将作为不良行为记录上报财政部门，由财政部门按相关法律法规给予处理。</w:t>
      </w:r>
    </w:p>
    <w:p>
      <w:pPr>
        <w:pStyle w:val="59"/>
        <w:widowControl w:val="0"/>
        <w:numPr>
          <w:ilvl w:val="0"/>
          <w:numId w:val="5"/>
        </w:numPr>
        <w:tabs>
          <w:tab w:val="left" w:pos="0"/>
        </w:tabs>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highlight w:val="none"/>
          <w:lang w:val="en-US"/>
        </w:rPr>
      </w:pPr>
      <w:bookmarkStart w:id="138" w:name="_Toc24564"/>
      <w:bookmarkStart w:id="139" w:name="_Toc139797624"/>
      <w:bookmarkStart w:id="140" w:name="_Toc9513"/>
      <w:r>
        <w:rPr>
          <w:rFonts w:hint="eastAsia" w:ascii="仿宋" w:hAnsi="仿宋" w:eastAsia="仿宋" w:cs="仿宋"/>
          <w:bCs/>
          <w:color w:val="auto"/>
          <w:kern w:val="2"/>
          <w:sz w:val="30"/>
          <w:szCs w:val="30"/>
          <w:highlight w:val="none"/>
          <w:lang w:val="en-US"/>
        </w:rPr>
        <w:t>合同授予</w:t>
      </w:r>
      <w:bookmarkEnd w:id="138"/>
      <w:bookmarkEnd w:id="139"/>
      <w:bookmarkEnd w:id="140"/>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141" w:name="_Toc26167"/>
      <w:bookmarkStart w:id="142" w:name="_Toc139797625"/>
      <w:bookmarkStart w:id="143" w:name="_Toc15311"/>
      <w:r>
        <w:rPr>
          <w:rFonts w:hint="eastAsia" w:ascii="仿宋" w:hAnsi="仿宋" w:eastAsia="仿宋" w:cs="仿宋"/>
          <w:color w:val="auto"/>
          <w:szCs w:val="20"/>
          <w:highlight w:val="none"/>
          <w:lang w:val="zh-CN"/>
        </w:rPr>
        <w:t>合同的签订</w:t>
      </w:r>
      <w:bookmarkEnd w:id="141"/>
      <w:bookmarkEnd w:id="142"/>
      <w:bookmarkEnd w:id="143"/>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24.1合同主要条款详见第五部分拟签订的合同文本；</w:t>
      </w:r>
    </w:p>
    <w:p>
      <w:pPr>
        <w:widowControl/>
        <w:shd w:val="clear" w:color="auto" w:fill="FFFFFF"/>
        <w:snapToGrid w:val="0"/>
        <w:spacing w:line="360" w:lineRule="auto"/>
        <w:ind w:firstLine="48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24.2</w:t>
      </w:r>
      <w:r>
        <w:rPr>
          <w:rFonts w:hint="eastAsia" w:ascii="仿宋" w:hAnsi="仿宋" w:eastAsia="仿宋" w:cs="仿宋"/>
          <w:color w:val="auto"/>
          <w:kern w:val="0"/>
          <w:sz w:val="24"/>
          <w:highlight w:val="none"/>
        </w:rPr>
        <w:t xml:space="preserve"> 采购人与成交供应商应当通过电子交易平台在成交通知书发出之日起三十日内，按照采购文件确定的事项签订政府采购合同，并在签订之日起2个工作日内将政府采购合同在浙江政府采购网上公告。鼓励有条件的采购人视情缩减采购合同签订时限，提高采购效率，杜绝“冷、硬、横、推”等不当行为。</w:t>
      </w:r>
    </w:p>
    <w:p>
      <w:pPr>
        <w:pStyle w:val="139"/>
        <w:snapToGrid w:val="0"/>
        <w:spacing w:before="0"/>
        <w:ind w:firstLine="480"/>
        <w:rPr>
          <w:rFonts w:ascii="仿宋" w:hAnsi="仿宋" w:eastAsia="仿宋" w:cs="仿宋"/>
          <w:color w:val="auto"/>
          <w:kern w:val="0"/>
          <w:highlight w:val="none"/>
        </w:rPr>
      </w:pPr>
      <w:r>
        <w:rPr>
          <w:rFonts w:hint="eastAsia" w:ascii="仿宋" w:hAnsi="仿宋" w:eastAsia="仿宋" w:cs="仿宋"/>
          <w:color w:val="auto"/>
          <w:kern w:val="0"/>
          <w:highlight w:val="none"/>
          <w:lang w:val="zh-CN"/>
        </w:rPr>
        <w:t>2</w:t>
      </w:r>
      <w:r>
        <w:rPr>
          <w:rFonts w:hint="eastAsia" w:ascii="仿宋" w:hAnsi="仿宋" w:eastAsia="仿宋" w:cs="仿宋"/>
          <w:color w:val="auto"/>
          <w:kern w:val="0"/>
          <w:highlight w:val="none"/>
        </w:rPr>
        <w:t>4.3</w:t>
      </w:r>
      <w:r>
        <w:rPr>
          <w:rFonts w:hint="eastAsia" w:ascii="仿宋" w:hAnsi="仿宋" w:eastAsia="仿宋" w:cs="仿宋"/>
          <w:color w:val="auto"/>
          <w:kern w:val="0"/>
          <w:highlight w:val="none"/>
          <w:lang w:val="zh-CN"/>
        </w:rPr>
        <w:t>成交供应商按规定的日期、时间、地点，由法定代表人或其授权代表与采购人代表签订合同。如成交供应商为联合体的，由联合体成员各方法定代表人或其授权代表与采购人代表签订合同。</w:t>
      </w:r>
    </w:p>
    <w:p>
      <w:pPr>
        <w:pStyle w:val="139"/>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24.4如签订合同并生效后，供应商无故拒绝或延期，除按照合同条款处理外，列入不良行为记录一次，并给予通报。</w:t>
      </w:r>
    </w:p>
    <w:p>
      <w:pPr>
        <w:pStyle w:val="139"/>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24.5成交供应商拒绝与采购人签订合同的，采购人可以按照《政府采购竞争性磋商采购方式管理暂行办法》第二十八条第二款规定的原则确定其他供应商作为成交供应商并签订政府采购合同，也可以重新开展政府采购活动。拒绝与采购人签订合同的成交供应商应承担采购代理服务费、评审专家劳务报酬等相关费用。拒绝签订政府采购合同的成交供应商不得参加对该项目重新开展的采购活动。</w:t>
      </w:r>
    </w:p>
    <w:p>
      <w:pPr>
        <w:pStyle w:val="139"/>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24.6采购合同由采购人与成交供应商根据采购文件、响应文件等内容通过政府采购电子交易平台在线签订，自动备案。</w:t>
      </w:r>
    </w:p>
    <w:p>
      <w:pPr>
        <w:pStyle w:val="139"/>
        <w:snapToGrid w:val="0"/>
        <w:spacing w:before="0"/>
        <w:ind w:firstLine="480"/>
        <w:rPr>
          <w:rFonts w:ascii="仿宋" w:hAnsi="仿宋" w:eastAsia="仿宋" w:cs="仿宋"/>
          <w:color w:val="auto"/>
          <w:highlight w:val="none"/>
        </w:rPr>
      </w:pPr>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144" w:name="_Toc22701"/>
      <w:bookmarkStart w:id="145" w:name="_Toc139797626"/>
      <w:bookmarkStart w:id="146" w:name="_Toc24508"/>
      <w:r>
        <w:rPr>
          <w:rFonts w:hint="eastAsia" w:ascii="仿宋" w:hAnsi="仿宋" w:eastAsia="仿宋" w:cs="仿宋"/>
          <w:color w:val="auto"/>
          <w:szCs w:val="20"/>
          <w:highlight w:val="none"/>
          <w:lang w:val="zh-CN"/>
        </w:rPr>
        <w:t>履约保证金</w:t>
      </w:r>
      <w:bookmarkEnd w:id="144"/>
      <w:bookmarkEnd w:id="145"/>
      <w:bookmarkEnd w:id="146"/>
    </w:p>
    <w:p>
      <w:pPr>
        <w:spacing w:line="360" w:lineRule="auto"/>
        <w:ind w:left="959" w:leftChars="228" w:hanging="480" w:hangingChars="200"/>
        <w:rPr>
          <w:rFonts w:ascii="仿宋" w:hAnsi="仿宋" w:eastAsia="仿宋" w:cs="仿宋"/>
          <w:color w:val="auto"/>
          <w:sz w:val="24"/>
          <w:highlight w:val="none"/>
        </w:rPr>
      </w:pPr>
      <w:r>
        <w:rPr>
          <w:rFonts w:hint="eastAsia" w:ascii="仿宋" w:hAnsi="仿宋" w:eastAsia="仿宋" w:cs="仿宋"/>
          <w:color w:val="auto"/>
          <w:sz w:val="24"/>
          <w:highlight w:val="none"/>
        </w:rPr>
        <w:t>25.1履约保证金：见供应商须知前附表（一）。</w:t>
      </w:r>
    </w:p>
    <w:p>
      <w:pPr>
        <w:spacing w:line="360" w:lineRule="auto"/>
        <w:ind w:left="959" w:leftChars="228" w:hanging="480" w:hangingChars="200"/>
        <w:rPr>
          <w:rFonts w:ascii="仿宋" w:hAnsi="仿宋" w:eastAsia="仿宋" w:cs="仿宋"/>
          <w:color w:val="auto"/>
          <w:sz w:val="24"/>
          <w:highlight w:val="none"/>
        </w:rPr>
      </w:pPr>
      <w:r>
        <w:rPr>
          <w:rFonts w:hint="eastAsia" w:ascii="仿宋" w:hAnsi="仿宋" w:eastAsia="仿宋" w:cs="仿宋"/>
          <w:color w:val="auto"/>
          <w:sz w:val="24"/>
          <w:highlight w:val="none"/>
        </w:rPr>
        <w:t>25.2成交供应商提供的工程、服务及相关货物符合合同约定并经验收合格</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的，其履约保证金按规定要求由采购人无息退还。</w:t>
      </w:r>
    </w:p>
    <w:p>
      <w:pPr>
        <w:tabs>
          <w:tab w:val="left" w:pos="0"/>
        </w:tabs>
        <w:snapToGrid w:val="0"/>
        <w:spacing w:line="360" w:lineRule="auto"/>
        <w:ind w:firstLine="482"/>
        <w:rPr>
          <w:rFonts w:ascii="仿宋" w:hAnsi="仿宋" w:eastAsia="仿宋" w:cs="仿宋"/>
          <w:color w:val="auto"/>
          <w:sz w:val="24"/>
          <w:highlight w:val="none"/>
        </w:rPr>
      </w:pPr>
      <w:r>
        <w:rPr>
          <w:rFonts w:hint="eastAsia" w:ascii="仿宋" w:hAnsi="仿宋" w:eastAsia="仿宋" w:cs="仿宋"/>
          <w:color w:val="auto"/>
          <w:kern w:val="0"/>
          <w:sz w:val="24"/>
          <w:highlight w:val="none"/>
        </w:rPr>
        <w:t>25.3拟签订的合同文本要求成交供应商提交履约保证金的，供应商应当以支票、汇票、本票或者金融机构、担保机构出具的保函等非现金形式提交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w:t>
      </w:r>
      <w:r>
        <w:rPr>
          <w:rFonts w:hint="eastAsia" w:ascii="仿宋" w:hAnsi="仿宋" w:eastAsia="仿宋" w:cs="仿宋"/>
          <w:color w:val="auto"/>
          <w:sz w:val="24"/>
          <w:szCs w:val="28"/>
          <w:highlight w:val="none"/>
          <w:lang w:val="zh-CN"/>
        </w:rPr>
        <w:t>采购人可以根据中标供应商信用等情况</w:t>
      </w:r>
      <w:r>
        <w:rPr>
          <w:rFonts w:hint="eastAsia" w:ascii="仿宋" w:hAnsi="仿宋" w:eastAsia="仿宋" w:cs="仿宋"/>
          <w:color w:val="auto"/>
          <w:sz w:val="24"/>
          <w:highlight w:val="none"/>
        </w:rPr>
        <w:t>，决定是否免收履约保证金。确需收取履约保证金的，履约保证金缴纳最高比例由不超过合同金额的1%，鼓励根据项目特点、供应商诚信等因素免收履约保证金或降低缴纳比例。采购单位鼓励供应商采取履约保函形式提供信用保证；供应商提供保函的，采购单位不得拒收。项目验收结束后应及时退还，延迟退还的，应当按照合同约定和法律规定承担相应的赔偿责任。</w:t>
      </w:r>
    </w:p>
    <w:p>
      <w:pPr>
        <w:spacing w:line="360" w:lineRule="auto"/>
        <w:ind w:firstLine="480" w:firstLineChars="200"/>
        <w:rPr>
          <w:rFonts w:ascii="仿宋" w:hAnsi="仿宋" w:eastAsia="仿宋" w:cs="仿宋"/>
          <w:color w:val="auto"/>
          <w:sz w:val="24"/>
          <w:szCs w:val="32"/>
          <w:highlight w:val="none"/>
        </w:rPr>
      </w:pPr>
      <w:r>
        <w:rPr>
          <w:rFonts w:hint="eastAsia" w:ascii="仿宋" w:hAnsi="仿宋" w:eastAsia="仿宋" w:cs="仿宋"/>
          <w:color w:val="auto"/>
          <w:sz w:val="24"/>
          <w:szCs w:val="32"/>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rPr>
          <w:rFonts w:ascii="仿宋" w:hAnsi="仿宋" w:eastAsia="仿宋" w:cs="仿宋"/>
          <w:color w:val="auto"/>
          <w:highlight w:val="none"/>
        </w:rPr>
      </w:pPr>
    </w:p>
    <w:p>
      <w:pPr>
        <w:pStyle w:val="966"/>
        <w:numPr>
          <w:ilvl w:val="0"/>
          <w:numId w:val="6"/>
        </w:numPr>
        <w:adjustRightInd/>
        <w:spacing w:line="360" w:lineRule="auto"/>
        <w:ind w:left="0" w:firstLine="482" w:firstLineChars="200"/>
        <w:rPr>
          <w:rFonts w:ascii="仿宋" w:hAnsi="仿宋" w:eastAsia="仿宋" w:cs="仿宋"/>
          <w:color w:val="auto"/>
          <w:szCs w:val="20"/>
          <w:highlight w:val="none"/>
          <w:lang w:val="zh-CN"/>
        </w:rPr>
      </w:pPr>
      <w:bookmarkStart w:id="147" w:name="_Toc25024"/>
      <w:bookmarkStart w:id="148" w:name="_Toc139797627"/>
      <w:bookmarkStart w:id="149" w:name="_Toc20105"/>
      <w:r>
        <w:rPr>
          <w:rFonts w:hint="eastAsia" w:ascii="仿宋" w:hAnsi="仿宋" w:eastAsia="仿宋" w:cs="仿宋"/>
          <w:color w:val="auto"/>
          <w:szCs w:val="20"/>
          <w:highlight w:val="none"/>
        </w:rPr>
        <w:t>预付款</w:t>
      </w:r>
      <w:bookmarkEnd w:id="147"/>
      <w:bookmarkEnd w:id="148"/>
      <w:bookmarkEnd w:id="149"/>
    </w:p>
    <w:p>
      <w:pPr>
        <w:adjustRightInd/>
        <w:spacing w:line="360" w:lineRule="auto"/>
        <w:ind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pPr>
        <w:spacing w:line="360" w:lineRule="auto"/>
        <w:rPr>
          <w:rFonts w:ascii="仿宋" w:hAnsi="仿宋" w:eastAsia="仿宋" w:cs="仿宋"/>
          <w:color w:val="auto"/>
          <w:highlight w:val="none"/>
        </w:rPr>
      </w:pPr>
    </w:p>
    <w:p>
      <w:pPr>
        <w:pStyle w:val="59"/>
        <w:widowControl w:val="0"/>
        <w:numPr>
          <w:ilvl w:val="0"/>
          <w:numId w:val="5"/>
        </w:numPr>
        <w:tabs>
          <w:tab w:val="left" w:pos="0"/>
        </w:tabs>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highlight w:val="none"/>
          <w:lang w:val="en-US"/>
        </w:rPr>
      </w:pPr>
      <w:bookmarkStart w:id="150" w:name="_Toc139797628"/>
      <w:bookmarkStart w:id="151" w:name="_Toc5271"/>
      <w:bookmarkStart w:id="152" w:name="_Toc31704"/>
      <w:r>
        <w:rPr>
          <w:rFonts w:hint="eastAsia" w:ascii="仿宋" w:hAnsi="仿宋" w:eastAsia="仿宋" w:cs="仿宋"/>
          <w:bCs/>
          <w:color w:val="auto"/>
          <w:kern w:val="2"/>
          <w:sz w:val="30"/>
          <w:szCs w:val="30"/>
          <w:highlight w:val="none"/>
          <w:lang w:val="en-US"/>
        </w:rPr>
        <w:t>电子交易活动的中止</w:t>
      </w:r>
      <w:bookmarkEnd w:id="150"/>
      <w:bookmarkEnd w:id="151"/>
      <w:bookmarkEnd w:id="152"/>
    </w:p>
    <w:p>
      <w:pPr>
        <w:pStyle w:val="966"/>
        <w:numPr>
          <w:ilvl w:val="0"/>
          <w:numId w:val="6"/>
        </w:numPr>
        <w:adjustRightInd/>
        <w:spacing w:line="360" w:lineRule="auto"/>
        <w:ind w:left="0" w:firstLine="482" w:firstLineChars="200"/>
        <w:rPr>
          <w:rFonts w:ascii="仿宋" w:hAnsi="仿宋" w:eastAsia="仿宋" w:cs="仿宋"/>
          <w:color w:val="auto"/>
          <w:szCs w:val="20"/>
          <w:highlight w:val="none"/>
        </w:rPr>
      </w:pPr>
      <w:bookmarkStart w:id="153" w:name="_Toc911"/>
      <w:bookmarkStart w:id="154" w:name="_Toc139797629"/>
      <w:bookmarkStart w:id="155" w:name="_Toc10875"/>
      <w:r>
        <w:rPr>
          <w:rFonts w:hint="eastAsia" w:ascii="仿宋" w:hAnsi="仿宋" w:eastAsia="仿宋" w:cs="仿宋"/>
          <w:color w:val="auto"/>
          <w:szCs w:val="20"/>
          <w:highlight w:val="none"/>
        </w:rPr>
        <w:t>电子交易活动的中止</w:t>
      </w:r>
      <w:bookmarkEnd w:id="153"/>
      <w:bookmarkEnd w:id="154"/>
      <w:bookmarkEnd w:id="155"/>
    </w:p>
    <w:p>
      <w:pPr>
        <w:pStyle w:val="139"/>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采购过程中出现以下情形，导致电子交易平台无法正常运行，或者无法保证电子交易的公平、公正和安全时，采购代理机构可中止电子交易活动：</w:t>
      </w:r>
    </w:p>
    <w:p>
      <w:pPr>
        <w:pStyle w:val="139"/>
        <w:tabs>
          <w:tab w:val="left" w:pos="0"/>
        </w:tabs>
        <w:snapToGrid w:val="0"/>
        <w:spacing w:before="0"/>
        <w:ind w:left="420" w:firstLine="0" w:firstLineChars="0"/>
        <w:rPr>
          <w:rFonts w:ascii="仿宋" w:hAnsi="仿宋" w:eastAsia="仿宋" w:cs="仿宋"/>
          <w:color w:val="auto"/>
          <w:highlight w:val="none"/>
        </w:rPr>
      </w:pPr>
      <w:r>
        <w:rPr>
          <w:rFonts w:hint="eastAsia" w:ascii="仿宋" w:hAnsi="仿宋" w:eastAsia="仿宋" w:cs="仿宋"/>
          <w:color w:val="auto"/>
          <w:highlight w:val="none"/>
        </w:rPr>
        <w:t xml:space="preserve">27.1 电子交易平台发生故障而无法登录访问的； </w:t>
      </w:r>
    </w:p>
    <w:p>
      <w:pPr>
        <w:pStyle w:val="139"/>
        <w:tabs>
          <w:tab w:val="left" w:pos="0"/>
        </w:tabs>
        <w:snapToGrid w:val="0"/>
        <w:spacing w:before="0"/>
        <w:ind w:left="420" w:firstLine="0" w:firstLineChars="0"/>
        <w:rPr>
          <w:rFonts w:ascii="仿宋" w:hAnsi="仿宋" w:eastAsia="仿宋" w:cs="仿宋"/>
          <w:color w:val="auto"/>
          <w:highlight w:val="none"/>
        </w:rPr>
      </w:pPr>
      <w:r>
        <w:rPr>
          <w:rFonts w:hint="eastAsia" w:ascii="仿宋" w:hAnsi="仿宋" w:eastAsia="仿宋" w:cs="仿宋"/>
          <w:color w:val="auto"/>
          <w:highlight w:val="none"/>
        </w:rPr>
        <w:t>27.2 电子交易平台应用或数据库出现错误，不能进行正常操作的；</w:t>
      </w:r>
    </w:p>
    <w:p>
      <w:pPr>
        <w:pStyle w:val="139"/>
        <w:tabs>
          <w:tab w:val="left" w:pos="0"/>
        </w:tabs>
        <w:snapToGrid w:val="0"/>
        <w:spacing w:before="0"/>
        <w:ind w:left="420" w:firstLine="0" w:firstLineChars="0"/>
        <w:rPr>
          <w:rFonts w:ascii="仿宋" w:hAnsi="仿宋" w:eastAsia="仿宋" w:cs="仿宋"/>
          <w:color w:val="auto"/>
          <w:highlight w:val="none"/>
        </w:rPr>
      </w:pPr>
      <w:r>
        <w:rPr>
          <w:rFonts w:hint="eastAsia" w:ascii="仿宋" w:hAnsi="仿宋" w:eastAsia="仿宋" w:cs="仿宋"/>
          <w:color w:val="auto"/>
          <w:highlight w:val="none"/>
        </w:rPr>
        <w:t>27.3 电子交易平台发现严重安全漏洞，有潜在泄密危险的；</w:t>
      </w:r>
    </w:p>
    <w:p>
      <w:pPr>
        <w:pStyle w:val="139"/>
        <w:tabs>
          <w:tab w:val="left" w:pos="0"/>
        </w:tabs>
        <w:snapToGrid w:val="0"/>
        <w:spacing w:before="0"/>
        <w:ind w:left="420" w:firstLine="0" w:firstLineChars="0"/>
        <w:rPr>
          <w:rFonts w:ascii="仿宋" w:hAnsi="仿宋" w:eastAsia="仿宋" w:cs="仿宋"/>
          <w:color w:val="auto"/>
          <w:highlight w:val="none"/>
        </w:rPr>
      </w:pPr>
      <w:r>
        <w:rPr>
          <w:rFonts w:hint="eastAsia" w:ascii="仿宋" w:hAnsi="仿宋" w:eastAsia="仿宋" w:cs="仿宋"/>
          <w:color w:val="auto"/>
          <w:highlight w:val="none"/>
        </w:rPr>
        <w:t xml:space="preserve">27.4 病毒发作导致不能进行正常操作的； </w:t>
      </w:r>
    </w:p>
    <w:p>
      <w:pPr>
        <w:pStyle w:val="139"/>
        <w:tabs>
          <w:tab w:val="left" w:pos="0"/>
        </w:tabs>
        <w:snapToGrid w:val="0"/>
        <w:spacing w:before="0"/>
        <w:ind w:left="420" w:firstLine="0" w:firstLineChars="0"/>
        <w:rPr>
          <w:rFonts w:ascii="仿宋" w:hAnsi="仿宋" w:eastAsia="仿宋" w:cs="仿宋"/>
          <w:color w:val="auto"/>
          <w:highlight w:val="none"/>
        </w:rPr>
      </w:pPr>
      <w:r>
        <w:rPr>
          <w:rFonts w:hint="eastAsia" w:ascii="仿宋" w:hAnsi="仿宋" w:eastAsia="仿宋" w:cs="仿宋"/>
          <w:color w:val="auto"/>
          <w:highlight w:val="none"/>
        </w:rPr>
        <w:t>27.5其他无法保证电子交易的公平、公正和安全的情况。</w:t>
      </w:r>
    </w:p>
    <w:p>
      <w:pPr>
        <w:pStyle w:val="139"/>
        <w:tabs>
          <w:tab w:val="left" w:pos="0"/>
        </w:tabs>
        <w:snapToGrid w:val="0"/>
        <w:spacing w:before="0"/>
        <w:ind w:left="420" w:firstLine="0" w:firstLineChars="0"/>
        <w:rPr>
          <w:rFonts w:ascii="仿宋" w:hAnsi="仿宋" w:eastAsia="仿宋" w:cs="仿宋"/>
          <w:color w:val="auto"/>
          <w:highlight w:val="none"/>
        </w:rPr>
      </w:pPr>
      <w:r>
        <w:rPr>
          <w:rFonts w:hint="eastAsia" w:ascii="仿宋" w:hAnsi="仿宋" w:eastAsia="仿宋" w:cs="仿宋"/>
          <w:color w:val="auto"/>
          <w:highlight w:val="none"/>
        </w:rPr>
        <w:t>27.6 出现以上情形，不影响采购公平、公正性的，采购组织机构可以待上</w:t>
      </w:r>
    </w:p>
    <w:p>
      <w:pPr>
        <w:pStyle w:val="139"/>
        <w:tabs>
          <w:tab w:val="left" w:pos="0"/>
        </w:tabs>
        <w:snapToGrid w:val="0"/>
        <w:spacing w:before="0"/>
        <w:ind w:firstLine="0" w:firstLineChars="0"/>
        <w:rPr>
          <w:rFonts w:ascii="仿宋" w:hAnsi="仿宋" w:eastAsia="仿宋" w:cs="仿宋"/>
          <w:color w:val="auto"/>
          <w:highlight w:val="none"/>
        </w:rPr>
      </w:pPr>
      <w:r>
        <w:rPr>
          <w:rFonts w:hint="eastAsia" w:ascii="仿宋" w:hAnsi="仿宋" w:eastAsia="仿宋" w:cs="仿宋"/>
          <w:color w:val="auto"/>
          <w:highlight w:val="none"/>
        </w:rPr>
        <w:t>述情形消除后继续组织电子交易活动，也可以决定某些环节以纸质形式进行；影响或可能影响采购公平、公正性的，应当重新采购。</w:t>
      </w:r>
    </w:p>
    <w:p>
      <w:pPr>
        <w:tabs>
          <w:tab w:val="left" w:pos="0"/>
        </w:tabs>
        <w:spacing w:line="360" w:lineRule="auto"/>
        <w:ind w:firstLine="480"/>
        <w:rPr>
          <w:rFonts w:ascii="仿宋" w:hAnsi="仿宋" w:eastAsia="仿宋" w:cs="仿宋"/>
          <w:color w:val="auto"/>
          <w:sz w:val="24"/>
          <w:highlight w:val="none"/>
        </w:rPr>
      </w:pPr>
    </w:p>
    <w:p>
      <w:pPr>
        <w:pStyle w:val="59"/>
        <w:widowControl w:val="0"/>
        <w:numPr>
          <w:ilvl w:val="0"/>
          <w:numId w:val="5"/>
        </w:numPr>
        <w:tabs>
          <w:tab w:val="left" w:pos="0"/>
        </w:tabs>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highlight w:val="none"/>
          <w:lang w:val="en-US"/>
        </w:rPr>
      </w:pPr>
      <w:bookmarkStart w:id="156" w:name="_Toc2846"/>
      <w:bookmarkStart w:id="157" w:name="_Toc139797630"/>
      <w:bookmarkStart w:id="158" w:name="_Toc20432"/>
      <w:r>
        <w:rPr>
          <w:rFonts w:hint="eastAsia" w:ascii="仿宋" w:hAnsi="仿宋" w:eastAsia="仿宋" w:cs="仿宋"/>
          <w:bCs/>
          <w:color w:val="auto"/>
          <w:kern w:val="2"/>
          <w:sz w:val="30"/>
          <w:szCs w:val="30"/>
          <w:highlight w:val="none"/>
          <w:lang w:val="en-US"/>
        </w:rPr>
        <w:t>验收</w:t>
      </w:r>
      <w:bookmarkEnd w:id="156"/>
      <w:bookmarkEnd w:id="157"/>
      <w:bookmarkEnd w:id="158"/>
    </w:p>
    <w:p>
      <w:pPr>
        <w:pStyle w:val="966"/>
        <w:numPr>
          <w:ilvl w:val="0"/>
          <w:numId w:val="6"/>
        </w:numPr>
        <w:adjustRightInd/>
        <w:spacing w:line="360" w:lineRule="auto"/>
        <w:ind w:left="0" w:firstLine="482" w:firstLineChars="200"/>
        <w:rPr>
          <w:rFonts w:ascii="仿宋" w:hAnsi="仿宋" w:eastAsia="仿宋" w:cs="仿宋"/>
          <w:color w:val="auto"/>
          <w:szCs w:val="20"/>
          <w:highlight w:val="none"/>
        </w:rPr>
      </w:pPr>
      <w:bookmarkStart w:id="159" w:name="_Toc29155"/>
      <w:bookmarkStart w:id="160" w:name="_Toc139797631"/>
      <w:bookmarkStart w:id="161" w:name="_Toc3398"/>
      <w:r>
        <w:rPr>
          <w:rFonts w:hint="eastAsia" w:ascii="仿宋" w:hAnsi="仿宋" w:eastAsia="仿宋" w:cs="仿宋"/>
          <w:color w:val="auto"/>
          <w:szCs w:val="20"/>
          <w:highlight w:val="none"/>
        </w:rPr>
        <w:t>验收</w:t>
      </w:r>
      <w:bookmarkEnd w:id="159"/>
      <w:bookmarkEnd w:id="160"/>
      <w:bookmarkEnd w:id="161"/>
    </w:p>
    <w:p>
      <w:pPr>
        <w:tabs>
          <w:tab w:val="left" w:pos="0"/>
        </w:tabs>
        <w:spacing w:line="360" w:lineRule="auto"/>
        <w:ind w:left="42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28.1采购人组织对供应商履约的验收。大型或者复杂的政府采购项目，应当</w:t>
      </w:r>
    </w:p>
    <w:p>
      <w:pPr>
        <w:tabs>
          <w:tab w:val="left" w:pos="0"/>
        </w:tabs>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left="42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28.2采购人可以邀请参加本项目的其他供应商或者第三方专业机构及专家</w:t>
      </w:r>
    </w:p>
    <w:p>
      <w:pPr>
        <w:tabs>
          <w:tab w:val="left" w:pos="0"/>
        </w:tabs>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参与验收。参与验收的供应商或者第三方专业机构及专家的意见作为验收书的参考资料一并存档。</w:t>
      </w:r>
    </w:p>
    <w:p>
      <w:pPr>
        <w:tabs>
          <w:tab w:val="left" w:pos="0"/>
        </w:tabs>
        <w:spacing w:line="360" w:lineRule="auto"/>
        <w:ind w:left="42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28.3严格按照采购合同开展履约验收。采购人成立验收小组，按照采购合同</w:t>
      </w:r>
    </w:p>
    <w:p>
      <w:pPr>
        <w:tabs>
          <w:tab w:val="left" w:pos="0"/>
        </w:tabs>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left="42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28.4验收合格的项目，采购人将根据采购合同的约定及时向供应商支付采购</w:t>
      </w:r>
    </w:p>
    <w:p>
      <w:pPr>
        <w:tabs>
          <w:tab w:val="left" w:pos="0"/>
        </w:tabs>
        <w:spacing w:line="360" w:lineRule="auto"/>
        <w:rPr>
          <w:rFonts w:ascii="仿宋" w:hAnsi="仿宋" w:eastAsia="仿宋" w:cs="仿宋"/>
          <w:color w:val="auto"/>
          <w:sz w:val="18"/>
          <w:szCs w:val="18"/>
          <w:highlight w:val="none"/>
        </w:rPr>
      </w:pPr>
      <w:r>
        <w:rPr>
          <w:rFonts w:hint="eastAsia" w:ascii="仿宋" w:hAnsi="仿宋" w:eastAsia="仿宋" w:cs="仿宋"/>
          <w:color w:val="auto"/>
          <w:kern w:val="0"/>
          <w:sz w:val="24"/>
          <w:highlight w:val="none"/>
        </w:rPr>
        <w:t>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28"/>
    <w:p>
      <w:pPr>
        <w:tabs>
          <w:tab w:val="left" w:pos="0"/>
        </w:tabs>
        <w:spacing w:line="360" w:lineRule="auto"/>
        <w:ind w:firstLine="480"/>
        <w:rPr>
          <w:rFonts w:ascii="仿宋" w:hAnsi="仿宋" w:eastAsia="仿宋" w:cs="仿宋"/>
          <w:color w:val="auto"/>
          <w:kern w:val="0"/>
          <w:sz w:val="24"/>
          <w:highlight w:val="none"/>
        </w:rPr>
        <w:sectPr>
          <w:headerReference r:id="rId10" w:type="first"/>
          <w:footerReference r:id="rId11" w:type="first"/>
          <w:pgSz w:w="11905" w:h="16838"/>
          <w:pgMar w:top="1440" w:right="1803" w:bottom="1440" w:left="1803" w:header="851" w:footer="992" w:gutter="0"/>
          <w:cols w:space="0" w:num="1"/>
          <w:rtlGutter w:val="0"/>
          <w:docGrid w:linePitch="312" w:charSpace="0"/>
        </w:sectPr>
      </w:pPr>
      <w:bookmarkStart w:id="162" w:name="_Hlt75236101"/>
      <w:bookmarkEnd w:id="162"/>
      <w:bookmarkStart w:id="163" w:name="_Hlt68073093"/>
      <w:bookmarkEnd w:id="163"/>
      <w:bookmarkStart w:id="164" w:name="_Hlt74730295"/>
      <w:bookmarkEnd w:id="164"/>
      <w:bookmarkStart w:id="165" w:name="_Hlt68072990"/>
      <w:bookmarkEnd w:id="165"/>
      <w:bookmarkStart w:id="166" w:name="_Hlt75236011"/>
      <w:bookmarkEnd w:id="166"/>
      <w:bookmarkStart w:id="167" w:name="_Hlt75236290"/>
      <w:bookmarkEnd w:id="167"/>
      <w:bookmarkStart w:id="168" w:name="_Hlt74714665"/>
      <w:bookmarkEnd w:id="168"/>
      <w:bookmarkStart w:id="169" w:name="_Hlt68057669"/>
      <w:bookmarkEnd w:id="169"/>
      <w:bookmarkStart w:id="170" w:name="_Hlt68403820"/>
      <w:bookmarkEnd w:id="170"/>
      <w:bookmarkStart w:id="171" w:name="_Hlt68072998"/>
      <w:bookmarkEnd w:id="171"/>
      <w:bookmarkStart w:id="172" w:name="_Hlt74729768"/>
      <w:bookmarkEnd w:id="172"/>
      <w:bookmarkStart w:id="173" w:name="_Hlt74707468"/>
      <w:bookmarkEnd w:id="173"/>
    </w:p>
    <w:bookmarkEnd w:id="48"/>
    <w:bookmarkEnd w:id="49"/>
    <w:p>
      <w:pPr>
        <w:pStyle w:val="3"/>
        <w:spacing w:before="0" w:after="0" w:line="480" w:lineRule="auto"/>
        <w:ind w:left="431" w:hanging="431"/>
        <w:jc w:val="center"/>
        <w:rPr>
          <w:rFonts w:ascii="仿宋" w:hAnsi="仿宋" w:eastAsia="仿宋" w:cs="仿宋"/>
          <w:color w:val="auto"/>
          <w:sz w:val="36"/>
          <w:szCs w:val="36"/>
          <w:highlight w:val="none"/>
        </w:rPr>
      </w:pPr>
      <w:bookmarkStart w:id="174" w:name="_Toc139797649"/>
      <w:bookmarkStart w:id="175" w:name="_Toc493956049"/>
      <w:bookmarkStart w:id="176" w:name="_Toc18678"/>
      <w:bookmarkStart w:id="177" w:name="_Toc26613"/>
      <w:bookmarkStart w:id="178" w:name="_Toc530551874"/>
      <w:bookmarkStart w:id="179" w:name="_Toc24001"/>
      <w:bookmarkStart w:id="180" w:name="_Toc531359036"/>
      <w:bookmarkStart w:id="181" w:name="第五部分"/>
      <w:bookmarkStart w:id="182" w:name="_Toc86217003"/>
      <w:r>
        <w:rPr>
          <w:rFonts w:hint="eastAsia" w:ascii="仿宋" w:hAnsi="仿宋" w:eastAsia="仿宋" w:cs="仿宋"/>
          <w:color w:val="auto"/>
          <w:sz w:val="36"/>
          <w:szCs w:val="36"/>
          <w:highlight w:val="none"/>
        </w:rPr>
        <w:t>第五部分  合同格式</w:t>
      </w:r>
      <w:bookmarkEnd w:id="174"/>
      <w:bookmarkEnd w:id="175"/>
      <w:bookmarkEnd w:id="176"/>
      <w:bookmarkEnd w:id="177"/>
      <w:bookmarkEnd w:id="178"/>
      <w:bookmarkEnd w:id="179"/>
      <w:bookmarkEnd w:id="180"/>
    </w:p>
    <w:p>
      <w:pPr>
        <w:pStyle w:val="985"/>
        <w:spacing w:before="0" w:beforeAutospacing="0" w:after="0" w:afterAutospacing="0" w:line="360" w:lineRule="auto"/>
        <w:ind w:right="960"/>
        <w:jc w:val="center"/>
        <w:rPr>
          <w:rFonts w:ascii="仿宋" w:hAnsi="仿宋" w:eastAsia="仿宋" w:cs="仿宋"/>
          <w:color w:val="auto"/>
          <w:highlight w:val="none"/>
        </w:rPr>
      </w:pPr>
    </w:p>
    <w:p>
      <w:pPr>
        <w:jc w:val="center"/>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政府采购合同参考范本</w:t>
      </w:r>
    </w:p>
    <w:p>
      <w:pPr>
        <w:pStyle w:val="23"/>
        <w:rPr>
          <w:rFonts w:ascii="仿宋" w:hAnsi="仿宋" w:eastAsia="仿宋" w:cs="仿宋"/>
          <w:color w:val="auto"/>
          <w:highlight w:val="none"/>
        </w:rPr>
      </w:pPr>
    </w:p>
    <w:p>
      <w:pPr>
        <w:pStyle w:val="966"/>
        <w:ind w:left="0"/>
        <w:jc w:val="center"/>
        <w:rPr>
          <w:rFonts w:ascii="仿宋" w:hAnsi="仿宋" w:eastAsia="仿宋" w:cs="仿宋"/>
          <w:color w:val="auto"/>
          <w:highlight w:val="none"/>
        </w:rPr>
      </w:pPr>
      <w:bookmarkStart w:id="183" w:name="_Toc13915"/>
      <w:bookmarkStart w:id="184" w:name="_Toc1116"/>
      <w:bookmarkStart w:id="185" w:name="_Toc139797650"/>
      <w:bookmarkStart w:id="186" w:name="_Toc18072597"/>
      <w:bookmarkStart w:id="187" w:name="_Toc12255"/>
      <w:r>
        <w:rPr>
          <w:rFonts w:hint="eastAsia" w:ascii="仿宋" w:hAnsi="仿宋" w:eastAsia="仿宋" w:cs="仿宋"/>
          <w:color w:val="auto"/>
          <w:highlight w:val="none"/>
        </w:rPr>
        <w:t>（服务类）</w:t>
      </w:r>
      <w:bookmarkEnd w:id="183"/>
      <w:bookmarkEnd w:id="184"/>
      <w:bookmarkEnd w:id="185"/>
      <w:bookmarkEnd w:id="186"/>
      <w:bookmarkEnd w:id="187"/>
    </w:p>
    <w:p>
      <w:pPr>
        <w:pStyle w:val="702"/>
        <w:rPr>
          <w:rFonts w:ascii="仿宋" w:hAnsi="仿宋" w:eastAsia="仿宋" w:cs="仿宋"/>
          <w:color w:val="auto"/>
          <w:szCs w:val="24"/>
          <w:highlight w:val="none"/>
        </w:rPr>
      </w:pPr>
    </w:p>
    <w:p>
      <w:pPr>
        <w:pStyle w:val="702"/>
        <w:rPr>
          <w:rFonts w:ascii="仿宋" w:hAnsi="仿宋" w:eastAsia="仿宋" w:cs="仿宋"/>
          <w:color w:val="auto"/>
          <w:szCs w:val="24"/>
          <w:highlight w:val="none"/>
        </w:rPr>
      </w:pPr>
    </w:p>
    <w:p>
      <w:pPr>
        <w:pStyle w:val="702"/>
        <w:ind w:left="0" w:leftChars="0" w:firstLine="0" w:firstLineChars="0"/>
        <w:jc w:val="center"/>
        <w:rPr>
          <w:rFonts w:ascii="仿宋" w:hAnsi="仿宋" w:eastAsia="仿宋" w:cs="仿宋"/>
          <w:color w:val="auto"/>
          <w:szCs w:val="24"/>
          <w:highlight w:val="none"/>
        </w:rPr>
      </w:pPr>
      <w:r>
        <w:rPr>
          <w:rFonts w:hint="eastAsia" w:ascii="仿宋" w:hAnsi="仿宋" w:eastAsia="仿宋" w:cs="仿宋"/>
          <w:color w:val="auto"/>
          <w:szCs w:val="24"/>
          <w:highlight w:val="none"/>
        </w:rPr>
        <w:t>第一部分 合同书</w:t>
      </w:r>
    </w:p>
    <w:p>
      <w:pPr>
        <w:pStyle w:val="702"/>
        <w:rPr>
          <w:rFonts w:ascii="仿宋" w:hAnsi="仿宋" w:eastAsia="仿宋" w:cs="仿宋"/>
          <w:color w:val="auto"/>
          <w:szCs w:val="24"/>
          <w:highlight w:val="none"/>
        </w:rPr>
      </w:pPr>
    </w:p>
    <w:p>
      <w:pPr>
        <w:spacing w:line="360" w:lineRule="auto"/>
        <w:ind w:left="960"/>
        <w:rPr>
          <w:rFonts w:ascii="仿宋" w:hAnsi="仿宋" w:eastAsia="仿宋" w:cs="仿宋"/>
          <w:color w:val="auto"/>
          <w:sz w:val="24"/>
          <w:highlight w:val="none"/>
        </w:rPr>
      </w:pP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u w:val="single"/>
        </w:rPr>
        <w:t xml:space="preserve">                                   </w:t>
      </w:r>
    </w:p>
    <w:p>
      <w:pPr>
        <w:spacing w:line="360" w:lineRule="auto"/>
        <w:rPr>
          <w:rFonts w:ascii="仿宋" w:hAnsi="仿宋" w:eastAsia="仿宋" w:cs="仿宋"/>
          <w:color w:val="auto"/>
          <w:sz w:val="24"/>
          <w:highlight w:val="none"/>
        </w:rPr>
      </w:pPr>
    </w:p>
    <w:p>
      <w:pPr>
        <w:spacing w:line="360" w:lineRule="auto"/>
        <w:ind w:left="960"/>
        <w:rPr>
          <w:rFonts w:ascii="仿宋" w:hAnsi="仿宋" w:eastAsia="仿宋" w:cs="仿宋"/>
          <w:color w:val="auto"/>
          <w:sz w:val="24"/>
          <w:highlight w:val="none"/>
          <w:u w:val="singl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pPr>
        <w:pStyle w:val="600"/>
        <w:rPr>
          <w:rFonts w:ascii="仿宋" w:hAnsi="仿宋" w:eastAsia="仿宋" w:cs="仿宋"/>
          <w:color w:val="auto"/>
          <w:szCs w:val="24"/>
          <w:highlight w:val="none"/>
        </w:rPr>
      </w:pPr>
    </w:p>
    <w:p>
      <w:pPr>
        <w:spacing w:line="360" w:lineRule="auto"/>
        <w:ind w:left="960"/>
        <w:rPr>
          <w:rFonts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p>
    <w:p>
      <w:pPr>
        <w:spacing w:line="360" w:lineRule="auto"/>
        <w:rPr>
          <w:rFonts w:ascii="仿宋" w:hAnsi="仿宋" w:eastAsia="仿宋" w:cs="仿宋"/>
          <w:color w:val="auto"/>
          <w:sz w:val="24"/>
          <w:highlight w:val="none"/>
        </w:rPr>
      </w:pPr>
    </w:p>
    <w:p>
      <w:pPr>
        <w:spacing w:line="360" w:lineRule="auto"/>
        <w:ind w:left="960"/>
        <w:rPr>
          <w:rFonts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pPr>
        <w:spacing w:line="360" w:lineRule="auto"/>
        <w:rPr>
          <w:rFonts w:ascii="仿宋" w:hAnsi="仿宋" w:eastAsia="仿宋" w:cs="仿宋"/>
          <w:color w:val="auto"/>
          <w:sz w:val="24"/>
          <w:highlight w:val="none"/>
        </w:rPr>
      </w:pPr>
    </w:p>
    <w:p>
      <w:pPr>
        <w:spacing w:line="360" w:lineRule="auto"/>
        <w:ind w:firstLine="960" w:firstLineChars="400"/>
        <w:rPr>
          <w:rFonts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pPr>
        <w:spacing w:line="360" w:lineRule="auto"/>
        <w:rPr>
          <w:rFonts w:ascii="仿宋" w:hAnsi="仿宋" w:eastAsia="仿宋" w:cs="仿宋"/>
          <w:color w:val="auto"/>
          <w:sz w:val="24"/>
          <w:highlight w:val="none"/>
        </w:rPr>
      </w:pPr>
    </w:p>
    <w:p>
      <w:pPr>
        <w:spacing w:line="360" w:lineRule="auto"/>
        <w:ind w:firstLine="960" w:firstLineChars="400"/>
        <w:rPr>
          <w:rFonts w:ascii="仿宋" w:hAnsi="仿宋" w:eastAsia="仿宋" w:cs="仿宋"/>
          <w:color w:val="auto"/>
          <w:sz w:val="24"/>
          <w:highlight w:val="none"/>
          <w:u w:val="singl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pPr>
        <w:autoSpaceDE w:val="0"/>
        <w:autoSpaceDN w:val="0"/>
        <w:spacing w:line="360" w:lineRule="auto"/>
        <w:ind w:firstLine="640"/>
        <w:jc w:val="center"/>
        <w:rPr>
          <w:rFonts w:ascii="仿宋" w:hAnsi="仿宋" w:eastAsia="仿宋" w:cs="仿宋"/>
          <w:color w:val="auto"/>
          <w:sz w:val="24"/>
          <w:highlight w:val="none"/>
        </w:rPr>
        <w:sectPr>
          <w:pgSz w:w="11905" w:h="16838"/>
          <w:pgMar w:top="1440" w:right="1803" w:bottom="1440" w:left="1803" w:header="851" w:footer="992" w:gutter="0"/>
          <w:cols w:space="0" w:num="1"/>
          <w:rtlGutter w:val="0"/>
          <w:docGrid w:linePitch="462" w:charSpace="0"/>
        </w:sectPr>
      </w:pP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（采购人名称）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（政府采购方式）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（成交人名称） </w:t>
      </w:r>
      <w:r>
        <w:rPr>
          <w:rFonts w:hint="eastAsia" w:ascii="仿宋" w:hAnsi="仿宋" w:eastAsia="仿宋" w:cs="仿宋"/>
          <w:color w:val="auto"/>
          <w:sz w:val="24"/>
          <w:highlight w:val="none"/>
        </w:rPr>
        <w:t>为该项目成交人。现于成交通知书发出之日起三十日内，按照采购文件确定的事项签订本合同。</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highlight w:val="none"/>
          <w:u w:val="single"/>
        </w:rPr>
        <w:t xml:space="preserve">   （采购人名称）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（成交人名称）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pPr>
        <w:spacing w:line="360" w:lineRule="auto"/>
        <w:ind w:firstLine="480" w:firstLineChars="200"/>
        <w:rPr>
          <w:rFonts w:ascii="仿宋" w:hAnsi="仿宋" w:eastAsia="仿宋" w:cs="仿宋"/>
          <w:color w:val="auto"/>
          <w:sz w:val="24"/>
          <w:highlight w:val="none"/>
        </w:rPr>
      </w:pPr>
      <w:bookmarkStart w:id="188" w:name="_Toc19273"/>
      <w:bookmarkStart w:id="189" w:name="_Toc15367"/>
      <w:bookmarkStart w:id="190" w:name="_Toc20421"/>
      <w:bookmarkStart w:id="191" w:name="_Toc28855"/>
      <w:bookmarkStart w:id="192" w:name="_Toc22967"/>
      <w:r>
        <w:rPr>
          <w:rFonts w:hint="eastAsia" w:ascii="仿宋" w:hAnsi="仿宋" w:eastAsia="仿宋" w:cs="仿宋"/>
          <w:color w:val="auto"/>
          <w:sz w:val="24"/>
          <w:highlight w:val="none"/>
        </w:rPr>
        <w:t>1.1 合同组成部分</w:t>
      </w:r>
      <w:bookmarkEnd w:id="188"/>
      <w:bookmarkEnd w:id="189"/>
      <w:bookmarkEnd w:id="190"/>
      <w:bookmarkEnd w:id="191"/>
      <w:bookmarkEnd w:id="192"/>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1.1.1 本合同及其补充合同、变更协议；</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1.1.2 成交通知书；</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1.1.3 响应文件（含澄清或者说明文件）；</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1.1.4 采购文件（含澄清或者修改文件）；</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1.1.5 其他相关采购文件。</w:t>
      </w:r>
    </w:p>
    <w:p>
      <w:pPr>
        <w:spacing w:line="360" w:lineRule="auto"/>
        <w:ind w:firstLine="480" w:firstLineChars="200"/>
        <w:rPr>
          <w:rFonts w:ascii="仿宋" w:hAnsi="仿宋" w:eastAsia="仿宋" w:cs="仿宋"/>
          <w:color w:val="auto"/>
          <w:sz w:val="24"/>
          <w:highlight w:val="none"/>
        </w:rPr>
      </w:pPr>
      <w:bookmarkStart w:id="193" w:name="_Toc22185"/>
      <w:bookmarkStart w:id="194" w:name="_Toc18585"/>
      <w:bookmarkStart w:id="195" w:name="_Toc6773"/>
      <w:bookmarkStart w:id="196" w:name="_Toc2918"/>
      <w:bookmarkStart w:id="197" w:name="_Toc6311"/>
      <w:r>
        <w:rPr>
          <w:rFonts w:hint="eastAsia" w:ascii="仿宋" w:hAnsi="仿宋" w:eastAsia="仿宋" w:cs="仿宋"/>
          <w:color w:val="auto"/>
          <w:sz w:val="24"/>
          <w:highlight w:val="none"/>
        </w:rPr>
        <w:t>1.2 标的</w:t>
      </w:r>
      <w:bookmarkEnd w:id="193"/>
      <w:bookmarkEnd w:id="194"/>
      <w:bookmarkEnd w:id="195"/>
      <w:bookmarkEnd w:id="196"/>
      <w:bookmarkEnd w:id="197"/>
    </w:p>
    <w:p>
      <w:pPr>
        <w:spacing w:line="360"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1.2.1 标的名称：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360"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1.2.2 标的数量：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1.2.3 标的质量：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360" w:lineRule="auto"/>
        <w:ind w:firstLine="480" w:firstLineChars="200"/>
        <w:rPr>
          <w:rFonts w:ascii="仿宋" w:hAnsi="仿宋" w:eastAsia="仿宋" w:cs="仿宋"/>
          <w:color w:val="auto"/>
          <w:sz w:val="24"/>
          <w:highlight w:val="none"/>
        </w:rPr>
      </w:pPr>
      <w:bookmarkStart w:id="198" w:name="_Toc1386"/>
      <w:bookmarkStart w:id="199" w:name="_Toc13918"/>
      <w:bookmarkStart w:id="200" w:name="_Toc5635"/>
      <w:bookmarkStart w:id="201" w:name="_Toc21124"/>
      <w:bookmarkStart w:id="202" w:name="_Toc4929"/>
      <w:r>
        <w:rPr>
          <w:rFonts w:hint="eastAsia" w:ascii="仿宋" w:hAnsi="仿宋" w:eastAsia="仿宋" w:cs="仿宋"/>
          <w:color w:val="auto"/>
          <w:sz w:val="24"/>
          <w:highlight w:val="none"/>
        </w:rPr>
        <w:t>1.3 价款</w:t>
      </w:r>
      <w:bookmarkEnd w:id="198"/>
      <w:bookmarkEnd w:id="199"/>
      <w:bookmarkEnd w:id="200"/>
      <w:bookmarkEnd w:id="201"/>
      <w:bookmarkEnd w:id="202"/>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本合同总价为：￥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pPr>
        <w:spacing w:line="360"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分项价格：</w:t>
      </w:r>
    </w:p>
    <w:tbl>
      <w:tblPr>
        <w:tblStyle w:val="62"/>
        <w:tblW w:w="89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4678"/>
        <w:gridCol w:w="34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vAlign w:val="center"/>
          </w:tcPr>
          <w:p>
            <w:pPr>
              <w:pStyle w:val="323"/>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4678" w:type="dxa"/>
            <w:vAlign w:val="center"/>
          </w:tcPr>
          <w:p>
            <w:pPr>
              <w:pStyle w:val="323"/>
              <w:ind w:firstLine="20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3478" w:type="dxa"/>
            <w:vAlign w:val="center"/>
          </w:tcPr>
          <w:p>
            <w:pPr>
              <w:pStyle w:val="323"/>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vAlign w:val="center"/>
          </w:tcPr>
          <w:p>
            <w:pPr>
              <w:pStyle w:val="323"/>
              <w:ind w:firstLine="200"/>
              <w:jc w:val="center"/>
              <w:rPr>
                <w:rFonts w:ascii="仿宋" w:hAnsi="仿宋" w:eastAsia="仿宋" w:cs="仿宋"/>
                <w:color w:val="auto"/>
                <w:sz w:val="24"/>
                <w:szCs w:val="24"/>
                <w:highlight w:val="none"/>
              </w:rPr>
            </w:pPr>
          </w:p>
        </w:tc>
        <w:tc>
          <w:tcPr>
            <w:tcW w:w="4678" w:type="dxa"/>
            <w:vAlign w:val="center"/>
          </w:tcPr>
          <w:p>
            <w:pPr>
              <w:pStyle w:val="323"/>
              <w:ind w:firstLine="200"/>
              <w:jc w:val="center"/>
              <w:rPr>
                <w:rFonts w:ascii="仿宋" w:hAnsi="仿宋" w:eastAsia="仿宋" w:cs="仿宋"/>
                <w:color w:val="auto"/>
                <w:sz w:val="24"/>
                <w:szCs w:val="24"/>
                <w:highlight w:val="none"/>
              </w:rPr>
            </w:pPr>
          </w:p>
        </w:tc>
        <w:tc>
          <w:tcPr>
            <w:tcW w:w="3478" w:type="dxa"/>
            <w:vAlign w:val="center"/>
          </w:tcPr>
          <w:p>
            <w:pPr>
              <w:pStyle w:val="323"/>
              <w:ind w:firstLine="200"/>
              <w:jc w:val="center"/>
              <w:rPr>
                <w:rFonts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vAlign w:val="center"/>
          </w:tcPr>
          <w:p>
            <w:pPr>
              <w:pStyle w:val="323"/>
              <w:ind w:firstLine="200"/>
              <w:jc w:val="center"/>
              <w:rPr>
                <w:rFonts w:ascii="仿宋" w:hAnsi="仿宋" w:eastAsia="仿宋" w:cs="仿宋"/>
                <w:color w:val="auto"/>
                <w:sz w:val="24"/>
                <w:szCs w:val="24"/>
                <w:highlight w:val="none"/>
              </w:rPr>
            </w:pPr>
          </w:p>
        </w:tc>
        <w:tc>
          <w:tcPr>
            <w:tcW w:w="4678" w:type="dxa"/>
            <w:vAlign w:val="center"/>
          </w:tcPr>
          <w:p>
            <w:pPr>
              <w:pStyle w:val="323"/>
              <w:ind w:firstLine="200"/>
              <w:jc w:val="center"/>
              <w:rPr>
                <w:rFonts w:ascii="仿宋" w:hAnsi="仿宋" w:eastAsia="仿宋" w:cs="仿宋"/>
                <w:color w:val="auto"/>
                <w:sz w:val="24"/>
                <w:szCs w:val="24"/>
                <w:highlight w:val="none"/>
              </w:rPr>
            </w:pPr>
          </w:p>
        </w:tc>
        <w:tc>
          <w:tcPr>
            <w:tcW w:w="3478" w:type="dxa"/>
            <w:vAlign w:val="center"/>
          </w:tcPr>
          <w:p>
            <w:pPr>
              <w:pStyle w:val="323"/>
              <w:ind w:firstLine="200"/>
              <w:jc w:val="center"/>
              <w:rPr>
                <w:rFonts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vAlign w:val="center"/>
          </w:tcPr>
          <w:p>
            <w:pPr>
              <w:pStyle w:val="323"/>
              <w:ind w:firstLine="200"/>
              <w:jc w:val="center"/>
              <w:rPr>
                <w:rFonts w:ascii="仿宋" w:hAnsi="仿宋" w:eastAsia="仿宋" w:cs="仿宋"/>
                <w:color w:val="auto"/>
                <w:sz w:val="24"/>
                <w:szCs w:val="24"/>
                <w:highlight w:val="none"/>
              </w:rPr>
            </w:pPr>
          </w:p>
        </w:tc>
        <w:tc>
          <w:tcPr>
            <w:tcW w:w="4678" w:type="dxa"/>
            <w:vAlign w:val="center"/>
          </w:tcPr>
          <w:p>
            <w:pPr>
              <w:pStyle w:val="323"/>
              <w:ind w:firstLine="200"/>
              <w:jc w:val="center"/>
              <w:rPr>
                <w:rFonts w:ascii="仿宋" w:hAnsi="仿宋" w:eastAsia="仿宋" w:cs="仿宋"/>
                <w:color w:val="auto"/>
                <w:sz w:val="24"/>
                <w:szCs w:val="24"/>
                <w:highlight w:val="none"/>
              </w:rPr>
            </w:pPr>
          </w:p>
        </w:tc>
        <w:tc>
          <w:tcPr>
            <w:tcW w:w="3478" w:type="dxa"/>
            <w:vAlign w:val="center"/>
          </w:tcPr>
          <w:p>
            <w:pPr>
              <w:pStyle w:val="323"/>
              <w:ind w:firstLine="200"/>
              <w:jc w:val="center"/>
              <w:rPr>
                <w:rFonts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vAlign w:val="center"/>
          </w:tcPr>
          <w:p>
            <w:pPr>
              <w:pStyle w:val="323"/>
              <w:ind w:firstLine="200"/>
              <w:jc w:val="center"/>
              <w:rPr>
                <w:rFonts w:ascii="仿宋" w:hAnsi="仿宋" w:eastAsia="仿宋" w:cs="仿宋"/>
                <w:color w:val="auto"/>
                <w:sz w:val="24"/>
                <w:szCs w:val="24"/>
                <w:highlight w:val="none"/>
              </w:rPr>
            </w:pPr>
          </w:p>
        </w:tc>
        <w:tc>
          <w:tcPr>
            <w:tcW w:w="4678" w:type="dxa"/>
            <w:vAlign w:val="center"/>
          </w:tcPr>
          <w:p>
            <w:pPr>
              <w:pStyle w:val="323"/>
              <w:ind w:firstLine="200"/>
              <w:jc w:val="center"/>
              <w:rPr>
                <w:rFonts w:ascii="仿宋" w:hAnsi="仿宋" w:eastAsia="仿宋" w:cs="仿宋"/>
                <w:color w:val="auto"/>
                <w:sz w:val="24"/>
                <w:szCs w:val="24"/>
                <w:highlight w:val="none"/>
              </w:rPr>
            </w:pPr>
          </w:p>
        </w:tc>
        <w:tc>
          <w:tcPr>
            <w:tcW w:w="3478" w:type="dxa"/>
            <w:vAlign w:val="center"/>
          </w:tcPr>
          <w:p>
            <w:pPr>
              <w:pStyle w:val="323"/>
              <w:ind w:firstLine="200"/>
              <w:jc w:val="center"/>
              <w:rPr>
                <w:rFonts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510" w:type="dxa"/>
            <w:gridSpan w:val="2"/>
            <w:vAlign w:val="center"/>
          </w:tcPr>
          <w:p>
            <w:pPr>
              <w:pStyle w:val="323"/>
              <w:ind w:firstLine="20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3478" w:type="dxa"/>
            <w:vAlign w:val="center"/>
          </w:tcPr>
          <w:p>
            <w:pPr>
              <w:pStyle w:val="323"/>
              <w:ind w:firstLine="200"/>
              <w:jc w:val="center"/>
              <w:rPr>
                <w:rFonts w:ascii="仿宋" w:hAnsi="仿宋" w:eastAsia="仿宋" w:cs="仿宋"/>
                <w:color w:val="auto"/>
                <w:sz w:val="24"/>
                <w:szCs w:val="24"/>
                <w:highlight w:val="none"/>
              </w:rPr>
            </w:pPr>
          </w:p>
        </w:tc>
      </w:tr>
    </w:tbl>
    <w:p>
      <w:pPr>
        <w:rPr>
          <w:rFonts w:ascii="仿宋" w:hAnsi="仿宋" w:eastAsia="仿宋" w:cs="仿宋"/>
          <w:color w:val="auto"/>
          <w:highlight w:val="none"/>
        </w:rPr>
      </w:pPr>
      <w:bookmarkStart w:id="203" w:name="_Toc26916"/>
      <w:bookmarkStart w:id="204" w:name="_Toc14993"/>
      <w:bookmarkStart w:id="205" w:name="_Toc3654"/>
      <w:bookmarkStart w:id="206" w:name="_Toc30506"/>
      <w:bookmarkStart w:id="207" w:name="_Toc30158"/>
      <w:r>
        <w:rPr>
          <w:rFonts w:hint="eastAsia" w:ascii="仿宋" w:hAnsi="仿宋" w:eastAsia="仿宋" w:cs="仿宋"/>
          <w:color w:val="auto"/>
          <w:highlight w:val="none"/>
        </w:rPr>
        <w:t xml:space="preserve">   </w:t>
      </w:r>
    </w:p>
    <w:p>
      <w:pPr>
        <w:pStyle w:val="959"/>
        <w:spacing w:before="0" w:beforeAutospacing="0" w:after="0" w:afterAutospacing="0" w:line="360" w:lineRule="auto"/>
        <w:ind w:firstLine="480"/>
        <w:rPr>
          <w:rFonts w:ascii="仿宋" w:hAnsi="仿宋" w:eastAsia="仿宋" w:cs="仿宋"/>
          <w:b/>
          <w:color w:val="auto"/>
          <w:highlight w:val="none"/>
        </w:rPr>
      </w:pPr>
      <w:bookmarkStart w:id="208" w:name="_Toc1814"/>
      <w:bookmarkStart w:id="209" w:name="_Toc22618"/>
      <w:bookmarkStart w:id="210" w:name="_Toc10340"/>
      <w:r>
        <w:rPr>
          <w:rFonts w:hint="eastAsia" w:ascii="仿宋" w:hAnsi="仿宋" w:eastAsia="仿宋" w:cs="仿宋"/>
          <w:b/>
          <w:color w:val="auto"/>
          <w:highlight w:val="none"/>
        </w:rPr>
        <w:t>1.4履约保证金</w:t>
      </w:r>
    </w:p>
    <w:p>
      <w:pPr>
        <w:pStyle w:val="959"/>
        <w:spacing w:before="0" w:beforeAutospacing="0" w:after="0" w:afterAutospacing="0" w:line="360" w:lineRule="auto"/>
        <w:ind w:firstLine="480"/>
        <w:rPr>
          <w:rFonts w:ascii="仿宋" w:hAnsi="仿宋" w:eastAsia="仿宋" w:cs="仿宋"/>
          <w:color w:val="auto"/>
          <w:highlight w:val="none"/>
        </w:rPr>
      </w:pPr>
      <w:r>
        <w:rPr>
          <w:rFonts w:hint="eastAsia" w:ascii="仿宋" w:hAnsi="仿宋" w:eastAsia="仿宋" w:cs="仿宋"/>
          <w:color w:val="auto"/>
          <w:highlight w:val="none"/>
        </w:rPr>
        <w:t>乙方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（是/否）需要支付履约保证金。若需要支付履约保证金的，则：</w:t>
      </w:r>
    </w:p>
    <w:p>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1.4.1履约保证金的比例为合同金额的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1.4.2履约保证金支付方式详见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1.4.4甲方在项目验收结束后及时退还履约保证金。甲方在项目通过验收之日起</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个工作日内将履约保证金无息退还乙方，逾期退还的，乙方可要求甲方支付违约金，违约金按每迟延退还一日的应退还而未退还金额的</w:t>
      </w:r>
      <w:r>
        <w:rPr>
          <w:rFonts w:hint="eastAsia" w:ascii="仿宋" w:hAnsi="仿宋" w:eastAsia="仿宋" w:cs="仿宋"/>
          <w:color w:val="auto"/>
          <w:kern w:val="0"/>
          <w:sz w:val="24"/>
          <w:highlight w:val="none"/>
          <w:u w:val="single"/>
        </w:rPr>
        <w:t xml:space="preserve">  </w:t>
      </w:r>
      <w:r>
        <w:rPr>
          <w:rFonts w:hint="eastAsia" w:ascii="仿宋" w:hAnsi="仿宋" w:eastAsia="仿宋" w:cs="仿宋"/>
          <w:b/>
          <w:bCs/>
          <w:i/>
          <w:iCs/>
          <w:color w:val="auto"/>
          <w:kern w:val="0"/>
          <w:sz w:val="24"/>
          <w:highlight w:val="none"/>
          <w:u w:val="single"/>
        </w:rPr>
        <w:t>0.05（可根据情况修改）</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%计算，最高限额为本合同履约保证金的</w:t>
      </w:r>
      <w:r>
        <w:rPr>
          <w:rFonts w:hint="eastAsia" w:ascii="仿宋" w:hAnsi="仿宋" w:eastAsia="仿宋" w:cs="仿宋"/>
          <w:color w:val="auto"/>
          <w:kern w:val="0"/>
          <w:sz w:val="24"/>
          <w:highlight w:val="none"/>
          <w:u w:val="single"/>
        </w:rPr>
        <w:t xml:space="preserve">  20  </w:t>
      </w:r>
      <w:r>
        <w:rPr>
          <w:rFonts w:hint="eastAsia" w:ascii="仿宋" w:hAnsi="仿宋" w:eastAsia="仿宋" w:cs="仿宋"/>
          <w:color w:val="auto"/>
          <w:kern w:val="0"/>
          <w:sz w:val="24"/>
          <w:highlight w:val="none"/>
        </w:rPr>
        <w:t xml:space="preserve"> %。</w:t>
      </w:r>
    </w:p>
    <w:p>
      <w:pPr>
        <w:spacing w:line="360" w:lineRule="auto"/>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1.5</w:t>
      </w:r>
      <w:bookmarkEnd w:id="208"/>
      <w:bookmarkEnd w:id="209"/>
      <w:bookmarkEnd w:id="210"/>
      <w:r>
        <w:rPr>
          <w:rFonts w:hint="eastAsia" w:ascii="仿宋" w:hAnsi="仿宋" w:eastAsia="仿宋" w:cs="仿宋"/>
          <w:b/>
          <w:bCs/>
          <w:color w:val="auto"/>
          <w:sz w:val="24"/>
          <w:highlight w:val="none"/>
        </w:rPr>
        <w:t>预付款</w:t>
      </w:r>
    </w:p>
    <w:p>
      <w:pPr>
        <w:pStyle w:val="959"/>
        <w:spacing w:before="0" w:beforeAutospacing="0" w:after="0" w:afterAutospacing="0" w:line="360" w:lineRule="auto"/>
        <w:ind w:firstLine="480"/>
        <w:rPr>
          <w:rFonts w:ascii="仿宋" w:hAnsi="仿宋" w:eastAsia="仿宋" w:cs="仿宋"/>
          <w:color w:val="auto"/>
          <w:highlight w:val="none"/>
        </w:rPr>
      </w:pPr>
      <w:r>
        <w:rPr>
          <w:rFonts w:hint="eastAsia" w:ascii="仿宋" w:hAnsi="仿宋" w:eastAsia="仿宋" w:cs="仿宋"/>
          <w:color w:val="auto"/>
          <w:highlight w:val="none"/>
        </w:rPr>
        <w:t>甲方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（是/否）需要支付预付款。若需要支付预付款的，则：</w:t>
      </w:r>
    </w:p>
    <w:p>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1.5.1预付款比例、支付方式、时间详见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pPr>
        <w:pStyle w:val="959"/>
        <w:spacing w:before="0" w:beforeAutospacing="0" w:after="0" w:afterAutospacing="0" w:line="360" w:lineRule="auto"/>
        <w:ind w:firstLine="480"/>
        <w:rPr>
          <w:rFonts w:ascii="仿宋" w:hAnsi="仿宋" w:eastAsia="仿宋" w:cs="仿宋"/>
          <w:color w:val="auto"/>
          <w:highlight w:val="none"/>
        </w:rPr>
      </w:pPr>
      <w:r>
        <w:rPr>
          <w:rFonts w:hint="eastAsia" w:ascii="仿宋" w:hAnsi="仿宋" w:eastAsia="仿宋" w:cs="仿宋"/>
          <w:color w:val="auto"/>
          <w:highlight w:val="none"/>
        </w:rPr>
        <w:t>1.5.2预付款的扣回方式详见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pPr>
        <w:pStyle w:val="959"/>
        <w:spacing w:before="0" w:beforeAutospacing="0" w:after="0" w:afterAutospacing="0" w:line="360" w:lineRule="auto"/>
        <w:ind w:firstLine="480"/>
        <w:rPr>
          <w:rFonts w:ascii="仿宋" w:hAnsi="仿宋" w:eastAsia="仿宋" w:cs="仿宋"/>
          <w:color w:val="auto"/>
          <w:highlight w:val="none"/>
        </w:rPr>
      </w:pPr>
      <w:r>
        <w:rPr>
          <w:rFonts w:hint="eastAsia" w:ascii="仿宋" w:hAnsi="仿宋" w:eastAsia="仿宋" w:cs="仿宋"/>
          <w:color w:val="auto"/>
          <w:highlight w:val="none"/>
        </w:rPr>
        <w:t>1.5.3预付款的担保措施详见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pPr>
        <w:spacing w:line="360" w:lineRule="auto"/>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1.6 付款方式和发票开具方式</w:t>
      </w:r>
      <w:bookmarkEnd w:id="203"/>
      <w:bookmarkEnd w:id="204"/>
      <w:bookmarkEnd w:id="205"/>
      <w:bookmarkEnd w:id="206"/>
      <w:bookmarkEnd w:id="207"/>
    </w:p>
    <w:p>
      <w:pPr>
        <w:spacing w:line="360" w:lineRule="auto"/>
        <w:ind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1.6.1付款方式：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360" w:lineRule="auto"/>
        <w:ind w:firstLine="482" w:firstLineChars="200"/>
        <w:rPr>
          <w:rFonts w:ascii="仿宋" w:hAnsi="仿宋" w:eastAsia="仿宋" w:cs="仿宋"/>
          <w:b/>
          <w:bCs/>
          <w:color w:val="auto"/>
          <w:sz w:val="24"/>
          <w:highlight w:val="none"/>
        </w:rPr>
      </w:pPr>
      <w:bookmarkStart w:id="211" w:name="_Toc31421"/>
      <w:bookmarkStart w:id="212" w:name="_Toc11108"/>
      <w:bookmarkStart w:id="213" w:name="_Toc4760"/>
      <w:bookmarkStart w:id="214" w:name="_Toc8772"/>
      <w:bookmarkStart w:id="215" w:name="_Toc3625"/>
      <w:r>
        <w:rPr>
          <w:rFonts w:hint="eastAsia" w:ascii="仿宋" w:hAnsi="仿宋" w:eastAsia="仿宋" w:cs="仿宋"/>
          <w:b/>
          <w:bCs/>
          <w:color w:val="auto"/>
          <w:sz w:val="24"/>
          <w:highlight w:val="none"/>
        </w:rPr>
        <w:t>1.7 履行期限、地点和方式</w:t>
      </w:r>
      <w:bookmarkEnd w:id="211"/>
      <w:bookmarkEnd w:id="212"/>
      <w:bookmarkEnd w:id="213"/>
      <w:bookmarkEnd w:id="214"/>
      <w:bookmarkEnd w:id="215"/>
    </w:p>
    <w:p>
      <w:pPr>
        <w:spacing w:line="360"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1.5.1 履行期限：</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1.5.2 履行地点：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1.5.3 履行方式：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360" w:lineRule="auto"/>
        <w:ind w:firstLine="480" w:firstLineChars="200"/>
        <w:rPr>
          <w:rFonts w:ascii="仿宋" w:hAnsi="仿宋" w:eastAsia="仿宋" w:cs="仿宋"/>
          <w:color w:val="auto"/>
          <w:sz w:val="24"/>
          <w:highlight w:val="none"/>
        </w:rPr>
      </w:pPr>
      <w:bookmarkStart w:id="216" w:name="_Toc24662"/>
      <w:bookmarkStart w:id="217" w:name="_Toc2375"/>
      <w:bookmarkStart w:id="218" w:name="_Toc5698"/>
      <w:bookmarkStart w:id="219" w:name="_Toc8586"/>
      <w:bookmarkStart w:id="220" w:name="_Toc3079"/>
      <w:r>
        <w:rPr>
          <w:rFonts w:hint="eastAsia" w:ascii="仿宋" w:hAnsi="仿宋" w:eastAsia="仿宋" w:cs="仿宋"/>
          <w:color w:val="auto"/>
          <w:sz w:val="24"/>
          <w:highlight w:val="none"/>
        </w:rPr>
        <w:t>1.6 违约责任</w:t>
      </w:r>
      <w:bookmarkEnd w:id="216"/>
      <w:bookmarkEnd w:id="217"/>
      <w:bookmarkEnd w:id="218"/>
      <w:bookmarkEnd w:id="219"/>
      <w:bookmarkEnd w:id="220"/>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1.6.1 除不可抗力外，如果乙方没有按照本合同约定的期限、地点和方式履行，那么甲方可要求乙方支付违约金，违约金按每迟延履行一日的应提供而未提供服务价格的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%；迟延履行的违约金计算数额达到前述最高限额之日起，甲方有权在要求乙方支付违约金的同时，书面通知乙方解除本合同；</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1.6.2 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%；迟延付款的违约金计算数额达到前述最高限额之日起，乙方有权在要求甲方支付违约金的同时，书面通知甲方解除本合同；</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1.6.6 如果出现政府采购监督管理部门在处理投诉事项期间，书面通知甲方暂停采购活动的情形，或者询问或质疑事项可能影响成交结果的，导致甲方中止履行合同的情形，均不视为甲方违约。</w:t>
      </w:r>
    </w:p>
    <w:p>
      <w:pPr>
        <w:spacing w:line="360" w:lineRule="auto"/>
        <w:ind w:firstLine="480" w:firstLineChars="200"/>
        <w:rPr>
          <w:rFonts w:ascii="仿宋" w:hAnsi="仿宋" w:eastAsia="仿宋" w:cs="仿宋"/>
          <w:color w:val="auto"/>
          <w:sz w:val="24"/>
          <w:highlight w:val="none"/>
        </w:rPr>
      </w:pPr>
      <w:bookmarkStart w:id="221" w:name="_Toc9497"/>
      <w:bookmarkStart w:id="222" w:name="_Toc18683"/>
      <w:bookmarkStart w:id="223" w:name="_Toc26807"/>
      <w:bookmarkStart w:id="224" w:name="_Toc30329"/>
      <w:bookmarkStart w:id="225" w:name="_Toc32454"/>
      <w:r>
        <w:rPr>
          <w:rFonts w:hint="eastAsia" w:ascii="仿宋" w:hAnsi="仿宋" w:eastAsia="仿宋" w:cs="仿宋"/>
          <w:color w:val="auto"/>
          <w:sz w:val="24"/>
          <w:highlight w:val="none"/>
        </w:rPr>
        <w:t>1.7 合同争议的解决</w:t>
      </w:r>
      <w:bookmarkEnd w:id="221"/>
      <w:bookmarkEnd w:id="222"/>
      <w:bookmarkEnd w:id="223"/>
      <w:bookmarkEnd w:id="224"/>
      <w:bookmarkEnd w:id="225"/>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本合同履行过程中发生的任何争议，双方当事人均可通过和解或者调解解决；不愿和解、调解或者和解、调解不成的，可以选择下列第</w:t>
      </w:r>
      <w:r>
        <w:rPr>
          <w:rFonts w:hint="eastAsia" w:ascii="仿宋" w:hAnsi="仿宋" w:eastAsia="仿宋" w:cs="仿宋"/>
          <w:color w:val="auto"/>
          <w:sz w:val="24"/>
          <w:highlight w:val="none"/>
          <w:u w:val="single"/>
        </w:rPr>
        <w:t xml:space="preserve">  2  </w:t>
      </w:r>
      <w:r>
        <w:rPr>
          <w:rFonts w:hint="eastAsia" w:ascii="仿宋" w:hAnsi="仿宋" w:eastAsia="仿宋" w:cs="仿宋"/>
          <w:color w:val="auto"/>
          <w:sz w:val="24"/>
          <w:highlight w:val="none"/>
        </w:rPr>
        <w:t>种方式解决：</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1.7.1 将争议提交</w:t>
      </w:r>
      <w:r>
        <w:rPr>
          <w:rFonts w:hint="eastAsia" w:ascii="仿宋" w:hAnsi="仿宋" w:eastAsia="仿宋" w:cs="仿宋"/>
          <w:color w:val="auto"/>
          <w:sz w:val="24"/>
          <w:highlight w:val="none"/>
          <w:u w:val="single"/>
        </w:rPr>
        <w:t xml:space="preserve">  （采购人所在地）   </w:t>
      </w:r>
      <w:r>
        <w:rPr>
          <w:rFonts w:hint="eastAsia" w:ascii="仿宋" w:hAnsi="仿宋" w:eastAsia="仿宋" w:cs="仿宋"/>
          <w:color w:val="auto"/>
          <w:sz w:val="24"/>
          <w:highlight w:val="none"/>
        </w:rPr>
        <w:t>仲裁委员会依申请仲裁时其现行有效的仲裁规则裁决；</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1.7.2 向</w:t>
      </w:r>
      <w:r>
        <w:rPr>
          <w:rFonts w:hint="eastAsia" w:ascii="仿宋" w:hAnsi="仿宋" w:eastAsia="仿宋" w:cs="仿宋"/>
          <w:color w:val="auto"/>
          <w:sz w:val="24"/>
          <w:highlight w:val="none"/>
          <w:u w:val="single"/>
        </w:rPr>
        <w:t xml:space="preserve">  （合同履行地)  </w:t>
      </w:r>
      <w:r>
        <w:rPr>
          <w:rFonts w:hint="eastAsia" w:ascii="仿宋" w:hAnsi="仿宋" w:eastAsia="仿宋" w:cs="仿宋"/>
          <w:color w:val="auto"/>
          <w:sz w:val="24"/>
          <w:highlight w:val="none"/>
        </w:rPr>
        <w:t>人民法院起诉。</w:t>
      </w:r>
    </w:p>
    <w:p>
      <w:pPr>
        <w:spacing w:line="360" w:lineRule="auto"/>
        <w:ind w:firstLine="480" w:firstLineChars="200"/>
        <w:rPr>
          <w:rFonts w:ascii="仿宋" w:hAnsi="仿宋" w:eastAsia="仿宋" w:cs="仿宋"/>
          <w:color w:val="auto"/>
          <w:sz w:val="24"/>
          <w:highlight w:val="none"/>
        </w:rPr>
      </w:pPr>
      <w:bookmarkStart w:id="226" w:name="_Toc15827"/>
      <w:bookmarkStart w:id="227" w:name="_Toc12273"/>
      <w:bookmarkStart w:id="228" w:name="_Toc26227"/>
      <w:bookmarkStart w:id="229" w:name="_Toc16417"/>
      <w:bookmarkStart w:id="230" w:name="_Toc23784"/>
      <w:r>
        <w:rPr>
          <w:rFonts w:hint="eastAsia" w:ascii="仿宋" w:hAnsi="仿宋" w:eastAsia="仿宋" w:cs="仿宋"/>
          <w:color w:val="auto"/>
          <w:sz w:val="24"/>
          <w:highlight w:val="none"/>
        </w:rPr>
        <w:t>1.8 合同生效</w:t>
      </w:r>
      <w:bookmarkEnd w:id="226"/>
      <w:bookmarkEnd w:id="227"/>
      <w:bookmarkEnd w:id="228"/>
      <w:bookmarkEnd w:id="229"/>
      <w:bookmarkEnd w:id="230"/>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本合同自双方当事人盖章或者签字时生效。</w:t>
      </w:r>
    </w:p>
    <w:p>
      <w:pPr>
        <w:autoSpaceDE w:val="0"/>
        <w:autoSpaceDN w:val="0"/>
        <w:spacing w:line="360" w:lineRule="auto"/>
        <w:rPr>
          <w:rFonts w:ascii="仿宋" w:hAnsi="仿宋" w:eastAsia="仿宋" w:cs="仿宋"/>
          <w:color w:val="auto"/>
          <w:sz w:val="24"/>
          <w:highlight w:val="none"/>
          <w:lang w:val="zh-CN"/>
        </w:rPr>
      </w:pPr>
    </w:p>
    <w:p>
      <w:pPr>
        <w:autoSpaceDE w:val="0"/>
        <w:autoSpaceDN w:val="0"/>
        <w:spacing w:line="360" w:lineRule="auto"/>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甲方：                                   乙方：</w:t>
      </w:r>
    </w:p>
    <w:p>
      <w:pPr>
        <w:autoSpaceDE w:val="0"/>
        <w:autoSpaceDN w:val="0"/>
        <w:spacing w:line="360" w:lineRule="auto"/>
        <w:rPr>
          <w:rFonts w:ascii="仿宋" w:hAnsi="仿宋" w:eastAsia="仿宋" w:cs="仿宋"/>
          <w:color w:val="auto"/>
          <w:sz w:val="24"/>
          <w:highlight w:val="none"/>
          <w:lang w:val="zh-CN"/>
        </w:rPr>
      </w:pPr>
    </w:p>
    <w:p>
      <w:pPr>
        <w:autoSpaceDE w:val="0"/>
        <w:autoSpaceDN w:val="0"/>
        <w:spacing w:line="360" w:lineRule="auto"/>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pPr>
        <w:autoSpaceDE w:val="0"/>
        <w:autoSpaceDN w:val="0"/>
        <w:spacing w:line="360" w:lineRule="auto"/>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法定代表人或</w:t>
      </w:r>
    </w:p>
    <w:p>
      <w:pPr>
        <w:autoSpaceDE w:val="0"/>
        <w:autoSpaceDN w:val="0"/>
        <w:spacing w:line="360" w:lineRule="auto"/>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授权代表（签字）: </w:t>
      </w:r>
    </w:p>
    <w:p>
      <w:pPr>
        <w:autoSpaceDE w:val="0"/>
        <w:autoSpaceDN w:val="0"/>
        <w:spacing w:line="360" w:lineRule="auto"/>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联系人：                                 联系人：   </w:t>
      </w:r>
    </w:p>
    <w:p>
      <w:pPr>
        <w:autoSpaceDE w:val="0"/>
        <w:autoSpaceDN w:val="0"/>
        <w:spacing w:line="360" w:lineRule="auto"/>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pPr>
        <w:autoSpaceDE w:val="0"/>
        <w:autoSpaceDN w:val="0"/>
        <w:spacing w:line="360" w:lineRule="auto"/>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pPr>
        <w:autoSpaceDE w:val="0"/>
        <w:autoSpaceDN w:val="0"/>
        <w:spacing w:line="360" w:lineRule="auto"/>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pPr>
        <w:autoSpaceDE w:val="0"/>
        <w:autoSpaceDN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pPr>
        <w:autoSpaceDE w:val="0"/>
        <w:autoSpaceDN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pPr>
        <w:autoSpaceDE w:val="0"/>
        <w:autoSpaceDN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pPr>
        <w:pStyle w:val="702"/>
        <w:jc w:val="center"/>
        <w:rPr>
          <w:rFonts w:ascii="仿宋" w:hAnsi="仿宋" w:eastAsia="仿宋" w:cs="仿宋"/>
          <w:color w:val="auto"/>
          <w:szCs w:val="24"/>
          <w:highlight w:val="none"/>
        </w:rPr>
        <w:sectPr>
          <w:pgSz w:w="11905" w:h="16838"/>
          <w:pgMar w:top="1440" w:right="1803" w:bottom="1440" w:left="1803" w:header="851" w:footer="992" w:gutter="0"/>
          <w:cols w:space="0" w:num="1"/>
          <w:rtlGutter w:val="0"/>
          <w:docGrid w:linePitch="312" w:charSpace="0"/>
        </w:sectPr>
      </w:pPr>
      <w:bookmarkStart w:id="231" w:name="_Toc331685783"/>
    </w:p>
    <w:p>
      <w:pPr>
        <w:pStyle w:val="702"/>
        <w:jc w:val="center"/>
        <w:rPr>
          <w:rFonts w:ascii="仿宋" w:hAnsi="仿宋" w:eastAsia="仿宋" w:cs="仿宋"/>
          <w:color w:val="auto"/>
          <w:szCs w:val="24"/>
          <w:highlight w:val="none"/>
        </w:rPr>
      </w:pPr>
      <w:r>
        <w:rPr>
          <w:rFonts w:hint="eastAsia" w:ascii="仿宋" w:hAnsi="仿宋" w:eastAsia="仿宋" w:cs="仿宋"/>
          <w:color w:val="auto"/>
          <w:szCs w:val="24"/>
          <w:highlight w:val="none"/>
        </w:rPr>
        <w:t>第二部分 合同一般条款</w:t>
      </w:r>
      <w:bookmarkEnd w:id="231"/>
    </w:p>
    <w:p>
      <w:pPr>
        <w:spacing w:line="360" w:lineRule="auto"/>
        <w:ind w:firstLine="480" w:firstLineChars="200"/>
        <w:rPr>
          <w:rFonts w:ascii="仿宋" w:hAnsi="仿宋" w:eastAsia="仿宋" w:cs="仿宋"/>
          <w:color w:val="auto"/>
          <w:sz w:val="24"/>
          <w:highlight w:val="none"/>
        </w:rPr>
      </w:pPr>
      <w:bookmarkStart w:id="232" w:name="_Toc279701240"/>
      <w:bookmarkStart w:id="233" w:name="_Toc487900349"/>
      <w:bookmarkStart w:id="234" w:name="_Ref467379094"/>
      <w:bookmarkStart w:id="235" w:name="_Ref467379195"/>
      <w:bookmarkStart w:id="236" w:name="_Ref467379109"/>
      <w:bookmarkStart w:id="237" w:name="_Ref467378404"/>
      <w:bookmarkStart w:id="238" w:name="_Ref467378499"/>
      <w:bookmarkStart w:id="239" w:name="_Ref467379205"/>
      <w:bookmarkStart w:id="240" w:name="_Toc259093669"/>
      <w:bookmarkStart w:id="241" w:name="_Toc25079"/>
      <w:bookmarkStart w:id="242" w:name="_Toc5228"/>
      <w:bookmarkStart w:id="243" w:name="_Ref467379225"/>
      <w:bookmarkStart w:id="244" w:name="_Toc31297"/>
      <w:bookmarkStart w:id="245" w:name="_Ref467379214"/>
      <w:bookmarkStart w:id="246" w:name="_Toc14021"/>
      <w:bookmarkStart w:id="247" w:name="_Ref467379101"/>
      <w:bookmarkStart w:id="248" w:name="_Ref467378463"/>
      <w:r>
        <w:rPr>
          <w:rFonts w:hint="eastAsia" w:ascii="仿宋" w:hAnsi="仿宋" w:eastAsia="仿宋" w:cs="仿宋"/>
          <w:color w:val="auto"/>
          <w:sz w:val="24"/>
          <w:highlight w:val="none"/>
        </w:rPr>
        <w:t>2.1 定义</w:t>
      </w:r>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 “合同”系指采购人和成交人签订的载明双方当事人所达成的协议，并包括所有的附件、附录和构成合同的其他文件。</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“合同价”系指根据合同约定，成交人在完全履行合同义务后，采购人应支付给成交人的价格。</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2.1.3 “服务”系指成交人根据合同约定应向采购人履行的除货物和工程以外的其他政府采购对象，包括采购人自身需要的服务和向社会公众提供的公共服务。</w:t>
      </w:r>
    </w:p>
    <w:p>
      <w:pPr>
        <w:spacing w:line="360" w:lineRule="auto"/>
        <w:ind w:firstLine="480" w:firstLineChars="200"/>
        <w:rPr>
          <w:rFonts w:ascii="仿宋" w:hAnsi="仿宋" w:eastAsia="仿宋" w:cs="仿宋"/>
          <w:color w:val="auto"/>
          <w:sz w:val="24"/>
          <w:highlight w:val="none"/>
        </w:rPr>
      </w:pPr>
      <w:bookmarkStart w:id="249" w:name="_Ref467378840"/>
      <w:r>
        <w:rPr>
          <w:rFonts w:hint="eastAsia" w:ascii="仿宋" w:hAnsi="仿宋" w:eastAsia="仿宋" w:cs="仿宋"/>
          <w:color w:val="auto"/>
          <w:sz w:val="24"/>
          <w:highlight w:val="none"/>
        </w:rPr>
        <w:t>2.1.4 “甲方”系指与成交人签署合同的采购人</w:t>
      </w:r>
      <w:bookmarkEnd w:id="249"/>
      <w:r>
        <w:rPr>
          <w:rFonts w:hint="eastAsia" w:ascii="仿宋" w:hAnsi="仿宋" w:eastAsia="仿宋" w:cs="仿宋"/>
          <w:color w:val="auto"/>
          <w:sz w:val="24"/>
          <w:highlight w:val="none"/>
        </w:rPr>
        <w:t>；采购人委托采购代理机构代表其与乙方签订合同的，采购人的授权委托书作为合同附件。</w:t>
      </w:r>
    </w:p>
    <w:p>
      <w:pPr>
        <w:spacing w:line="360" w:lineRule="auto"/>
        <w:ind w:firstLine="480" w:firstLineChars="200"/>
        <w:rPr>
          <w:rFonts w:ascii="仿宋" w:hAnsi="仿宋" w:eastAsia="仿宋" w:cs="仿宋"/>
          <w:color w:val="auto"/>
          <w:sz w:val="24"/>
          <w:highlight w:val="none"/>
        </w:rPr>
      </w:pPr>
      <w:bookmarkStart w:id="250" w:name="_Ref467379400"/>
      <w:r>
        <w:rPr>
          <w:rFonts w:hint="eastAsia" w:ascii="仿宋" w:hAnsi="仿宋" w:eastAsia="仿宋" w:cs="仿宋"/>
          <w:color w:val="auto"/>
          <w:sz w:val="24"/>
          <w:highlight w:val="none"/>
        </w:rPr>
        <w:t>2.1.5 “乙方”系指根据合同约定提供服务的成交人</w:t>
      </w:r>
      <w:bookmarkEnd w:id="250"/>
      <w:r>
        <w:rPr>
          <w:rFonts w:hint="eastAsia" w:ascii="仿宋" w:hAnsi="仿宋" w:eastAsia="仿宋" w:cs="仿宋"/>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360" w:lineRule="auto"/>
        <w:ind w:firstLine="480" w:firstLineChars="200"/>
        <w:rPr>
          <w:rFonts w:ascii="仿宋" w:hAnsi="仿宋" w:eastAsia="仿宋" w:cs="仿宋"/>
          <w:color w:val="auto"/>
          <w:sz w:val="24"/>
          <w:highlight w:val="none"/>
        </w:rPr>
      </w:pPr>
      <w:bookmarkStart w:id="251" w:name="_Ref467379436"/>
      <w:r>
        <w:rPr>
          <w:rFonts w:hint="eastAsia" w:ascii="仿宋" w:hAnsi="仿宋" w:eastAsia="仿宋" w:cs="仿宋"/>
          <w:color w:val="auto"/>
          <w:sz w:val="24"/>
          <w:highlight w:val="none"/>
        </w:rPr>
        <w:t>2.1.6 “现场”系指合同约定提供服务的地点。</w:t>
      </w:r>
      <w:bookmarkEnd w:id="251"/>
    </w:p>
    <w:p>
      <w:pPr>
        <w:spacing w:line="360" w:lineRule="auto"/>
        <w:ind w:firstLine="480" w:firstLineChars="200"/>
        <w:rPr>
          <w:rFonts w:ascii="仿宋" w:hAnsi="仿宋" w:eastAsia="仿宋" w:cs="仿宋"/>
          <w:color w:val="auto"/>
          <w:sz w:val="24"/>
          <w:highlight w:val="none"/>
        </w:rPr>
      </w:pPr>
      <w:bookmarkStart w:id="252" w:name="_Toc259093670"/>
      <w:bookmarkStart w:id="253" w:name="_Toc31402"/>
      <w:bookmarkStart w:id="254" w:name="_Toc3769"/>
      <w:bookmarkStart w:id="255" w:name="_Toc487900350"/>
      <w:bookmarkStart w:id="256" w:name="_Toc16752"/>
      <w:bookmarkStart w:id="257" w:name="_Toc279701241"/>
      <w:bookmarkStart w:id="258" w:name="_Toc23289"/>
      <w:bookmarkStart w:id="259" w:name="_Toc19539"/>
      <w:r>
        <w:rPr>
          <w:rFonts w:hint="eastAsia" w:ascii="仿宋" w:hAnsi="仿宋" w:eastAsia="仿宋" w:cs="仿宋"/>
          <w:color w:val="auto"/>
          <w:sz w:val="24"/>
          <w:highlight w:val="none"/>
        </w:rPr>
        <w:t>2.2 技术规范</w:t>
      </w:r>
      <w:bookmarkEnd w:id="252"/>
      <w:bookmarkEnd w:id="253"/>
      <w:bookmarkEnd w:id="254"/>
      <w:bookmarkEnd w:id="255"/>
      <w:bookmarkEnd w:id="256"/>
      <w:bookmarkEnd w:id="257"/>
      <w:bookmarkEnd w:id="258"/>
      <w:bookmarkEnd w:id="259"/>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360" w:lineRule="auto"/>
        <w:ind w:firstLine="480" w:firstLineChars="200"/>
        <w:rPr>
          <w:rFonts w:ascii="仿宋" w:hAnsi="仿宋" w:eastAsia="仿宋" w:cs="仿宋"/>
          <w:color w:val="auto"/>
          <w:sz w:val="24"/>
          <w:highlight w:val="none"/>
        </w:rPr>
      </w:pPr>
      <w:bookmarkStart w:id="260" w:name="_Toc487900351"/>
      <w:bookmarkStart w:id="261" w:name="_Toc279701242"/>
      <w:bookmarkStart w:id="262" w:name="_Toc4133"/>
      <w:bookmarkStart w:id="263" w:name="_Toc27945"/>
      <w:bookmarkStart w:id="264" w:name="_Toc9161"/>
      <w:bookmarkStart w:id="265" w:name="_Toc259093671"/>
      <w:bookmarkStart w:id="266" w:name="_Toc13673"/>
      <w:bookmarkStart w:id="267" w:name="_Toc12412"/>
      <w:r>
        <w:rPr>
          <w:rFonts w:hint="eastAsia" w:ascii="仿宋" w:hAnsi="仿宋" w:eastAsia="仿宋" w:cs="仿宋"/>
          <w:color w:val="auto"/>
          <w:sz w:val="24"/>
          <w:highlight w:val="none"/>
        </w:rPr>
        <w:t>2.3 知识产权</w:t>
      </w:r>
      <w:bookmarkEnd w:id="260"/>
      <w:bookmarkEnd w:id="261"/>
      <w:bookmarkEnd w:id="262"/>
      <w:bookmarkEnd w:id="263"/>
      <w:bookmarkEnd w:id="264"/>
      <w:bookmarkEnd w:id="265"/>
      <w:bookmarkEnd w:id="266"/>
      <w:bookmarkEnd w:id="267"/>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2.3.2 合同涉及技术成果的归属和收益的分成办法的，详见</w:t>
      </w:r>
      <w:r>
        <w:rPr>
          <w:rFonts w:hint="eastAsia" w:ascii="仿宋" w:hAnsi="仿宋" w:eastAsia="仿宋" w:cs="仿宋"/>
          <w:color w:val="auto"/>
          <w:sz w:val="24"/>
          <w:highlight w:val="none"/>
          <w:u w:val="single"/>
        </w:rPr>
        <w:t>合同专用条款</w:t>
      </w:r>
      <w:r>
        <w:rPr>
          <w:rFonts w:hint="eastAsia" w:ascii="仿宋" w:hAnsi="仿宋" w:eastAsia="仿宋" w:cs="仿宋"/>
          <w:color w:val="auto"/>
          <w:sz w:val="24"/>
          <w:highlight w:val="none"/>
        </w:rPr>
        <w:t>。</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2.4 履约检查和问题反馈</w:t>
      </w:r>
    </w:p>
    <w:p>
      <w:pPr>
        <w:spacing w:line="360" w:lineRule="auto"/>
        <w:ind w:firstLine="480" w:firstLineChars="200"/>
        <w:rPr>
          <w:rFonts w:ascii="仿宋" w:hAnsi="仿宋" w:eastAsia="仿宋" w:cs="仿宋"/>
          <w:color w:val="auto"/>
          <w:sz w:val="24"/>
          <w:highlight w:val="none"/>
        </w:rPr>
      </w:pPr>
      <w:bookmarkStart w:id="268" w:name="_Ref467379657"/>
      <w:r>
        <w:rPr>
          <w:rFonts w:hint="eastAsia" w:ascii="仿宋" w:hAnsi="仿宋" w:eastAsia="仿宋" w:cs="仿宋"/>
          <w:color w:val="auto"/>
          <w:sz w:val="24"/>
          <w:highlight w:val="none"/>
        </w:rPr>
        <w:t>2.4.1</w:t>
      </w:r>
      <w:bookmarkEnd w:id="268"/>
      <w:bookmarkStart w:id="269" w:name="_Toc186431854"/>
      <w:bookmarkStart w:id="270" w:name="_Toc279701247"/>
      <w:bookmarkStart w:id="271" w:name="_Toc259093676"/>
      <w:bookmarkStart w:id="272" w:name="_Ref467379807"/>
      <w:bookmarkStart w:id="273" w:name="_Toc487900357"/>
      <w:bookmarkStart w:id="274" w:name="_Ref467379793"/>
      <w:r>
        <w:rPr>
          <w:rFonts w:hint="eastAsia" w:ascii="仿宋" w:hAnsi="仿宋" w:eastAsia="仿宋" w:cs="仿宋"/>
          <w:color w:val="auto"/>
          <w:sz w:val="24"/>
          <w:highlight w:val="none"/>
        </w:rPr>
        <w:t>甲方有权在其认为必要时，对乙方是否能够按照合同约定提供服务进行履约检查，以确保乙方所提供的服务能够依约满足甲方之项目需求，但不得因履约检查妨碍乙方的正常工作，乙方应予积极配合；</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2.4.2 合同履行期间，甲方有权将履行过程中出现的问题反馈给乙方，双方当事人应以书面形式约定需要完善和改进的内容</w:t>
      </w:r>
      <w:bookmarkEnd w:id="269"/>
      <w:bookmarkStart w:id="275" w:name="_Toc186431855"/>
      <w:r>
        <w:rPr>
          <w:rFonts w:hint="eastAsia" w:ascii="仿宋" w:hAnsi="仿宋" w:eastAsia="仿宋" w:cs="仿宋"/>
          <w:color w:val="auto"/>
          <w:sz w:val="24"/>
          <w:highlight w:val="none"/>
        </w:rPr>
        <w:t>。</w:t>
      </w:r>
    </w:p>
    <w:bookmarkEnd w:id="275"/>
    <w:p>
      <w:pPr>
        <w:spacing w:line="360" w:lineRule="auto"/>
        <w:ind w:firstLine="480" w:firstLineChars="200"/>
        <w:rPr>
          <w:rFonts w:ascii="仿宋" w:hAnsi="仿宋" w:eastAsia="仿宋" w:cs="仿宋"/>
          <w:color w:val="auto"/>
          <w:sz w:val="24"/>
          <w:highlight w:val="none"/>
        </w:rPr>
      </w:pPr>
      <w:bookmarkStart w:id="276" w:name="_Toc15447"/>
      <w:bookmarkStart w:id="277" w:name="_Toc31233"/>
      <w:bookmarkStart w:id="278" w:name="_Toc22011"/>
      <w:bookmarkStart w:id="279" w:name="_Toc26555"/>
      <w:bookmarkStart w:id="280" w:name="_Toc32670"/>
      <w:r>
        <w:rPr>
          <w:rFonts w:hint="eastAsia" w:ascii="仿宋" w:hAnsi="仿宋" w:eastAsia="仿宋" w:cs="仿宋"/>
          <w:color w:val="auto"/>
          <w:sz w:val="24"/>
          <w:highlight w:val="none"/>
        </w:rPr>
        <w:t>2.5 结算方式和付款条件</w:t>
      </w:r>
      <w:bookmarkEnd w:id="270"/>
      <w:bookmarkEnd w:id="271"/>
      <w:bookmarkEnd w:id="272"/>
      <w:bookmarkEnd w:id="273"/>
      <w:bookmarkEnd w:id="274"/>
      <w:bookmarkEnd w:id="276"/>
      <w:bookmarkEnd w:id="277"/>
      <w:bookmarkEnd w:id="278"/>
      <w:bookmarkEnd w:id="279"/>
      <w:bookmarkEnd w:id="280"/>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详见</w:t>
      </w:r>
      <w:r>
        <w:rPr>
          <w:rFonts w:hint="eastAsia" w:ascii="仿宋" w:hAnsi="仿宋" w:eastAsia="仿宋" w:cs="仿宋"/>
          <w:color w:val="auto"/>
          <w:sz w:val="24"/>
          <w:highlight w:val="none"/>
          <w:u w:val="single"/>
        </w:rPr>
        <w:t>合同专用条款</w:t>
      </w:r>
      <w:r>
        <w:rPr>
          <w:rFonts w:hint="eastAsia" w:ascii="仿宋" w:hAnsi="仿宋" w:eastAsia="仿宋" w:cs="仿宋"/>
          <w:color w:val="auto"/>
          <w:sz w:val="24"/>
          <w:highlight w:val="none"/>
        </w:rPr>
        <w:t>。</w:t>
      </w:r>
    </w:p>
    <w:p>
      <w:pPr>
        <w:spacing w:line="360" w:lineRule="auto"/>
        <w:ind w:firstLine="480" w:firstLineChars="200"/>
        <w:rPr>
          <w:rFonts w:ascii="仿宋" w:hAnsi="仿宋" w:eastAsia="仿宋" w:cs="仿宋"/>
          <w:color w:val="auto"/>
          <w:sz w:val="24"/>
          <w:highlight w:val="none"/>
        </w:rPr>
      </w:pPr>
      <w:bookmarkStart w:id="281" w:name="_Toc487900358"/>
      <w:bookmarkStart w:id="282" w:name="_Ref467379852"/>
      <w:bookmarkStart w:id="283" w:name="_Toc279701248"/>
      <w:bookmarkStart w:id="284" w:name="_Ref467379863"/>
      <w:bookmarkStart w:id="285" w:name="_Toc259093677"/>
      <w:bookmarkStart w:id="286" w:name="_Ref467379923"/>
      <w:bookmarkStart w:id="287" w:name="_Toc13154"/>
      <w:bookmarkStart w:id="288" w:name="_Toc16163"/>
      <w:bookmarkStart w:id="289" w:name="_Toc18990"/>
      <w:bookmarkStart w:id="290" w:name="_Toc13467"/>
      <w:bookmarkStart w:id="291" w:name="_Toc30507"/>
      <w:r>
        <w:rPr>
          <w:rFonts w:hint="eastAsia" w:ascii="仿宋" w:hAnsi="仿宋" w:eastAsia="仿宋" w:cs="仿宋"/>
          <w:color w:val="auto"/>
          <w:sz w:val="24"/>
          <w:highlight w:val="none"/>
        </w:rPr>
        <w:t>2.6 技术资料</w:t>
      </w:r>
      <w:bookmarkEnd w:id="281"/>
      <w:bookmarkEnd w:id="282"/>
      <w:bookmarkEnd w:id="283"/>
      <w:bookmarkEnd w:id="284"/>
      <w:bookmarkEnd w:id="285"/>
      <w:bookmarkEnd w:id="286"/>
      <w:r>
        <w:rPr>
          <w:rFonts w:hint="eastAsia" w:ascii="仿宋" w:hAnsi="仿宋" w:eastAsia="仿宋" w:cs="仿宋"/>
          <w:color w:val="auto"/>
          <w:sz w:val="24"/>
          <w:highlight w:val="none"/>
        </w:rPr>
        <w:t>和保密义务</w:t>
      </w:r>
      <w:bookmarkEnd w:id="287"/>
      <w:bookmarkEnd w:id="288"/>
      <w:bookmarkEnd w:id="289"/>
      <w:bookmarkEnd w:id="290"/>
      <w:bookmarkEnd w:id="291"/>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2.6.1 乙方有权依据合同约定和项目需要，向甲方了解有关情况，调阅有关资料等，甲方应予积极配合；</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2.6.2 乙方有义务妥善保管和保护由甲方提供的前款信息和资料等；</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360" w:lineRule="auto"/>
        <w:ind w:firstLine="480" w:firstLineChars="200"/>
        <w:rPr>
          <w:rFonts w:ascii="仿宋" w:hAnsi="仿宋" w:eastAsia="仿宋" w:cs="仿宋"/>
          <w:color w:val="auto"/>
          <w:sz w:val="24"/>
          <w:highlight w:val="none"/>
        </w:rPr>
      </w:pPr>
      <w:bookmarkStart w:id="292" w:name="_Toc19069"/>
      <w:bookmarkStart w:id="293" w:name="_Toc487900362"/>
      <w:bookmarkStart w:id="294" w:name="_Toc259093681"/>
      <w:bookmarkStart w:id="295" w:name="_Toc279701252"/>
      <w:r>
        <w:rPr>
          <w:rFonts w:hint="eastAsia" w:ascii="仿宋" w:hAnsi="仿宋" w:eastAsia="仿宋" w:cs="仿宋"/>
          <w:color w:val="auto"/>
          <w:sz w:val="24"/>
          <w:highlight w:val="none"/>
        </w:rPr>
        <w:t>2.7 质量保证</w:t>
      </w:r>
      <w:bookmarkEnd w:id="292"/>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2.7.1 乙方应建立和完善履行合同的内部质量保证体系，并提供相关内部规章制度给甲方，以便甲方进行监督检查；</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2.7.2 乙方应保证履行合同的人员数量和素质、软件和硬件设备的配置、场地、环境和设施等满足全面履行合同的要求，并应接受甲方的监督检查。</w:t>
      </w:r>
    </w:p>
    <w:p>
      <w:pPr>
        <w:spacing w:line="360" w:lineRule="auto"/>
        <w:ind w:firstLine="480" w:firstLineChars="200"/>
        <w:rPr>
          <w:rFonts w:ascii="仿宋" w:hAnsi="仿宋" w:eastAsia="仿宋" w:cs="仿宋"/>
          <w:color w:val="auto"/>
          <w:sz w:val="24"/>
          <w:highlight w:val="none"/>
        </w:rPr>
      </w:pPr>
      <w:bookmarkStart w:id="296" w:name="_Toc22267"/>
      <w:r>
        <w:rPr>
          <w:rFonts w:hint="eastAsia" w:ascii="仿宋" w:hAnsi="仿宋" w:eastAsia="仿宋" w:cs="仿宋"/>
          <w:color w:val="auto"/>
          <w:sz w:val="24"/>
          <w:highlight w:val="none"/>
        </w:rPr>
        <w:t>2.8 延迟</w:t>
      </w:r>
      <w:bookmarkEnd w:id="293"/>
      <w:bookmarkEnd w:id="294"/>
      <w:bookmarkEnd w:id="295"/>
      <w:r>
        <w:rPr>
          <w:rFonts w:hint="eastAsia" w:ascii="仿宋" w:hAnsi="仿宋" w:eastAsia="仿宋" w:cs="仿宋"/>
          <w:color w:val="auto"/>
          <w:sz w:val="24"/>
          <w:highlight w:val="none"/>
        </w:rPr>
        <w:t>履行</w:t>
      </w:r>
      <w:bookmarkEnd w:id="296"/>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pPr>
        <w:spacing w:line="360" w:lineRule="auto"/>
        <w:ind w:firstLine="480" w:firstLineChars="200"/>
        <w:rPr>
          <w:rFonts w:ascii="仿宋" w:hAnsi="仿宋" w:eastAsia="仿宋" w:cs="仿宋"/>
          <w:color w:val="auto"/>
          <w:sz w:val="24"/>
          <w:highlight w:val="none"/>
        </w:rPr>
      </w:pPr>
      <w:bookmarkStart w:id="297" w:name="_Toc10611"/>
      <w:bookmarkStart w:id="298" w:name="_Toc259093683"/>
      <w:bookmarkStart w:id="299" w:name="_Toc487900364"/>
      <w:bookmarkStart w:id="300" w:name="_Toc279701254"/>
      <w:bookmarkStart w:id="301" w:name="_Ref467378121"/>
      <w:r>
        <w:rPr>
          <w:rFonts w:hint="eastAsia" w:ascii="仿宋" w:hAnsi="仿宋" w:eastAsia="仿宋" w:cs="仿宋"/>
          <w:color w:val="auto"/>
          <w:sz w:val="24"/>
          <w:highlight w:val="none"/>
        </w:rPr>
        <w:t>2.9 合同变更</w:t>
      </w:r>
      <w:bookmarkEnd w:id="297"/>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2.9.1 双方当事人协商一致，可以签订书面补充合同的形式变更合同，但不得违背采购文件确定的事项，且如果系追加与合同标的相同的服务的，那么所有补充合同的采购金额不得超过原合同价的10%；</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2.9.2 合同继续履行将损害国家利益和社会公共利益的，双方当事人应当以书面形式变更合同。有过错的一方应当承担赔偿责任，双方当事人都有过错的，各自承担相应的责任。</w:t>
      </w:r>
      <w:bookmarkStart w:id="302" w:name="_Toc487900369"/>
      <w:bookmarkStart w:id="303" w:name="_Toc259093688"/>
      <w:bookmarkStart w:id="304" w:name="_Toc279701259"/>
    </w:p>
    <w:p>
      <w:pPr>
        <w:spacing w:line="360" w:lineRule="auto"/>
        <w:ind w:firstLine="480" w:firstLineChars="200"/>
        <w:rPr>
          <w:rFonts w:ascii="仿宋" w:hAnsi="仿宋" w:eastAsia="仿宋" w:cs="仿宋"/>
          <w:color w:val="auto"/>
          <w:sz w:val="24"/>
          <w:highlight w:val="none"/>
        </w:rPr>
      </w:pPr>
      <w:bookmarkStart w:id="305" w:name="_Toc23368"/>
      <w:bookmarkStart w:id="306" w:name="_Toc10663"/>
      <w:bookmarkStart w:id="307" w:name="_Toc42"/>
      <w:bookmarkStart w:id="308" w:name="_Toc21830"/>
      <w:bookmarkStart w:id="309" w:name="_Toc26689"/>
      <w:r>
        <w:rPr>
          <w:rFonts w:hint="eastAsia" w:ascii="仿宋" w:hAnsi="仿宋" w:eastAsia="仿宋" w:cs="仿宋"/>
          <w:color w:val="auto"/>
          <w:sz w:val="24"/>
          <w:highlight w:val="none"/>
        </w:rPr>
        <w:t>2.10 合同转让</w:t>
      </w:r>
      <w:bookmarkEnd w:id="302"/>
      <w:bookmarkEnd w:id="303"/>
      <w:bookmarkEnd w:id="304"/>
      <w:r>
        <w:rPr>
          <w:rFonts w:hint="eastAsia" w:ascii="仿宋" w:hAnsi="仿宋" w:eastAsia="仿宋" w:cs="仿宋"/>
          <w:color w:val="auto"/>
          <w:sz w:val="24"/>
          <w:highlight w:val="none"/>
        </w:rPr>
        <w:t>和分包</w:t>
      </w:r>
      <w:bookmarkEnd w:id="305"/>
      <w:bookmarkEnd w:id="306"/>
      <w:bookmarkEnd w:id="307"/>
      <w:bookmarkEnd w:id="308"/>
      <w:bookmarkEnd w:id="309"/>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360" w:lineRule="auto"/>
        <w:ind w:firstLine="480" w:firstLineChars="200"/>
        <w:rPr>
          <w:rFonts w:ascii="仿宋" w:hAnsi="仿宋" w:eastAsia="仿宋" w:cs="仿宋"/>
          <w:color w:val="auto"/>
          <w:sz w:val="24"/>
          <w:highlight w:val="none"/>
        </w:rPr>
      </w:pPr>
      <w:bookmarkStart w:id="310" w:name="_Toc4720"/>
      <w:bookmarkStart w:id="311" w:name="_Toc32494"/>
      <w:bookmarkStart w:id="312" w:name="_Toc14371"/>
      <w:bookmarkStart w:id="313" w:name="_Toc26633"/>
      <w:bookmarkStart w:id="314" w:name="_Toc25571"/>
      <w:r>
        <w:rPr>
          <w:rFonts w:hint="eastAsia" w:ascii="仿宋" w:hAnsi="仿宋" w:eastAsia="仿宋" w:cs="仿宋"/>
          <w:color w:val="auto"/>
          <w:sz w:val="24"/>
          <w:highlight w:val="none"/>
        </w:rPr>
        <w:t>2.11 不可抗力</w:t>
      </w:r>
      <w:bookmarkEnd w:id="310"/>
      <w:bookmarkEnd w:id="311"/>
      <w:bookmarkEnd w:id="312"/>
      <w:bookmarkEnd w:id="313"/>
      <w:bookmarkEnd w:id="314"/>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2.11.1如果任何一方遭遇法律规定的不可抗力，致使合同履行受阻时，履行合同的期限应予延长，延长的期限应相当于不可抗力所影响的时间；</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2.11.2 因不可抗力致使不能实现合同目的的，当事人可以解除合同；</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2.11.3 因不可抗力致使合同有变更必要的，双方当事人应在</w:t>
      </w:r>
      <w:r>
        <w:rPr>
          <w:rFonts w:hint="eastAsia" w:ascii="仿宋" w:hAnsi="仿宋" w:eastAsia="仿宋" w:cs="仿宋"/>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2.11.4受不可抗力影响的一方在不可抗力发生后，应在</w:t>
      </w:r>
      <w:r>
        <w:rPr>
          <w:rFonts w:hint="eastAsia" w:ascii="仿宋" w:hAnsi="仿宋" w:eastAsia="仿宋" w:cs="仿宋"/>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pPr>
        <w:spacing w:line="360" w:lineRule="auto"/>
        <w:ind w:firstLine="480" w:firstLineChars="200"/>
        <w:rPr>
          <w:rFonts w:ascii="仿宋" w:hAnsi="仿宋" w:eastAsia="仿宋" w:cs="仿宋"/>
          <w:color w:val="auto"/>
          <w:sz w:val="24"/>
          <w:highlight w:val="none"/>
        </w:rPr>
      </w:pPr>
      <w:bookmarkStart w:id="315" w:name="_Toc279701255"/>
      <w:bookmarkStart w:id="316" w:name="_Toc23854"/>
      <w:bookmarkStart w:id="317" w:name="_Toc24465"/>
      <w:bookmarkStart w:id="318" w:name="_Toc25783"/>
      <w:bookmarkStart w:id="319" w:name="_Toc3638"/>
      <w:bookmarkStart w:id="320" w:name="_Toc14115"/>
      <w:bookmarkStart w:id="321" w:name="_Toc259093684"/>
      <w:bookmarkStart w:id="322" w:name="_Toc487900365"/>
      <w:r>
        <w:rPr>
          <w:rFonts w:hint="eastAsia" w:ascii="仿宋" w:hAnsi="仿宋" w:eastAsia="仿宋" w:cs="仿宋"/>
          <w:color w:val="auto"/>
          <w:sz w:val="24"/>
          <w:highlight w:val="none"/>
        </w:rPr>
        <w:t>2.12 税费</w:t>
      </w:r>
      <w:bookmarkEnd w:id="315"/>
      <w:bookmarkEnd w:id="316"/>
      <w:bookmarkEnd w:id="317"/>
      <w:bookmarkEnd w:id="318"/>
      <w:bookmarkEnd w:id="319"/>
      <w:bookmarkEnd w:id="320"/>
      <w:bookmarkEnd w:id="321"/>
      <w:bookmarkEnd w:id="322"/>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与合同有关的一切税费，均按照中华人民共和国法律的相关规定缴纳。</w:t>
      </w:r>
    </w:p>
    <w:p>
      <w:pPr>
        <w:spacing w:line="360" w:lineRule="auto"/>
        <w:ind w:firstLine="480" w:firstLineChars="200"/>
        <w:rPr>
          <w:rFonts w:ascii="仿宋" w:hAnsi="仿宋" w:eastAsia="仿宋" w:cs="仿宋"/>
          <w:color w:val="auto"/>
          <w:sz w:val="24"/>
          <w:highlight w:val="none"/>
        </w:rPr>
      </w:pPr>
      <w:bookmarkStart w:id="323" w:name="_Toc14814"/>
      <w:bookmarkStart w:id="324" w:name="_Toc487900368"/>
      <w:bookmarkStart w:id="325" w:name="_Toc26883"/>
      <w:bookmarkStart w:id="326" w:name="_Toc279701258"/>
      <w:bookmarkStart w:id="327" w:name="_Toc259093687"/>
      <w:bookmarkStart w:id="328" w:name="_Toc25525"/>
      <w:bookmarkStart w:id="329" w:name="_Toc7315"/>
      <w:bookmarkStart w:id="330" w:name="_Toc30105"/>
      <w:r>
        <w:rPr>
          <w:rFonts w:hint="eastAsia" w:ascii="仿宋" w:hAnsi="仿宋" w:eastAsia="仿宋" w:cs="仿宋"/>
          <w:color w:val="auto"/>
          <w:sz w:val="24"/>
          <w:highlight w:val="none"/>
        </w:rPr>
        <w:t>2.13 乙方破产</w:t>
      </w:r>
      <w:bookmarkEnd w:id="323"/>
      <w:bookmarkEnd w:id="324"/>
      <w:bookmarkEnd w:id="325"/>
      <w:bookmarkEnd w:id="326"/>
      <w:bookmarkEnd w:id="327"/>
      <w:bookmarkEnd w:id="328"/>
      <w:bookmarkEnd w:id="329"/>
      <w:bookmarkEnd w:id="330"/>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360" w:lineRule="auto"/>
        <w:ind w:firstLine="480" w:firstLineChars="200"/>
        <w:rPr>
          <w:rFonts w:ascii="仿宋" w:hAnsi="仿宋" w:eastAsia="仿宋" w:cs="仿宋"/>
          <w:color w:val="auto"/>
          <w:sz w:val="24"/>
          <w:highlight w:val="none"/>
        </w:rPr>
      </w:pPr>
      <w:bookmarkStart w:id="331" w:name="_Toc1123"/>
      <w:bookmarkStart w:id="332" w:name="_Toc23323"/>
      <w:bookmarkStart w:id="333" w:name="_Toc2016"/>
      <w:r>
        <w:rPr>
          <w:rFonts w:hint="eastAsia" w:ascii="仿宋" w:hAnsi="仿宋" w:eastAsia="仿宋" w:cs="仿宋"/>
          <w:color w:val="auto"/>
          <w:sz w:val="24"/>
          <w:highlight w:val="none"/>
        </w:rPr>
        <w:t>2.14 合同中止、终止</w:t>
      </w:r>
      <w:bookmarkEnd w:id="331"/>
      <w:bookmarkEnd w:id="332"/>
      <w:bookmarkEnd w:id="333"/>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2.14.1 双方当事人不得擅自中止或者终止合同；</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2.14.2合同继续履行将损害国家利益和社会公共利益的，双方当事人应当中止或者终止合同。有过错的一方应当承担赔偿责任，双方当事人都有过错的，各自承担相应的责任。</w:t>
      </w:r>
    </w:p>
    <w:p>
      <w:pPr>
        <w:spacing w:line="360" w:lineRule="auto"/>
        <w:ind w:firstLine="480" w:firstLineChars="200"/>
        <w:rPr>
          <w:rFonts w:ascii="仿宋" w:hAnsi="仿宋" w:eastAsia="仿宋" w:cs="仿宋"/>
          <w:color w:val="auto"/>
          <w:sz w:val="24"/>
          <w:highlight w:val="none"/>
        </w:rPr>
      </w:pPr>
      <w:bookmarkStart w:id="334" w:name="_Toc1969"/>
      <w:bookmarkStart w:id="335" w:name="_Toc14525"/>
      <w:bookmarkStart w:id="336" w:name="_Toc17363"/>
      <w:r>
        <w:rPr>
          <w:rFonts w:hint="eastAsia" w:ascii="仿宋" w:hAnsi="仿宋" w:eastAsia="仿宋" w:cs="仿宋"/>
          <w:color w:val="auto"/>
          <w:sz w:val="24"/>
          <w:highlight w:val="none"/>
        </w:rPr>
        <w:t>2.15 检验和验收</w:t>
      </w:r>
      <w:bookmarkEnd w:id="334"/>
      <w:bookmarkEnd w:id="335"/>
      <w:bookmarkEnd w:id="336"/>
    </w:p>
    <w:p>
      <w:pPr>
        <w:tabs>
          <w:tab w:val="left" w:pos="360"/>
          <w:tab w:val="left" w:pos="540"/>
          <w:tab w:val="left" w:pos="1080"/>
        </w:tabs>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2.15.1 乙方按照</w:t>
      </w:r>
      <w:r>
        <w:rPr>
          <w:rFonts w:hint="eastAsia" w:ascii="仿宋" w:hAnsi="仿宋" w:eastAsia="仿宋" w:cs="仿宋"/>
          <w:color w:val="auto"/>
          <w:sz w:val="24"/>
          <w:highlight w:val="none"/>
          <w:u w:val="single"/>
        </w:rPr>
        <w:t>合同专用条款</w:t>
      </w:r>
      <w:r>
        <w:rPr>
          <w:rFonts w:hint="eastAsia" w:ascii="仿宋" w:hAnsi="仿宋" w:eastAsia="仿宋" w:cs="仿宋"/>
          <w:color w:val="auto"/>
          <w:sz w:val="24"/>
          <w:highlight w:val="none"/>
        </w:rPr>
        <w:t>的约定，定期提交服务报告，甲方按照</w:t>
      </w:r>
      <w:r>
        <w:rPr>
          <w:rFonts w:hint="eastAsia" w:ascii="仿宋" w:hAnsi="仿宋" w:eastAsia="仿宋" w:cs="仿宋"/>
          <w:color w:val="auto"/>
          <w:sz w:val="24"/>
          <w:highlight w:val="none"/>
          <w:u w:val="single"/>
        </w:rPr>
        <w:t>合同专用条款</w:t>
      </w:r>
      <w:r>
        <w:rPr>
          <w:rFonts w:hint="eastAsia" w:ascii="仿宋" w:hAnsi="仿宋" w:eastAsia="仿宋" w:cs="仿宋"/>
          <w:color w:val="auto"/>
          <w:sz w:val="24"/>
          <w:highlight w:val="none"/>
        </w:rPr>
        <w:t>的约定进行定期验收；</w:t>
      </w:r>
    </w:p>
    <w:p>
      <w:pPr>
        <w:tabs>
          <w:tab w:val="left" w:pos="360"/>
          <w:tab w:val="left" w:pos="540"/>
          <w:tab w:val="left" w:pos="1080"/>
        </w:tabs>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2.15.3 检验和验收标准、程序等具体内容以及前述验收书的效力详见</w:t>
      </w:r>
      <w:r>
        <w:rPr>
          <w:rFonts w:hint="eastAsia" w:ascii="仿宋" w:hAnsi="仿宋" w:eastAsia="仿宋" w:cs="仿宋"/>
          <w:color w:val="auto"/>
          <w:sz w:val="24"/>
          <w:highlight w:val="none"/>
          <w:u w:val="single"/>
        </w:rPr>
        <w:t>合同专用条款</w:t>
      </w:r>
      <w:r>
        <w:rPr>
          <w:rFonts w:hint="eastAsia" w:ascii="仿宋" w:hAnsi="仿宋" w:eastAsia="仿宋" w:cs="仿宋"/>
          <w:color w:val="auto"/>
          <w:sz w:val="24"/>
          <w:highlight w:val="none"/>
        </w:rPr>
        <w:t>。</w:t>
      </w:r>
    </w:p>
    <w:bookmarkEnd w:id="298"/>
    <w:bookmarkEnd w:id="299"/>
    <w:bookmarkEnd w:id="300"/>
    <w:bookmarkEnd w:id="301"/>
    <w:p>
      <w:pPr>
        <w:spacing w:line="360" w:lineRule="auto"/>
        <w:ind w:firstLine="480" w:firstLineChars="200"/>
        <w:rPr>
          <w:rFonts w:ascii="仿宋" w:hAnsi="仿宋" w:eastAsia="仿宋" w:cs="仿宋"/>
          <w:color w:val="auto"/>
          <w:sz w:val="24"/>
          <w:highlight w:val="none"/>
        </w:rPr>
      </w:pPr>
      <w:bookmarkStart w:id="337" w:name="_Toc259093690"/>
      <w:bookmarkStart w:id="338" w:name="_Toc487900371"/>
      <w:bookmarkStart w:id="339" w:name="_Toc279701261"/>
      <w:bookmarkStart w:id="340" w:name="_Toc25198"/>
      <w:bookmarkStart w:id="341" w:name="_Toc12666"/>
      <w:bookmarkStart w:id="342" w:name="_Toc31892"/>
      <w:bookmarkStart w:id="343" w:name="_Toc9808"/>
      <w:bookmarkStart w:id="344" w:name="_Toc2308"/>
      <w:r>
        <w:rPr>
          <w:rFonts w:hint="eastAsia" w:ascii="仿宋" w:hAnsi="仿宋" w:eastAsia="仿宋" w:cs="仿宋"/>
          <w:color w:val="auto"/>
          <w:sz w:val="24"/>
          <w:highlight w:val="none"/>
        </w:rPr>
        <w:t>2.16 通知</w:t>
      </w:r>
      <w:bookmarkEnd w:id="337"/>
      <w:bookmarkEnd w:id="338"/>
      <w:bookmarkEnd w:id="339"/>
      <w:r>
        <w:rPr>
          <w:rFonts w:hint="eastAsia" w:ascii="仿宋" w:hAnsi="仿宋" w:eastAsia="仿宋" w:cs="仿宋"/>
          <w:color w:val="auto"/>
          <w:sz w:val="24"/>
          <w:highlight w:val="none"/>
        </w:rPr>
        <w:t>和送达</w:t>
      </w:r>
      <w:bookmarkEnd w:id="340"/>
      <w:bookmarkEnd w:id="341"/>
      <w:bookmarkEnd w:id="342"/>
      <w:bookmarkEnd w:id="343"/>
      <w:bookmarkEnd w:id="344"/>
    </w:p>
    <w:p>
      <w:pPr>
        <w:spacing w:line="360" w:lineRule="auto"/>
        <w:ind w:firstLine="480" w:firstLineChars="200"/>
        <w:rPr>
          <w:rFonts w:ascii="仿宋" w:hAnsi="仿宋" w:eastAsia="仿宋" w:cs="仿宋"/>
          <w:color w:val="auto"/>
          <w:sz w:val="24"/>
          <w:highlight w:val="none"/>
        </w:rPr>
      </w:pPr>
      <w:bookmarkStart w:id="345" w:name="_Toc7073"/>
      <w:bookmarkStart w:id="346" w:name="_Toc29220"/>
      <w:bookmarkStart w:id="347" w:name="_Toc259093691"/>
      <w:bookmarkStart w:id="348" w:name="_Toc487900372"/>
      <w:bookmarkStart w:id="349" w:name="_Toc279701262"/>
      <w:r>
        <w:rPr>
          <w:rFonts w:hint="eastAsia" w:ascii="仿宋" w:hAnsi="仿宋" w:eastAsia="仿宋" w:cs="仿宋"/>
          <w:color w:val="auto"/>
          <w:sz w:val="24"/>
          <w:highlight w:val="none"/>
        </w:rPr>
        <w:t>2.16.1 任何一方因履行合同而以合同第一部分尾部所列明的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发出的所有通知、文件、材料，均视为已向对方当事人送达；任何一方变更上述送达方式或者地址的，应于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bookmarkEnd w:id="345"/>
      <w:bookmarkEnd w:id="346"/>
    </w:p>
    <w:p>
      <w:pPr>
        <w:spacing w:line="360" w:lineRule="auto"/>
        <w:ind w:firstLine="480" w:firstLineChars="200"/>
        <w:rPr>
          <w:rFonts w:ascii="仿宋" w:hAnsi="仿宋" w:eastAsia="仿宋" w:cs="仿宋"/>
          <w:color w:val="auto"/>
          <w:sz w:val="24"/>
          <w:highlight w:val="none"/>
        </w:rPr>
      </w:pPr>
      <w:bookmarkStart w:id="350" w:name="_Toc18401"/>
      <w:bookmarkStart w:id="351" w:name="_Toc27674"/>
      <w:r>
        <w:rPr>
          <w:rFonts w:hint="eastAsia" w:ascii="仿宋" w:hAnsi="仿宋" w:eastAsia="仿宋" w:cs="仿宋"/>
          <w:color w:val="auto"/>
          <w:sz w:val="24"/>
          <w:highlight w:val="none"/>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350"/>
      <w:bookmarkEnd w:id="351"/>
    </w:p>
    <w:bookmarkEnd w:id="347"/>
    <w:bookmarkEnd w:id="348"/>
    <w:bookmarkEnd w:id="349"/>
    <w:p>
      <w:pPr>
        <w:spacing w:line="360" w:lineRule="auto"/>
        <w:ind w:firstLine="480" w:firstLineChars="200"/>
        <w:rPr>
          <w:rFonts w:ascii="仿宋" w:hAnsi="仿宋" w:eastAsia="仿宋" w:cs="仿宋"/>
          <w:color w:val="auto"/>
          <w:sz w:val="24"/>
          <w:highlight w:val="none"/>
        </w:rPr>
      </w:pPr>
      <w:bookmarkStart w:id="352" w:name="_Toc27644"/>
      <w:bookmarkStart w:id="353" w:name="_Toc279701263"/>
      <w:bookmarkStart w:id="354" w:name="_Toc12254"/>
      <w:bookmarkStart w:id="355" w:name="_Toc487900373"/>
      <w:bookmarkStart w:id="356" w:name="_Toc28906"/>
      <w:bookmarkStart w:id="357" w:name="_Toc259093692"/>
      <w:bookmarkStart w:id="358" w:name="_Toc5063"/>
      <w:bookmarkStart w:id="359" w:name="_Toc20808"/>
      <w:r>
        <w:rPr>
          <w:rFonts w:hint="eastAsia" w:ascii="仿宋" w:hAnsi="仿宋" w:eastAsia="仿宋" w:cs="仿宋"/>
          <w:color w:val="auto"/>
          <w:sz w:val="24"/>
          <w:highlight w:val="none"/>
        </w:rPr>
        <w:t>2.17 合同使用的文字和适用的法律</w:t>
      </w:r>
      <w:bookmarkEnd w:id="352"/>
      <w:bookmarkEnd w:id="353"/>
      <w:bookmarkEnd w:id="354"/>
      <w:bookmarkEnd w:id="355"/>
      <w:bookmarkEnd w:id="356"/>
      <w:bookmarkEnd w:id="357"/>
      <w:bookmarkEnd w:id="358"/>
      <w:bookmarkEnd w:id="359"/>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2.17.1 合同使用汉语书就、变更和解释；</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2.17.2 合同适用中华人民共和国法律。</w:t>
      </w:r>
    </w:p>
    <w:p>
      <w:pPr>
        <w:spacing w:line="360" w:lineRule="auto"/>
        <w:ind w:firstLine="480" w:firstLineChars="200"/>
        <w:rPr>
          <w:rFonts w:ascii="仿宋" w:hAnsi="仿宋" w:eastAsia="仿宋" w:cs="仿宋"/>
          <w:color w:val="auto"/>
          <w:sz w:val="24"/>
          <w:highlight w:val="none"/>
        </w:rPr>
      </w:pPr>
      <w:bookmarkStart w:id="360" w:name="_Toc1492"/>
      <w:bookmarkStart w:id="361" w:name="_Toc27127"/>
      <w:bookmarkStart w:id="362" w:name="_Toc22266"/>
      <w:bookmarkStart w:id="363" w:name="_Toc259093693"/>
      <w:bookmarkStart w:id="364" w:name="_Toc30096"/>
      <w:bookmarkStart w:id="365" w:name="_Toc279701264"/>
      <w:bookmarkStart w:id="366" w:name="_Toc27403"/>
      <w:bookmarkStart w:id="367" w:name="_Toc487900374"/>
      <w:r>
        <w:rPr>
          <w:rFonts w:hint="eastAsia" w:ascii="仿宋" w:hAnsi="仿宋" w:eastAsia="仿宋" w:cs="仿宋"/>
          <w:color w:val="auto"/>
          <w:sz w:val="24"/>
          <w:highlight w:val="none"/>
        </w:rPr>
        <w:t>2.18 履约保证金</w:t>
      </w:r>
      <w:bookmarkEnd w:id="360"/>
      <w:bookmarkEnd w:id="361"/>
      <w:bookmarkEnd w:id="362"/>
      <w:bookmarkEnd w:id="363"/>
      <w:bookmarkEnd w:id="364"/>
      <w:bookmarkEnd w:id="365"/>
      <w:bookmarkEnd w:id="366"/>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2.18.1 采购文件要求乙方提交履约保证金的，乙方应按</w:t>
      </w:r>
      <w:r>
        <w:rPr>
          <w:rFonts w:hint="eastAsia" w:ascii="仿宋" w:hAnsi="仿宋" w:eastAsia="仿宋" w:cs="仿宋"/>
          <w:color w:val="auto"/>
          <w:sz w:val="24"/>
          <w:highlight w:val="none"/>
          <w:u w:val="single"/>
        </w:rPr>
        <w:t>合同专用条款</w:t>
      </w:r>
      <w:r>
        <w:rPr>
          <w:rFonts w:hint="eastAsia" w:ascii="仿宋" w:hAnsi="仿宋" w:eastAsia="仿宋" w:cs="仿宋"/>
          <w:color w:val="auto"/>
          <w:sz w:val="24"/>
          <w:highlight w:val="none"/>
        </w:rPr>
        <w:t>约定的方式，以支票、汇票、本票或者金融机构、担保机构出具的保函等非现金形式，提交不超过合同价10%的履约保证金；</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2.18.2 履约保证金在</w:t>
      </w:r>
      <w:r>
        <w:rPr>
          <w:rFonts w:hint="eastAsia" w:ascii="仿宋" w:hAnsi="仿宋" w:eastAsia="仿宋" w:cs="仿宋"/>
          <w:color w:val="auto"/>
          <w:sz w:val="24"/>
          <w:highlight w:val="none"/>
          <w:u w:val="single"/>
        </w:rPr>
        <w:t>合同专用条款</w:t>
      </w:r>
      <w:r>
        <w:rPr>
          <w:rFonts w:hint="eastAsia" w:ascii="仿宋" w:hAnsi="仿宋" w:eastAsia="仿宋" w:cs="仿宋"/>
          <w:color w:val="auto"/>
          <w:sz w:val="24"/>
          <w:highlight w:val="none"/>
        </w:rPr>
        <w:t>约定期间内不予退还或者应完全有效，前述约定期间届满之日起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个工作日内，甲方应将履约保证金退还乙方；</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367"/>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2.19 合同份数</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pPr>
        <w:pStyle w:val="702"/>
        <w:jc w:val="center"/>
        <w:rPr>
          <w:rFonts w:ascii="仿宋" w:hAnsi="仿宋" w:eastAsia="仿宋" w:cs="仿宋"/>
          <w:color w:val="auto"/>
          <w:szCs w:val="24"/>
          <w:highlight w:val="none"/>
        </w:rPr>
      </w:pPr>
      <w:r>
        <w:rPr>
          <w:rFonts w:hint="eastAsia" w:ascii="仿宋" w:hAnsi="仿宋" w:eastAsia="仿宋" w:cs="仿宋"/>
          <w:color w:val="auto"/>
          <w:szCs w:val="24"/>
          <w:highlight w:val="none"/>
        </w:rPr>
        <w:br w:type="page"/>
      </w:r>
      <w:bookmarkStart w:id="368" w:name="_Toc331685784"/>
      <w:r>
        <w:rPr>
          <w:rFonts w:hint="eastAsia" w:ascii="仿宋" w:hAnsi="仿宋" w:eastAsia="仿宋" w:cs="仿宋"/>
          <w:color w:val="auto"/>
          <w:szCs w:val="24"/>
          <w:highlight w:val="none"/>
        </w:rPr>
        <w:t>第三部分  合同专用条款</w:t>
      </w:r>
      <w:bookmarkEnd w:id="368"/>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00"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2013"/>
        <w:gridCol w:w="708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条款号</w:t>
            </w:r>
          </w:p>
        </w:tc>
        <w:tc>
          <w:tcPr>
            <w:tcW w:w="7087" w:type="dxa"/>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highlight w:val="none"/>
              </w:rPr>
            </w:pPr>
          </w:p>
        </w:tc>
        <w:tc>
          <w:tcPr>
            <w:tcW w:w="7087" w:type="dxa"/>
            <w:vAlign w:val="center"/>
          </w:tcPr>
          <w:p>
            <w:pPr>
              <w:rPr>
                <w:rFonts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highlight w:val="none"/>
              </w:rPr>
            </w:pPr>
          </w:p>
        </w:tc>
        <w:tc>
          <w:tcPr>
            <w:tcW w:w="7087" w:type="dxa"/>
            <w:vAlign w:val="center"/>
          </w:tcPr>
          <w:p>
            <w:pPr>
              <w:rPr>
                <w:rFonts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highlight w:val="none"/>
              </w:rPr>
            </w:pPr>
          </w:p>
        </w:tc>
        <w:tc>
          <w:tcPr>
            <w:tcW w:w="7087" w:type="dxa"/>
            <w:vAlign w:val="center"/>
          </w:tcPr>
          <w:p>
            <w:pPr>
              <w:rPr>
                <w:rFonts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highlight w:val="none"/>
              </w:rPr>
            </w:pPr>
          </w:p>
        </w:tc>
        <w:tc>
          <w:tcPr>
            <w:tcW w:w="7087" w:type="dxa"/>
            <w:vAlign w:val="center"/>
          </w:tcPr>
          <w:p>
            <w:pPr>
              <w:rPr>
                <w:rFonts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highlight w:val="none"/>
              </w:rPr>
            </w:pPr>
          </w:p>
        </w:tc>
        <w:tc>
          <w:tcPr>
            <w:tcW w:w="7087" w:type="dxa"/>
            <w:vAlign w:val="center"/>
          </w:tcPr>
          <w:p>
            <w:pPr>
              <w:rPr>
                <w:rFonts w:ascii="仿宋" w:hAnsi="仿宋" w:eastAsia="仿宋" w:cs="仿宋"/>
                <w:color w:val="auto"/>
                <w:sz w:val="24"/>
                <w:highlight w:val="none"/>
                <w:u w:val="singl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highlight w:val="none"/>
              </w:rPr>
            </w:pPr>
          </w:p>
        </w:tc>
        <w:tc>
          <w:tcPr>
            <w:tcW w:w="7087" w:type="dxa"/>
            <w:vAlign w:val="center"/>
          </w:tcPr>
          <w:p>
            <w:pPr>
              <w:rPr>
                <w:rFonts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highlight w:val="none"/>
              </w:rPr>
            </w:pPr>
          </w:p>
        </w:tc>
        <w:tc>
          <w:tcPr>
            <w:tcW w:w="7087" w:type="dxa"/>
            <w:vAlign w:val="center"/>
          </w:tcPr>
          <w:p>
            <w:pPr>
              <w:rPr>
                <w:rFonts w:ascii="仿宋" w:hAnsi="仿宋" w:eastAsia="仿宋" w:cs="仿宋"/>
                <w:color w:val="auto"/>
                <w:sz w:val="24"/>
                <w:highlight w:val="none"/>
                <w:u w:val="singl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highlight w:val="none"/>
              </w:rPr>
            </w:pPr>
          </w:p>
        </w:tc>
        <w:tc>
          <w:tcPr>
            <w:tcW w:w="7087" w:type="dxa"/>
            <w:vAlign w:val="center"/>
          </w:tcPr>
          <w:p>
            <w:pPr>
              <w:rPr>
                <w:rFonts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highlight w:val="none"/>
              </w:rPr>
            </w:pPr>
          </w:p>
        </w:tc>
        <w:tc>
          <w:tcPr>
            <w:tcW w:w="7087" w:type="dxa"/>
            <w:vAlign w:val="center"/>
          </w:tcPr>
          <w:p>
            <w:pPr>
              <w:rPr>
                <w:rFonts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highlight w:val="none"/>
              </w:rPr>
            </w:pPr>
          </w:p>
        </w:tc>
        <w:tc>
          <w:tcPr>
            <w:tcW w:w="7087" w:type="dxa"/>
            <w:vAlign w:val="center"/>
          </w:tcPr>
          <w:p>
            <w:pPr>
              <w:rPr>
                <w:rFonts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top w:val="single" w:color="auto" w:sz="6" w:space="0"/>
              <w:left w:val="single" w:color="auto" w:sz="4" w:space="0"/>
              <w:bottom w:val="single" w:color="auto" w:sz="6" w:space="0"/>
              <w:right w:val="single" w:color="auto" w:sz="6" w:space="0"/>
            </w:tcBorders>
            <w:vAlign w:val="center"/>
          </w:tcPr>
          <w:p>
            <w:pPr>
              <w:jc w:val="center"/>
              <w:rPr>
                <w:rFonts w:ascii="仿宋" w:hAnsi="仿宋" w:eastAsia="仿宋" w:cs="仿宋"/>
                <w:color w:val="auto"/>
                <w:sz w:val="24"/>
                <w:highlight w:val="none"/>
              </w:rPr>
            </w:pPr>
          </w:p>
        </w:tc>
        <w:tc>
          <w:tcPr>
            <w:tcW w:w="7087" w:type="dxa"/>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top w:val="single" w:color="auto" w:sz="6" w:space="0"/>
              <w:left w:val="single" w:color="auto" w:sz="4" w:space="0"/>
              <w:bottom w:val="single" w:color="auto" w:sz="6" w:space="0"/>
              <w:right w:val="single" w:color="auto" w:sz="6" w:space="0"/>
            </w:tcBorders>
            <w:vAlign w:val="center"/>
          </w:tcPr>
          <w:p>
            <w:pPr>
              <w:jc w:val="center"/>
              <w:rPr>
                <w:rFonts w:ascii="仿宋" w:hAnsi="仿宋" w:eastAsia="仿宋" w:cs="仿宋"/>
                <w:color w:val="auto"/>
                <w:sz w:val="24"/>
                <w:highlight w:val="none"/>
              </w:rPr>
            </w:pPr>
          </w:p>
        </w:tc>
        <w:tc>
          <w:tcPr>
            <w:tcW w:w="7087" w:type="dxa"/>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color w:val="auto"/>
                <w:sz w:val="24"/>
                <w:highlight w:val="none"/>
              </w:rPr>
            </w:pPr>
          </w:p>
        </w:tc>
      </w:tr>
    </w:tbl>
    <w:p>
      <w:pPr>
        <w:spacing w:line="360" w:lineRule="auto"/>
        <w:jc w:val="center"/>
        <w:rPr>
          <w:rFonts w:ascii="仿宋" w:hAnsi="仿宋" w:eastAsia="仿宋" w:cs="仿宋"/>
          <w:b/>
          <w:color w:val="auto"/>
          <w:sz w:val="28"/>
          <w:szCs w:val="28"/>
          <w:highlight w:val="none"/>
        </w:rPr>
      </w:pPr>
    </w:p>
    <w:p>
      <w:pPr>
        <w:rPr>
          <w:rFonts w:ascii="仿宋" w:hAnsi="仿宋" w:eastAsia="仿宋" w:cs="仿宋"/>
          <w:color w:val="auto"/>
          <w:highlight w:val="none"/>
        </w:rPr>
      </w:pPr>
    </w:p>
    <w:p>
      <w:pPr>
        <w:spacing w:line="360" w:lineRule="auto"/>
        <w:ind w:left="-420" w:leftChars="-200" w:right="-420" w:rightChars="-200" w:firstLine="480" w:firstLineChars="200"/>
        <w:jc w:val="center"/>
        <w:outlineLvl w:val="0"/>
        <w:rPr>
          <w:rFonts w:ascii="仿宋" w:hAnsi="仿宋" w:eastAsia="仿宋" w:cs="仿宋"/>
          <w:color w:val="auto"/>
          <w:sz w:val="24"/>
          <w:highlight w:val="none"/>
        </w:rPr>
        <w:sectPr>
          <w:footerReference r:id="rId13" w:type="first"/>
          <w:footerReference r:id="rId12" w:type="default"/>
          <w:pgSz w:w="11905" w:h="16838"/>
          <w:pgMar w:top="1440" w:right="1803" w:bottom="1440" w:left="1803" w:header="851" w:footer="992" w:gutter="0"/>
          <w:cols w:space="0" w:num="1"/>
          <w:rtlGutter w:val="0"/>
          <w:docGrid w:linePitch="312" w:charSpace="0"/>
        </w:sectPr>
      </w:pPr>
    </w:p>
    <w:p>
      <w:pPr>
        <w:pStyle w:val="3"/>
        <w:spacing w:before="0" w:after="0" w:line="480" w:lineRule="auto"/>
        <w:ind w:left="431" w:hanging="431"/>
        <w:jc w:val="center"/>
        <w:rPr>
          <w:rFonts w:ascii="仿宋" w:hAnsi="仿宋" w:eastAsia="仿宋" w:cs="仿宋"/>
          <w:color w:val="auto"/>
          <w:sz w:val="36"/>
          <w:szCs w:val="36"/>
          <w:highlight w:val="none"/>
        </w:rPr>
      </w:pPr>
      <w:bookmarkStart w:id="369" w:name="_Toc9084"/>
      <w:bookmarkStart w:id="370" w:name="_Toc26292"/>
      <w:bookmarkStart w:id="371" w:name="_Toc139797651"/>
      <w:r>
        <w:rPr>
          <w:rFonts w:hint="eastAsia" w:ascii="仿宋" w:hAnsi="仿宋" w:eastAsia="仿宋" w:cs="仿宋"/>
          <w:color w:val="auto"/>
          <w:sz w:val="36"/>
          <w:szCs w:val="36"/>
          <w:highlight w:val="none"/>
        </w:rPr>
        <w:t>第六部分</w:t>
      </w:r>
      <w:bookmarkEnd w:id="181"/>
      <w:r>
        <w:rPr>
          <w:rFonts w:hint="eastAsia" w:ascii="仿宋" w:hAnsi="仿宋" w:eastAsia="仿宋" w:cs="仿宋"/>
          <w:color w:val="auto"/>
          <w:sz w:val="36"/>
          <w:szCs w:val="36"/>
          <w:highlight w:val="none"/>
        </w:rPr>
        <w:t xml:space="preserve"> </w:t>
      </w:r>
      <w:bookmarkEnd w:id="182"/>
      <w:r>
        <w:rPr>
          <w:rFonts w:hint="eastAsia" w:ascii="仿宋" w:hAnsi="仿宋" w:eastAsia="仿宋" w:cs="仿宋"/>
          <w:color w:val="auto"/>
          <w:sz w:val="36"/>
          <w:szCs w:val="36"/>
          <w:highlight w:val="none"/>
        </w:rPr>
        <w:t>响应文件格式</w:t>
      </w:r>
      <w:bookmarkEnd w:id="369"/>
      <w:bookmarkEnd w:id="370"/>
      <w:bookmarkEnd w:id="371"/>
    </w:p>
    <w:p>
      <w:pPr>
        <w:rPr>
          <w:rFonts w:ascii="仿宋" w:hAnsi="仿宋" w:eastAsia="仿宋" w:cs="仿宋"/>
          <w:color w:val="auto"/>
          <w:highlight w:val="none"/>
        </w:rPr>
      </w:pPr>
    </w:p>
    <w:p>
      <w:pPr>
        <w:pStyle w:val="59"/>
        <w:widowControl w:val="0"/>
        <w:overflowPunct/>
        <w:autoSpaceDE/>
        <w:autoSpaceDN/>
        <w:adjustRightInd/>
        <w:spacing w:before="240" w:beforeLines="100" w:after="240" w:afterLines="100"/>
        <w:textAlignment w:val="auto"/>
        <w:outlineLvl w:val="1"/>
        <w:rPr>
          <w:rFonts w:ascii="仿宋" w:hAnsi="仿宋" w:eastAsia="仿宋" w:cs="仿宋"/>
          <w:color w:val="auto"/>
          <w:sz w:val="44"/>
          <w:szCs w:val="44"/>
          <w:highlight w:val="none"/>
        </w:rPr>
      </w:pPr>
      <w:bookmarkStart w:id="372" w:name="_Toc530551876"/>
      <w:bookmarkStart w:id="373" w:name="_Toc531359038"/>
      <w:bookmarkStart w:id="374" w:name="_Toc8766"/>
      <w:bookmarkStart w:id="375" w:name="_Toc139797652"/>
      <w:bookmarkStart w:id="376" w:name="_Toc15957"/>
      <w:bookmarkStart w:id="377" w:name="_Toc493956051"/>
      <w:bookmarkStart w:id="378" w:name="_Toc25477"/>
      <w:r>
        <w:rPr>
          <w:rFonts w:hint="eastAsia" w:ascii="仿宋" w:hAnsi="仿宋" w:eastAsia="仿宋" w:cs="仿宋"/>
          <w:color w:val="auto"/>
          <w:sz w:val="44"/>
          <w:szCs w:val="44"/>
          <w:highlight w:val="none"/>
        </w:rPr>
        <w:t>一  资格</w:t>
      </w:r>
      <w:r>
        <w:rPr>
          <w:rFonts w:hint="eastAsia" w:ascii="仿宋" w:hAnsi="仿宋" w:eastAsia="仿宋" w:cs="仿宋"/>
          <w:bCs/>
          <w:color w:val="auto"/>
          <w:kern w:val="2"/>
          <w:sz w:val="44"/>
          <w:szCs w:val="44"/>
          <w:highlight w:val="none"/>
          <w:lang w:val="en-US"/>
        </w:rPr>
        <w:t>审查</w:t>
      </w:r>
      <w:r>
        <w:rPr>
          <w:rFonts w:hint="eastAsia" w:ascii="仿宋" w:hAnsi="仿宋" w:eastAsia="仿宋" w:cs="仿宋"/>
          <w:color w:val="auto"/>
          <w:sz w:val="44"/>
          <w:szCs w:val="44"/>
          <w:highlight w:val="none"/>
        </w:rPr>
        <w:t>文件格式</w:t>
      </w:r>
      <w:bookmarkEnd w:id="372"/>
      <w:bookmarkEnd w:id="373"/>
      <w:bookmarkEnd w:id="374"/>
      <w:bookmarkEnd w:id="375"/>
      <w:bookmarkEnd w:id="376"/>
      <w:bookmarkEnd w:id="377"/>
      <w:bookmarkEnd w:id="378"/>
    </w:p>
    <w:p>
      <w:pPr>
        <w:spacing w:line="360" w:lineRule="auto"/>
        <w:rPr>
          <w:rFonts w:ascii="仿宋" w:hAnsi="仿宋" w:eastAsia="仿宋" w:cs="仿宋"/>
          <w:color w:val="auto"/>
          <w:sz w:val="24"/>
          <w:highlight w:val="none"/>
        </w:rPr>
      </w:pPr>
    </w:p>
    <w:p>
      <w:pPr>
        <w:pStyle w:val="4"/>
        <w:adjustRightInd/>
        <w:spacing w:before="0" w:after="0" w:line="360" w:lineRule="auto"/>
        <w:ind w:left="0" w:firstLine="0"/>
        <w:jc w:val="left"/>
        <w:rPr>
          <w:rFonts w:ascii="仿宋" w:hAnsi="仿宋" w:eastAsia="仿宋" w:cs="仿宋"/>
          <w:color w:val="auto"/>
          <w:sz w:val="24"/>
          <w:szCs w:val="24"/>
          <w:highlight w:val="none"/>
        </w:rPr>
      </w:pPr>
      <w:bookmarkStart w:id="379" w:name="_Toc531359040"/>
      <w:bookmarkStart w:id="380" w:name="_Toc139797653"/>
      <w:bookmarkStart w:id="381" w:name="_Toc10078"/>
      <w:bookmarkStart w:id="382" w:name="_Toc7161"/>
      <w:bookmarkStart w:id="383" w:name="_Toc96338151"/>
      <w:bookmarkStart w:id="384" w:name="_Toc530551883"/>
      <w:bookmarkStart w:id="385" w:name="_Toc16954"/>
      <w:bookmarkStart w:id="386" w:name="_Toc493956058"/>
      <w:bookmarkStart w:id="387" w:name="_Toc531359054"/>
      <w:r>
        <w:rPr>
          <w:rFonts w:hint="eastAsia" w:ascii="仿宋" w:hAnsi="仿宋" w:eastAsia="仿宋" w:cs="仿宋"/>
          <w:color w:val="auto"/>
          <w:sz w:val="24"/>
          <w:szCs w:val="24"/>
          <w:highlight w:val="none"/>
        </w:rPr>
        <w:t>1.1    资格审查文件封面</w:t>
      </w:r>
      <w:bookmarkEnd w:id="379"/>
      <w:r>
        <w:rPr>
          <w:rFonts w:hint="eastAsia" w:ascii="仿宋" w:hAnsi="仿宋" w:eastAsia="仿宋" w:cs="仿宋"/>
          <w:color w:val="auto"/>
          <w:sz w:val="24"/>
          <w:szCs w:val="24"/>
          <w:highlight w:val="none"/>
        </w:rPr>
        <w:t>格式</w:t>
      </w:r>
      <w:bookmarkEnd w:id="380"/>
      <w:bookmarkEnd w:id="381"/>
      <w:bookmarkEnd w:id="382"/>
      <w:bookmarkEnd w:id="383"/>
    </w:p>
    <w:p>
      <w:pPr>
        <w:pStyle w:val="15"/>
        <w:ind w:firstLine="0"/>
        <w:rPr>
          <w:rFonts w:ascii="仿宋" w:hAnsi="仿宋" w:eastAsia="仿宋" w:cs="仿宋"/>
          <w:color w:val="auto"/>
          <w:highlight w:val="none"/>
        </w:rPr>
      </w:pPr>
    </w:p>
    <w:p>
      <w:pPr>
        <w:pStyle w:val="15"/>
        <w:spacing w:line="360" w:lineRule="auto"/>
        <w:ind w:firstLine="0"/>
        <w:jc w:val="center"/>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磋商响应文件</w:t>
      </w:r>
    </w:p>
    <w:tbl>
      <w:tblPr>
        <w:tblStyle w:val="62"/>
        <w:tblW w:w="7054" w:type="dxa"/>
        <w:jc w:val="center"/>
        <w:tblLayout w:type="fixed"/>
        <w:tblCellMar>
          <w:top w:w="0" w:type="dxa"/>
          <w:left w:w="108" w:type="dxa"/>
          <w:bottom w:w="0" w:type="dxa"/>
          <w:right w:w="108" w:type="dxa"/>
        </w:tblCellMar>
      </w:tblPr>
      <w:tblGrid>
        <w:gridCol w:w="2518"/>
        <w:gridCol w:w="4536"/>
      </w:tblGrid>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highlight w:val="none"/>
              </w:rPr>
            </w:pPr>
            <w:r>
              <w:rPr>
                <w:rFonts w:hint="eastAsia" w:ascii="仿宋" w:hAnsi="仿宋" w:eastAsia="仿宋" w:cs="仿宋"/>
                <w:color w:val="auto"/>
                <w:sz w:val="24"/>
                <w:highlight w:val="none"/>
              </w:rPr>
              <w:t>磋商响应文件名称：</w:t>
            </w:r>
          </w:p>
        </w:tc>
        <w:tc>
          <w:tcPr>
            <w:tcW w:w="4536" w:type="dxa"/>
            <w:shd w:val="clear" w:color="auto" w:fill="auto"/>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rPr>
              <w:t xml:space="preserve"> 资格审查文件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highlight w:val="none"/>
              </w:rPr>
            </w:pPr>
            <w:r>
              <w:rPr>
                <w:rFonts w:hint="eastAsia" w:ascii="仿宋" w:hAnsi="仿宋" w:eastAsia="仿宋" w:cs="仿宋"/>
                <w:color w:val="auto"/>
                <w:sz w:val="24"/>
                <w:highlight w:val="none"/>
              </w:rPr>
              <w:t>项 目 编 号：</w:t>
            </w:r>
          </w:p>
        </w:tc>
        <w:tc>
          <w:tcPr>
            <w:tcW w:w="4536" w:type="dxa"/>
            <w:shd w:val="clear" w:color="auto" w:fill="auto"/>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highlight w:val="none"/>
              </w:rPr>
            </w:pPr>
            <w:r>
              <w:rPr>
                <w:rFonts w:hint="eastAsia" w:ascii="仿宋" w:hAnsi="仿宋" w:eastAsia="仿宋" w:cs="仿宋"/>
                <w:color w:val="auto"/>
                <w:sz w:val="24"/>
                <w:highlight w:val="none"/>
              </w:rPr>
              <w:t>项 目 名 称：</w:t>
            </w:r>
          </w:p>
        </w:tc>
        <w:tc>
          <w:tcPr>
            <w:tcW w:w="4536" w:type="dxa"/>
            <w:shd w:val="clear" w:color="auto" w:fill="auto"/>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highlight w:val="none"/>
              </w:rPr>
            </w:pPr>
            <w:r>
              <w:rPr>
                <w:rFonts w:hint="eastAsia" w:ascii="仿宋" w:hAnsi="仿宋" w:eastAsia="仿宋" w:cs="仿宋"/>
                <w:color w:val="auto"/>
                <w:sz w:val="24"/>
                <w:highlight w:val="none"/>
              </w:rPr>
              <w:t>标      项：</w:t>
            </w:r>
          </w:p>
        </w:tc>
        <w:tc>
          <w:tcPr>
            <w:tcW w:w="4536" w:type="dxa"/>
            <w:shd w:val="clear" w:color="auto" w:fill="auto"/>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rPr>
              <w:t xml:space="preserve">（若有）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highlight w:val="none"/>
              </w:rPr>
            </w:pPr>
          </w:p>
        </w:tc>
        <w:tc>
          <w:tcPr>
            <w:tcW w:w="4536" w:type="dxa"/>
            <w:shd w:val="clear" w:color="auto" w:fill="auto"/>
            <w:vAlign w:val="center"/>
          </w:tcPr>
          <w:p>
            <w:pPr>
              <w:jc w:val="left"/>
              <w:rPr>
                <w:rFonts w:ascii="仿宋" w:hAnsi="仿宋" w:eastAsia="仿宋" w:cs="仿宋"/>
                <w:color w:val="auto"/>
                <w:sz w:val="24"/>
                <w:highlight w:val="none"/>
              </w:rPr>
            </w:pP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highlight w:val="none"/>
              </w:rPr>
            </w:pPr>
            <w:r>
              <w:rPr>
                <w:rFonts w:hint="eastAsia" w:ascii="仿宋" w:hAnsi="仿宋" w:eastAsia="仿宋" w:cs="仿宋"/>
                <w:color w:val="auto"/>
                <w:sz w:val="24"/>
                <w:highlight w:val="none"/>
              </w:rPr>
              <w:t>供应商全称（盖章）：</w:t>
            </w:r>
          </w:p>
        </w:tc>
        <w:tc>
          <w:tcPr>
            <w:tcW w:w="4536" w:type="dxa"/>
            <w:shd w:val="clear" w:color="auto" w:fill="auto"/>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highlight w:val="none"/>
              </w:rPr>
            </w:pPr>
            <w:r>
              <w:rPr>
                <w:rFonts w:hint="eastAsia" w:ascii="仿宋" w:hAnsi="仿宋" w:eastAsia="仿宋" w:cs="仿宋"/>
                <w:color w:val="auto"/>
                <w:sz w:val="24"/>
                <w:highlight w:val="none"/>
              </w:rPr>
              <w:t>供应商地址：</w:t>
            </w:r>
          </w:p>
        </w:tc>
        <w:tc>
          <w:tcPr>
            <w:tcW w:w="4536" w:type="dxa"/>
            <w:shd w:val="clear" w:color="auto" w:fill="auto"/>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7054" w:type="dxa"/>
            <w:gridSpan w:val="2"/>
            <w:shd w:val="clear" w:color="auto" w:fill="auto"/>
            <w:vAlign w:val="center"/>
          </w:tcPr>
          <w:p>
            <w:pPr>
              <w:jc w:val="left"/>
              <w:rPr>
                <w:rFonts w:ascii="仿宋" w:hAnsi="仿宋" w:eastAsia="仿宋" w:cs="仿宋"/>
                <w:color w:val="auto"/>
                <w:sz w:val="24"/>
                <w:highlight w:val="none"/>
                <w:u w:val="single"/>
              </w:rPr>
            </w:pPr>
          </w:p>
        </w:tc>
      </w:tr>
      <w:tr>
        <w:tblPrEx>
          <w:tblCellMar>
            <w:top w:w="0" w:type="dxa"/>
            <w:left w:w="108" w:type="dxa"/>
            <w:bottom w:w="0" w:type="dxa"/>
            <w:right w:w="108" w:type="dxa"/>
          </w:tblCellMar>
        </w:tblPrEx>
        <w:trPr>
          <w:trHeight w:val="397" w:hRule="atLeast"/>
          <w:jc w:val="center"/>
        </w:trPr>
        <w:tc>
          <w:tcPr>
            <w:tcW w:w="7054" w:type="dxa"/>
            <w:gridSpan w:val="2"/>
            <w:shd w:val="clear" w:color="auto" w:fill="auto"/>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年  月  日</w:t>
            </w:r>
          </w:p>
        </w:tc>
      </w:tr>
    </w:tbl>
    <w:p>
      <w:pPr>
        <w:rPr>
          <w:rFonts w:ascii="仿宋" w:hAnsi="仿宋" w:eastAsia="仿宋" w:cs="仿宋"/>
          <w:color w:val="auto"/>
          <w:highlight w:val="none"/>
        </w:rPr>
      </w:pPr>
      <w:bookmarkStart w:id="388" w:name="_Toc531359041"/>
      <w:bookmarkStart w:id="389" w:name="_Toc523398524"/>
      <w:bookmarkStart w:id="390" w:name="_Toc493956052"/>
      <w:bookmarkStart w:id="391" w:name="_Toc493956053"/>
      <w:bookmarkStart w:id="392" w:name="_Toc530551878"/>
      <w:r>
        <w:rPr>
          <w:rFonts w:hint="eastAsia" w:ascii="仿宋" w:hAnsi="仿宋" w:eastAsia="仿宋" w:cs="仿宋"/>
          <w:color w:val="auto"/>
          <w:highlight w:val="none"/>
        </w:rPr>
        <w:tab/>
      </w:r>
    </w:p>
    <w:p>
      <w:pPr>
        <w:rPr>
          <w:rFonts w:ascii="仿宋" w:hAnsi="仿宋" w:eastAsia="仿宋" w:cs="仿宋"/>
          <w:color w:val="auto"/>
          <w:highlight w:val="none"/>
        </w:rPr>
      </w:pPr>
    </w:p>
    <w:p>
      <w:pPr>
        <w:rPr>
          <w:rFonts w:ascii="仿宋" w:hAnsi="仿宋" w:eastAsia="仿宋" w:cs="仿宋"/>
          <w:color w:val="auto"/>
          <w:highlight w:val="none"/>
        </w:rPr>
      </w:pPr>
    </w:p>
    <w:p>
      <w:pPr>
        <w:rPr>
          <w:rFonts w:ascii="仿宋" w:hAnsi="仿宋" w:eastAsia="仿宋" w:cs="仿宋"/>
          <w:color w:val="auto"/>
          <w:highlight w:val="none"/>
        </w:rPr>
      </w:pPr>
    </w:p>
    <w:p>
      <w:pPr>
        <w:rPr>
          <w:rFonts w:ascii="仿宋" w:hAnsi="仿宋" w:eastAsia="仿宋" w:cs="仿宋"/>
          <w:color w:val="auto"/>
          <w:highlight w:val="none"/>
        </w:rPr>
      </w:pPr>
    </w:p>
    <w:p>
      <w:pPr>
        <w:rPr>
          <w:rFonts w:ascii="仿宋" w:hAnsi="仿宋" w:eastAsia="仿宋" w:cs="仿宋"/>
          <w:color w:val="auto"/>
          <w:highlight w:val="none"/>
        </w:rPr>
      </w:pPr>
    </w:p>
    <w:p>
      <w:pPr>
        <w:pStyle w:val="4"/>
        <w:spacing w:before="0" w:after="0"/>
        <w:ind w:firstLine="0"/>
        <w:jc w:val="left"/>
        <w:rPr>
          <w:rFonts w:ascii="仿宋" w:hAnsi="仿宋" w:eastAsia="仿宋" w:cs="仿宋"/>
          <w:color w:val="auto"/>
          <w:sz w:val="24"/>
          <w:szCs w:val="24"/>
          <w:highlight w:val="none"/>
        </w:rPr>
        <w:sectPr>
          <w:pgSz w:w="11905" w:h="16838"/>
          <w:pgMar w:top="1440" w:right="1803" w:bottom="1440" w:left="1803" w:header="851" w:footer="992" w:gutter="0"/>
          <w:cols w:space="0" w:num="1"/>
          <w:rtlGutter w:val="0"/>
          <w:docGrid w:linePitch="312" w:charSpace="0"/>
        </w:sectPr>
      </w:pPr>
    </w:p>
    <w:p>
      <w:pPr>
        <w:pStyle w:val="4"/>
        <w:adjustRightInd/>
        <w:spacing w:before="0" w:after="0" w:line="360" w:lineRule="auto"/>
        <w:ind w:left="0" w:firstLine="0"/>
        <w:jc w:val="center"/>
        <w:rPr>
          <w:rFonts w:ascii="仿宋" w:hAnsi="仿宋" w:eastAsia="仿宋" w:cs="仿宋"/>
          <w:color w:val="auto"/>
          <w:sz w:val="24"/>
          <w:szCs w:val="24"/>
          <w:highlight w:val="none"/>
        </w:rPr>
      </w:pPr>
      <w:bookmarkStart w:id="393" w:name="_Toc28002"/>
      <w:bookmarkStart w:id="394" w:name="_Toc139797654"/>
      <w:bookmarkStart w:id="395" w:name="_Toc96338152"/>
      <w:bookmarkStart w:id="396" w:name="_Toc4728"/>
      <w:r>
        <w:rPr>
          <w:rFonts w:hint="eastAsia" w:ascii="仿宋" w:hAnsi="仿宋" w:eastAsia="仿宋" w:cs="仿宋"/>
          <w:color w:val="auto"/>
          <w:sz w:val="24"/>
          <w:szCs w:val="24"/>
          <w:highlight w:val="none"/>
        </w:rPr>
        <w:t>1.2    资格审查文件目录</w:t>
      </w:r>
      <w:bookmarkEnd w:id="388"/>
      <w:bookmarkEnd w:id="393"/>
      <w:bookmarkEnd w:id="394"/>
      <w:bookmarkEnd w:id="395"/>
      <w:bookmarkEnd w:id="396"/>
    </w:p>
    <w:p>
      <w:pPr>
        <w:pStyle w:val="15"/>
        <w:ind w:firstLine="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highlight w:val="none"/>
        </w:rPr>
        <w:t>格式自行设计</w:t>
      </w:r>
      <w:r>
        <w:rPr>
          <w:rFonts w:hint="eastAsia" w:ascii="仿宋" w:hAnsi="仿宋" w:eastAsia="仿宋" w:cs="仿宋"/>
          <w:color w:val="auto"/>
          <w:sz w:val="24"/>
          <w:szCs w:val="24"/>
          <w:highlight w:val="none"/>
        </w:rPr>
        <w:t>）</w:t>
      </w:r>
    </w:p>
    <w:p>
      <w:pPr>
        <w:pStyle w:val="15"/>
        <w:spacing w:line="360" w:lineRule="auto"/>
        <w:rPr>
          <w:rFonts w:ascii="仿宋" w:hAnsi="仿宋" w:eastAsia="仿宋" w:cs="仿宋"/>
          <w:color w:val="auto"/>
          <w:sz w:val="24"/>
          <w:szCs w:val="24"/>
          <w:highlight w:val="none"/>
        </w:rPr>
      </w:pPr>
    </w:p>
    <w:p>
      <w:pPr>
        <w:pStyle w:val="15"/>
        <w:spacing w:line="360" w:lineRule="auto"/>
        <w:rPr>
          <w:rFonts w:ascii="仿宋" w:hAnsi="仿宋" w:eastAsia="仿宋" w:cs="仿宋"/>
          <w:color w:val="auto"/>
          <w:sz w:val="24"/>
          <w:szCs w:val="24"/>
          <w:highlight w:val="none"/>
        </w:rPr>
      </w:pPr>
    </w:p>
    <w:bookmarkEnd w:id="389"/>
    <w:bookmarkEnd w:id="390"/>
    <w:p>
      <w:pPr>
        <w:pStyle w:val="4"/>
        <w:adjustRightInd/>
        <w:spacing w:before="0" w:after="0" w:line="360" w:lineRule="auto"/>
        <w:ind w:left="0" w:firstLine="0"/>
        <w:jc w:val="center"/>
        <w:rPr>
          <w:rFonts w:ascii="仿宋" w:hAnsi="仿宋" w:eastAsia="仿宋" w:cs="仿宋"/>
          <w:color w:val="auto"/>
          <w:sz w:val="24"/>
          <w:szCs w:val="24"/>
          <w:highlight w:val="none"/>
        </w:rPr>
      </w:pPr>
      <w:bookmarkStart w:id="397" w:name="_Toc7050"/>
      <w:bookmarkStart w:id="398" w:name="_Toc41644292"/>
      <w:bookmarkStart w:id="399" w:name="_Toc96338153"/>
      <w:bookmarkStart w:id="400" w:name="_Toc531359042"/>
      <w:bookmarkStart w:id="401" w:name="_Toc139797655"/>
      <w:bookmarkStart w:id="402" w:name="_Toc15532"/>
      <w:r>
        <w:rPr>
          <w:rFonts w:hint="eastAsia" w:ascii="仿宋" w:hAnsi="仿宋" w:eastAsia="仿宋" w:cs="仿宋"/>
          <w:color w:val="auto"/>
          <w:sz w:val="24"/>
          <w:szCs w:val="24"/>
          <w:highlight w:val="none"/>
        </w:rPr>
        <w:t>1.3    有效营业执照电子文档</w:t>
      </w:r>
      <w:bookmarkEnd w:id="397"/>
      <w:bookmarkEnd w:id="398"/>
      <w:bookmarkEnd w:id="399"/>
      <w:bookmarkEnd w:id="400"/>
      <w:bookmarkEnd w:id="401"/>
      <w:bookmarkEnd w:id="402"/>
    </w:p>
    <w:p>
      <w:pPr>
        <w:pStyle w:val="15"/>
        <w:ind w:firstLine="0"/>
        <w:rPr>
          <w:rFonts w:ascii="仿宋" w:hAnsi="仿宋" w:eastAsia="仿宋" w:cs="仿宋"/>
          <w:color w:val="auto"/>
          <w:highlight w:val="none"/>
        </w:rPr>
      </w:pPr>
    </w:p>
    <w:p>
      <w:pPr>
        <w:spacing w:line="360" w:lineRule="auto"/>
        <w:ind w:right="-187" w:rightChars="-89"/>
        <w:rPr>
          <w:rFonts w:ascii="仿宋" w:hAnsi="仿宋" w:eastAsia="仿宋" w:cs="仿宋"/>
          <w:color w:val="auto"/>
          <w:sz w:val="24"/>
          <w:highlight w:val="none"/>
        </w:rPr>
      </w:pPr>
      <w:r>
        <w:rPr>
          <w:rFonts w:hint="eastAsia" w:ascii="仿宋" w:hAnsi="仿宋" w:eastAsia="仿宋" w:cs="仿宋"/>
          <w:color w:val="auto"/>
          <w:sz w:val="24"/>
          <w:highlight w:val="none"/>
        </w:rPr>
        <w:t>内容要求：</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提供有效的营业执照电子文档并加盖公司公章；事业单位的，则提供有效的《事业单位法人证书》副本电子文档并加盖单位公章；自然人的，则提供有效的身份证电子文档。</w:t>
      </w:r>
    </w:p>
    <w:p>
      <w:pPr>
        <w:spacing w:line="360" w:lineRule="auto"/>
        <w:rPr>
          <w:rFonts w:ascii="仿宋" w:hAnsi="仿宋" w:eastAsia="仿宋" w:cs="仿宋"/>
          <w:color w:val="auto"/>
          <w:sz w:val="24"/>
          <w:highlight w:val="none"/>
        </w:rPr>
      </w:pPr>
    </w:p>
    <w:p>
      <w:pPr>
        <w:spacing w:line="360" w:lineRule="auto"/>
        <w:rPr>
          <w:rFonts w:ascii="仿宋" w:hAnsi="仿宋" w:eastAsia="仿宋" w:cs="仿宋"/>
          <w:color w:val="auto"/>
          <w:sz w:val="24"/>
          <w:highlight w:val="none"/>
        </w:rPr>
      </w:pPr>
    </w:p>
    <w:bookmarkEnd w:id="391"/>
    <w:bookmarkEnd w:id="392"/>
    <w:p>
      <w:pPr>
        <w:pStyle w:val="4"/>
        <w:adjustRightInd/>
        <w:spacing w:before="0" w:after="0" w:line="360" w:lineRule="auto"/>
        <w:ind w:left="0" w:firstLine="0"/>
        <w:jc w:val="center"/>
        <w:rPr>
          <w:rFonts w:ascii="仿宋" w:hAnsi="仿宋" w:eastAsia="仿宋" w:cs="仿宋"/>
          <w:color w:val="auto"/>
          <w:sz w:val="24"/>
          <w:szCs w:val="24"/>
          <w:highlight w:val="none"/>
        </w:rPr>
      </w:pPr>
      <w:bookmarkStart w:id="403" w:name="_Toc531359043"/>
      <w:bookmarkStart w:id="404" w:name="_Toc12765"/>
      <w:bookmarkStart w:id="405" w:name="_Toc139797656"/>
      <w:bookmarkStart w:id="406" w:name="_Toc41644293"/>
      <w:bookmarkStart w:id="407" w:name="_Toc96338154"/>
      <w:bookmarkStart w:id="408" w:name="_Toc10938"/>
      <w:r>
        <w:rPr>
          <w:rFonts w:hint="eastAsia" w:ascii="仿宋" w:hAnsi="仿宋" w:eastAsia="仿宋" w:cs="仿宋"/>
          <w:color w:val="auto"/>
          <w:sz w:val="24"/>
          <w:szCs w:val="24"/>
          <w:highlight w:val="none"/>
        </w:rPr>
        <w:t>1.4    负责人身份证电子文档</w:t>
      </w:r>
      <w:bookmarkEnd w:id="403"/>
      <w:bookmarkEnd w:id="404"/>
      <w:bookmarkEnd w:id="405"/>
      <w:bookmarkEnd w:id="406"/>
      <w:bookmarkEnd w:id="407"/>
      <w:bookmarkEnd w:id="408"/>
    </w:p>
    <w:p>
      <w:pPr>
        <w:pStyle w:val="15"/>
        <w:ind w:firstLine="0"/>
        <w:rPr>
          <w:rFonts w:ascii="仿宋" w:hAnsi="仿宋" w:eastAsia="仿宋" w:cs="仿宋"/>
          <w:color w:val="auto"/>
          <w:highlight w:val="none"/>
        </w:rPr>
      </w:pPr>
    </w:p>
    <w:p>
      <w:pPr>
        <w:pStyle w:val="15"/>
        <w:ind w:firstLine="0"/>
        <w:rPr>
          <w:rFonts w:ascii="仿宋" w:hAnsi="仿宋" w:eastAsia="仿宋" w:cs="仿宋"/>
          <w:color w:val="auto"/>
          <w:highlight w:val="none"/>
        </w:rPr>
      </w:pP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内容要求：</w:t>
      </w:r>
    </w:p>
    <w:p>
      <w:pPr>
        <w:spacing w:line="360" w:lineRule="auto"/>
        <w:ind w:firstLine="480"/>
        <w:rPr>
          <w:rFonts w:ascii="仿宋" w:hAnsi="仿宋" w:eastAsia="仿宋" w:cs="仿宋"/>
          <w:color w:val="auto"/>
          <w:sz w:val="24"/>
          <w:highlight w:val="none"/>
        </w:rPr>
      </w:pPr>
      <w:r>
        <w:rPr>
          <w:rFonts w:hint="eastAsia" w:ascii="仿宋" w:hAnsi="仿宋" w:eastAsia="仿宋" w:cs="仿宋"/>
          <w:color w:val="auto"/>
          <w:sz w:val="24"/>
          <w:highlight w:val="none"/>
        </w:rPr>
        <w:t>1、负责人身份证正、反面电子文档；</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2、若有委托代理人的，则还应当提供授权委托书及委托代理人的身份证电子文档。</w:t>
      </w:r>
    </w:p>
    <w:p>
      <w:pPr>
        <w:spacing w:line="360" w:lineRule="auto"/>
        <w:ind w:firstLine="480" w:firstLineChars="200"/>
        <w:rPr>
          <w:rFonts w:ascii="仿宋" w:hAnsi="仿宋" w:eastAsia="仿宋" w:cs="仿宋"/>
          <w:color w:val="auto"/>
          <w:sz w:val="24"/>
          <w:highlight w:val="none"/>
        </w:rPr>
      </w:pPr>
    </w:p>
    <w:p>
      <w:pPr>
        <w:pStyle w:val="15"/>
        <w:rPr>
          <w:rFonts w:ascii="仿宋" w:hAnsi="仿宋" w:eastAsia="仿宋" w:cs="仿宋"/>
          <w:color w:val="auto"/>
          <w:highlight w:val="none"/>
        </w:rPr>
        <w:sectPr>
          <w:pgSz w:w="11905" w:h="16838"/>
          <w:pgMar w:top="1440" w:right="1803" w:bottom="1440" w:left="1803" w:header="851" w:footer="992" w:gutter="0"/>
          <w:cols w:space="0" w:num="1"/>
          <w:rtlGutter w:val="0"/>
          <w:docGrid w:linePitch="312" w:charSpace="0"/>
        </w:sectPr>
      </w:pPr>
    </w:p>
    <w:p>
      <w:pPr>
        <w:pStyle w:val="4"/>
        <w:adjustRightInd/>
        <w:spacing w:before="0" w:after="0" w:line="360" w:lineRule="auto"/>
        <w:ind w:left="0" w:firstLine="0"/>
        <w:jc w:val="center"/>
        <w:rPr>
          <w:rFonts w:ascii="仿宋" w:hAnsi="仿宋" w:eastAsia="仿宋" w:cs="仿宋"/>
          <w:color w:val="auto"/>
          <w:sz w:val="24"/>
          <w:szCs w:val="24"/>
          <w:highlight w:val="none"/>
        </w:rPr>
      </w:pPr>
      <w:bookmarkStart w:id="409" w:name="_Toc96338155"/>
      <w:bookmarkStart w:id="410" w:name="_Toc139797657"/>
      <w:bookmarkStart w:id="411" w:name="_Toc13486"/>
      <w:bookmarkStart w:id="412" w:name="_Toc531359044"/>
      <w:bookmarkStart w:id="413" w:name="_Toc19715"/>
      <w:r>
        <w:rPr>
          <w:rFonts w:hint="eastAsia" w:ascii="仿宋" w:hAnsi="仿宋" w:eastAsia="仿宋" w:cs="仿宋"/>
          <w:color w:val="auto"/>
          <w:sz w:val="24"/>
          <w:szCs w:val="24"/>
          <w:highlight w:val="none"/>
        </w:rPr>
        <w:t>1.5    授权委托书</w:t>
      </w:r>
      <w:bookmarkEnd w:id="409"/>
      <w:bookmarkEnd w:id="410"/>
      <w:bookmarkEnd w:id="411"/>
      <w:bookmarkEnd w:id="412"/>
      <w:bookmarkEnd w:id="413"/>
    </w:p>
    <w:p>
      <w:pPr>
        <w:pStyle w:val="15"/>
        <w:ind w:firstLine="0"/>
        <w:rPr>
          <w:rFonts w:ascii="仿宋" w:hAnsi="仿宋" w:eastAsia="仿宋" w:cs="仿宋"/>
          <w:color w:val="auto"/>
          <w:highlight w:val="none"/>
        </w:rPr>
      </w:pPr>
    </w:p>
    <w:p>
      <w:pPr>
        <w:pStyle w:val="157"/>
        <w:spacing w:line="360" w:lineRule="auto"/>
        <w:rPr>
          <w:rFonts w:ascii="仿宋" w:hAnsi="仿宋" w:eastAsia="仿宋" w:cs="仿宋"/>
          <w:b/>
          <w:color w:val="auto"/>
          <w:sz w:val="24"/>
          <w:szCs w:val="21"/>
          <w:highlight w:val="none"/>
        </w:rPr>
      </w:pPr>
      <w:r>
        <w:rPr>
          <w:rFonts w:hint="eastAsia" w:ascii="仿宋" w:hAnsi="仿宋" w:eastAsia="仿宋" w:cs="仿宋"/>
          <w:i/>
          <w:color w:val="auto"/>
          <w:sz w:val="24"/>
          <w:highlight w:val="none"/>
          <w:u w:val="single"/>
        </w:rPr>
        <w:t>（采购人名称）</w:t>
      </w:r>
      <w:r>
        <w:rPr>
          <w:rFonts w:hint="eastAsia" w:ascii="仿宋" w:hAnsi="仿宋" w:eastAsia="仿宋" w:cs="仿宋"/>
          <w:color w:val="auto"/>
          <w:sz w:val="24"/>
          <w:szCs w:val="21"/>
          <w:highlight w:val="none"/>
        </w:rPr>
        <w:t>：</w:t>
      </w:r>
    </w:p>
    <w:p>
      <w:pPr>
        <w:pStyle w:val="157"/>
        <w:autoSpaceDE w:val="0"/>
        <w:autoSpaceDN w:val="0"/>
        <w:spacing w:line="360" w:lineRule="auto"/>
        <w:ind w:firstLine="480" w:firstLineChars="200"/>
        <w:textAlignment w:val="bottom"/>
        <w:rPr>
          <w:rFonts w:ascii="仿宋" w:hAnsi="仿宋" w:eastAsia="仿宋" w:cs="仿宋"/>
          <w:color w:val="auto"/>
          <w:sz w:val="24"/>
          <w:szCs w:val="20"/>
          <w:highlight w:val="none"/>
        </w:rPr>
      </w:pPr>
      <w:r>
        <w:rPr>
          <w:rFonts w:hint="eastAsia" w:ascii="仿宋" w:hAnsi="仿宋" w:eastAsia="仿宋" w:cs="仿宋"/>
          <w:color w:val="auto"/>
          <w:sz w:val="24"/>
          <w:szCs w:val="20"/>
          <w:highlight w:val="none"/>
        </w:rPr>
        <w:t>我</w:t>
      </w:r>
      <w:r>
        <w:rPr>
          <w:rFonts w:hint="eastAsia" w:ascii="仿宋" w:hAnsi="仿宋" w:eastAsia="仿宋" w:cs="仿宋"/>
          <w:color w:val="auto"/>
          <w:sz w:val="24"/>
          <w:szCs w:val="20"/>
          <w:highlight w:val="none"/>
          <w:u w:val="single"/>
        </w:rPr>
        <w:t xml:space="preserve"> </w:t>
      </w:r>
      <w:r>
        <w:rPr>
          <w:rFonts w:hint="eastAsia" w:ascii="仿宋" w:hAnsi="仿宋" w:eastAsia="仿宋" w:cs="仿宋"/>
          <w:i/>
          <w:color w:val="auto"/>
          <w:sz w:val="24"/>
          <w:highlight w:val="none"/>
          <w:u w:val="single"/>
        </w:rPr>
        <w:t>法定代表人（负责人）</w:t>
      </w:r>
      <w:r>
        <w:rPr>
          <w:rFonts w:hint="eastAsia" w:ascii="仿宋" w:hAnsi="仿宋" w:eastAsia="仿宋" w:cs="仿宋"/>
          <w:color w:val="auto"/>
          <w:sz w:val="24"/>
          <w:szCs w:val="20"/>
          <w:highlight w:val="none"/>
        </w:rPr>
        <w:t>系</w:t>
      </w:r>
      <w:r>
        <w:rPr>
          <w:rFonts w:hint="eastAsia" w:ascii="仿宋" w:hAnsi="仿宋" w:eastAsia="仿宋" w:cs="仿宋"/>
          <w:color w:val="auto"/>
          <w:sz w:val="24"/>
          <w:szCs w:val="20"/>
          <w:highlight w:val="none"/>
          <w:u w:val="single"/>
        </w:rPr>
        <w:t xml:space="preserve"> </w:t>
      </w:r>
      <w:r>
        <w:rPr>
          <w:rFonts w:hint="eastAsia" w:ascii="仿宋" w:hAnsi="仿宋" w:eastAsia="仿宋" w:cs="仿宋"/>
          <w:i/>
          <w:color w:val="auto"/>
          <w:sz w:val="24"/>
          <w:highlight w:val="none"/>
          <w:u w:val="single"/>
        </w:rPr>
        <w:t xml:space="preserve">（供应商全称） </w:t>
      </w:r>
      <w:r>
        <w:rPr>
          <w:rFonts w:hint="eastAsia" w:ascii="仿宋" w:hAnsi="仿宋" w:eastAsia="仿宋" w:cs="仿宋"/>
          <w:color w:val="auto"/>
          <w:sz w:val="24"/>
          <w:szCs w:val="20"/>
          <w:highlight w:val="none"/>
        </w:rPr>
        <w:t>的法定代表人（或负责人），现授权委托本单位在职职工</w:t>
      </w:r>
      <w:r>
        <w:rPr>
          <w:rFonts w:hint="eastAsia" w:ascii="仿宋" w:hAnsi="仿宋" w:eastAsia="仿宋" w:cs="仿宋"/>
          <w:color w:val="auto"/>
          <w:sz w:val="24"/>
          <w:szCs w:val="20"/>
          <w:highlight w:val="none"/>
          <w:u w:val="single"/>
        </w:rPr>
        <w:t xml:space="preserve">  </w:t>
      </w:r>
      <w:r>
        <w:rPr>
          <w:rFonts w:hint="eastAsia" w:ascii="仿宋" w:hAnsi="仿宋" w:eastAsia="仿宋" w:cs="仿宋"/>
          <w:i/>
          <w:color w:val="auto"/>
          <w:sz w:val="24"/>
          <w:highlight w:val="none"/>
          <w:u w:val="single"/>
        </w:rPr>
        <w:t xml:space="preserve"> （姓名） </w:t>
      </w:r>
      <w:r>
        <w:rPr>
          <w:rFonts w:hint="eastAsia" w:ascii="仿宋" w:hAnsi="仿宋" w:eastAsia="仿宋" w:cs="仿宋"/>
          <w:color w:val="auto"/>
          <w:sz w:val="24"/>
          <w:szCs w:val="20"/>
          <w:highlight w:val="none"/>
          <w:u w:val="single"/>
        </w:rPr>
        <w:t xml:space="preserve"> </w:t>
      </w:r>
      <w:r>
        <w:rPr>
          <w:rFonts w:hint="eastAsia" w:ascii="仿宋" w:hAnsi="仿宋" w:eastAsia="仿宋" w:cs="仿宋"/>
          <w:color w:val="auto"/>
          <w:sz w:val="24"/>
          <w:szCs w:val="20"/>
          <w:highlight w:val="none"/>
        </w:rPr>
        <w:t>以我方的名义参加就贵方组织的</w:t>
      </w:r>
      <w:r>
        <w:rPr>
          <w:rFonts w:hint="eastAsia" w:ascii="仿宋" w:hAnsi="仿宋" w:eastAsia="仿宋" w:cs="仿宋"/>
          <w:color w:val="auto"/>
          <w:sz w:val="24"/>
          <w:szCs w:val="20"/>
          <w:highlight w:val="none"/>
          <w:u w:val="single"/>
        </w:rPr>
        <w:t xml:space="preserve">  </w:t>
      </w:r>
      <w:r>
        <w:rPr>
          <w:rFonts w:hint="eastAsia" w:ascii="仿宋" w:hAnsi="仿宋" w:eastAsia="仿宋" w:cs="仿宋"/>
          <w:i/>
          <w:color w:val="auto"/>
          <w:sz w:val="24"/>
          <w:highlight w:val="none"/>
          <w:u w:val="single"/>
        </w:rPr>
        <w:t xml:space="preserve"> （项目名称）（项目编号）（标项）</w:t>
      </w:r>
      <w:r>
        <w:rPr>
          <w:rFonts w:hint="eastAsia" w:ascii="仿宋" w:hAnsi="仿宋" w:eastAsia="仿宋" w:cs="仿宋"/>
          <w:color w:val="auto"/>
          <w:sz w:val="24"/>
          <w:szCs w:val="21"/>
          <w:highlight w:val="none"/>
          <w:u w:val="single"/>
        </w:rPr>
        <w:t xml:space="preserve"> </w:t>
      </w:r>
      <w:r>
        <w:rPr>
          <w:rFonts w:hint="eastAsia" w:ascii="仿宋" w:hAnsi="仿宋" w:eastAsia="仿宋" w:cs="仿宋"/>
          <w:color w:val="auto"/>
          <w:sz w:val="24"/>
          <w:szCs w:val="20"/>
          <w:highlight w:val="none"/>
        </w:rPr>
        <w:t>的磋商活动，并代表我方全权办理针对上述项目的磋商、开标、评审、签约等具体事务和签署相关文件。</w:t>
      </w:r>
    </w:p>
    <w:p>
      <w:pPr>
        <w:pStyle w:val="157"/>
        <w:autoSpaceDE w:val="0"/>
        <w:autoSpaceDN w:val="0"/>
        <w:spacing w:line="360" w:lineRule="auto"/>
        <w:ind w:firstLine="480" w:firstLineChars="200"/>
        <w:textAlignment w:val="bottom"/>
        <w:rPr>
          <w:rFonts w:ascii="仿宋" w:hAnsi="仿宋" w:eastAsia="仿宋" w:cs="仿宋"/>
          <w:color w:val="auto"/>
          <w:sz w:val="24"/>
          <w:szCs w:val="20"/>
          <w:highlight w:val="none"/>
        </w:rPr>
      </w:pPr>
      <w:r>
        <w:rPr>
          <w:rFonts w:hint="eastAsia" w:ascii="仿宋" w:hAnsi="仿宋" w:eastAsia="仿宋" w:cs="仿宋"/>
          <w:color w:val="auto"/>
          <w:sz w:val="24"/>
          <w:szCs w:val="20"/>
          <w:highlight w:val="none"/>
        </w:rPr>
        <w:t>我方对委托代理人的签字或盖章事项负全部责任。</w:t>
      </w:r>
    </w:p>
    <w:p>
      <w:pPr>
        <w:pStyle w:val="157"/>
        <w:spacing w:line="360" w:lineRule="auto"/>
        <w:ind w:firstLine="48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本授权书自签署之日起生效，在撤销授权的书面通知送达贵方以前，本授权委托书一直有效。委托代理人在授权书有效期内签署的所有文件不因授权的撤销而失效。</w:t>
      </w:r>
    </w:p>
    <w:p>
      <w:pPr>
        <w:pStyle w:val="157"/>
        <w:spacing w:line="360" w:lineRule="auto"/>
        <w:ind w:firstLine="48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委托代理人无转委托权，特此声明。</w:t>
      </w:r>
    </w:p>
    <w:p>
      <w:pPr>
        <w:pStyle w:val="157"/>
        <w:spacing w:line="360" w:lineRule="auto"/>
        <w:ind w:firstLine="480"/>
        <w:rPr>
          <w:rFonts w:ascii="仿宋" w:hAnsi="仿宋" w:eastAsia="仿宋" w:cs="仿宋"/>
          <w:color w:val="auto"/>
          <w:sz w:val="24"/>
          <w:szCs w:val="21"/>
          <w:highlight w:val="none"/>
        </w:rPr>
      </w:pP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负责人签字或盖章：</w:t>
      </w:r>
      <w:r>
        <w:rPr>
          <w:rFonts w:hint="eastAsia" w:ascii="仿宋" w:hAnsi="仿宋" w:eastAsia="仿宋" w:cs="仿宋"/>
          <w:color w:val="auto"/>
          <w:sz w:val="24"/>
          <w:szCs w:val="21"/>
          <w:highlight w:val="none"/>
          <w:u w:val="single"/>
        </w:rPr>
        <w:t xml:space="preserve">                </w:t>
      </w: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供应商盖章：</w:t>
      </w:r>
      <w:r>
        <w:rPr>
          <w:rFonts w:hint="eastAsia" w:ascii="仿宋" w:hAnsi="仿宋" w:eastAsia="仿宋" w:cs="仿宋"/>
          <w:color w:val="auto"/>
          <w:sz w:val="24"/>
          <w:szCs w:val="21"/>
          <w:highlight w:val="none"/>
          <w:u w:val="single"/>
        </w:rPr>
        <w:t xml:space="preserve">                </w:t>
      </w: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pPr>
        <w:pStyle w:val="157"/>
        <w:spacing w:line="440" w:lineRule="exact"/>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mc:AlternateContent>
          <mc:Choice Requires="wps">
            <w:drawing>
              <wp:anchor distT="0" distB="0" distL="114300" distR="114300" simplePos="0" relativeHeight="251660288" behindDoc="0" locked="0" layoutInCell="1" allowOverlap="1">
                <wp:simplePos x="0" y="0"/>
                <wp:positionH relativeFrom="column">
                  <wp:posOffset>-209550</wp:posOffset>
                </wp:positionH>
                <wp:positionV relativeFrom="paragraph">
                  <wp:posOffset>133350</wp:posOffset>
                </wp:positionV>
                <wp:extent cx="6067425" cy="0"/>
                <wp:effectExtent l="0" t="0" r="0" b="0"/>
                <wp:wrapNone/>
                <wp:docPr id="2" name="直接箭头连接符 2"/>
                <wp:cNvGraphicFramePr/>
                <a:graphic xmlns:a="http://schemas.openxmlformats.org/drawingml/2006/main">
                  <a:graphicData uri="http://schemas.microsoft.com/office/word/2010/wordprocessingShape">
                    <wps:wsp>
                      <wps:cNvCnPr/>
                      <wps:spPr>
                        <a:xfrm>
                          <a:off x="0" y="0"/>
                          <a:ext cx="6067425" cy="0"/>
                        </a:xfrm>
                        <a:prstGeom prst="straightConnector1">
                          <a:avLst/>
                        </a:prstGeom>
                        <a:ln w="9525" cap="flat" cmpd="sng">
                          <a:solidFill>
                            <a:srgbClr val="000000"/>
                          </a:solidFill>
                          <a:prstDash val="lgDash"/>
                          <a:headEnd type="none" w="med" len="med"/>
                          <a:tailEnd type="none" w="med" len="med"/>
                        </a:ln>
                      </wps:spPr>
                      <wps:bodyPr/>
                    </wps:wsp>
                  </a:graphicData>
                </a:graphic>
              </wp:anchor>
            </w:drawing>
          </mc:Choice>
          <mc:Fallback>
            <w:pict>
              <v:shape id="_x0000_s1026" o:spid="_x0000_s1026" o:spt="32" type="#_x0000_t32" style="position:absolute;left:0pt;margin-left:-16.5pt;margin-top:10.5pt;height:0pt;width:477.75pt;z-index:251660288;mso-width-relative:page;mso-height-relative:page;" filled="f" stroked="t" coordsize="21600,21600" o:gfxdata="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QQwsg2AAAAAkBAAAPAAAAAAAAAAEAIAAAACIAAABkcnMvZG93bnJl&#10;di54bWxQSwECFAAUAAAACACHTuJAg6Fsy/0BAADtAwAADgAAAAAAAAABACAAAAAnAQAAZHJzL2Uy&#10;b0RvYy54bWxQSwUGAAAAAAYABgBZAQAAlgUAAAAA&#10;">
                <v:fill on="f" focussize="0,0"/>
                <v:stroke color="#000000" joinstyle="round" dashstyle="longDash"/>
                <v:imagedata o:title=""/>
                <o:lock v:ext="edit" aspectratio="f"/>
              </v:shape>
            </w:pict>
          </mc:Fallback>
        </mc:AlternateContent>
      </w:r>
    </w:p>
    <w:p>
      <w:pPr>
        <w:pStyle w:val="157"/>
        <w:spacing w:line="440" w:lineRule="exact"/>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附：1、委托代理人工作单位：               职务： </w:t>
      </w:r>
    </w:p>
    <w:p>
      <w:pPr>
        <w:pStyle w:val="157"/>
        <w:spacing w:line="440" w:lineRule="exact"/>
        <w:ind w:firstLine="48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   身份证号码：                       性别： </w:t>
      </w:r>
    </w:p>
    <w:p>
      <w:pPr>
        <w:pStyle w:val="157"/>
        <w:spacing w:line="440" w:lineRule="exact"/>
        <w:ind w:firstLine="480"/>
        <w:rPr>
          <w:rFonts w:ascii="仿宋" w:hAnsi="仿宋" w:eastAsia="仿宋" w:cs="仿宋"/>
          <w:color w:val="auto"/>
          <w:spacing w:val="20"/>
          <w:sz w:val="24"/>
          <w:highlight w:val="none"/>
          <w:u w:val="single"/>
        </w:rPr>
      </w:pPr>
      <w:r>
        <w:rPr>
          <w:rFonts w:hint="eastAsia" w:ascii="仿宋" w:hAnsi="仿宋" w:eastAsia="仿宋" w:cs="仿宋"/>
          <w:color w:val="auto"/>
          <w:sz w:val="24"/>
          <w:szCs w:val="21"/>
          <w:highlight w:val="none"/>
        </w:rPr>
        <w:t>2、</w:t>
      </w:r>
      <w:r>
        <w:rPr>
          <w:rFonts w:hint="eastAsia" w:ascii="仿宋" w:hAnsi="仿宋" w:eastAsia="仿宋" w:cs="仿宋"/>
          <w:bCs/>
          <w:color w:val="auto"/>
          <w:sz w:val="24"/>
          <w:highlight w:val="none"/>
        </w:rPr>
        <w:t>委托代理人身份证正、反面电子文档：</w:t>
      </w:r>
    </w:p>
    <w:tbl>
      <w:tblPr>
        <w:tblStyle w:val="62"/>
        <w:tblW w:w="9242" w:type="dxa"/>
        <w:tblInd w:w="0" w:type="dxa"/>
        <w:tblLayout w:type="fixed"/>
        <w:tblCellMar>
          <w:top w:w="0" w:type="dxa"/>
          <w:left w:w="108" w:type="dxa"/>
          <w:bottom w:w="0" w:type="dxa"/>
          <w:right w:w="108" w:type="dxa"/>
        </w:tblCellMar>
      </w:tblPr>
      <w:tblGrid>
        <w:gridCol w:w="4621"/>
        <w:gridCol w:w="4621"/>
      </w:tblGrid>
      <w:tr>
        <w:trPr>
          <w:trHeight w:val="2733" w:hRule="atLeast"/>
        </w:trPr>
        <w:tc>
          <w:tcPr>
            <w:tcW w:w="4621" w:type="dxa"/>
            <w:shd w:val="clear" w:color="auto" w:fill="auto"/>
          </w:tcPr>
          <w:p>
            <w:pPr>
              <w:pStyle w:val="157"/>
              <w:spacing w:line="440" w:lineRule="exact"/>
              <w:rPr>
                <w:rFonts w:ascii="仿宋" w:hAnsi="仿宋" w:eastAsia="仿宋" w:cs="仿宋"/>
                <w:color w:val="auto"/>
                <w:spacing w:val="20"/>
                <w:sz w:val="24"/>
                <w:highlight w:val="none"/>
              </w:rPr>
            </w:pPr>
            <w:r>
              <w:rPr>
                <w:rFonts w:hint="eastAsia" w:ascii="仿宋" w:hAnsi="仿宋" w:eastAsia="仿宋" w:cs="仿宋"/>
                <w:color w:val="auto"/>
                <w:spacing w:val="20"/>
                <w:sz w:val="24"/>
                <w:highlight w:val="none"/>
              </w:rPr>
              <w:t>正面：</w:t>
            </w:r>
          </w:p>
          <w:p>
            <w:pPr>
              <w:pStyle w:val="157"/>
              <w:spacing w:line="440" w:lineRule="exact"/>
              <w:rPr>
                <w:rFonts w:ascii="仿宋" w:hAnsi="仿宋" w:eastAsia="仿宋" w:cs="仿宋"/>
                <w:color w:val="auto"/>
                <w:spacing w:val="20"/>
                <w:sz w:val="24"/>
                <w:highlight w:val="none"/>
              </w:rPr>
            </w:pPr>
          </w:p>
        </w:tc>
        <w:tc>
          <w:tcPr>
            <w:tcW w:w="4621" w:type="dxa"/>
            <w:shd w:val="clear" w:color="auto" w:fill="auto"/>
          </w:tcPr>
          <w:p>
            <w:pPr>
              <w:pStyle w:val="157"/>
              <w:spacing w:line="440" w:lineRule="exact"/>
              <w:rPr>
                <w:rFonts w:ascii="仿宋" w:hAnsi="仿宋" w:eastAsia="仿宋" w:cs="仿宋"/>
                <w:color w:val="auto"/>
                <w:spacing w:val="20"/>
                <w:sz w:val="24"/>
                <w:highlight w:val="none"/>
              </w:rPr>
            </w:pPr>
            <w:r>
              <w:rPr>
                <w:rFonts w:hint="eastAsia" w:ascii="仿宋" w:hAnsi="仿宋" w:eastAsia="仿宋" w:cs="仿宋"/>
                <w:color w:val="auto"/>
                <w:spacing w:val="20"/>
                <w:sz w:val="24"/>
                <w:highlight w:val="none"/>
              </w:rPr>
              <w:t>反面：</w:t>
            </w:r>
          </w:p>
          <w:p>
            <w:pPr>
              <w:pStyle w:val="157"/>
              <w:spacing w:line="440" w:lineRule="exact"/>
              <w:rPr>
                <w:rFonts w:ascii="仿宋" w:hAnsi="仿宋" w:eastAsia="仿宋" w:cs="仿宋"/>
                <w:color w:val="auto"/>
                <w:spacing w:val="20"/>
                <w:sz w:val="24"/>
                <w:highlight w:val="none"/>
                <w:u w:val="single"/>
              </w:rPr>
            </w:pPr>
          </w:p>
        </w:tc>
      </w:tr>
    </w:tbl>
    <w:p>
      <w:pPr>
        <w:pStyle w:val="157"/>
        <w:ind w:left="587" w:leftChars="50" w:hanging="482" w:hangingChars="200"/>
        <w:rPr>
          <w:rFonts w:ascii="仿宋" w:hAnsi="仿宋" w:eastAsia="仿宋" w:cs="仿宋"/>
          <w:color w:val="auto"/>
          <w:sz w:val="24"/>
          <w:szCs w:val="21"/>
          <w:highlight w:val="none"/>
        </w:rPr>
      </w:pPr>
      <w:r>
        <w:rPr>
          <w:rFonts w:hint="eastAsia" w:ascii="仿宋" w:hAnsi="仿宋" w:eastAsia="仿宋" w:cs="仿宋"/>
          <w:b/>
          <w:color w:val="auto"/>
          <w:sz w:val="24"/>
          <w:szCs w:val="21"/>
          <w:highlight w:val="none"/>
        </w:rPr>
        <w:t>注：</w:t>
      </w:r>
      <w:r>
        <w:rPr>
          <w:rFonts w:hint="eastAsia" w:ascii="仿宋" w:hAnsi="仿宋" w:eastAsia="仿宋" w:cs="仿宋"/>
          <w:color w:val="auto"/>
          <w:sz w:val="24"/>
          <w:szCs w:val="21"/>
          <w:highlight w:val="none"/>
        </w:rPr>
        <w:t>1. 供应商为法人企业的，其负责人为其法定代表人；供应商为其他组织的，其负责人为法律、行政法规规定代表单位行使职权的主要负责人；供应商为自然人的，其负责人为自然人本人。</w:t>
      </w:r>
    </w:p>
    <w:p>
      <w:pPr>
        <w:pStyle w:val="157"/>
        <w:ind w:left="585" w:leftChars="50" w:hanging="480" w:hangingChars="200"/>
        <w:rPr>
          <w:rFonts w:ascii="仿宋" w:hAnsi="仿宋" w:eastAsia="仿宋" w:cs="仿宋"/>
          <w:color w:val="auto"/>
          <w:highlight w:val="none"/>
        </w:rPr>
      </w:pPr>
      <w:r>
        <w:rPr>
          <w:rFonts w:hint="eastAsia" w:ascii="仿宋" w:hAnsi="仿宋" w:eastAsia="仿宋" w:cs="仿宋"/>
          <w:color w:val="auto"/>
          <w:sz w:val="24"/>
          <w:szCs w:val="21"/>
          <w:highlight w:val="none"/>
        </w:rPr>
        <w:t xml:space="preserve">    2. 若是负责人参会的，不需要提供此授权委托书。</w:t>
      </w:r>
    </w:p>
    <w:p>
      <w:pPr>
        <w:rPr>
          <w:rFonts w:ascii="仿宋" w:hAnsi="仿宋" w:eastAsia="仿宋" w:cs="仿宋"/>
          <w:color w:val="auto"/>
          <w:highlight w:val="none"/>
        </w:rPr>
        <w:sectPr>
          <w:pgSz w:w="11905" w:h="16838"/>
          <w:pgMar w:top="1440" w:right="1803" w:bottom="1440" w:left="1803" w:header="851" w:footer="992" w:gutter="0"/>
          <w:cols w:space="0" w:num="1"/>
          <w:rtlGutter w:val="0"/>
          <w:docGrid w:linePitch="312" w:charSpace="0"/>
        </w:sectPr>
      </w:pPr>
    </w:p>
    <w:p>
      <w:pPr>
        <w:pStyle w:val="4"/>
        <w:adjustRightInd/>
        <w:spacing w:before="0" w:after="0" w:line="360" w:lineRule="auto"/>
        <w:ind w:left="0" w:firstLine="0"/>
        <w:jc w:val="center"/>
        <w:rPr>
          <w:rFonts w:ascii="仿宋" w:hAnsi="仿宋" w:eastAsia="仿宋" w:cs="仿宋"/>
          <w:color w:val="auto"/>
          <w:sz w:val="24"/>
          <w:szCs w:val="24"/>
          <w:highlight w:val="none"/>
        </w:rPr>
      </w:pPr>
      <w:bookmarkStart w:id="414" w:name="_Toc530551879"/>
      <w:bookmarkStart w:id="415" w:name="_Toc493956054"/>
      <w:bookmarkStart w:id="416" w:name="_Toc531359045"/>
      <w:bookmarkStart w:id="417" w:name="_Toc8778"/>
      <w:bookmarkStart w:id="418" w:name="_Toc60739036"/>
      <w:bookmarkStart w:id="419" w:name="_Toc139797658"/>
      <w:bookmarkStart w:id="420" w:name="_Toc96338156"/>
      <w:bookmarkStart w:id="421" w:name="_Toc18816"/>
      <w:bookmarkStart w:id="422" w:name="_Toc530551880"/>
      <w:bookmarkStart w:id="423" w:name="_Toc493956055"/>
      <w:r>
        <w:rPr>
          <w:rFonts w:hint="eastAsia" w:ascii="仿宋" w:hAnsi="仿宋" w:eastAsia="仿宋" w:cs="仿宋"/>
          <w:color w:val="auto"/>
          <w:sz w:val="24"/>
          <w:szCs w:val="24"/>
          <w:highlight w:val="none"/>
        </w:rPr>
        <w:t xml:space="preserve">1.6    </w:t>
      </w:r>
      <w:bookmarkEnd w:id="414"/>
      <w:bookmarkEnd w:id="415"/>
      <w:bookmarkEnd w:id="416"/>
      <w:r>
        <w:rPr>
          <w:rFonts w:hint="eastAsia" w:ascii="仿宋" w:hAnsi="仿宋" w:eastAsia="仿宋" w:cs="仿宋"/>
          <w:color w:val="auto"/>
          <w:sz w:val="24"/>
          <w:szCs w:val="24"/>
          <w:highlight w:val="none"/>
        </w:rPr>
        <w:t>具有良好的财务会计制度、依法缴纳税收和社会保障资金的承诺函</w:t>
      </w:r>
      <w:bookmarkEnd w:id="417"/>
      <w:bookmarkEnd w:id="418"/>
      <w:bookmarkEnd w:id="419"/>
      <w:bookmarkEnd w:id="420"/>
      <w:bookmarkEnd w:id="421"/>
    </w:p>
    <w:p>
      <w:pPr>
        <w:pStyle w:val="967"/>
        <w:spacing w:line="360" w:lineRule="auto"/>
        <w:rPr>
          <w:rFonts w:ascii="仿宋" w:hAnsi="仿宋" w:eastAsia="仿宋" w:cs="仿宋"/>
          <w:color w:val="auto"/>
          <w:sz w:val="24"/>
          <w:highlight w:val="none"/>
          <w:u w:val="single"/>
        </w:rPr>
      </w:pPr>
    </w:p>
    <w:p>
      <w:pPr>
        <w:pStyle w:val="967"/>
        <w:spacing w:line="360" w:lineRule="auto"/>
        <w:rPr>
          <w:rFonts w:ascii="仿宋" w:hAnsi="仿宋" w:eastAsia="仿宋" w:cs="仿宋"/>
          <w:color w:val="auto"/>
          <w:spacing w:val="6"/>
          <w:sz w:val="24"/>
          <w:highlight w:val="none"/>
        </w:rPr>
      </w:pPr>
      <w:r>
        <w:rPr>
          <w:rFonts w:hint="eastAsia" w:ascii="仿宋" w:hAnsi="仿宋" w:eastAsia="仿宋" w:cs="仿宋"/>
          <w:i/>
          <w:color w:val="auto"/>
          <w:spacing w:val="6"/>
          <w:sz w:val="24"/>
          <w:szCs w:val="20"/>
          <w:highlight w:val="none"/>
          <w:u w:val="single"/>
        </w:rPr>
        <w:t>（采购人名称）</w:t>
      </w:r>
      <w:r>
        <w:rPr>
          <w:rFonts w:hint="eastAsia" w:ascii="仿宋" w:hAnsi="仿宋" w:eastAsia="仿宋" w:cs="仿宋"/>
          <w:color w:val="auto"/>
          <w:spacing w:val="6"/>
          <w:sz w:val="24"/>
          <w:highlight w:val="none"/>
        </w:rPr>
        <w:t>：</w:t>
      </w:r>
    </w:p>
    <w:p>
      <w:pPr>
        <w:pStyle w:val="15"/>
        <w:spacing w:line="360" w:lineRule="auto"/>
        <w:ind w:firstLine="504" w:firstLineChars="200"/>
        <w:jc w:val="left"/>
        <w:rPr>
          <w:rFonts w:ascii="仿宋" w:hAnsi="仿宋" w:eastAsia="仿宋" w:cs="仿宋"/>
          <w:color w:val="auto"/>
          <w:highlight w:val="none"/>
        </w:rPr>
      </w:pPr>
      <w:r>
        <w:rPr>
          <w:rFonts w:hint="eastAsia" w:ascii="仿宋" w:hAnsi="仿宋" w:eastAsia="仿宋" w:cs="仿宋"/>
          <w:color w:val="auto"/>
          <w:spacing w:val="6"/>
          <w:sz w:val="24"/>
          <w:highlight w:val="none"/>
        </w:rPr>
        <w:t>我方参与的</w:t>
      </w:r>
      <w:r>
        <w:rPr>
          <w:rFonts w:hint="eastAsia" w:ascii="仿宋" w:hAnsi="仿宋" w:eastAsia="仿宋" w:cs="仿宋"/>
          <w:color w:val="auto"/>
          <w:spacing w:val="6"/>
          <w:sz w:val="24"/>
          <w:highlight w:val="none"/>
          <w:u w:val="single"/>
        </w:rPr>
        <w:t xml:space="preserve">     </w:t>
      </w:r>
      <w:r>
        <w:rPr>
          <w:rFonts w:hint="eastAsia" w:ascii="仿宋" w:hAnsi="仿宋" w:eastAsia="仿宋" w:cs="仿宋"/>
          <w:i/>
          <w:color w:val="auto"/>
          <w:spacing w:val="6"/>
          <w:sz w:val="24"/>
          <w:highlight w:val="none"/>
          <w:u w:val="single"/>
        </w:rPr>
        <w:t>（项目名称）（项目编号）（标项）</w:t>
      </w:r>
      <w:r>
        <w:rPr>
          <w:rFonts w:hint="eastAsia" w:ascii="仿宋" w:hAnsi="仿宋" w:eastAsia="仿宋" w:cs="仿宋"/>
          <w:color w:val="auto"/>
          <w:spacing w:val="6"/>
          <w:sz w:val="24"/>
          <w:highlight w:val="none"/>
          <w:u w:val="single"/>
        </w:rPr>
        <w:t xml:space="preserve">    </w:t>
      </w:r>
      <w:r>
        <w:rPr>
          <w:rFonts w:hint="eastAsia" w:ascii="仿宋" w:hAnsi="仿宋" w:eastAsia="仿宋" w:cs="仿宋"/>
          <w:color w:val="auto"/>
          <w:spacing w:val="6"/>
          <w:sz w:val="24"/>
          <w:highlight w:val="none"/>
        </w:rPr>
        <w:t>的磋商活动，我方郑重承诺，我方具有良好的财务会计制度、依法缴纳税收和社会保障资金，不偷逃税款和逃避缴纳社会保障资金。如有虚假，采购人可取消我方任何资格（投标/成交/签订合同），我方对此无任何异议。</w:t>
      </w:r>
    </w:p>
    <w:p>
      <w:pPr>
        <w:pStyle w:val="967"/>
        <w:spacing w:line="360" w:lineRule="auto"/>
        <w:ind w:firstLine="504" w:firstLineChars="200"/>
        <w:rPr>
          <w:rFonts w:ascii="仿宋" w:hAnsi="仿宋" w:eastAsia="仿宋" w:cs="仿宋"/>
          <w:color w:val="auto"/>
          <w:spacing w:val="6"/>
          <w:sz w:val="24"/>
          <w:highlight w:val="none"/>
        </w:rPr>
      </w:pPr>
    </w:p>
    <w:p>
      <w:pPr>
        <w:pStyle w:val="967"/>
        <w:spacing w:line="360" w:lineRule="auto"/>
        <w:ind w:firstLine="504" w:firstLineChars="200"/>
        <w:rPr>
          <w:rFonts w:ascii="仿宋" w:hAnsi="仿宋" w:eastAsia="仿宋" w:cs="仿宋"/>
          <w:color w:val="auto"/>
          <w:spacing w:val="6"/>
          <w:sz w:val="24"/>
          <w:highlight w:val="none"/>
        </w:rPr>
      </w:pPr>
      <w:r>
        <w:rPr>
          <w:rFonts w:hint="eastAsia" w:ascii="仿宋" w:hAnsi="仿宋" w:eastAsia="仿宋" w:cs="仿宋"/>
          <w:color w:val="auto"/>
          <w:spacing w:val="6"/>
          <w:sz w:val="24"/>
          <w:highlight w:val="none"/>
        </w:rPr>
        <w:t>特此承诺！</w:t>
      </w:r>
    </w:p>
    <w:p>
      <w:pPr>
        <w:pStyle w:val="967"/>
        <w:spacing w:line="360" w:lineRule="auto"/>
        <w:ind w:firstLine="504" w:firstLineChars="200"/>
        <w:rPr>
          <w:rFonts w:ascii="仿宋" w:hAnsi="仿宋" w:eastAsia="仿宋" w:cs="仿宋"/>
          <w:color w:val="auto"/>
          <w:spacing w:val="6"/>
          <w:sz w:val="24"/>
          <w:highlight w:val="none"/>
        </w:rPr>
      </w:pP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供应商盖章：</w:t>
      </w:r>
      <w:r>
        <w:rPr>
          <w:rFonts w:hint="eastAsia" w:ascii="仿宋" w:hAnsi="仿宋" w:eastAsia="仿宋" w:cs="仿宋"/>
          <w:color w:val="auto"/>
          <w:sz w:val="24"/>
          <w:szCs w:val="21"/>
          <w:highlight w:val="none"/>
          <w:u w:val="single"/>
        </w:rPr>
        <w:t xml:space="preserve">                </w:t>
      </w: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pPr>
        <w:pStyle w:val="968"/>
        <w:spacing w:line="360" w:lineRule="auto"/>
        <w:ind w:firstLine="480" w:firstLineChars="200"/>
        <w:rPr>
          <w:rFonts w:ascii="仿宋" w:hAnsi="仿宋" w:eastAsia="仿宋" w:cs="仿宋"/>
          <w:color w:val="auto"/>
          <w:sz w:val="24"/>
          <w:szCs w:val="24"/>
          <w:highlight w:val="none"/>
        </w:rPr>
      </w:pPr>
    </w:p>
    <w:bookmarkEnd w:id="422"/>
    <w:bookmarkEnd w:id="423"/>
    <w:p>
      <w:pPr>
        <w:pStyle w:val="4"/>
        <w:adjustRightInd/>
        <w:spacing w:before="0" w:after="0" w:line="360" w:lineRule="auto"/>
        <w:ind w:left="0" w:firstLine="0"/>
        <w:jc w:val="center"/>
        <w:rPr>
          <w:rFonts w:ascii="仿宋" w:hAnsi="仿宋" w:eastAsia="仿宋" w:cs="仿宋"/>
          <w:color w:val="auto"/>
          <w:sz w:val="24"/>
          <w:szCs w:val="24"/>
          <w:highlight w:val="none"/>
        </w:rPr>
      </w:pPr>
      <w:bookmarkStart w:id="424" w:name="_Toc24827"/>
      <w:bookmarkStart w:id="425" w:name="_Toc34895593"/>
      <w:bookmarkStart w:id="426" w:name="_Toc41644297"/>
      <w:bookmarkStart w:id="427" w:name="_Toc139797659"/>
      <w:bookmarkStart w:id="428" w:name="_Toc96338157"/>
      <w:bookmarkStart w:id="429" w:name="_Toc28654"/>
      <w:bookmarkStart w:id="430" w:name="_Toc493956056"/>
      <w:bookmarkStart w:id="431" w:name="_Toc530551882"/>
      <w:bookmarkStart w:id="432" w:name="_Toc531359049"/>
      <w:r>
        <w:rPr>
          <w:rFonts w:hint="eastAsia" w:ascii="仿宋" w:hAnsi="仿宋" w:eastAsia="仿宋" w:cs="仿宋"/>
          <w:color w:val="auto"/>
          <w:sz w:val="24"/>
          <w:szCs w:val="24"/>
          <w:highlight w:val="none"/>
        </w:rPr>
        <w:t>1.7    具有履行合同所必需的设备和专业技术能力承诺函</w:t>
      </w:r>
      <w:bookmarkEnd w:id="424"/>
      <w:bookmarkEnd w:id="425"/>
      <w:bookmarkEnd w:id="426"/>
      <w:bookmarkEnd w:id="427"/>
      <w:bookmarkEnd w:id="428"/>
      <w:bookmarkEnd w:id="429"/>
    </w:p>
    <w:p>
      <w:pPr>
        <w:pStyle w:val="15"/>
        <w:rPr>
          <w:rFonts w:ascii="仿宋" w:hAnsi="仿宋" w:eastAsia="仿宋" w:cs="仿宋"/>
          <w:color w:val="auto"/>
          <w:highlight w:val="none"/>
        </w:rPr>
      </w:pPr>
    </w:p>
    <w:p>
      <w:pPr>
        <w:snapToGrid w:val="0"/>
        <w:spacing w:line="360" w:lineRule="auto"/>
        <w:rPr>
          <w:rFonts w:ascii="仿宋" w:hAnsi="仿宋" w:eastAsia="仿宋" w:cs="仿宋"/>
          <w:color w:val="auto"/>
          <w:highlight w:val="none"/>
        </w:rPr>
      </w:pPr>
    </w:p>
    <w:p>
      <w:pPr>
        <w:pStyle w:val="967"/>
        <w:spacing w:line="360" w:lineRule="auto"/>
        <w:rPr>
          <w:rFonts w:ascii="仿宋" w:hAnsi="仿宋" w:eastAsia="仿宋" w:cs="仿宋"/>
          <w:color w:val="auto"/>
          <w:spacing w:val="6"/>
          <w:sz w:val="24"/>
          <w:highlight w:val="none"/>
        </w:rPr>
      </w:pPr>
      <w:r>
        <w:rPr>
          <w:rFonts w:hint="eastAsia" w:ascii="仿宋" w:hAnsi="仿宋" w:eastAsia="仿宋" w:cs="仿宋"/>
          <w:i/>
          <w:color w:val="auto"/>
          <w:spacing w:val="6"/>
          <w:sz w:val="24"/>
          <w:szCs w:val="20"/>
          <w:highlight w:val="none"/>
          <w:u w:val="single"/>
        </w:rPr>
        <w:t>（采购人名称）</w:t>
      </w:r>
      <w:r>
        <w:rPr>
          <w:rFonts w:hint="eastAsia" w:ascii="仿宋" w:hAnsi="仿宋" w:eastAsia="仿宋" w:cs="仿宋"/>
          <w:color w:val="auto"/>
          <w:spacing w:val="6"/>
          <w:sz w:val="24"/>
          <w:highlight w:val="none"/>
        </w:rPr>
        <w:t>：</w:t>
      </w:r>
    </w:p>
    <w:p>
      <w:pPr>
        <w:pStyle w:val="967"/>
        <w:spacing w:line="360" w:lineRule="auto"/>
        <w:ind w:firstLine="504" w:firstLineChars="200"/>
        <w:rPr>
          <w:rFonts w:ascii="仿宋" w:hAnsi="仿宋" w:eastAsia="仿宋" w:cs="仿宋"/>
          <w:color w:val="auto"/>
          <w:spacing w:val="6"/>
          <w:sz w:val="24"/>
          <w:highlight w:val="none"/>
        </w:rPr>
      </w:pPr>
      <w:r>
        <w:rPr>
          <w:rFonts w:hint="eastAsia" w:ascii="仿宋" w:hAnsi="仿宋" w:eastAsia="仿宋" w:cs="仿宋"/>
          <w:color w:val="auto"/>
          <w:spacing w:val="6"/>
          <w:sz w:val="24"/>
          <w:highlight w:val="none"/>
        </w:rPr>
        <w:t>我方参与的</w:t>
      </w:r>
      <w:r>
        <w:rPr>
          <w:rFonts w:hint="eastAsia" w:ascii="仿宋" w:hAnsi="仿宋" w:eastAsia="仿宋" w:cs="仿宋"/>
          <w:color w:val="auto"/>
          <w:spacing w:val="6"/>
          <w:sz w:val="24"/>
          <w:highlight w:val="none"/>
          <w:u w:val="single"/>
        </w:rPr>
        <w:t xml:space="preserve">    </w:t>
      </w:r>
      <w:r>
        <w:rPr>
          <w:rFonts w:hint="eastAsia" w:ascii="仿宋" w:hAnsi="仿宋" w:eastAsia="仿宋" w:cs="仿宋"/>
          <w:i/>
          <w:color w:val="auto"/>
          <w:spacing w:val="6"/>
          <w:sz w:val="24"/>
          <w:highlight w:val="none"/>
          <w:u w:val="single"/>
        </w:rPr>
        <w:t xml:space="preserve"> （项目名称）（项目编号）（标项） </w:t>
      </w:r>
      <w:r>
        <w:rPr>
          <w:rFonts w:hint="eastAsia" w:ascii="仿宋" w:hAnsi="仿宋" w:eastAsia="仿宋" w:cs="仿宋"/>
          <w:color w:val="auto"/>
          <w:spacing w:val="6"/>
          <w:sz w:val="24"/>
          <w:highlight w:val="none"/>
          <w:u w:val="single"/>
        </w:rPr>
        <w:t xml:space="preserve">   </w:t>
      </w:r>
      <w:r>
        <w:rPr>
          <w:rFonts w:hint="eastAsia" w:ascii="仿宋" w:hAnsi="仿宋" w:eastAsia="仿宋" w:cs="仿宋"/>
          <w:color w:val="auto"/>
          <w:spacing w:val="6"/>
          <w:sz w:val="24"/>
          <w:highlight w:val="none"/>
        </w:rPr>
        <w:t>的磋商活动，我方郑重承诺，我方承诺具有履行合同所必需设备和专业技术能力。如有虚假，采购人可取消我方任何资格（投标/中标/签订合同），我方对此无任何异议。</w:t>
      </w:r>
    </w:p>
    <w:p>
      <w:pPr>
        <w:pStyle w:val="967"/>
        <w:spacing w:line="360" w:lineRule="auto"/>
        <w:ind w:firstLine="504" w:firstLineChars="200"/>
        <w:rPr>
          <w:rFonts w:ascii="仿宋" w:hAnsi="仿宋" w:eastAsia="仿宋" w:cs="仿宋"/>
          <w:color w:val="auto"/>
          <w:spacing w:val="6"/>
          <w:sz w:val="24"/>
          <w:highlight w:val="none"/>
        </w:rPr>
      </w:pPr>
    </w:p>
    <w:p>
      <w:pPr>
        <w:pStyle w:val="967"/>
        <w:spacing w:line="360" w:lineRule="auto"/>
        <w:ind w:firstLine="504" w:firstLineChars="200"/>
        <w:rPr>
          <w:rFonts w:ascii="仿宋" w:hAnsi="仿宋" w:eastAsia="仿宋" w:cs="仿宋"/>
          <w:color w:val="auto"/>
          <w:spacing w:val="6"/>
          <w:sz w:val="24"/>
          <w:highlight w:val="none"/>
        </w:rPr>
      </w:pPr>
      <w:r>
        <w:rPr>
          <w:rFonts w:hint="eastAsia" w:ascii="仿宋" w:hAnsi="仿宋" w:eastAsia="仿宋" w:cs="仿宋"/>
          <w:color w:val="auto"/>
          <w:spacing w:val="6"/>
          <w:sz w:val="24"/>
          <w:highlight w:val="none"/>
        </w:rPr>
        <w:t>特此承诺！</w:t>
      </w:r>
    </w:p>
    <w:p>
      <w:pPr>
        <w:pStyle w:val="967"/>
        <w:spacing w:line="360" w:lineRule="auto"/>
        <w:ind w:firstLine="504" w:firstLineChars="200"/>
        <w:rPr>
          <w:rFonts w:ascii="仿宋" w:hAnsi="仿宋" w:eastAsia="仿宋" w:cs="仿宋"/>
          <w:color w:val="auto"/>
          <w:spacing w:val="6"/>
          <w:sz w:val="24"/>
          <w:highlight w:val="none"/>
        </w:rPr>
      </w:pP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供应商盖章：</w:t>
      </w:r>
      <w:r>
        <w:rPr>
          <w:rFonts w:hint="eastAsia" w:ascii="仿宋" w:hAnsi="仿宋" w:eastAsia="仿宋" w:cs="仿宋"/>
          <w:color w:val="auto"/>
          <w:sz w:val="24"/>
          <w:szCs w:val="21"/>
          <w:highlight w:val="none"/>
          <w:u w:val="single"/>
        </w:rPr>
        <w:t xml:space="preserve">                </w:t>
      </w: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pPr>
        <w:pStyle w:val="157"/>
        <w:spacing w:line="360" w:lineRule="auto"/>
        <w:jc w:val="left"/>
        <w:rPr>
          <w:rFonts w:ascii="仿宋" w:hAnsi="仿宋" w:eastAsia="仿宋" w:cs="仿宋"/>
          <w:color w:val="auto"/>
          <w:sz w:val="24"/>
          <w:szCs w:val="21"/>
          <w:highlight w:val="none"/>
          <w:u w:val="single"/>
        </w:rPr>
      </w:pPr>
    </w:p>
    <w:p>
      <w:pPr>
        <w:pStyle w:val="157"/>
        <w:spacing w:line="360" w:lineRule="auto"/>
        <w:ind w:firstLine="480"/>
        <w:jc w:val="right"/>
        <w:rPr>
          <w:rFonts w:ascii="仿宋" w:hAnsi="仿宋" w:eastAsia="仿宋" w:cs="仿宋"/>
          <w:color w:val="auto"/>
          <w:sz w:val="24"/>
          <w:szCs w:val="21"/>
          <w:highlight w:val="none"/>
          <w:u w:val="single"/>
        </w:rPr>
        <w:sectPr>
          <w:pgSz w:w="11905" w:h="16838"/>
          <w:pgMar w:top="1440" w:right="1803" w:bottom="1440" w:left="1803" w:header="851" w:footer="992" w:gutter="0"/>
          <w:cols w:space="0" w:num="1"/>
          <w:rtlGutter w:val="0"/>
          <w:docGrid w:linePitch="312" w:charSpace="0"/>
        </w:sectPr>
      </w:pPr>
    </w:p>
    <w:bookmarkEnd w:id="430"/>
    <w:bookmarkEnd w:id="431"/>
    <w:bookmarkEnd w:id="432"/>
    <w:p>
      <w:pPr>
        <w:pStyle w:val="4"/>
        <w:adjustRightInd/>
        <w:spacing w:before="0" w:after="0" w:line="360" w:lineRule="auto"/>
        <w:ind w:left="0" w:firstLine="0"/>
        <w:jc w:val="center"/>
        <w:rPr>
          <w:rFonts w:ascii="仿宋" w:hAnsi="仿宋" w:eastAsia="仿宋" w:cs="仿宋"/>
          <w:color w:val="auto"/>
          <w:sz w:val="24"/>
          <w:szCs w:val="24"/>
          <w:highlight w:val="none"/>
        </w:rPr>
      </w:pPr>
      <w:bookmarkStart w:id="433" w:name="_Toc139797660"/>
      <w:bookmarkStart w:id="434" w:name="_Toc41644298"/>
      <w:bookmarkStart w:id="435" w:name="_Toc96338158"/>
      <w:bookmarkStart w:id="436" w:name="_Toc4428"/>
      <w:bookmarkStart w:id="437" w:name="_Toc5923"/>
      <w:bookmarkStart w:id="438" w:name="_Toc523398458"/>
      <w:bookmarkStart w:id="439" w:name="_Toc500333505"/>
      <w:bookmarkStart w:id="440" w:name="_Toc531359051"/>
      <w:r>
        <w:rPr>
          <w:rFonts w:hint="eastAsia" w:ascii="仿宋" w:hAnsi="仿宋" w:eastAsia="仿宋" w:cs="仿宋"/>
          <w:color w:val="auto"/>
          <w:sz w:val="24"/>
          <w:szCs w:val="24"/>
          <w:highlight w:val="none"/>
        </w:rPr>
        <w:t>1.8    无重大违法记录声明书</w:t>
      </w:r>
      <w:bookmarkEnd w:id="433"/>
      <w:bookmarkEnd w:id="434"/>
      <w:bookmarkEnd w:id="435"/>
      <w:bookmarkEnd w:id="436"/>
      <w:bookmarkEnd w:id="437"/>
    </w:p>
    <w:p>
      <w:pPr>
        <w:pStyle w:val="15"/>
        <w:ind w:firstLine="0"/>
        <w:rPr>
          <w:rFonts w:ascii="仿宋" w:hAnsi="仿宋" w:eastAsia="仿宋" w:cs="仿宋"/>
          <w:color w:val="auto"/>
          <w:highlight w:val="none"/>
        </w:rPr>
      </w:pPr>
    </w:p>
    <w:p>
      <w:pPr>
        <w:pStyle w:val="967"/>
        <w:spacing w:line="360" w:lineRule="auto"/>
        <w:rPr>
          <w:rFonts w:ascii="仿宋" w:hAnsi="仿宋" w:eastAsia="仿宋" w:cs="仿宋"/>
          <w:color w:val="auto"/>
          <w:spacing w:val="6"/>
          <w:sz w:val="24"/>
          <w:highlight w:val="none"/>
        </w:rPr>
      </w:pPr>
      <w:r>
        <w:rPr>
          <w:rFonts w:hint="eastAsia" w:ascii="仿宋" w:hAnsi="仿宋" w:eastAsia="仿宋" w:cs="仿宋"/>
          <w:i/>
          <w:color w:val="auto"/>
          <w:spacing w:val="6"/>
          <w:sz w:val="24"/>
          <w:highlight w:val="none"/>
          <w:u w:val="single"/>
        </w:rPr>
        <w:t>（采购人名称）</w:t>
      </w:r>
      <w:r>
        <w:rPr>
          <w:rFonts w:hint="eastAsia" w:ascii="仿宋" w:hAnsi="仿宋" w:eastAsia="仿宋" w:cs="仿宋"/>
          <w:color w:val="auto"/>
          <w:spacing w:val="6"/>
          <w:sz w:val="24"/>
          <w:highlight w:val="none"/>
        </w:rPr>
        <w:t>：</w:t>
      </w:r>
    </w:p>
    <w:p>
      <w:pPr>
        <w:pStyle w:val="967"/>
        <w:spacing w:line="360" w:lineRule="auto"/>
        <w:ind w:firstLine="504" w:firstLineChars="200"/>
        <w:rPr>
          <w:rFonts w:ascii="仿宋" w:hAnsi="仿宋" w:eastAsia="仿宋" w:cs="仿宋"/>
          <w:color w:val="auto"/>
          <w:spacing w:val="6"/>
          <w:sz w:val="24"/>
          <w:highlight w:val="none"/>
        </w:rPr>
      </w:pPr>
      <w:r>
        <w:rPr>
          <w:rFonts w:hint="eastAsia" w:ascii="仿宋" w:hAnsi="仿宋" w:eastAsia="仿宋" w:cs="仿宋"/>
          <w:color w:val="auto"/>
          <w:spacing w:val="6"/>
          <w:sz w:val="24"/>
          <w:highlight w:val="none"/>
        </w:rPr>
        <w:t>我方参与的</w:t>
      </w:r>
      <w:r>
        <w:rPr>
          <w:rFonts w:hint="eastAsia" w:ascii="仿宋" w:hAnsi="仿宋" w:eastAsia="仿宋" w:cs="仿宋"/>
          <w:color w:val="auto"/>
          <w:spacing w:val="6"/>
          <w:sz w:val="24"/>
          <w:highlight w:val="none"/>
          <w:u w:val="single"/>
        </w:rPr>
        <w:t xml:space="preserve">     </w:t>
      </w:r>
      <w:r>
        <w:rPr>
          <w:rFonts w:hint="eastAsia" w:ascii="仿宋" w:hAnsi="仿宋" w:eastAsia="仿宋" w:cs="仿宋"/>
          <w:i/>
          <w:color w:val="auto"/>
          <w:spacing w:val="6"/>
          <w:sz w:val="24"/>
          <w:highlight w:val="none"/>
          <w:u w:val="single"/>
        </w:rPr>
        <w:t>（项目名称）（项目编号）（标项）</w:t>
      </w:r>
      <w:r>
        <w:rPr>
          <w:rFonts w:hint="eastAsia" w:ascii="仿宋" w:hAnsi="仿宋" w:eastAsia="仿宋" w:cs="仿宋"/>
          <w:color w:val="auto"/>
          <w:spacing w:val="6"/>
          <w:sz w:val="24"/>
          <w:highlight w:val="none"/>
          <w:u w:val="single"/>
        </w:rPr>
        <w:t xml:space="preserve">    </w:t>
      </w:r>
      <w:r>
        <w:rPr>
          <w:rFonts w:hint="eastAsia" w:ascii="仿宋" w:hAnsi="仿宋" w:eastAsia="仿宋" w:cs="仿宋"/>
          <w:color w:val="auto"/>
          <w:spacing w:val="6"/>
          <w:sz w:val="24"/>
          <w:highlight w:val="none"/>
        </w:rPr>
        <w:t>的响应活动，我方郑重声明，我方参加本项目响应活动前三年内无重大违法记录（重大违法记录是指供应商因违法经营受到刑事处罚或者责令停产停业、吊销许可证或者执照、较大数额罚款等行政处罚），符合《中华人民共和国政府采购法》、《中华人民共和国政府采购法实施条例》的规定。我方对此声明负全部法律责任。</w:t>
      </w:r>
    </w:p>
    <w:p>
      <w:pPr>
        <w:pStyle w:val="967"/>
        <w:spacing w:line="360" w:lineRule="auto"/>
        <w:ind w:firstLine="504" w:firstLineChars="200"/>
        <w:rPr>
          <w:rFonts w:ascii="仿宋" w:hAnsi="仿宋" w:eastAsia="仿宋" w:cs="仿宋"/>
          <w:color w:val="auto"/>
          <w:spacing w:val="6"/>
          <w:sz w:val="24"/>
          <w:highlight w:val="none"/>
        </w:rPr>
      </w:pPr>
      <w:r>
        <w:rPr>
          <w:rFonts w:hint="eastAsia" w:ascii="仿宋" w:hAnsi="仿宋" w:eastAsia="仿宋" w:cs="仿宋"/>
          <w:color w:val="auto"/>
          <w:spacing w:val="6"/>
          <w:sz w:val="24"/>
          <w:highlight w:val="none"/>
        </w:rPr>
        <w:t>特此声明。</w:t>
      </w:r>
    </w:p>
    <w:p>
      <w:pPr>
        <w:pStyle w:val="967"/>
        <w:spacing w:line="360" w:lineRule="auto"/>
        <w:ind w:right="140"/>
        <w:jc w:val="left"/>
        <w:rPr>
          <w:rFonts w:ascii="仿宋" w:hAnsi="仿宋" w:eastAsia="仿宋" w:cs="仿宋"/>
          <w:color w:val="auto"/>
          <w:spacing w:val="20"/>
          <w:sz w:val="24"/>
          <w:szCs w:val="21"/>
          <w:highlight w:val="none"/>
        </w:rPr>
      </w:pP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供应商盖章：</w:t>
      </w:r>
      <w:r>
        <w:rPr>
          <w:rFonts w:hint="eastAsia" w:ascii="仿宋" w:hAnsi="仿宋" w:eastAsia="仿宋" w:cs="仿宋"/>
          <w:color w:val="auto"/>
          <w:sz w:val="24"/>
          <w:szCs w:val="21"/>
          <w:highlight w:val="none"/>
          <w:u w:val="single"/>
        </w:rPr>
        <w:t xml:space="preserve">                </w:t>
      </w: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pPr>
        <w:pStyle w:val="157"/>
        <w:spacing w:line="360" w:lineRule="auto"/>
        <w:jc w:val="left"/>
        <w:rPr>
          <w:rFonts w:ascii="仿宋" w:hAnsi="仿宋" w:eastAsia="仿宋" w:cs="仿宋"/>
          <w:color w:val="auto"/>
          <w:sz w:val="24"/>
          <w:szCs w:val="21"/>
          <w:highlight w:val="none"/>
          <w:u w:val="single"/>
        </w:rPr>
      </w:pPr>
    </w:p>
    <w:p>
      <w:pPr>
        <w:pStyle w:val="969"/>
        <w:jc w:val="left"/>
        <w:rPr>
          <w:rFonts w:ascii="仿宋" w:hAnsi="仿宋" w:eastAsia="仿宋" w:cs="仿宋"/>
          <w:color w:val="auto"/>
          <w:sz w:val="24"/>
          <w:szCs w:val="24"/>
          <w:highlight w:val="none"/>
        </w:rPr>
      </w:pPr>
      <w:bookmarkStart w:id="441" w:name="_Toc96337838"/>
    </w:p>
    <w:p>
      <w:pPr>
        <w:pStyle w:val="969"/>
        <w:jc w:val="left"/>
        <w:rPr>
          <w:rFonts w:ascii="仿宋" w:hAnsi="仿宋" w:eastAsia="仿宋" w:cs="仿宋"/>
          <w:color w:val="auto"/>
          <w:sz w:val="24"/>
          <w:szCs w:val="24"/>
          <w:highlight w:val="none"/>
        </w:rPr>
      </w:pPr>
    </w:p>
    <w:p>
      <w:pPr>
        <w:pStyle w:val="969"/>
        <w:ind w:left="1095" w:leftChars="350" w:hanging="360" w:hangingChars="150"/>
        <w:jc w:val="left"/>
        <w:rPr>
          <w:rFonts w:ascii="仿宋" w:hAnsi="仿宋" w:eastAsia="仿宋" w:cs="仿宋"/>
          <w:color w:val="auto"/>
          <w:sz w:val="24"/>
          <w:szCs w:val="24"/>
          <w:highlight w:val="none"/>
        </w:rPr>
      </w:pPr>
    </w:p>
    <w:p>
      <w:pPr>
        <w:pStyle w:val="4"/>
        <w:adjustRightInd/>
        <w:spacing w:before="0" w:after="0" w:line="360" w:lineRule="auto"/>
        <w:ind w:left="0" w:firstLine="0"/>
        <w:jc w:val="center"/>
        <w:rPr>
          <w:rFonts w:ascii="仿宋" w:hAnsi="仿宋" w:eastAsia="仿宋" w:cs="仿宋"/>
          <w:bCs w:val="0"/>
          <w:color w:val="auto"/>
          <w:highlight w:val="none"/>
        </w:rPr>
      </w:pPr>
      <w:bookmarkStart w:id="442" w:name="_Toc531359052"/>
      <w:bookmarkStart w:id="443" w:name="_Toc96338161"/>
      <w:bookmarkStart w:id="444" w:name="_Toc10279"/>
      <w:bookmarkStart w:id="445" w:name="_Toc21360"/>
      <w:bookmarkStart w:id="446" w:name="_Toc139797663"/>
      <w:bookmarkStart w:id="447" w:name="_Toc18297"/>
      <w:r>
        <w:rPr>
          <w:rFonts w:hint="eastAsia" w:ascii="仿宋" w:hAnsi="仿宋" w:eastAsia="仿宋" w:cs="仿宋"/>
          <w:bCs w:val="0"/>
          <w:color w:val="auto"/>
          <w:highlight w:val="none"/>
        </w:rPr>
        <w:t xml:space="preserve">1.9   </w:t>
      </w:r>
      <w:bookmarkEnd w:id="442"/>
      <w:r>
        <w:rPr>
          <w:rFonts w:hint="eastAsia" w:ascii="仿宋" w:hAnsi="仿宋" w:eastAsia="仿宋" w:cs="仿宋"/>
          <w:bCs w:val="0"/>
          <w:color w:val="auto"/>
          <w:highlight w:val="none"/>
        </w:rPr>
        <w:t>特定资格条件证明材料附件（若有）</w:t>
      </w:r>
      <w:bookmarkEnd w:id="443"/>
      <w:bookmarkEnd w:id="444"/>
      <w:bookmarkEnd w:id="445"/>
      <w:bookmarkEnd w:id="446"/>
      <w:bookmarkEnd w:id="447"/>
    </w:p>
    <w:p>
      <w:pPr>
        <w:pStyle w:val="61"/>
        <w:ind w:firstLine="420"/>
        <w:rPr>
          <w:color w:val="auto"/>
          <w:highlight w:val="none"/>
        </w:rPr>
        <w:sectPr>
          <w:pgSz w:w="11905" w:h="16838"/>
          <w:pgMar w:top="1440" w:right="1803" w:bottom="1440" w:left="1803" w:header="851" w:footer="992" w:gutter="0"/>
          <w:cols w:space="0" w:num="1"/>
          <w:rtlGutter w:val="0"/>
          <w:docGrid w:linePitch="312" w:charSpace="0"/>
        </w:sectPr>
      </w:pPr>
    </w:p>
    <w:bookmarkEnd w:id="438"/>
    <w:bookmarkEnd w:id="439"/>
    <w:bookmarkEnd w:id="440"/>
    <w:bookmarkEnd w:id="441"/>
    <w:p>
      <w:pPr>
        <w:pStyle w:val="59"/>
        <w:widowControl w:val="0"/>
        <w:overflowPunct/>
        <w:autoSpaceDE/>
        <w:autoSpaceDN/>
        <w:adjustRightInd/>
        <w:spacing w:before="240" w:beforeLines="100" w:after="240" w:afterLines="100"/>
        <w:textAlignment w:val="auto"/>
        <w:outlineLvl w:val="1"/>
        <w:rPr>
          <w:rFonts w:ascii="仿宋" w:hAnsi="仿宋" w:eastAsia="仿宋" w:cs="仿宋"/>
          <w:color w:val="auto"/>
          <w:sz w:val="44"/>
          <w:szCs w:val="44"/>
          <w:highlight w:val="none"/>
        </w:rPr>
      </w:pPr>
      <w:bookmarkStart w:id="448" w:name="_Toc8972"/>
      <w:bookmarkStart w:id="449" w:name="_Toc139797667"/>
      <w:bookmarkStart w:id="450" w:name="_Toc9290"/>
      <w:r>
        <w:rPr>
          <w:rFonts w:hint="eastAsia" w:ascii="仿宋" w:hAnsi="仿宋" w:eastAsia="仿宋" w:cs="仿宋"/>
          <w:color w:val="auto"/>
          <w:sz w:val="44"/>
          <w:szCs w:val="44"/>
          <w:highlight w:val="none"/>
        </w:rPr>
        <w:t>二  资信商务及技术文件格式</w:t>
      </w:r>
      <w:bookmarkEnd w:id="384"/>
      <w:bookmarkEnd w:id="385"/>
      <w:bookmarkEnd w:id="386"/>
      <w:bookmarkEnd w:id="387"/>
      <w:bookmarkEnd w:id="448"/>
      <w:bookmarkEnd w:id="449"/>
      <w:bookmarkEnd w:id="450"/>
    </w:p>
    <w:p>
      <w:pPr>
        <w:pStyle w:val="970"/>
        <w:jc w:val="left"/>
        <w:rPr>
          <w:rFonts w:ascii="仿宋" w:hAnsi="仿宋" w:eastAsia="仿宋" w:cs="仿宋"/>
          <w:color w:val="auto"/>
          <w:sz w:val="28"/>
          <w:szCs w:val="28"/>
          <w:highlight w:val="none"/>
        </w:rPr>
      </w:pPr>
      <w:bookmarkStart w:id="451" w:name="_Toc531359055"/>
      <w:bookmarkStart w:id="452" w:name="_Toc493956059"/>
      <w:bookmarkStart w:id="453" w:name="_Toc530551884"/>
    </w:p>
    <w:bookmarkEnd w:id="451"/>
    <w:p>
      <w:pPr>
        <w:pStyle w:val="4"/>
        <w:adjustRightInd/>
        <w:spacing w:before="0" w:after="0" w:line="360" w:lineRule="auto"/>
        <w:ind w:left="0" w:firstLine="0"/>
        <w:jc w:val="center"/>
        <w:rPr>
          <w:rFonts w:ascii="仿宋" w:hAnsi="仿宋" w:eastAsia="仿宋" w:cs="仿宋"/>
          <w:color w:val="auto"/>
          <w:sz w:val="24"/>
          <w:szCs w:val="24"/>
          <w:highlight w:val="none"/>
        </w:rPr>
      </w:pPr>
      <w:bookmarkStart w:id="454" w:name="_Toc531359056"/>
      <w:bookmarkStart w:id="455" w:name="_Toc139797668"/>
      <w:bookmarkStart w:id="456" w:name="_Toc4237"/>
      <w:bookmarkStart w:id="457" w:name="_Toc16543"/>
      <w:bookmarkStart w:id="458" w:name="_Toc25931"/>
      <w:r>
        <w:rPr>
          <w:rFonts w:hint="eastAsia" w:ascii="仿宋" w:hAnsi="仿宋" w:eastAsia="仿宋" w:cs="仿宋"/>
          <w:color w:val="auto"/>
          <w:sz w:val="24"/>
          <w:szCs w:val="24"/>
          <w:highlight w:val="none"/>
        </w:rPr>
        <w:t>2.1    资信及商务文件封面</w:t>
      </w:r>
      <w:bookmarkEnd w:id="454"/>
      <w:r>
        <w:rPr>
          <w:rFonts w:hint="eastAsia" w:ascii="仿宋" w:hAnsi="仿宋" w:eastAsia="仿宋" w:cs="仿宋"/>
          <w:color w:val="auto"/>
          <w:sz w:val="24"/>
          <w:szCs w:val="24"/>
          <w:highlight w:val="none"/>
        </w:rPr>
        <w:t>格式</w:t>
      </w:r>
      <w:bookmarkEnd w:id="455"/>
      <w:bookmarkEnd w:id="456"/>
      <w:bookmarkEnd w:id="457"/>
      <w:bookmarkEnd w:id="458"/>
    </w:p>
    <w:p>
      <w:pPr>
        <w:snapToGrid w:val="0"/>
        <w:jc w:val="center"/>
        <w:rPr>
          <w:rFonts w:ascii="仿宋" w:hAnsi="仿宋" w:eastAsia="仿宋" w:cs="仿宋"/>
          <w:bCs/>
          <w:color w:val="auto"/>
          <w:sz w:val="24"/>
          <w:szCs w:val="20"/>
          <w:highlight w:val="none"/>
        </w:rPr>
      </w:pPr>
      <w:r>
        <w:rPr>
          <w:rFonts w:hint="eastAsia" w:ascii="仿宋" w:hAnsi="仿宋" w:eastAsia="仿宋" w:cs="仿宋"/>
          <w:b/>
          <w:color w:val="auto"/>
          <w:sz w:val="32"/>
          <w:szCs w:val="32"/>
          <w:highlight w:val="none"/>
        </w:rPr>
        <w:t>投标文件</w:t>
      </w:r>
    </w:p>
    <w:p>
      <w:pPr>
        <w:pStyle w:val="15"/>
        <w:spacing w:line="360" w:lineRule="auto"/>
        <w:ind w:firstLine="0"/>
        <w:jc w:val="center"/>
        <w:rPr>
          <w:rFonts w:ascii="仿宋" w:hAnsi="仿宋" w:eastAsia="仿宋" w:cs="仿宋"/>
          <w:b/>
          <w:color w:val="auto"/>
          <w:sz w:val="32"/>
          <w:szCs w:val="32"/>
          <w:highlight w:val="none"/>
        </w:rPr>
      </w:pPr>
    </w:p>
    <w:tbl>
      <w:tblPr>
        <w:tblStyle w:val="62"/>
        <w:tblW w:w="7054" w:type="dxa"/>
        <w:jc w:val="center"/>
        <w:tblLayout w:type="fixed"/>
        <w:tblCellMar>
          <w:top w:w="0" w:type="dxa"/>
          <w:left w:w="108" w:type="dxa"/>
          <w:bottom w:w="0" w:type="dxa"/>
          <w:right w:w="108" w:type="dxa"/>
        </w:tblCellMar>
      </w:tblPr>
      <w:tblGrid>
        <w:gridCol w:w="2518"/>
        <w:gridCol w:w="4536"/>
      </w:tblGrid>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highlight w:val="none"/>
              </w:rPr>
            </w:pPr>
            <w:r>
              <w:rPr>
                <w:rFonts w:hint="eastAsia" w:ascii="仿宋" w:hAnsi="仿宋" w:eastAsia="仿宋" w:cs="仿宋"/>
                <w:color w:val="auto"/>
                <w:sz w:val="24"/>
                <w:highlight w:val="none"/>
              </w:rPr>
              <w:t>投标文件名称：</w:t>
            </w:r>
          </w:p>
        </w:tc>
        <w:tc>
          <w:tcPr>
            <w:tcW w:w="4536" w:type="dxa"/>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rPr>
              <w:t xml:space="preserve"> 资信商务及技术文件           </w:t>
            </w:r>
          </w:p>
        </w:tc>
      </w:tr>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highlight w:val="none"/>
              </w:rPr>
            </w:pPr>
            <w:r>
              <w:rPr>
                <w:rFonts w:hint="eastAsia" w:ascii="仿宋" w:hAnsi="仿宋" w:eastAsia="仿宋" w:cs="仿宋"/>
                <w:color w:val="auto"/>
                <w:sz w:val="24"/>
                <w:highlight w:val="none"/>
              </w:rPr>
              <w:t>采 购 编 号：</w:t>
            </w:r>
          </w:p>
        </w:tc>
        <w:tc>
          <w:tcPr>
            <w:tcW w:w="4536" w:type="dxa"/>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highlight w:val="none"/>
              </w:rPr>
            </w:pPr>
            <w:r>
              <w:rPr>
                <w:rFonts w:hint="eastAsia" w:ascii="仿宋" w:hAnsi="仿宋" w:eastAsia="仿宋" w:cs="仿宋"/>
                <w:color w:val="auto"/>
                <w:sz w:val="24"/>
                <w:highlight w:val="none"/>
              </w:rPr>
              <w:t>项 目 名 称：</w:t>
            </w:r>
          </w:p>
        </w:tc>
        <w:tc>
          <w:tcPr>
            <w:tcW w:w="4536" w:type="dxa"/>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highlight w:val="none"/>
              </w:rPr>
            </w:pPr>
            <w:r>
              <w:rPr>
                <w:rFonts w:hint="eastAsia" w:ascii="仿宋" w:hAnsi="仿宋" w:eastAsia="仿宋" w:cs="仿宋"/>
                <w:color w:val="auto"/>
                <w:sz w:val="24"/>
                <w:highlight w:val="none"/>
              </w:rPr>
              <w:t>标      项：</w:t>
            </w:r>
          </w:p>
        </w:tc>
        <w:tc>
          <w:tcPr>
            <w:tcW w:w="4536" w:type="dxa"/>
            <w:vAlign w:val="center"/>
          </w:tcPr>
          <w:p>
            <w:pPr>
              <w:jc w:val="left"/>
              <w:rPr>
                <w:rFonts w:ascii="仿宋" w:hAnsi="仿宋" w:eastAsia="仿宋" w:cs="仿宋"/>
                <w:color w:val="auto"/>
                <w:sz w:val="24"/>
                <w:highlight w:val="none"/>
                <w:u w:val="single"/>
              </w:rPr>
            </w:pPr>
            <w:r>
              <w:rPr>
                <w:rFonts w:hint="eastAsia" w:ascii="仿宋" w:hAnsi="仿宋" w:eastAsia="仿宋" w:cs="仿宋"/>
                <w:color w:val="auto"/>
                <w:sz w:val="24"/>
                <w:highlight w:val="none"/>
                <w:u w:val="single"/>
              </w:rPr>
              <w:t xml:space="preserve">（若有）                            </w:t>
            </w:r>
          </w:p>
        </w:tc>
      </w:tr>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highlight w:val="none"/>
              </w:rPr>
            </w:pPr>
          </w:p>
        </w:tc>
        <w:tc>
          <w:tcPr>
            <w:tcW w:w="4536" w:type="dxa"/>
            <w:vAlign w:val="center"/>
          </w:tcPr>
          <w:p>
            <w:pPr>
              <w:jc w:val="left"/>
              <w:rPr>
                <w:rFonts w:ascii="仿宋" w:hAnsi="仿宋" w:eastAsia="仿宋" w:cs="仿宋"/>
                <w:color w:val="auto"/>
                <w:sz w:val="24"/>
                <w:highlight w:val="none"/>
              </w:rPr>
            </w:pPr>
          </w:p>
        </w:tc>
      </w:tr>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highlight w:val="none"/>
              </w:rPr>
            </w:pPr>
            <w:r>
              <w:rPr>
                <w:rFonts w:hint="eastAsia" w:ascii="仿宋" w:hAnsi="仿宋" w:eastAsia="仿宋" w:cs="仿宋"/>
                <w:color w:val="auto"/>
                <w:sz w:val="24"/>
                <w:highlight w:val="none"/>
              </w:rPr>
              <w:t>供应商全称（盖章）：</w:t>
            </w:r>
          </w:p>
        </w:tc>
        <w:tc>
          <w:tcPr>
            <w:tcW w:w="4536" w:type="dxa"/>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highlight w:val="none"/>
              </w:rPr>
            </w:pPr>
            <w:r>
              <w:rPr>
                <w:rFonts w:hint="eastAsia" w:ascii="仿宋" w:hAnsi="仿宋" w:eastAsia="仿宋" w:cs="仿宋"/>
                <w:color w:val="auto"/>
                <w:sz w:val="24"/>
                <w:highlight w:val="none"/>
              </w:rPr>
              <w:t>供应商地址：</w:t>
            </w:r>
          </w:p>
        </w:tc>
        <w:tc>
          <w:tcPr>
            <w:tcW w:w="4536" w:type="dxa"/>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7054" w:type="dxa"/>
            <w:gridSpan w:val="2"/>
            <w:vAlign w:val="center"/>
          </w:tcPr>
          <w:p>
            <w:pPr>
              <w:jc w:val="left"/>
              <w:rPr>
                <w:rFonts w:ascii="仿宋" w:hAnsi="仿宋" w:eastAsia="仿宋" w:cs="仿宋"/>
                <w:color w:val="auto"/>
                <w:sz w:val="24"/>
                <w:highlight w:val="none"/>
                <w:u w:val="single"/>
              </w:rPr>
            </w:pPr>
          </w:p>
        </w:tc>
      </w:tr>
      <w:tr>
        <w:tblPrEx>
          <w:tblCellMar>
            <w:top w:w="0" w:type="dxa"/>
            <w:left w:w="108" w:type="dxa"/>
            <w:bottom w:w="0" w:type="dxa"/>
            <w:right w:w="108" w:type="dxa"/>
          </w:tblCellMar>
        </w:tblPrEx>
        <w:trPr>
          <w:trHeight w:val="397" w:hRule="atLeast"/>
          <w:jc w:val="center"/>
        </w:trPr>
        <w:tc>
          <w:tcPr>
            <w:tcW w:w="7054" w:type="dxa"/>
            <w:gridSpan w:val="2"/>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年  月  日</w:t>
            </w:r>
          </w:p>
        </w:tc>
      </w:tr>
    </w:tbl>
    <w:p>
      <w:pPr>
        <w:pStyle w:val="15"/>
        <w:spacing w:line="360" w:lineRule="auto"/>
        <w:ind w:firstLine="0"/>
        <w:jc w:val="center"/>
        <w:rPr>
          <w:rFonts w:ascii="仿宋" w:hAnsi="仿宋" w:eastAsia="仿宋" w:cs="仿宋"/>
          <w:bCs/>
          <w:color w:val="auto"/>
          <w:sz w:val="24"/>
          <w:highlight w:val="none"/>
        </w:rPr>
      </w:pPr>
    </w:p>
    <w:p>
      <w:pPr>
        <w:pStyle w:val="4"/>
        <w:adjustRightInd/>
        <w:spacing w:before="0" w:after="0" w:line="360" w:lineRule="auto"/>
        <w:ind w:left="0" w:firstLine="0"/>
        <w:jc w:val="center"/>
        <w:rPr>
          <w:rFonts w:ascii="仿宋" w:hAnsi="仿宋" w:eastAsia="仿宋" w:cs="仿宋"/>
          <w:color w:val="auto"/>
          <w:sz w:val="24"/>
          <w:szCs w:val="24"/>
          <w:highlight w:val="none"/>
        </w:rPr>
      </w:pPr>
      <w:bookmarkStart w:id="459" w:name="_Toc18345"/>
      <w:bookmarkStart w:id="460" w:name="_Toc139797669"/>
      <w:bookmarkStart w:id="461" w:name="_Toc531359057"/>
      <w:bookmarkStart w:id="462" w:name="_Toc9809"/>
      <w:bookmarkStart w:id="463" w:name="_Toc30999"/>
      <w:r>
        <w:rPr>
          <w:rFonts w:hint="eastAsia" w:ascii="仿宋" w:hAnsi="仿宋" w:eastAsia="仿宋" w:cs="仿宋"/>
          <w:color w:val="auto"/>
          <w:sz w:val="24"/>
          <w:szCs w:val="24"/>
          <w:highlight w:val="none"/>
        </w:rPr>
        <w:t>2.2    资信商务及技术文件目录</w:t>
      </w:r>
      <w:bookmarkEnd w:id="459"/>
      <w:bookmarkEnd w:id="460"/>
      <w:bookmarkEnd w:id="461"/>
      <w:bookmarkEnd w:id="462"/>
      <w:bookmarkEnd w:id="463"/>
    </w:p>
    <w:p>
      <w:pPr>
        <w:pStyle w:val="15"/>
        <w:spacing w:line="360" w:lineRule="auto"/>
        <w:ind w:firstLine="0"/>
        <w:rPr>
          <w:rFonts w:ascii="仿宋" w:hAnsi="仿宋" w:eastAsia="仿宋" w:cs="仿宋"/>
          <w:color w:val="auto"/>
          <w:sz w:val="24"/>
          <w:highlight w:val="none"/>
        </w:rPr>
      </w:pPr>
    </w:p>
    <w:p>
      <w:pPr>
        <w:pStyle w:val="15"/>
        <w:ind w:firstLine="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highlight w:val="none"/>
        </w:rPr>
        <w:t>格式自行设计）</w:t>
      </w:r>
      <w:bookmarkStart w:id="464" w:name="_Toc531359058"/>
    </w:p>
    <w:p>
      <w:pPr>
        <w:pStyle w:val="15"/>
        <w:spacing w:line="360" w:lineRule="auto"/>
        <w:ind w:firstLine="0"/>
        <w:rPr>
          <w:rFonts w:ascii="仿宋" w:hAnsi="仿宋" w:eastAsia="仿宋" w:cs="仿宋"/>
          <w:color w:val="auto"/>
          <w:sz w:val="24"/>
          <w:highlight w:val="none"/>
        </w:rPr>
      </w:pPr>
    </w:p>
    <w:p>
      <w:pPr>
        <w:pStyle w:val="4"/>
        <w:spacing w:before="0" w:after="0"/>
        <w:ind w:firstLine="0"/>
        <w:jc w:val="left"/>
        <w:rPr>
          <w:rFonts w:ascii="仿宋" w:hAnsi="仿宋" w:eastAsia="仿宋" w:cs="仿宋"/>
          <w:color w:val="auto"/>
          <w:sz w:val="24"/>
          <w:szCs w:val="24"/>
          <w:highlight w:val="none"/>
        </w:rPr>
        <w:sectPr>
          <w:pgSz w:w="11905" w:h="16838"/>
          <w:pgMar w:top="1440" w:right="1803" w:bottom="1440" w:left="1803" w:header="851" w:footer="992" w:gutter="0"/>
          <w:cols w:space="0" w:num="1"/>
          <w:rtlGutter w:val="0"/>
          <w:docGrid w:linePitch="312" w:charSpace="0"/>
        </w:sectPr>
      </w:pPr>
    </w:p>
    <w:bookmarkEnd w:id="452"/>
    <w:bookmarkEnd w:id="453"/>
    <w:bookmarkEnd w:id="464"/>
    <w:p>
      <w:pPr>
        <w:pStyle w:val="4"/>
        <w:adjustRightInd/>
        <w:spacing w:before="0" w:after="0" w:line="360" w:lineRule="auto"/>
        <w:ind w:left="0" w:firstLine="0"/>
        <w:jc w:val="center"/>
        <w:rPr>
          <w:rFonts w:ascii="仿宋" w:hAnsi="仿宋" w:eastAsia="仿宋" w:cs="仿宋"/>
          <w:color w:val="auto"/>
          <w:highlight w:val="none"/>
        </w:rPr>
      </w:pPr>
      <w:bookmarkStart w:id="465" w:name="_Toc96338169"/>
      <w:bookmarkStart w:id="466" w:name="_Toc139797670"/>
      <w:bookmarkStart w:id="467" w:name="_Toc19055"/>
      <w:bookmarkStart w:id="468" w:name="_Toc25015"/>
      <w:r>
        <w:rPr>
          <w:rFonts w:hint="eastAsia" w:ascii="仿宋" w:hAnsi="仿宋" w:eastAsia="仿宋" w:cs="仿宋"/>
          <w:color w:val="auto"/>
          <w:highlight w:val="none"/>
        </w:rPr>
        <w:t>2.3    磋商响应函</w:t>
      </w:r>
      <w:bookmarkEnd w:id="465"/>
      <w:bookmarkEnd w:id="466"/>
      <w:bookmarkEnd w:id="467"/>
      <w:bookmarkEnd w:id="468"/>
    </w:p>
    <w:p>
      <w:pPr>
        <w:pStyle w:val="971"/>
        <w:tabs>
          <w:tab w:val="left" w:pos="0"/>
        </w:tabs>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致：</w:t>
      </w:r>
      <w:r>
        <w:rPr>
          <w:rFonts w:hint="eastAsia" w:ascii="仿宋" w:hAnsi="仿宋" w:eastAsia="仿宋" w:cs="仿宋"/>
          <w:i/>
          <w:color w:val="auto"/>
          <w:spacing w:val="6"/>
          <w:kern w:val="2"/>
          <w:sz w:val="24"/>
          <w:szCs w:val="24"/>
          <w:highlight w:val="none"/>
          <w:u w:val="single"/>
        </w:rPr>
        <w:t>（采购人名称）</w:t>
      </w:r>
      <w:r>
        <w:rPr>
          <w:rFonts w:hint="eastAsia" w:ascii="仿宋" w:hAnsi="仿宋" w:eastAsia="仿宋" w:cs="仿宋"/>
          <w:color w:val="auto"/>
          <w:sz w:val="24"/>
          <w:highlight w:val="none"/>
        </w:rPr>
        <w:t>：</w:t>
      </w:r>
    </w:p>
    <w:p>
      <w:pPr>
        <w:pStyle w:val="971"/>
        <w:tabs>
          <w:tab w:val="left" w:pos="0"/>
        </w:tabs>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根据贵方</w:t>
      </w:r>
      <w:r>
        <w:rPr>
          <w:rFonts w:hint="eastAsia" w:ascii="仿宋" w:hAnsi="仿宋" w:eastAsia="仿宋" w:cs="仿宋"/>
          <w:i/>
          <w:color w:val="auto"/>
          <w:spacing w:val="6"/>
          <w:kern w:val="2"/>
          <w:sz w:val="24"/>
          <w:szCs w:val="24"/>
          <w:highlight w:val="none"/>
          <w:u w:val="single"/>
        </w:rPr>
        <w:t>（项目名称）（项目编号）（标项）</w:t>
      </w:r>
      <w:r>
        <w:rPr>
          <w:rFonts w:hint="eastAsia" w:ascii="仿宋" w:hAnsi="仿宋" w:eastAsia="仿宋" w:cs="仿宋"/>
          <w:color w:val="auto"/>
          <w:sz w:val="24"/>
          <w:szCs w:val="21"/>
          <w:highlight w:val="none"/>
          <w:u w:val="single"/>
        </w:rPr>
        <w:t xml:space="preserve"> </w:t>
      </w:r>
      <w:r>
        <w:rPr>
          <w:rFonts w:hint="eastAsia" w:ascii="仿宋" w:hAnsi="仿宋" w:eastAsia="仿宋" w:cs="仿宋"/>
          <w:color w:val="auto"/>
          <w:sz w:val="24"/>
          <w:szCs w:val="21"/>
          <w:highlight w:val="none"/>
        </w:rPr>
        <w:t>的磋商文件要求，正式授权下述签字人</w:t>
      </w:r>
      <w:r>
        <w:rPr>
          <w:rFonts w:hint="eastAsia" w:ascii="仿宋" w:hAnsi="仿宋" w:eastAsia="仿宋" w:cs="仿宋"/>
          <w:i/>
          <w:color w:val="auto"/>
          <w:spacing w:val="6"/>
          <w:kern w:val="2"/>
          <w:sz w:val="24"/>
          <w:szCs w:val="24"/>
          <w:highlight w:val="none"/>
          <w:u w:val="single"/>
        </w:rPr>
        <w:t>（姓名和职务）</w:t>
      </w:r>
      <w:r>
        <w:rPr>
          <w:rFonts w:hint="eastAsia" w:ascii="仿宋" w:hAnsi="仿宋" w:eastAsia="仿宋" w:cs="仿宋"/>
          <w:color w:val="auto"/>
          <w:sz w:val="24"/>
          <w:szCs w:val="21"/>
          <w:highlight w:val="none"/>
        </w:rPr>
        <w:t>全权代表供应商</w:t>
      </w:r>
      <w:r>
        <w:rPr>
          <w:rFonts w:hint="eastAsia" w:ascii="仿宋" w:hAnsi="仿宋" w:eastAsia="仿宋" w:cs="仿宋"/>
          <w:i/>
          <w:color w:val="auto"/>
          <w:spacing w:val="6"/>
          <w:kern w:val="2"/>
          <w:sz w:val="24"/>
          <w:szCs w:val="24"/>
          <w:highlight w:val="none"/>
          <w:u w:val="single"/>
        </w:rPr>
        <w:t>（供应商全称）</w:t>
      </w:r>
      <w:r>
        <w:rPr>
          <w:rFonts w:hint="eastAsia" w:ascii="仿宋" w:hAnsi="仿宋" w:eastAsia="仿宋" w:cs="仿宋"/>
          <w:color w:val="auto"/>
          <w:sz w:val="24"/>
          <w:szCs w:val="21"/>
          <w:highlight w:val="none"/>
        </w:rPr>
        <w:t>参加贵方组织的有关采购活动，并提交下述文件：</w:t>
      </w:r>
    </w:p>
    <w:p>
      <w:pPr>
        <w:pStyle w:val="971"/>
        <w:tabs>
          <w:tab w:val="left" w:pos="0"/>
        </w:tabs>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政府采购云系统提交电子加密投标文件</w:t>
      </w:r>
      <w:r>
        <w:rPr>
          <w:rFonts w:hint="eastAsia" w:ascii="仿宋" w:hAnsi="仿宋" w:eastAsia="仿宋" w:cs="仿宋"/>
          <w:color w:val="auto"/>
          <w:sz w:val="24"/>
          <w:szCs w:val="21"/>
          <w:highlight w:val="none"/>
          <w:u w:val="single"/>
        </w:rPr>
        <w:t xml:space="preserve">   </w:t>
      </w:r>
      <w:r>
        <w:rPr>
          <w:rFonts w:hint="eastAsia" w:ascii="仿宋" w:hAnsi="仿宋" w:eastAsia="仿宋" w:cs="仿宋"/>
          <w:color w:val="auto"/>
          <w:sz w:val="24"/>
          <w:szCs w:val="21"/>
          <w:highlight w:val="none"/>
        </w:rPr>
        <w:t>份；</w:t>
      </w:r>
    </w:p>
    <w:p>
      <w:pPr>
        <w:pStyle w:val="971"/>
        <w:tabs>
          <w:tab w:val="left" w:pos="0"/>
        </w:tabs>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4"/>
          <w:highlight w:val="none"/>
        </w:rPr>
        <w:t>通过电子邮件提交备份电子投标文件（打包压缩加密）</w:t>
      </w:r>
      <w:r>
        <w:rPr>
          <w:rFonts w:hint="eastAsia" w:ascii="仿宋" w:hAnsi="仿宋" w:eastAsia="仿宋" w:cs="仿宋"/>
          <w:color w:val="auto"/>
          <w:sz w:val="24"/>
          <w:szCs w:val="21"/>
          <w:highlight w:val="none"/>
          <w:u w:val="single"/>
        </w:rPr>
        <w:t xml:space="preserve">   </w:t>
      </w:r>
      <w:r>
        <w:rPr>
          <w:rFonts w:hint="eastAsia" w:ascii="仿宋" w:hAnsi="仿宋" w:eastAsia="仿宋" w:cs="仿宋"/>
          <w:color w:val="auto"/>
          <w:sz w:val="24"/>
          <w:szCs w:val="21"/>
          <w:highlight w:val="none"/>
        </w:rPr>
        <w:t>份；</w:t>
      </w:r>
    </w:p>
    <w:p>
      <w:pPr>
        <w:pStyle w:val="971"/>
        <w:tabs>
          <w:tab w:val="left" w:pos="0"/>
        </w:tabs>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据此函我方就本次响应有关事项郑重承诺如下：</w:t>
      </w:r>
    </w:p>
    <w:p>
      <w:pPr>
        <w:pStyle w:val="971"/>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1、我方向贵方提交的所有磋商响应文件、资料都是准确的和真实的。</w:t>
      </w:r>
    </w:p>
    <w:p>
      <w:pPr>
        <w:pStyle w:val="971"/>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2、我方承诺已经具备《中华人民共和国政府采购法》、《中华人民共和国政府采购法实施条例》中规定的参加政府采购活动的供应商应当具备的条件，并真实提供相关材料。</w:t>
      </w:r>
    </w:p>
    <w:p>
      <w:pPr>
        <w:pStyle w:val="971"/>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3、如果我方成交，将派出</w:t>
      </w:r>
      <w:r>
        <w:rPr>
          <w:rFonts w:hint="eastAsia" w:ascii="仿宋" w:hAnsi="仿宋" w:eastAsia="仿宋" w:cs="仿宋"/>
          <w:i/>
          <w:color w:val="auto"/>
          <w:spacing w:val="6"/>
          <w:kern w:val="2"/>
          <w:sz w:val="24"/>
          <w:szCs w:val="24"/>
          <w:highlight w:val="none"/>
          <w:u w:val="single"/>
        </w:rPr>
        <w:t>（姓名及身份证号码）</w:t>
      </w:r>
      <w:r>
        <w:rPr>
          <w:rFonts w:hint="eastAsia" w:ascii="仿宋" w:hAnsi="仿宋" w:eastAsia="仿宋" w:cs="仿宋"/>
          <w:color w:val="auto"/>
          <w:sz w:val="24"/>
          <w:szCs w:val="21"/>
          <w:highlight w:val="none"/>
          <w:u w:val="single"/>
        </w:rPr>
        <w:t>，</w:t>
      </w:r>
      <w:r>
        <w:rPr>
          <w:rFonts w:hint="eastAsia" w:ascii="仿宋" w:hAnsi="仿宋" w:eastAsia="仿宋" w:cs="仿宋"/>
          <w:color w:val="auto"/>
          <w:sz w:val="24"/>
          <w:szCs w:val="21"/>
          <w:highlight w:val="none"/>
        </w:rPr>
        <w:t>作为本项目与采购单位联系的项目实施负责人，联系手机号码：</w:t>
      </w:r>
      <w:r>
        <w:rPr>
          <w:rFonts w:hint="eastAsia" w:ascii="仿宋" w:hAnsi="仿宋" w:eastAsia="仿宋" w:cs="仿宋"/>
          <w:color w:val="auto"/>
          <w:sz w:val="24"/>
          <w:szCs w:val="21"/>
          <w:highlight w:val="none"/>
          <w:u w:val="single"/>
        </w:rPr>
        <w:t xml:space="preserve">            </w:t>
      </w:r>
      <w:r>
        <w:rPr>
          <w:rFonts w:hint="eastAsia" w:ascii="仿宋" w:hAnsi="仿宋" w:eastAsia="仿宋" w:cs="仿宋"/>
          <w:color w:val="auto"/>
          <w:sz w:val="24"/>
          <w:szCs w:val="21"/>
          <w:highlight w:val="none"/>
        </w:rPr>
        <w:t>。在项目实施过程中，并承诺项目实施负责人不更换，若确需要更换的，书面征得采购人同意后才准予更换。</w:t>
      </w:r>
    </w:p>
    <w:p>
      <w:pPr>
        <w:pStyle w:val="971"/>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4、我方的磋商有效期自在开标日起</w:t>
      </w:r>
      <w:r>
        <w:rPr>
          <w:rFonts w:hint="eastAsia" w:ascii="仿宋" w:hAnsi="仿宋" w:eastAsia="仿宋" w:cs="仿宋"/>
          <w:color w:val="auto"/>
          <w:sz w:val="24"/>
          <w:szCs w:val="21"/>
          <w:highlight w:val="none"/>
          <w:u w:val="single"/>
        </w:rPr>
        <w:t xml:space="preserve">     </w:t>
      </w:r>
      <w:r>
        <w:rPr>
          <w:rFonts w:hint="eastAsia" w:ascii="仿宋" w:hAnsi="仿宋" w:eastAsia="仿宋" w:cs="仿宋"/>
          <w:color w:val="auto"/>
          <w:sz w:val="24"/>
          <w:szCs w:val="21"/>
          <w:highlight w:val="none"/>
        </w:rPr>
        <w:t>天内有效。如果在开标后规定的磋商有效期内撤回响应，贵方可按相关规定处理我方。</w:t>
      </w:r>
    </w:p>
    <w:p>
      <w:pPr>
        <w:pStyle w:val="971"/>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5、我方在响应之前已经与贵方进行了充分的沟通，完全理解并接受磋商文件的各项规定和要求，对磋商文件的合理性、合法性不再有异议。</w:t>
      </w:r>
    </w:p>
    <w:p>
      <w:pPr>
        <w:pStyle w:val="971"/>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我方愿意向贵方提供真实完整的任何与该项响应有关的数据、情况和技术资料。若贵方需要，我方愿意提供我方作出的一切承诺的证明材料。</w:t>
      </w:r>
    </w:p>
    <w:p>
      <w:pPr>
        <w:pStyle w:val="971"/>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6、我方已详细审核全部磋商文件，包括磋商文件的澄清或修改文件（如有的话）、参考资料及有关附件，已经了解我方对于磋商文件、采购过程、采购结果有依法进行询问、质疑、投诉的权利及相关渠道和要求。</w:t>
      </w:r>
    </w:p>
    <w:p>
      <w:pPr>
        <w:pStyle w:val="971"/>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7、我方不是采购人的附属机构，并未为本项目提供整体设计、规范编制或者项目管理、监理、监测等服务。</w:t>
      </w:r>
    </w:p>
    <w:p>
      <w:pPr>
        <w:pStyle w:val="971"/>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8、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pStyle w:val="971"/>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（一）提供虚假材料谋取中标、成交的；</w:t>
      </w:r>
    </w:p>
    <w:p>
      <w:pPr>
        <w:pStyle w:val="971"/>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（二）采取不正当手段诋毁、排挤其他供应商的；</w:t>
      </w:r>
    </w:p>
    <w:p>
      <w:pPr>
        <w:pStyle w:val="971"/>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（三）与采购人、其它供应商或者采购代理机构恶意串通的；</w:t>
      </w:r>
    </w:p>
    <w:p>
      <w:pPr>
        <w:pStyle w:val="971"/>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（四）向采购人、采购代理机构行贿或者提供其他不正当利益的；</w:t>
      </w:r>
    </w:p>
    <w:p>
      <w:pPr>
        <w:pStyle w:val="971"/>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（五）在采购采购过程中与采购人进行协商谈判的；</w:t>
      </w:r>
    </w:p>
    <w:p>
      <w:pPr>
        <w:pStyle w:val="971"/>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（六）拒绝有关部门监督检查或提供虚假情况的。</w:t>
      </w:r>
    </w:p>
    <w:p>
      <w:pPr>
        <w:pStyle w:val="971"/>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9、如成交，本磋商响应文件至本项目合同履行完毕止均保持有效，我方将按磋商文件及政府采购法律、法规的规定履行合同责任和义务。</w:t>
      </w:r>
    </w:p>
    <w:p>
      <w:pPr>
        <w:pStyle w:val="971"/>
        <w:spacing w:line="360" w:lineRule="auto"/>
        <w:ind w:firstLine="480" w:firstLineChars="20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10、以上事项如有虚假或隐瞒，我方愿意承担一切不利后果，并不再寻求任何旨在减轻或免除法律责任。</w:t>
      </w:r>
    </w:p>
    <w:p>
      <w:pPr>
        <w:pStyle w:val="971"/>
        <w:spacing w:line="360" w:lineRule="auto"/>
        <w:ind w:firstLine="48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与本次响应有关的一切正式往来信函请寄：</w:t>
      </w:r>
    </w:p>
    <w:p>
      <w:pPr>
        <w:pStyle w:val="971"/>
        <w:spacing w:line="360" w:lineRule="auto"/>
        <w:ind w:firstLine="480"/>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地址：</w:t>
      </w:r>
      <w:r>
        <w:rPr>
          <w:rFonts w:hint="eastAsia" w:ascii="仿宋" w:hAnsi="仿宋" w:eastAsia="仿宋" w:cs="仿宋"/>
          <w:color w:val="auto"/>
          <w:spacing w:val="20"/>
          <w:sz w:val="24"/>
          <w:highlight w:val="none"/>
          <w:u w:val="single"/>
        </w:rPr>
        <w:t xml:space="preserve">             </w:t>
      </w:r>
      <w:r>
        <w:rPr>
          <w:rFonts w:hint="eastAsia" w:ascii="仿宋" w:hAnsi="仿宋" w:eastAsia="仿宋" w:cs="仿宋"/>
          <w:color w:val="auto"/>
          <w:sz w:val="24"/>
          <w:szCs w:val="21"/>
          <w:highlight w:val="none"/>
        </w:rPr>
        <w:t xml:space="preserve">     邮编：</w:t>
      </w:r>
      <w:r>
        <w:rPr>
          <w:rFonts w:hint="eastAsia" w:ascii="仿宋" w:hAnsi="仿宋" w:eastAsia="仿宋" w:cs="仿宋"/>
          <w:color w:val="auto"/>
          <w:spacing w:val="20"/>
          <w:sz w:val="24"/>
          <w:highlight w:val="none"/>
          <w:u w:val="single"/>
        </w:rPr>
        <w:t xml:space="preserve">           </w:t>
      </w:r>
      <w:r>
        <w:rPr>
          <w:rFonts w:hint="eastAsia" w:ascii="仿宋" w:hAnsi="仿宋" w:eastAsia="仿宋" w:cs="仿宋"/>
          <w:color w:val="auto"/>
          <w:sz w:val="24"/>
          <w:szCs w:val="21"/>
          <w:highlight w:val="none"/>
        </w:rPr>
        <w:t>　</w:t>
      </w:r>
    </w:p>
    <w:p>
      <w:pPr>
        <w:pStyle w:val="34"/>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电话：</w:t>
      </w:r>
      <w:r>
        <w:rPr>
          <w:rFonts w:hint="eastAsia" w:ascii="仿宋" w:hAnsi="仿宋" w:eastAsia="仿宋" w:cs="仿宋"/>
          <w:color w:val="auto"/>
          <w:spacing w:val="20"/>
          <w:sz w:val="24"/>
          <w:highlight w:val="none"/>
          <w:u w:val="single"/>
        </w:rPr>
        <w:t xml:space="preserve">             </w:t>
      </w:r>
      <w:r>
        <w:rPr>
          <w:rFonts w:hint="eastAsia" w:ascii="仿宋" w:hAnsi="仿宋" w:eastAsia="仿宋" w:cs="仿宋"/>
          <w:color w:val="auto"/>
          <w:sz w:val="24"/>
          <w:highlight w:val="none"/>
        </w:rPr>
        <w:t xml:space="preserve">     传真：</w:t>
      </w:r>
      <w:r>
        <w:rPr>
          <w:rFonts w:hint="eastAsia" w:ascii="仿宋" w:hAnsi="仿宋" w:eastAsia="仿宋" w:cs="仿宋"/>
          <w:color w:val="auto"/>
          <w:spacing w:val="20"/>
          <w:sz w:val="24"/>
          <w:highlight w:val="none"/>
          <w:u w:val="single"/>
        </w:rPr>
        <w:t xml:space="preserve">           </w:t>
      </w:r>
    </w:p>
    <w:p>
      <w:pPr>
        <w:pStyle w:val="973"/>
        <w:spacing w:line="360" w:lineRule="auto"/>
        <w:rPr>
          <w:rFonts w:ascii="仿宋" w:hAnsi="仿宋" w:eastAsia="仿宋" w:cs="仿宋"/>
          <w:bCs/>
          <w:color w:val="auto"/>
          <w:sz w:val="24"/>
          <w:highlight w:val="none"/>
        </w:rPr>
      </w:pPr>
    </w:p>
    <w:p>
      <w:pPr>
        <w:pStyle w:val="974"/>
        <w:spacing w:line="360" w:lineRule="auto"/>
        <w:rPr>
          <w:rFonts w:ascii="仿宋" w:hAnsi="仿宋" w:eastAsia="仿宋" w:cs="仿宋"/>
          <w:color w:val="auto"/>
          <w:sz w:val="24"/>
          <w:szCs w:val="21"/>
          <w:highlight w:val="none"/>
        </w:rPr>
      </w:pPr>
    </w:p>
    <w:p>
      <w:pPr>
        <w:pStyle w:val="157"/>
        <w:wordWrap w:val="0"/>
        <w:spacing w:line="360" w:lineRule="auto"/>
        <w:ind w:firstLine="480"/>
        <w:jc w:val="right"/>
        <w:rPr>
          <w:rFonts w:ascii="仿宋" w:hAnsi="仿宋" w:eastAsia="仿宋" w:cs="仿宋"/>
          <w:color w:val="auto"/>
          <w:spacing w:val="20"/>
          <w:sz w:val="24"/>
          <w:szCs w:val="21"/>
          <w:highlight w:val="none"/>
          <w:u w:val="single"/>
        </w:rPr>
      </w:pP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供应商盖章：</w:t>
      </w:r>
      <w:r>
        <w:rPr>
          <w:rFonts w:hint="eastAsia" w:ascii="仿宋" w:hAnsi="仿宋" w:eastAsia="仿宋" w:cs="仿宋"/>
          <w:color w:val="auto"/>
          <w:sz w:val="24"/>
          <w:szCs w:val="21"/>
          <w:highlight w:val="none"/>
          <w:u w:val="single"/>
        </w:rPr>
        <w:t xml:space="preserve">               </w:t>
      </w: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pPr>
        <w:pStyle w:val="157"/>
        <w:spacing w:line="360" w:lineRule="auto"/>
        <w:jc w:val="left"/>
        <w:rPr>
          <w:rFonts w:ascii="仿宋" w:hAnsi="仿宋" w:eastAsia="仿宋" w:cs="仿宋"/>
          <w:color w:val="auto"/>
          <w:spacing w:val="20"/>
          <w:sz w:val="24"/>
          <w:szCs w:val="21"/>
          <w:highlight w:val="none"/>
          <w:u w:val="single"/>
        </w:rPr>
      </w:pPr>
    </w:p>
    <w:p>
      <w:pPr>
        <w:pStyle w:val="971"/>
        <w:spacing w:line="360" w:lineRule="auto"/>
        <w:rPr>
          <w:rFonts w:ascii="仿宋" w:hAnsi="仿宋" w:eastAsia="仿宋" w:cs="仿宋"/>
          <w:color w:val="auto"/>
          <w:sz w:val="24"/>
          <w:szCs w:val="21"/>
          <w:highlight w:val="none"/>
        </w:rPr>
      </w:pPr>
    </w:p>
    <w:p>
      <w:pPr>
        <w:pStyle w:val="971"/>
        <w:spacing w:line="360" w:lineRule="auto"/>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注：按照本声明书要求填报。</w:t>
      </w:r>
    </w:p>
    <w:p>
      <w:pPr>
        <w:pStyle w:val="971"/>
        <w:spacing w:line="360" w:lineRule="auto"/>
        <w:rPr>
          <w:rFonts w:ascii="仿宋" w:hAnsi="仿宋" w:eastAsia="仿宋" w:cs="仿宋"/>
          <w:color w:val="auto"/>
          <w:sz w:val="24"/>
          <w:szCs w:val="21"/>
          <w:highlight w:val="none"/>
        </w:rPr>
        <w:sectPr>
          <w:pgSz w:w="11905" w:h="16838"/>
          <w:pgMar w:top="1440" w:right="1803" w:bottom="1440" w:left="1803" w:header="851" w:footer="992" w:gutter="0"/>
          <w:cols w:space="0" w:num="1"/>
          <w:rtlGutter w:val="0"/>
          <w:docGrid w:linePitch="312" w:charSpace="0"/>
        </w:sectPr>
      </w:pPr>
    </w:p>
    <w:p>
      <w:pPr>
        <w:pStyle w:val="157"/>
        <w:spacing w:line="360" w:lineRule="auto"/>
        <w:jc w:val="left"/>
        <w:rPr>
          <w:rFonts w:ascii="仿宋" w:hAnsi="仿宋" w:eastAsia="仿宋" w:cs="仿宋"/>
          <w:color w:val="auto"/>
          <w:sz w:val="24"/>
          <w:szCs w:val="21"/>
          <w:highlight w:val="none"/>
          <w:u w:val="single"/>
        </w:rPr>
      </w:pPr>
    </w:p>
    <w:p>
      <w:pPr>
        <w:pStyle w:val="4"/>
        <w:adjustRightInd/>
        <w:spacing w:before="0" w:after="0" w:line="360" w:lineRule="auto"/>
        <w:ind w:left="0" w:firstLine="0"/>
        <w:jc w:val="center"/>
        <w:rPr>
          <w:rFonts w:ascii="仿宋" w:hAnsi="仿宋" w:eastAsia="仿宋" w:cs="仿宋"/>
          <w:color w:val="auto"/>
          <w:highlight w:val="none"/>
        </w:rPr>
      </w:pPr>
      <w:bookmarkStart w:id="469" w:name="_Toc96338171"/>
      <w:bookmarkStart w:id="470" w:name="_Toc531359060"/>
      <w:bookmarkStart w:id="471" w:name="_Toc27565"/>
      <w:bookmarkStart w:id="472" w:name="_Toc139797671"/>
      <w:bookmarkStart w:id="473" w:name="_Toc641"/>
      <w:bookmarkStart w:id="474" w:name="_Toc530551887"/>
      <w:bookmarkStart w:id="475" w:name="_Toc493956063"/>
      <w:r>
        <w:rPr>
          <w:rFonts w:hint="eastAsia" w:ascii="仿宋" w:hAnsi="仿宋" w:eastAsia="仿宋" w:cs="仿宋"/>
          <w:color w:val="auto"/>
          <w:highlight w:val="none"/>
        </w:rPr>
        <w:t>2.4    成功案例及业绩</w:t>
      </w:r>
      <w:bookmarkEnd w:id="469"/>
      <w:bookmarkEnd w:id="470"/>
      <w:r>
        <w:rPr>
          <w:rFonts w:hint="eastAsia" w:ascii="仿宋" w:hAnsi="仿宋" w:eastAsia="仿宋" w:cs="仿宋"/>
          <w:color w:val="auto"/>
          <w:highlight w:val="none"/>
        </w:rPr>
        <w:t>（若有）</w:t>
      </w:r>
      <w:bookmarkEnd w:id="471"/>
      <w:bookmarkEnd w:id="472"/>
      <w:bookmarkEnd w:id="473"/>
    </w:p>
    <w:p>
      <w:pPr>
        <w:pStyle w:val="50"/>
        <w:snapToGrid w:val="0"/>
        <w:ind w:left="480" w:hanging="480"/>
        <w:jc w:val="center"/>
        <w:rPr>
          <w:rFonts w:ascii="仿宋" w:hAnsi="仿宋" w:eastAsia="仿宋" w:cs="仿宋"/>
          <w:color w:val="auto"/>
          <w:sz w:val="24"/>
          <w:highlight w:val="none"/>
        </w:rPr>
      </w:pPr>
      <w:r>
        <w:rPr>
          <w:rFonts w:hint="eastAsia" w:ascii="仿宋" w:hAnsi="仿宋" w:eastAsia="仿宋" w:cs="仿宋"/>
          <w:color w:val="auto"/>
          <w:sz w:val="24"/>
          <w:highlight w:val="none"/>
        </w:rPr>
        <w:t>供应商类似项目实施情况一览表</w:t>
      </w:r>
    </w:p>
    <w:tbl>
      <w:tblPr>
        <w:tblStyle w:val="62"/>
        <w:tblW w:w="909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0"/>
        <w:gridCol w:w="842"/>
        <w:gridCol w:w="1267"/>
        <w:gridCol w:w="698"/>
        <w:gridCol w:w="1127"/>
        <w:gridCol w:w="844"/>
        <w:gridCol w:w="700"/>
        <w:gridCol w:w="865"/>
        <w:gridCol w:w="747"/>
        <w:gridCol w:w="130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0" w:type="dxa"/>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42" w:type="dxa"/>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highlight w:val="none"/>
              </w:rPr>
            </w:pPr>
            <w:r>
              <w:rPr>
                <w:rFonts w:hint="eastAsia" w:ascii="仿宋" w:hAnsi="仿宋" w:eastAsia="仿宋" w:cs="仿宋"/>
                <w:color w:val="auto"/>
                <w:sz w:val="24"/>
                <w:highlight w:val="none"/>
              </w:rPr>
              <w:t>采购人名称</w:t>
            </w:r>
          </w:p>
        </w:tc>
        <w:tc>
          <w:tcPr>
            <w:tcW w:w="1267" w:type="dxa"/>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highlight w:val="none"/>
              </w:rPr>
            </w:pPr>
            <w:r>
              <w:rPr>
                <w:rFonts w:hint="eastAsia" w:ascii="仿宋" w:hAnsi="仿宋" w:eastAsia="仿宋" w:cs="仿宋"/>
                <w:color w:val="auto"/>
                <w:sz w:val="24"/>
                <w:highlight w:val="none"/>
              </w:rPr>
              <w:t>产品或项目名称</w:t>
            </w:r>
          </w:p>
        </w:tc>
        <w:tc>
          <w:tcPr>
            <w:tcW w:w="698" w:type="dxa"/>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highlight w:val="none"/>
              </w:rPr>
            </w:pPr>
            <w:r>
              <w:rPr>
                <w:rFonts w:hint="eastAsia" w:ascii="仿宋" w:hAnsi="仿宋" w:eastAsia="仿宋" w:cs="仿宋"/>
                <w:color w:val="auto"/>
                <w:sz w:val="24"/>
                <w:highlight w:val="none"/>
              </w:rPr>
              <w:t>采购数量</w:t>
            </w:r>
          </w:p>
        </w:tc>
        <w:tc>
          <w:tcPr>
            <w:tcW w:w="1127" w:type="dxa"/>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highlight w:val="none"/>
              </w:rPr>
            </w:pPr>
            <w:r>
              <w:rPr>
                <w:rFonts w:hint="eastAsia" w:ascii="仿宋" w:hAnsi="仿宋" w:eastAsia="仿宋" w:cs="仿宋"/>
                <w:color w:val="auto"/>
                <w:sz w:val="24"/>
                <w:highlight w:val="none"/>
              </w:rPr>
              <w:t>合同金额</w:t>
            </w:r>
          </w:p>
          <w:p>
            <w:pPr>
              <w:snapToGrid w:val="0"/>
              <w:ind w:left="-78" w:leftChars="-37" w:right="-44" w:rightChars="-21"/>
              <w:jc w:val="center"/>
              <w:rPr>
                <w:rFonts w:ascii="仿宋" w:hAnsi="仿宋" w:eastAsia="仿宋" w:cs="仿宋"/>
                <w:color w:val="auto"/>
                <w:sz w:val="24"/>
                <w:highlight w:val="none"/>
              </w:rPr>
            </w:pPr>
            <w:r>
              <w:rPr>
                <w:rFonts w:hint="eastAsia" w:ascii="仿宋" w:hAnsi="仿宋" w:eastAsia="仿宋" w:cs="仿宋"/>
                <w:color w:val="auto"/>
                <w:sz w:val="24"/>
                <w:highlight w:val="none"/>
              </w:rPr>
              <w:t>（万元）</w:t>
            </w:r>
          </w:p>
        </w:tc>
        <w:tc>
          <w:tcPr>
            <w:tcW w:w="844" w:type="dxa"/>
            <w:vMerge w:val="restart"/>
            <w:tcBorders>
              <w:top w:val="single" w:color="auto" w:sz="4" w:space="0"/>
              <w:left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highlight w:val="none"/>
              </w:rPr>
            </w:pPr>
            <w:r>
              <w:rPr>
                <w:rFonts w:hint="eastAsia" w:ascii="仿宋" w:hAnsi="仿宋" w:eastAsia="仿宋" w:cs="仿宋"/>
                <w:color w:val="auto"/>
                <w:sz w:val="24"/>
                <w:highlight w:val="none"/>
              </w:rPr>
              <w:t>签约及完成日期</w:t>
            </w:r>
          </w:p>
        </w:tc>
        <w:tc>
          <w:tcPr>
            <w:tcW w:w="2312" w:type="dxa"/>
            <w:gridSpan w:val="3"/>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highlight w:val="none"/>
              </w:rPr>
            </w:pPr>
            <w:r>
              <w:rPr>
                <w:rFonts w:hint="eastAsia" w:ascii="仿宋" w:hAnsi="仿宋" w:eastAsia="仿宋" w:cs="仿宋"/>
                <w:color w:val="auto"/>
                <w:sz w:val="24"/>
                <w:highlight w:val="none"/>
              </w:rPr>
              <w:t>附件页码</w:t>
            </w:r>
          </w:p>
        </w:tc>
        <w:tc>
          <w:tcPr>
            <w:tcW w:w="1301" w:type="dxa"/>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highlight w:val="none"/>
              </w:rPr>
            </w:pPr>
            <w:r>
              <w:rPr>
                <w:rFonts w:hint="eastAsia" w:ascii="仿宋" w:hAnsi="仿宋" w:eastAsia="仿宋" w:cs="仿宋"/>
                <w:color w:val="auto"/>
                <w:sz w:val="24"/>
                <w:highlight w:val="none"/>
              </w:rPr>
              <w:t>采购人联系人及联系电话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color w:val="auto"/>
                <w:sz w:val="24"/>
                <w:highlight w:val="none"/>
              </w:rPr>
            </w:pPr>
          </w:p>
        </w:tc>
        <w:tc>
          <w:tcPr>
            <w:tcW w:w="84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color w:val="auto"/>
                <w:sz w:val="24"/>
                <w:highlight w:val="none"/>
              </w:rPr>
            </w:pPr>
          </w:p>
        </w:tc>
        <w:tc>
          <w:tcPr>
            <w:tcW w:w="126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color w:val="auto"/>
                <w:sz w:val="24"/>
                <w:highlight w:val="none"/>
              </w:rPr>
            </w:pPr>
          </w:p>
        </w:tc>
        <w:tc>
          <w:tcPr>
            <w:tcW w:w="69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color w:val="auto"/>
                <w:sz w:val="24"/>
                <w:highlight w:val="none"/>
              </w:rPr>
            </w:pPr>
          </w:p>
        </w:tc>
        <w:tc>
          <w:tcPr>
            <w:tcW w:w="112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color w:val="auto"/>
                <w:sz w:val="24"/>
                <w:highlight w:val="none"/>
              </w:rPr>
            </w:pPr>
          </w:p>
        </w:tc>
        <w:tc>
          <w:tcPr>
            <w:tcW w:w="844" w:type="dxa"/>
            <w:vMerge w:val="continue"/>
            <w:tcBorders>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highlight w:val="none"/>
              </w:rPr>
            </w:pPr>
          </w:p>
        </w:tc>
        <w:tc>
          <w:tcPr>
            <w:tcW w:w="700"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合同</w:t>
            </w:r>
          </w:p>
        </w:tc>
        <w:tc>
          <w:tcPr>
            <w:tcW w:w="865"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验收报告</w:t>
            </w:r>
          </w:p>
        </w:tc>
        <w:tc>
          <w:tcPr>
            <w:tcW w:w="747"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用户评价</w:t>
            </w:r>
          </w:p>
        </w:tc>
        <w:tc>
          <w:tcPr>
            <w:tcW w:w="130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highlight w:val="none"/>
              </w:rPr>
            </w:pPr>
          </w:p>
        </w:tc>
        <w:tc>
          <w:tcPr>
            <w:tcW w:w="842"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highlight w:val="none"/>
              </w:rPr>
            </w:pPr>
          </w:p>
        </w:tc>
        <w:tc>
          <w:tcPr>
            <w:tcW w:w="1267"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highlight w:val="none"/>
              </w:rPr>
            </w:pPr>
          </w:p>
        </w:tc>
        <w:tc>
          <w:tcPr>
            <w:tcW w:w="69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highlight w:val="none"/>
              </w:rPr>
            </w:pPr>
          </w:p>
        </w:tc>
        <w:tc>
          <w:tcPr>
            <w:tcW w:w="1127"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highlight w:val="none"/>
              </w:rPr>
            </w:pPr>
          </w:p>
        </w:tc>
        <w:tc>
          <w:tcPr>
            <w:tcW w:w="844"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highlight w:val="none"/>
              </w:rPr>
            </w:pPr>
          </w:p>
        </w:tc>
        <w:tc>
          <w:tcPr>
            <w:tcW w:w="700"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highlight w:val="none"/>
              </w:rPr>
            </w:pPr>
          </w:p>
        </w:tc>
        <w:tc>
          <w:tcPr>
            <w:tcW w:w="865"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highlight w:val="none"/>
              </w:rPr>
            </w:pPr>
          </w:p>
        </w:tc>
        <w:tc>
          <w:tcPr>
            <w:tcW w:w="747"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highlight w:val="none"/>
              </w:rPr>
            </w:pPr>
          </w:p>
        </w:tc>
        <w:tc>
          <w:tcPr>
            <w:tcW w:w="1301"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highlight w:val="none"/>
              </w:rPr>
            </w:pPr>
            <w:r>
              <w:rPr>
                <w:rFonts w:hint="eastAsia" w:ascii="仿宋" w:hAnsi="仿宋" w:eastAsia="仿宋" w:cs="仿宋"/>
                <w:color w:val="auto"/>
                <w:sz w:val="24"/>
                <w:highlight w:val="none"/>
              </w:rPr>
              <w:t>……</w:t>
            </w:r>
          </w:p>
        </w:tc>
        <w:tc>
          <w:tcPr>
            <w:tcW w:w="842"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highlight w:val="none"/>
              </w:rPr>
            </w:pPr>
          </w:p>
        </w:tc>
        <w:tc>
          <w:tcPr>
            <w:tcW w:w="1267"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highlight w:val="none"/>
              </w:rPr>
            </w:pPr>
          </w:p>
        </w:tc>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highlight w:val="none"/>
              </w:rPr>
            </w:pPr>
          </w:p>
        </w:tc>
        <w:tc>
          <w:tcPr>
            <w:tcW w:w="1127"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highlight w:val="none"/>
              </w:rPr>
            </w:pPr>
          </w:p>
        </w:tc>
        <w:tc>
          <w:tcPr>
            <w:tcW w:w="844"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highlight w:val="none"/>
              </w:rPr>
            </w:pPr>
          </w:p>
        </w:tc>
        <w:tc>
          <w:tcPr>
            <w:tcW w:w="700"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highlight w:val="none"/>
              </w:rPr>
            </w:pPr>
          </w:p>
        </w:tc>
        <w:tc>
          <w:tcPr>
            <w:tcW w:w="865"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highlight w:val="none"/>
              </w:rPr>
            </w:pPr>
          </w:p>
        </w:tc>
        <w:tc>
          <w:tcPr>
            <w:tcW w:w="747"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highlight w:val="none"/>
              </w:rPr>
            </w:pPr>
          </w:p>
        </w:tc>
        <w:tc>
          <w:tcPr>
            <w:tcW w:w="1301"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highlight w:val="none"/>
              </w:rPr>
            </w:pPr>
          </w:p>
        </w:tc>
      </w:tr>
    </w:tbl>
    <w:p>
      <w:pPr>
        <w:pStyle w:val="50"/>
        <w:snapToGrid w:val="0"/>
        <w:ind w:left="480" w:hanging="480"/>
        <w:jc w:val="left"/>
        <w:rPr>
          <w:rFonts w:ascii="仿宋" w:hAnsi="仿宋" w:eastAsia="仿宋" w:cs="仿宋"/>
          <w:color w:val="auto"/>
          <w:sz w:val="24"/>
          <w:highlight w:val="none"/>
        </w:rPr>
      </w:pPr>
      <w:r>
        <w:rPr>
          <w:rFonts w:hint="eastAsia" w:ascii="仿宋" w:hAnsi="仿宋" w:eastAsia="仿宋" w:cs="仿宋"/>
          <w:color w:val="auto"/>
          <w:sz w:val="24"/>
          <w:highlight w:val="none"/>
        </w:rPr>
        <w:t>此表后附合同电子文档等相关证明材料，并提供原件核对。</w:t>
      </w:r>
    </w:p>
    <w:p>
      <w:pPr>
        <w:pStyle w:val="50"/>
        <w:snapToGrid w:val="0"/>
        <w:ind w:left="480" w:hanging="480"/>
        <w:jc w:val="left"/>
        <w:rPr>
          <w:rFonts w:ascii="仿宋" w:hAnsi="仿宋" w:eastAsia="仿宋" w:cs="仿宋"/>
          <w:color w:val="auto"/>
          <w:sz w:val="24"/>
          <w:highlight w:val="none"/>
        </w:rPr>
      </w:pP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供应商盖章：</w:t>
      </w:r>
      <w:r>
        <w:rPr>
          <w:rFonts w:hint="eastAsia" w:ascii="仿宋" w:hAnsi="仿宋" w:eastAsia="仿宋" w:cs="仿宋"/>
          <w:color w:val="auto"/>
          <w:sz w:val="24"/>
          <w:szCs w:val="21"/>
          <w:highlight w:val="none"/>
          <w:u w:val="single"/>
        </w:rPr>
        <w:t xml:space="preserve">                </w:t>
      </w: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pPr>
        <w:pStyle w:val="980"/>
        <w:spacing w:line="360" w:lineRule="auto"/>
        <w:rPr>
          <w:rFonts w:ascii="仿宋" w:hAnsi="仿宋" w:eastAsia="仿宋" w:cs="仿宋"/>
          <w:color w:val="auto"/>
          <w:spacing w:val="20"/>
          <w:sz w:val="24"/>
          <w:highlight w:val="none"/>
          <w:u w:val="single"/>
        </w:rPr>
      </w:pPr>
    </w:p>
    <w:p>
      <w:pPr>
        <w:pStyle w:val="4"/>
        <w:adjustRightInd/>
        <w:spacing w:before="0" w:after="0" w:line="360" w:lineRule="auto"/>
        <w:ind w:left="0" w:firstLine="0"/>
        <w:jc w:val="center"/>
        <w:rPr>
          <w:rFonts w:ascii="仿宋" w:hAnsi="仿宋" w:eastAsia="仿宋" w:cs="仿宋"/>
          <w:color w:val="auto"/>
          <w:highlight w:val="none"/>
        </w:rPr>
      </w:pPr>
      <w:bookmarkStart w:id="476" w:name="_Toc96338172"/>
      <w:bookmarkStart w:id="477" w:name="_Toc139797672"/>
      <w:bookmarkStart w:id="478" w:name="_Toc531359061"/>
      <w:bookmarkStart w:id="479" w:name="_Toc16440"/>
      <w:bookmarkStart w:id="480" w:name="_Toc31762"/>
      <w:r>
        <w:rPr>
          <w:rFonts w:hint="eastAsia" w:ascii="仿宋" w:hAnsi="仿宋" w:eastAsia="仿宋" w:cs="仿宋"/>
          <w:color w:val="auto"/>
          <w:highlight w:val="none"/>
        </w:rPr>
        <w:t>2.5    商务响应表</w:t>
      </w:r>
      <w:bookmarkEnd w:id="474"/>
      <w:bookmarkEnd w:id="475"/>
      <w:bookmarkEnd w:id="476"/>
      <w:bookmarkEnd w:id="477"/>
      <w:bookmarkEnd w:id="478"/>
      <w:bookmarkEnd w:id="479"/>
      <w:bookmarkEnd w:id="480"/>
    </w:p>
    <w:p>
      <w:pPr>
        <w:pStyle w:val="976"/>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项目编号：</w:t>
      </w:r>
    </w:p>
    <w:p>
      <w:pPr>
        <w:pStyle w:val="976"/>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项目名称：                               标项（若有）：</w:t>
      </w:r>
    </w:p>
    <w:tbl>
      <w:tblPr>
        <w:tblStyle w:val="62"/>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927"/>
        <w:gridCol w:w="2546"/>
        <w:gridCol w:w="2694"/>
        <w:gridCol w:w="12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1927" w:type="dxa"/>
            <w:shd w:val="clear" w:color="auto" w:fill="auto"/>
            <w:vAlign w:val="center"/>
          </w:tcPr>
          <w:p>
            <w:pPr>
              <w:pStyle w:val="976"/>
              <w:jc w:val="center"/>
              <w:rPr>
                <w:rFonts w:ascii="仿宋" w:hAnsi="仿宋" w:eastAsia="仿宋" w:cs="仿宋"/>
                <w:color w:val="auto"/>
                <w:sz w:val="24"/>
                <w:highlight w:val="none"/>
              </w:rPr>
            </w:pPr>
            <w:r>
              <w:rPr>
                <w:rFonts w:hint="eastAsia" w:ascii="仿宋" w:hAnsi="仿宋" w:eastAsia="仿宋" w:cs="仿宋"/>
                <w:color w:val="auto"/>
                <w:sz w:val="24"/>
                <w:highlight w:val="none"/>
              </w:rPr>
              <w:t>类别</w:t>
            </w:r>
          </w:p>
        </w:tc>
        <w:tc>
          <w:tcPr>
            <w:tcW w:w="2546" w:type="dxa"/>
            <w:shd w:val="clear" w:color="auto" w:fill="auto"/>
            <w:vAlign w:val="center"/>
          </w:tcPr>
          <w:p>
            <w:pPr>
              <w:pStyle w:val="976"/>
              <w:jc w:val="center"/>
              <w:rPr>
                <w:rFonts w:ascii="仿宋" w:hAnsi="仿宋" w:eastAsia="仿宋" w:cs="仿宋"/>
                <w:color w:val="auto"/>
                <w:sz w:val="24"/>
                <w:highlight w:val="none"/>
              </w:rPr>
            </w:pPr>
            <w:r>
              <w:rPr>
                <w:rFonts w:hint="eastAsia" w:ascii="仿宋" w:hAnsi="仿宋" w:eastAsia="仿宋" w:cs="仿宋"/>
                <w:color w:val="auto"/>
                <w:sz w:val="24"/>
                <w:highlight w:val="none"/>
              </w:rPr>
              <w:t>磋商文件要求</w:t>
            </w:r>
          </w:p>
        </w:tc>
        <w:tc>
          <w:tcPr>
            <w:tcW w:w="2694" w:type="dxa"/>
            <w:shd w:val="clear" w:color="auto" w:fill="auto"/>
            <w:vAlign w:val="center"/>
          </w:tcPr>
          <w:p>
            <w:pPr>
              <w:pStyle w:val="976"/>
              <w:jc w:val="center"/>
              <w:rPr>
                <w:rFonts w:ascii="仿宋" w:hAnsi="仿宋" w:eastAsia="仿宋" w:cs="仿宋"/>
                <w:color w:val="auto"/>
                <w:sz w:val="24"/>
                <w:highlight w:val="none"/>
              </w:rPr>
            </w:pPr>
            <w:r>
              <w:rPr>
                <w:rFonts w:hint="eastAsia" w:ascii="仿宋" w:hAnsi="仿宋" w:eastAsia="仿宋" w:cs="仿宋"/>
                <w:color w:val="auto"/>
                <w:sz w:val="24"/>
                <w:highlight w:val="none"/>
              </w:rPr>
              <w:t>供应商承诺</w:t>
            </w:r>
          </w:p>
        </w:tc>
        <w:tc>
          <w:tcPr>
            <w:tcW w:w="1275" w:type="dxa"/>
            <w:shd w:val="clear" w:color="auto" w:fill="auto"/>
            <w:vAlign w:val="center"/>
          </w:tcPr>
          <w:p>
            <w:pPr>
              <w:pStyle w:val="976"/>
              <w:jc w:val="center"/>
              <w:rPr>
                <w:rFonts w:ascii="仿宋" w:hAnsi="仿宋" w:eastAsia="仿宋" w:cs="仿宋"/>
                <w:color w:val="auto"/>
                <w:sz w:val="24"/>
                <w:highlight w:val="none"/>
              </w:rPr>
            </w:pPr>
            <w:r>
              <w:rPr>
                <w:rFonts w:hint="eastAsia" w:ascii="仿宋" w:hAnsi="仿宋" w:eastAsia="仿宋" w:cs="仿宋"/>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1927" w:type="dxa"/>
            <w:shd w:val="clear" w:color="auto" w:fill="auto"/>
            <w:vAlign w:val="center"/>
          </w:tcPr>
          <w:p>
            <w:pPr>
              <w:pStyle w:val="976"/>
              <w:jc w:val="center"/>
              <w:rPr>
                <w:rFonts w:ascii="仿宋" w:hAnsi="仿宋" w:eastAsia="仿宋" w:cs="仿宋"/>
                <w:color w:val="auto"/>
                <w:sz w:val="24"/>
                <w:highlight w:val="none"/>
              </w:rPr>
            </w:pPr>
            <w:r>
              <w:rPr>
                <w:rFonts w:hint="eastAsia" w:ascii="仿宋" w:hAnsi="仿宋" w:eastAsia="仿宋" w:cs="仿宋"/>
                <w:color w:val="auto"/>
                <w:sz w:val="24"/>
                <w:highlight w:val="none"/>
              </w:rPr>
              <w:t>采购内容</w:t>
            </w:r>
          </w:p>
        </w:tc>
        <w:tc>
          <w:tcPr>
            <w:tcW w:w="2546" w:type="dxa"/>
            <w:shd w:val="clear" w:color="auto" w:fill="auto"/>
            <w:vAlign w:val="center"/>
          </w:tcPr>
          <w:p>
            <w:pPr>
              <w:pStyle w:val="976"/>
              <w:jc w:val="center"/>
              <w:rPr>
                <w:rFonts w:ascii="仿宋" w:hAnsi="仿宋" w:eastAsia="仿宋" w:cs="仿宋"/>
                <w:color w:val="auto"/>
                <w:sz w:val="24"/>
                <w:highlight w:val="none"/>
              </w:rPr>
            </w:pPr>
          </w:p>
        </w:tc>
        <w:tc>
          <w:tcPr>
            <w:tcW w:w="2694" w:type="dxa"/>
            <w:shd w:val="clear" w:color="auto" w:fill="auto"/>
            <w:vAlign w:val="center"/>
          </w:tcPr>
          <w:p>
            <w:pPr>
              <w:pStyle w:val="976"/>
              <w:jc w:val="center"/>
              <w:rPr>
                <w:rFonts w:ascii="仿宋" w:hAnsi="仿宋" w:eastAsia="仿宋" w:cs="仿宋"/>
                <w:color w:val="auto"/>
                <w:sz w:val="24"/>
                <w:highlight w:val="none"/>
              </w:rPr>
            </w:pPr>
          </w:p>
        </w:tc>
        <w:tc>
          <w:tcPr>
            <w:tcW w:w="1275" w:type="dxa"/>
            <w:shd w:val="clear" w:color="auto" w:fill="auto"/>
            <w:vAlign w:val="center"/>
          </w:tcPr>
          <w:p>
            <w:pPr>
              <w:pStyle w:val="976"/>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1927" w:type="dxa"/>
            <w:shd w:val="clear" w:color="auto" w:fill="auto"/>
            <w:vAlign w:val="center"/>
          </w:tcPr>
          <w:p>
            <w:pPr>
              <w:pStyle w:val="976"/>
              <w:jc w:val="center"/>
              <w:rPr>
                <w:rFonts w:ascii="仿宋" w:hAnsi="仿宋" w:eastAsia="仿宋" w:cs="仿宋"/>
                <w:color w:val="auto"/>
                <w:sz w:val="24"/>
                <w:highlight w:val="none"/>
              </w:rPr>
            </w:pPr>
            <w:r>
              <w:rPr>
                <w:rFonts w:hint="eastAsia" w:ascii="仿宋" w:eastAsia="仿宋" w:cs="仿宋"/>
                <w:color w:val="auto"/>
                <w:sz w:val="24"/>
                <w:szCs w:val="24"/>
                <w:highlight w:val="none"/>
                <w:lang w:val="en-US" w:eastAsia="zh-CN"/>
              </w:rPr>
              <w:t>每年度工作要求</w:t>
            </w:r>
          </w:p>
        </w:tc>
        <w:tc>
          <w:tcPr>
            <w:tcW w:w="2546" w:type="dxa"/>
            <w:shd w:val="clear" w:color="auto" w:fill="auto"/>
            <w:vAlign w:val="center"/>
          </w:tcPr>
          <w:p>
            <w:pPr>
              <w:pStyle w:val="976"/>
              <w:jc w:val="center"/>
              <w:rPr>
                <w:rFonts w:ascii="仿宋" w:hAnsi="仿宋" w:eastAsia="仿宋" w:cs="仿宋"/>
                <w:color w:val="auto"/>
                <w:sz w:val="24"/>
                <w:highlight w:val="none"/>
              </w:rPr>
            </w:pPr>
          </w:p>
        </w:tc>
        <w:tc>
          <w:tcPr>
            <w:tcW w:w="2694" w:type="dxa"/>
            <w:shd w:val="clear" w:color="auto" w:fill="auto"/>
            <w:vAlign w:val="center"/>
          </w:tcPr>
          <w:p>
            <w:pPr>
              <w:pStyle w:val="976"/>
              <w:jc w:val="center"/>
              <w:rPr>
                <w:rFonts w:ascii="仿宋" w:hAnsi="仿宋" w:eastAsia="仿宋" w:cs="仿宋"/>
                <w:color w:val="auto"/>
                <w:sz w:val="24"/>
                <w:highlight w:val="none"/>
              </w:rPr>
            </w:pPr>
          </w:p>
        </w:tc>
        <w:tc>
          <w:tcPr>
            <w:tcW w:w="1275" w:type="dxa"/>
            <w:shd w:val="clear" w:color="auto" w:fill="auto"/>
            <w:vAlign w:val="center"/>
          </w:tcPr>
          <w:p>
            <w:pPr>
              <w:pStyle w:val="976"/>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1927" w:type="dxa"/>
            <w:shd w:val="clear" w:color="auto" w:fill="auto"/>
            <w:vAlign w:val="center"/>
          </w:tcPr>
          <w:p>
            <w:pPr>
              <w:pStyle w:val="976"/>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考核要求</w:t>
            </w:r>
          </w:p>
        </w:tc>
        <w:tc>
          <w:tcPr>
            <w:tcW w:w="2546" w:type="dxa"/>
            <w:shd w:val="clear" w:color="auto" w:fill="auto"/>
            <w:vAlign w:val="center"/>
          </w:tcPr>
          <w:p>
            <w:pPr>
              <w:pStyle w:val="976"/>
              <w:jc w:val="center"/>
              <w:rPr>
                <w:rFonts w:ascii="仿宋" w:hAnsi="仿宋" w:eastAsia="仿宋" w:cs="仿宋"/>
                <w:color w:val="auto"/>
                <w:sz w:val="24"/>
                <w:highlight w:val="none"/>
              </w:rPr>
            </w:pPr>
          </w:p>
        </w:tc>
        <w:tc>
          <w:tcPr>
            <w:tcW w:w="2694" w:type="dxa"/>
            <w:shd w:val="clear" w:color="auto" w:fill="auto"/>
            <w:vAlign w:val="center"/>
          </w:tcPr>
          <w:p>
            <w:pPr>
              <w:pStyle w:val="976"/>
              <w:jc w:val="center"/>
              <w:rPr>
                <w:rFonts w:ascii="仿宋" w:hAnsi="仿宋" w:eastAsia="仿宋" w:cs="仿宋"/>
                <w:color w:val="auto"/>
                <w:sz w:val="24"/>
                <w:highlight w:val="none"/>
              </w:rPr>
            </w:pPr>
          </w:p>
        </w:tc>
        <w:tc>
          <w:tcPr>
            <w:tcW w:w="1275" w:type="dxa"/>
            <w:shd w:val="clear" w:color="auto" w:fill="auto"/>
            <w:vAlign w:val="center"/>
          </w:tcPr>
          <w:p>
            <w:pPr>
              <w:pStyle w:val="976"/>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1927" w:type="dxa"/>
            <w:shd w:val="clear" w:color="auto" w:fill="auto"/>
            <w:vAlign w:val="center"/>
          </w:tcPr>
          <w:p>
            <w:pPr>
              <w:pStyle w:val="976"/>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服务期限</w:t>
            </w:r>
          </w:p>
        </w:tc>
        <w:tc>
          <w:tcPr>
            <w:tcW w:w="2546" w:type="dxa"/>
            <w:shd w:val="clear" w:color="auto" w:fill="auto"/>
            <w:vAlign w:val="center"/>
          </w:tcPr>
          <w:p>
            <w:pPr>
              <w:pStyle w:val="976"/>
              <w:jc w:val="center"/>
              <w:rPr>
                <w:rFonts w:ascii="仿宋" w:hAnsi="仿宋" w:eastAsia="仿宋" w:cs="仿宋"/>
                <w:color w:val="auto"/>
                <w:sz w:val="24"/>
                <w:highlight w:val="none"/>
              </w:rPr>
            </w:pPr>
          </w:p>
        </w:tc>
        <w:tc>
          <w:tcPr>
            <w:tcW w:w="2694" w:type="dxa"/>
            <w:shd w:val="clear" w:color="auto" w:fill="auto"/>
            <w:vAlign w:val="center"/>
          </w:tcPr>
          <w:p>
            <w:pPr>
              <w:pStyle w:val="976"/>
              <w:jc w:val="center"/>
              <w:rPr>
                <w:rFonts w:ascii="仿宋" w:hAnsi="仿宋" w:eastAsia="仿宋" w:cs="仿宋"/>
                <w:color w:val="auto"/>
                <w:sz w:val="24"/>
                <w:highlight w:val="none"/>
              </w:rPr>
            </w:pPr>
          </w:p>
        </w:tc>
        <w:tc>
          <w:tcPr>
            <w:tcW w:w="1275" w:type="dxa"/>
            <w:shd w:val="clear" w:color="auto" w:fill="auto"/>
            <w:vAlign w:val="center"/>
          </w:tcPr>
          <w:p>
            <w:pPr>
              <w:pStyle w:val="976"/>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ascii="仿宋" w:hAnsi="仿宋" w:eastAsia="仿宋" w:cs="仿宋"/>
                <w:color w:val="auto"/>
                <w:sz w:val="24"/>
                <w:highlight w:val="none"/>
              </w:rPr>
            </w:pPr>
            <w:r>
              <w:rPr>
                <w:rFonts w:hint="eastAsia" w:ascii="仿宋" w:hAnsi="仿宋" w:eastAsia="仿宋" w:cs="仿宋"/>
                <w:color w:val="auto"/>
                <w:sz w:val="24"/>
                <w:highlight w:val="none"/>
              </w:rPr>
              <w:t>5</w:t>
            </w:r>
          </w:p>
        </w:tc>
        <w:tc>
          <w:tcPr>
            <w:tcW w:w="1927" w:type="dxa"/>
            <w:shd w:val="clear" w:color="auto" w:fill="auto"/>
            <w:vAlign w:val="center"/>
          </w:tcPr>
          <w:p>
            <w:pPr>
              <w:pStyle w:val="976"/>
              <w:jc w:val="center"/>
              <w:rPr>
                <w:rFonts w:ascii="仿宋" w:hAnsi="仿宋" w:eastAsia="仿宋" w:cs="仿宋"/>
                <w:color w:val="auto"/>
                <w:sz w:val="24"/>
                <w:highlight w:val="none"/>
              </w:rPr>
            </w:pPr>
            <w:r>
              <w:rPr>
                <w:rFonts w:hint="eastAsia" w:ascii="仿宋" w:hAnsi="仿宋" w:eastAsia="仿宋" w:cs="仿宋"/>
                <w:color w:val="auto"/>
                <w:sz w:val="24"/>
                <w:highlight w:val="none"/>
              </w:rPr>
              <w:t>付款方式</w:t>
            </w:r>
          </w:p>
        </w:tc>
        <w:tc>
          <w:tcPr>
            <w:tcW w:w="2546" w:type="dxa"/>
            <w:shd w:val="clear" w:color="auto" w:fill="auto"/>
            <w:vAlign w:val="center"/>
          </w:tcPr>
          <w:p>
            <w:pPr>
              <w:pStyle w:val="976"/>
              <w:jc w:val="center"/>
              <w:rPr>
                <w:rFonts w:ascii="仿宋" w:hAnsi="仿宋" w:eastAsia="仿宋" w:cs="仿宋"/>
                <w:color w:val="auto"/>
                <w:sz w:val="24"/>
                <w:highlight w:val="none"/>
              </w:rPr>
            </w:pPr>
          </w:p>
        </w:tc>
        <w:tc>
          <w:tcPr>
            <w:tcW w:w="2694" w:type="dxa"/>
            <w:shd w:val="clear" w:color="auto" w:fill="auto"/>
            <w:vAlign w:val="center"/>
          </w:tcPr>
          <w:p>
            <w:pPr>
              <w:pStyle w:val="976"/>
              <w:jc w:val="center"/>
              <w:rPr>
                <w:rFonts w:ascii="仿宋" w:hAnsi="仿宋" w:eastAsia="仿宋" w:cs="仿宋"/>
                <w:color w:val="auto"/>
                <w:sz w:val="24"/>
                <w:highlight w:val="none"/>
              </w:rPr>
            </w:pPr>
          </w:p>
        </w:tc>
        <w:tc>
          <w:tcPr>
            <w:tcW w:w="1275" w:type="dxa"/>
            <w:shd w:val="clear" w:color="auto" w:fill="auto"/>
            <w:vAlign w:val="center"/>
          </w:tcPr>
          <w:p>
            <w:pPr>
              <w:pStyle w:val="976"/>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ascii="仿宋" w:hAnsi="仿宋" w:eastAsia="仿宋" w:cs="仿宋"/>
                <w:color w:val="auto"/>
                <w:sz w:val="24"/>
                <w:highlight w:val="none"/>
              </w:rPr>
            </w:pPr>
            <w:r>
              <w:rPr>
                <w:rFonts w:hint="eastAsia" w:ascii="仿宋" w:hAnsi="仿宋" w:eastAsia="仿宋" w:cs="仿宋"/>
                <w:color w:val="auto"/>
                <w:sz w:val="24"/>
                <w:highlight w:val="none"/>
              </w:rPr>
              <w:t>6</w:t>
            </w:r>
          </w:p>
        </w:tc>
        <w:tc>
          <w:tcPr>
            <w:tcW w:w="1927" w:type="dxa"/>
            <w:shd w:val="clear" w:color="auto" w:fill="auto"/>
            <w:vAlign w:val="center"/>
          </w:tcPr>
          <w:p>
            <w:pPr>
              <w:pStyle w:val="976"/>
              <w:jc w:val="center"/>
              <w:rPr>
                <w:rFonts w:ascii="仿宋" w:hAnsi="仿宋" w:eastAsia="仿宋" w:cs="仿宋"/>
                <w:color w:val="auto"/>
                <w:sz w:val="24"/>
                <w:highlight w:val="none"/>
              </w:rPr>
            </w:pPr>
            <w:r>
              <w:rPr>
                <w:rFonts w:hint="eastAsia" w:ascii="仿宋" w:hAnsi="仿宋" w:eastAsia="仿宋" w:cs="仿宋"/>
                <w:color w:val="auto"/>
                <w:sz w:val="24"/>
                <w:highlight w:val="none"/>
              </w:rPr>
              <w:t>……</w:t>
            </w:r>
          </w:p>
        </w:tc>
        <w:tc>
          <w:tcPr>
            <w:tcW w:w="2546" w:type="dxa"/>
            <w:shd w:val="clear" w:color="auto" w:fill="auto"/>
            <w:vAlign w:val="center"/>
          </w:tcPr>
          <w:p>
            <w:pPr>
              <w:pStyle w:val="976"/>
              <w:jc w:val="center"/>
              <w:rPr>
                <w:rFonts w:ascii="仿宋" w:hAnsi="仿宋" w:eastAsia="仿宋" w:cs="仿宋"/>
                <w:color w:val="auto"/>
                <w:sz w:val="24"/>
                <w:highlight w:val="none"/>
              </w:rPr>
            </w:pPr>
          </w:p>
        </w:tc>
        <w:tc>
          <w:tcPr>
            <w:tcW w:w="2694" w:type="dxa"/>
            <w:shd w:val="clear" w:color="auto" w:fill="auto"/>
            <w:vAlign w:val="center"/>
          </w:tcPr>
          <w:p>
            <w:pPr>
              <w:pStyle w:val="976"/>
              <w:jc w:val="center"/>
              <w:rPr>
                <w:rFonts w:ascii="仿宋" w:hAnsi="仿宋" w:eastAsia="仿宋" w:cs="仿宋"/>
                <w:color w:val="auto"/>
                <w:sz w:val="24"/>
                <w:highlight w:val="none"/>
              </w:rPr>
            </w:pPr>
          </w:p>
        </w:tc>
        <w:tc>
          <w:tcPr>
            <w:tcW w:w="1275" w:type="dxa"/>
            <w:shd w:val="clear" w:color="auto" w:fill="auto"/>
            <w:vAlign w:val="center"/>
          </w:tcPr>
          <w:p>
            <w:pPr>
              <w:pStyle w:val="976"/>
              <w:jc w:val="center"/>
              <w:rPr>
                <w:rFonts w:ascii="仿宋" w:hAnsi="仿宋" w:eastAsia="仿宋" w:cs="仿宋"/>
                <w:color w:val="auto"/>
                <w:sz w:val="24"/>
                <w:highlight w:val="none"/>
              </w:rPr>
            </w:pPr>
          </w:p>
        </w:tc>
      </w:tr>
    </w:tbl>
    <w:p>
      <w:pPr>
        <w:pStyle w:val="50"/>
        <w:snapToGrid w:val="0"/>
        <w:ind w:left="480" w:hanging="480"/>
        <w:jc w:val="left"/>
        <w:rPr>
          <w:rFonts w:ascii="仿宋" w:hAnsi="仿宋" w:eastAsia="仿宋" w:cs="仿宋"/>
          <w:color w:val="auto"/>
          <w:sz w:val="24"/>
          <w:highlight w:val="none"/>
        </w:rPr>
      </w:pPr>
      <w:bookmarkStart w:id="481" w:name="_Toc530551891"/>
      <w:bookmarkStart w:id="482" w:name="_Toc493956067"/>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供应商盖章：</w:t>
      </w:r>
      <w:r>
        <w:rPr>
          <w:rFonts w:hint="eastAsia" w:ascii="仿宋" w:hAnsi="仿宋" w:eastAsia="仿宋" w:cs="仿宋"/>
          <w:color w:val="auto"/>
          <w:sz w:val="24"/>
          <w:szCs w:val="21"/>
          <w:highlight w:val="none"/>
          <w:u w:val="single"/>
        </w:rPr>
        <w:t xml:space="preserve">                </w:t>
      </w: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pPr>
        <w:pStyle w:val="157"/>
        <w:spacing w:line="360" w:lineRule="auto"/>
        <w:ind w:firstLine="480"/>
        <w:jc w:val="right"/>
        <w:rPr>
          <w:rFonts w:ascii="仿宋" w:hAnsi="仿宋" w:eastAsia="仿宋" w:cs="仿宋"/>
          <w:color w:val="auto"/>
          <w:sz w:val="24"/>
          <w:szCs w:val="21"/>
          <w:highlight w:val="none"/>
          <w:u w:val="single"/>
        </w:rPr>
      </w:pPr>
    </w:p>
    <w:p>
      <w:pPr>
        <w:pStyle w:val="157"/>
        <w:spacing w:line="360" w:lineRule="auto"/>
        <w:ind w:firstLine="480"/>
        <w:jc w:val="right"/>
        <w:rPr>
          <w:rFonts w:ascii="仿宋" w:hAnsi="仿宋" w:eastAsia="仿宋" w:cs="仿宋"/>
          <w:color w:val="auto"/>
          <w:sz w:val="24"/>
          <w:szCs w:val="21"/>
          <w:highlight w:val="none"/>
          <w:u w:val="single"/>
        </w:rPr>
      </w:pPr>
    </w:p>
    <w:bookmarkEnd w:id="481"/>
    <w:bookmarkEnd w:id="482"/>
    <w:p>
      <w:pPr>
        <w:widowControl/>
        <w:rPr>
          <w:rFonts w:ascii="仿宋" w:hAnsi="仿宋" w:eastAsia="仿宋" w:cs="仿宋"/>
          <w:color w:val="auto"/>
          <w:kern w:val="0"/>
          <w:sz w:val="24"/>
          <w:highlight w:val="none"/>
        </w:rPr>
      </w:pPr>
      <w:bookmarkStart w:id="483" w:name="_Toc96338067"/>
      <w:bookmarkStart w:id="484" w:name="_Toc531359062"/>
      <w:bookmarkStart w:id="485" w:name="_Toc96338162"/>
    </w:p>
    <w:bookmarkEnd w:id="483"/>
    <w:bookmarkEnd w:id="484"/>
    <w:p>
      <w:pPr>
        <w:pStyle w:val="4"/>
        <w:adjustRightInd/>
        <w:spacing w:before="0" w:after="0" w:line="360" w:lineRule="auto"/>
        <w:ind w:left="0" w:firstLine="0"/>
        <w:jc w:val="center"/>
        <w:rPr>
          <w:rFonts w:ascii="仿宋" w:hAnsi="仿宋" w:eastAsia="仿宋" w:cs="仿宋"/>
          <w:color w:val="auto"/>
          <w:highlight w:val="none"/>
        </w:rPr>
      </w:pPr>
      <w:bookmarkStart w:id="486" w:name="_Toc23604"/>
      <w:bookmarkStart w:id="487" w:name="_Toc30652"/>
      <w:r>
        <w:rPr>
          <w:rFonts w:hint="eastAsia" w:ascii="仿宋" w:hAnsi="仿宋" w:eastAsia="仿宋" w:cs="仿宋"/>
          <w:color w:val="auto"/>
          <w:highlight w:val="none"/>
        </w:rPr>
        <w:t xml:space="preserve">2.6    </w:t>
      </w:r>
      <w:bookmarkEnd w:id="486"/>
      <w:r>
        <w:rPr>
          <w:rFonts w:hint="eastAsia" w:ascii="仿宋" w:hAnsi="仿宋" w:eastAsia="仿宋" w:cs="仿宋"/>
          <w:color w:val="auto"/>
          <w:highlight w:val="none"/>
        </w:rPr>
        <w:t>项目理解</w:t>
      </w:r>
      <w:bookmarkEnd w:id="487"/>
    </w:p>
    <w:p>
      <w:pPr>
        <w:pStyle w:val="969"/>
        <w:spacing w:line="36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highlight w:val="none"/>
        </w:rPr>
        <w:t>格式自行设计</w:t>
      </w:r>
      <w:r>
        <w:rPr>
          <w:rFonts w:hint="eastAsia" w:ascii="仿宋" w:hAnsi="仿宋" w:eastAsia="仿宋" w:cs="仿宋"/>
          <w:color w:val="auto"/>
          <w:sz w:val="24"/>
          <w:szCs w:val="24"/>
          <w:highlight w:val="none"/>
        </w:rPr>
        <w:t>）</w:t>
      </w:r>
    </w:p>
    <w:p>
      <w:pPr>
        <w:pStyle w:val="15"/>
        <w:rPr>
          <w:rFonts w:ascii="仿宋" w:hAnsi="仿宋" w:eastAsia="仿宋" w:cs="仿宋"/>
          <w:color w:val="auto"/>
          <w:sz w:val="32"/>
          <w:szCs w:val="32"/>
          <w:highlight w:val="none"/>
        </w:rPr>
      </w:pPr>
    </w:p>
    <w:p>
      <w:pPr>
        <w:rPr>
          <w:rFonts w:ascii="仿宋" w:hAnsi="仿宋" w:eastAsia="仿宋" w:cs="仿宋"/>
          <w:color w:val="auto"/>
          <w:highlight w:val="none"/>
        </w:rPr>
      </w:pP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供应商盖章：</w:t>
      </w:r>
      <w:r>
        <w:rPr>
          <w:rFonts w:hint="eastAsia" w:ascii="仿宋" w:hAnsi="仿宋" w:eastAsia="仿宋" w:cs="仿宋"/>
          <w:color w:val="auto"/>
          <w:sz w:val="24"/>
          <w:szCs w:val="21"/>
          <w:highlight w:val="none"/>
          <w:u w:val="single"/>
        </w:rPr>
        <w:t xml:space="preserve">                </w:t>
      </w:r>
    </w:p>
    <w:p>
      <w:pPr>
        <w:pStyle w:val="157"/>
        <w:wordWrap w:val="0"/>
        <w:spacing w:line="360" w:lineRule="auto"/>
        <w:ind w:firstLine="480"/>
        <w:jc w:val="right"/>
        <w:rPr>
          <w:rFonts w:hint="eastAsia"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pPr>
        <w:pStyle w:val="157"/>
        <w:wordWrap/>
        <w:spacing w:line="360" w:lineRule="auto"/>
        <w:ind w:firstLine="480"/>
        <w:jc w:val="right"/>
        <w:rPr>
          <w:rFonts w:hint="eastAsia" w:ascii="仿宋" w:hAnsi="仿宋" w:eastAsia="仿宋" w:cs="仿宋"/>
          <w:color w:val="auto"/>
          <w:sz w:val="24"/>
          <w:szCs w:val="21"/>
          <w:highlight w:val="none"/>
          <w:u w:val="single"/>
        </w:rPr>
      </w:pPr>
    </w:p>
    <w:p>
      <w:pPr>
        <w:pStyle w:val="4"/>
        <w:adjustRightInd/>
        <w:spacing w:before="0" w:after="0" w:line="360" w:lineRule="auto"/>
        <w:ind w:left="0" w:firstLine="0"/>
        <w:jc w:val="center"/>
        <w:rPr>
          <w:rFonts w:ascii="仿宋" w:hAnsi="仿宋" w:eastAsia="仿宋" w:cs="仿宋"/>
          <w:color w:val="auto"/>
          <w:highlight w:val="none"/>
        </w:rPr>
      </w:pPr>
      <w:bookmarkStart w:id="488" w:name="_Toc5915"/>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 xml:space="preserve">    总体思路及目标</w:t>
      </w:r>
      <w:bookmarkEnd w:id="488"/>
    </w:p>
    <w:p>
      <w:pPr>
        <w:pStyle w:val="969"/>
        <w:spacing w:line="36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highlight w:val="none"/>
        </w:rPr>
        <w:t>格式自行设计</w:t>
      </w:r>
      <w:r>
        <w:rPr>
          <w:rFonts w:hint="eastAsia" w:ascii="仿宋" w:hAnsi="仿宋" w:eastAsia="仿宋" w:cs="仿宋"/>
          <w:color w:val="auto"/>
          <w:sz w:val="24"/>
          <w:szCs w:val="24"/>
          <w:highlight w:val="none"/>
        </w:rPr>
        <w:t>）</w:t>
      </w:r>
    </w:p>
    <w:p>
      <w:pPr>
        <w:pStyle w:val="15"/>
        <w:rPr>
          <w:rFonts w:ascii="仿宋" w:hAnsi="仿宋" w:eastAsia="仿宋" w:cs="仿宋"/>
          <w:color w:val="auto"/>
          <w:sz w:val="32"/>
          <w:szCs w:val="32"/>
          <w:highlight w:val="none"/>
        </w:rPr>
      </w:pPr>
    </w:p>
    <w:p>
      <w:pPr>
        <w:rPr>
          <w:rFonts w:ascii="仿宋" w:hAnsi="仿宋" w:eastAsia="仿宋" w:cs="仿宋"/>
          <w:color w:val="auto"/>
          <w:highlight w:val="none"/>
        </w:rPr>
      </w:pP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供应商盖章：</w:t>
      </w:r>
      <w:r>
        <w:rPr>
          <w:rFonts w:hint="eastAsia" w:ascii="仿宋" w:hAnsi="仿宋" w:eastAsia="仿宋" w:cs="仿宋"/>
          <w:color w:val="auto"/>
          <w:sz w:val="24"/>
          <w:szCs w:val="21"/>
          <w:highlight w:val="none"/>
          <w:u w:val="single"/>
        </w:rPr>
        <w:t xml:space="preserve">                </w:t>
      </w:r>
    </w:p>
    <w:p>
      <w:pPr>
        <w:pStyle w:val="157"/>
        <w:wordWrap w:val="0"/>
        <w:spacing w:line="360" w:lineRule="auto"/>
        <w:ind w:firstLine="480"/>
        <w:jc w:val="right"/>
        <w:rPr>
          <w:rFonts w:hint="eastAsia"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pPr>
        <w:pStyle w:val="15"/>
        <w:rPr>
          <w:rFonts w:ascii="仿宋" w:hAnsi="仿宋" w:eastAsia="仿宋" w:cs="仿宋"/>
          <w:color w:val="auto"/>
          <w:highlight w:val="none"/>
        </w:rPr>
      </w:pPr>
    </w:p>
    <w:p>
      <w:pPr>
        <w:pStyle w:val="157"/>
        <w:spacing w:line="360" w:lineRule="auto"/>
        <w:rPr>
          <w:rFonts w:ascii="仿宋" w:hAnsi="仿宋" w:eastAsia="仿宋" w:cs="仿宋"/>
          <w:color w:val="auto"/>
          <w:sz w:val="24"/>
          <w:szCs w:val="21"/>
          <w:highlight w:val="none"/>
          <w:u w:val="single"/>
        </w:rPr>
      </w:pPr>
    </w:p>
    <w:p>
      <w:pPr>
        <w:pStyle w:val="4"/>
        <w:adjustRightInd/>
        <w:spacing w:before="0" w:after="0" w:line="360" w:lineRule="auto"/>
        <w:ind w:left="0" w:firstLine="0"/>
        <w:jc w:val="center"/>
        <w:rPr>
          <w:rFonts w:ascii="仿宋" w:hAnsi="仿宋" w:eastAsia="仿宋" w:cs="仿宋"/>
          <w:color w:val="auto"/>
          <w:highlight w:val="none"/>
        </w:rPr>
      </w:pPr>
      <w:bookmarkStart w:id="489" w:name="_Toc24476"/>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8</w:t>
      </w:r>
      <w:r>
        <w:rPr>
          <w:rFonts w:hint="eastAsia" w:ascii="仿宋" w:hAnsi="仿宋" w:eastAsia="仿宋" w:cs="仿宋"/>
          <w:color w:val="auto"/>
          <w:highlight w:val="none"/>
        </w:rPr>
        <w:t xml:space="preserve">    整体服务方案</w:t>
      </w:r>
      <w:bookmarkEnd w:id="489"/>
    </w:p>
    <w:p>
      <w:pPr>
        <w:pStyle w:val="969"/>
        <w:spacing w:line="36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highlight w:val="none"/>
        </w:rPr>
        <w:t>格式自行设计</w:t>
      </w:r>
      <w:r>
        <w:rPr>
          <w:rFonts w:hint="eastAsia" w:ascii="仿宋" w:hAnsi="仿宋" w:eastAsia="仿宋" w:cs="仿宋"/>
          <w:color w:val="auto"/>
          <w:sz w:val="24"/>
          <w:szCs w:val="24"/>
          <w:highlight w:val="none"/>
        </w:rPr>
        <w:t>）</w:t>
      </w:r>
    </w:p>
    <w:p>
      <w:pPr>
        <w:pStyle w:val="15"/>
        <w:rPr>
          <w:rFonts w:ascii="仿宋" w:hAnsi="仿宋" w:eastAsia="仿宋" w:cs="仿宋"/>
          <w:color w:val="auto"/>
          <w:highlight w:val="none"/>
        </w:rPr>
      </w:pPr>
    </w:p>
    <w:p>
      <w:pPr>
        <w:rPr>
          <w:rFonts w:ascii="仿宋" w:hAnsi="仿宋" w:eastAsia="仿宋" w:cs="仿宋"/>
          <w:color w:val="auto"/>
          <w:highlight w:val="none"/>
        </w:rPr>
      </w:pP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供应商盖章：</w:t>
      </w:r>
      <w:r>
        <w:rPr>
          <w:rFonts w:hint="eastAsia" w:ascii="仿宋" w:hAnsi="仿宋" w:eastAsia="仿宋" w:cs="仿宋"/>
          <w:color w:val="auto"/>
          <w:sz w:val="24"/>
          <w:szCs w:val="21"/>
          <w:highlight w:val="none"/>
          <w:u w:val="single"/>
        </w:rPr>
        <w:t xml:space="preserve">                </w:t>
      </w:r>
    </w:p>
    <w:p>
      <w:pPr>
        <w:pStyle w:val="157"/>
        <w:wordWrap w:val="0"/>
        <w:spacing w:line="360" w:lineRule="auto"/>
        <w:ind w:firstLine="480"/>
        <w:jc w:val="right"/>
        <w:rPr>
          <w:rFonts w:hint="eastAsia"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pPr>
        <w:pStyle w:val="157"/>
        <w:wordWrap/>
        <w:spacing w:line="360" w:lineRule="auto"/>
        <w:ind w:firstLine="480"/>
        <w:jc w:val="right"/>
        <w:rPr>
          <w:rFonts w:hint="eastAsia" w:ascii="仿宋" w:hAnsi="仿宋" w:eastAsia="仿宋" w:cs="仿宋"/>
          <w:color w:val="auto"/>
          <w:sz w:val="24"/>
          <w:szCs w:val="21"/>
          <w:highlight w:val="none"/>
          <w:u w:val="single"/>
        </w:rPr>
      </w:pPr>
    </w:p>
    <w:p>
      <w:pPr>
        <w:pStyle w:val="157"/>
        <w:spacing w:line="360" w:lineRule="auto"/>
        <w:ind w:firstLine="480"/>
        <w:jc w:val="right"/>
        <w:rPr>
          <w:rFonts w:ascii="仿宋" w:hAnsi="仿宋" w:eastAsia="仿宋" w:cs="仿宋"/>
          <w:color w:val="auto"/>
          <w:sz w:val="24"/>
          <w:szCs w:val="21"/>
          <w:highlight w:val="none"/>
          <w:u w:val="single"/>
        </w:rPr>
      </w:pPr>
    </w:p>
    <w:p>
      <w:pPr>
        <w:pStyle w:val="4"/>
        <w:spacing w:before="0" w:after="0"/>
        <w:ind w:left="0" w:firstLine="0"/>
        <w:jc w:val="center"/>
        <w:rPr>
          <w:rFonts w:ascii="仿宋" w:hAnsi="仿宋" w:eastAsia="仿宋" w:cs="仿宋"/>
          <w:color w:val="auto"/>
          <w:highlight w:val="none"/>
        </w:rPr>
      </w:pPr>
      <w:bookmarkStart w:id="490" w:name="_Toc23448"/>
      <w:bookmarkStart w:id="491" w:name="_Toc27129"/>
      <w:bookmarkStart w:id="492" w:name="_Toc4102"/>
      <w:bookmarkStart w:id="493" w:name="_Toc14642"/>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9</w:t>
      </w:r>
      <w:r>
        <w:rPr>
          <w:rFonts w:hint="eastAsia" w:ascii="仿宋" w:hAnsi="仿宋" w:eastAsia="仿宋" w:cs="仿宋"/>
          <w:color w:val="auto"/>
          <w:highlight w:val="none"/>
        </w:rPr>
        <w:t xml:space="preserve">  </w:t>
      </w:r>
      <w:bookmarkEnd w:id="490"/>
      <w:bookmarkEnd w:id="491"/>
      <w:r>
        <w:rPr>
          <w:rFonts w:hint="eastAsia" w:ascii="仿宋" w:hAnsi="仿宋" w:eastAsia="仿宋" w:cs="仿宋"/>
          <w:color w:val="auto"/>
          <w:highlight w:val="none"/>
        </w:rPr>
        <w:t xml:space="preserve">  </w:t>
      </w:r>
      <w:bookmarkEnd w:id="492"/>
      <w:r>
        <w:rPr>
          <w:rFonts w:hint="eastAsia" w:ascii="仿宋" w:hAnsi="仿宋" w:eastAsia="仿宋" w:cs="仿宋"/>
          <w:color w:val="auto"/>
          <w:highlight w:val="none"/>
        </w:rPr>
        <w:t>合理化建议</w:t>
      </w:r>
      <w:bookmarkEnd w:id="493"/>
    </w:p>
    <w:p>
      <w:pPr>
        <w:pStyle w:val="969"/>
        <w:spacing w:line="36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highlight w:val="none"/>
        </w:rPr>
        <w:t>格式自行设计</w:t>
      </w:r>
      <w:r>
        <w:rPr>
          <w:rFonts w:hint="eastAsia" w:ascii="仿宋" w:hAnsi="仿宋" w:eastAsia="仿宋" w:cs="仿宋"/>
          <w:color w:val="auto"/>
          <w:sz w:val="24"/>
          <w:szCs w:val="24"/>
          <w:highlight w:val="none"/>
        </w:rPr>
        <w:t>）</w:t>
      </w:r>
    </w:p>
    <w:p>
      <w:pPr>
        <w:pStyle w:val="157"/>
        <w:spacing w:before="48" w:after="48" w:line="400" w:lineRule="exact"/>
        <w:rPr>
          <w:rFonts w:ascii="仿宋" w:hAnsi="仿宋" w:eastAsia="仿宋" w:cs="仿宋"/>
          <w:color w:val="auto"/>
          <w:sz w:val="24"/>
          <w:highlight w:val="none"/>
          <w:lang w:val="en-GB"/>
        </w:rPr>
      </w:pPr>
    </w:p>
    <w:p>
      <w:pPr>
        <w:pStyle w:val="157"/>
        <w:wordWrap w:val="0"/>
        <w:spacing w:before="48" w:after="48"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供应商盖章：</w:t>
      </w:r>
      <w:r>
        <w:rPr>
          <w:rFonts w:hint="eastAsia" w:ascii="仿宋" w:hAnsi="仿宋" w:eastAsia="仿宋" w:cs="仿宋"/>
          <w:color w:val="auto"/>
          <w:sz w:val="24"/>
          <w:szCs w:val="21"/>
          <w:highlight w:val="none"/>
          <w:u w:val="single"/>
        </w:rPr>
        <w:t xml:space="preserve">                </w:t>
      </w:r>
    </w:p>
    <w:p>
      <w:pPr>
        <w:pStyle w:val="157"/>
        <w:wordWrap w:val="0"/>
        <w:spacing w:before="48" w:after="48"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pPr>
        <w:pStyle w:val="4"/>
        <w:spacing w:before="0" w:after="0"/>
        <w:ind w:left="0" w:firstLine="0"/>
        <w:jc w:val="center"/>
        <w:rPr>
          <w:rFonts w:ascii="仿宋" w:hAnsi="仿宋" w:eastAsia="仿宋" w:cs="仿宋"/>
          <w:color w:val="auto"/>
          <w:highlight w:val="none"/>
        </w:rPr>
      </w:pPr>
      <w:bookmarkStart w:id="494" w:name="_Toc24148"/>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10</w:t>
      </w:r>
      <w:r>
        <w:rPr>
          <w:rFonts w:hint="eastAsia" w:ascii="仿宋" w:hAnsi="仿宋" w:eastAsia="仿宋" w:cs="仿宋"/>
          <w:color w:val="auto"/>
          <w:highlight w:val="none"/>
        </w:rPr>
        <w:t xml:space="preserve">    廉政管理考勤管理制度</w:t>
      </w:r>
      <w:bookmarkEnd w:id="494"/>
    </w:p>
    <w:p>
      <w:pPr>
        <w:pStyle w:val="969"/>
        <w:spacing w:line="36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highlight w:val="none"/>
        </w:rPr>
        <w:t>格式自行设计</w:t>
      </w:r>
      <w:r>
        <w:rPr>
          <w:rFonts w:hint="eastAsia" w:ascii="仿宋" w:hAnsi="仿宋" w:eastAsia="仿宋" w:cs="仿宋"/>
          <w:color w:val="auto"/>
          <w:sz w:val="24"/>
          <w:szCs w:val="24"/>
          <w:highlight w:val="none"/>
        </w:rPr>
        <w:t>）</w:t>
      </w:r>
    </w:p>
    <w:p>
      <w:pPr>
        <w:pStyle w:val="157"/>
        <w:spacing w:before="48" w:after="48" w:line="400" w:lineRule="exact"/>
        <w:rPr>
          <w:rFonts w:ascii="仿宋" w:hAnsi="仿宋" w:eastAsia="仿宋" w:cs="仿宋"/>
          <w:color w:val="auto"/>
          <w:sz w:val="24"/>
          <w:highlight w:val="none"/>
          <w:lang w:val="en-GB"/>
        </w:rPr>
      </w:pPr>
    </w:p>
    <w:p>
      <w:pPr>
        <w:pStyle w:val="157"/>
        <w:wordWrap w:val="0"/>
        <w:spacing w:before="48" w:after="48"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供应商盖章：</w:t>
      </w:r>
      <w:r>
        <w:rPr>
          <w:rFonts w:hint="eastAsia" w:ascii="仿宋" w:hAnsi="仿宋" w:eastAsia="仿宋" w:cs="仿宋"/>
          <w:color w:val="auto"/>
          <w:sz w:val="24"/>
          <w:szCs w:val="21"/>
          <w:highlight w:val="none"/>
          <w:u w:val="single"/>
        </w:rPr>
        <w:t xml:space="preserve">                </w:t>
      </w:r>
    </w:p>
    <w:p>
      <w:pPr>
        <w:pStyle w:val="157"/>
        <w:wordWrap w:val="0"/>
        <w:spacing w:before="48" w:after="48"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pPr>
        <w:pStyle w:val="157"/>
        <w:spacing w:before="48" w:after="48" w:line="360" w:lineRule="auto"/>
        <w:ind w:firstLine="480"/>
        <w:jc w:val="right"/>
        <w:rPr>
          <w:rFonts w:ascii="仿宋" w:hAnsi="仿宋" w:eastAsia="仿宋" w:cs="仿宋"/>
          <w:color w:val="auto"/>
          <w:sz w:val="24"/>
          <w:highlight w:val="none"/>
          <w:lang w:bidi="ar"/>
        </w:rPr>
      </w:pPr>
    </w:p>
    <w:p>
      <w:pPr>
        <w:pStyle w:val="4"/>
        <w:spacing w:before="0" w:after="0"/>
        <w:ind w:left="0" w:firstLine="0"/>
        <w:jc w:val="center"/>
        <w:rPr>
          <w:rFonts w:ascii="仿宋" w:hAnsi="仿宋" w:eastAsia="仿宋" w:cs="仿宋"/>
          <w:color w:val="auto"/>
          <w:highlight w:val="none"/>
        </w:rPr>
      </w:pPr>
      <w:bookmarkStart w:id="495" w:name="_Toc14254"/>
      <w:r>
        <w:rPr>
          <w:rFonts w:hint="eastAsia" w:ascii="仿宋" w:hAnsi="仿宋" w:eastAsia="仿宋" w:cs="仿宋"/>
          <w:color w:val="auto"/>
          <w:highlight w:val="none"/>
        </w:rPr>
        <w:t>2.1</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 xml:space="preserve">   </w:t>
      </w:r>
      <w:bookmarkStart w:id="496" w:name="_Toc9889"/>
      <w:bookmarkStart w:id="497" w:name="_Toc96338069"/>
      <w:r>
        <w:rPr>
          <w:rFonts w:hint="eastAsia" w:ascii="仿宋" w:hAnsi="仿宋" w:eastAsia="仿宋" w:cs="仿宋"/>
          <w:color w:val="auto"/>
          <w:highlight w:val="none"/>
        </w:rPr>
        <w:t>拟投入的项目班子</w:t>
      </w:r>
      <w:bookmarkEnd w:id="495"/>
      <w:bookmarkEnd w:id="496"/>
      <w:bookmarkEnd w:id="497"/>
    </w:p>
    <w:p>
      <w:pPr>
        <w:pStyle w:val="15"/>
        <w:spacing w:line="360" w:lineRule="auto"/>
        <w:ind w:firstLine="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（格式仅供参考）</w:t>
      </w:r>
    </w:p>
    <w:p>
      <w:pPr>
        <w:pStyle w:val="15"/>
        <w:ind w:firstLine="0"/>
        <w:jc w:val="center"/>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项目负责人简历表</w:t>
      </w:r>
    </w:p>
    <w:tbl>
      <w:tblPr>
        <w:tblStyle w:val="62"/>
        <w:tblW w:w="92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4"/>
        <w:gridCol w:w="709"/>
        <w:gridCol w:w="456"/>
        <w:gridCol w:w="1155"/>
        <w:gridCol w:w="686"/>
        <w:gridCol w:w="469"/>
        <w:gridCol w:w="1232"/>
        <w:gridCol w:w="1513"/>
        <w:gridCol w:w="1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04" w:type="dxa"/>
            <w:shd w:val="clear" w:color="auto" w:fill="auto"/>
            <w:vAlign w:val="center"/>
          </w:tcPr>
          <w:p>
            <w:pPr>
              <w:pStyle w:val="15"/>
              <w:ind w:firstLine="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姓  名</w:t>
            </w:r>
          </w:p>
        </w:tc>
        <w:tc>
          <w:tcPr>
            <w:tcW w:w="1165" w:type="dxa"/>
            <w:gridSpan w:val="2"/>
            <w:shd w:val="clear" w:color="auto" w:fill="auto"/>
            <w:vAlign w:val="center"/>
          </w:tcPr>
          <w:p>
            <w:pPr>
              <w:pStyle w:val="15"/>
              <w:ind w:firstLine="0"/>
              <w:jc w:val="center"/>
              <w:rPr>
                <w:rFonts w:ascii="仿宋" w:hAnsi="仿宋" w:eastAsia="仿宋" w:cs="仿宋"/>
                <w:color w:val="auto"/>
                <w:sz w:val="24"/>
                <w:szCs w:val="24"/>
                <w:highlight w:val="none"/>
              </w:rPr>
            </w:pPr>
          </w:p>
        </w:tc>
        <w:tc>
          <w:tcPr>
            <w:tcW w:w="1155" w:type="dxa"/>
            <w:shd w:val="clear" w:color="auto" w:fill="auto"/>
            <w:vAlign w:val="center"/>
          </w:tcPr>
          <w:p>
            <w:pPr>
              <w:pStyle w:val="15"/>
              <w:ind w:firstLine="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年  龄</w:t>
            </w:r>
          </w:p>
        </w:tc>
        <w:tc>
          <w:tcPr>
            <w:tcW w:w="1155" w:type="dxa"/>
            <w:gridSpan w:val="2"/>
            <w:shd w:val="clear" w:color="auto" w:fill="auto"/>
            <w:vAlign w:val="center"/>
          </w:tcPr>
          <w:p>
            <w:pPr>
              <w:pStyle w:val="15"/>
              <w:ind w:firstLine="0"/>
              <w:jc w:val="center"/>
              <w:rPr>
                <w:rFonts w:ascii="仿宋" w:hAnsi="仿宋" w:eastAsia="仿宋" w:cs="仿宋"/>
                <w:color w:val="auto"/>
                <w:sz w:val="24"/>
                <w:szCs w:val="24"/>
                <w:highlight w:val="none"/>
              </w:rPr>
            </w:pPr>
          </w:p>
        </w:tc>
        <w:tc>
          <w:tcPr>
            <w:tcW w:w="2745" w:type="dxa"/>
            <w:gridSpan w:val="2"/>
            <w:shd w:val="clear" w:color="auto" w:fill="auto"/>
            <w:vAlign w:val="center"/>
          </w:tcPr>
          <w:p>
            <w:pPr>
              <w:pStyle w:val="15"/>
              <w:ind w:firstLine="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学历</w:t>
            </w:r>
          </w:p>
        </w:tc>
        <w:tc>
          <w:tcPr>
            <w:tcW w:w="1800" w:type="dxa"/>
            <w:shd w:val="clear" w:color="auto" w:fill="auto"/>
            <w:vAlign w:val="center"/>
          </w:tcPr>
          <w:p>
            <w:pPr>
              <w:pStyle w:val="15"/>
              <w:ind w:firstLine="0"/>
              <w:jc w:val="center"/>
              <w:rPr>
                <w:rFonts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04" w:type="dxa"/>
            <w:shd w:val="clear" w:color="auto" w:fill="auto"/>
            <w:vAlign w:val="center"/>
          </w:tcPr>
          <w:p>
            <w:pPr>
              <w:pStyle w:val="15"/>
              <w:ind w:firstLine="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职  称</w:t>
            </w:r>
          </w:p>
        </w:tc>
        <w:tc>
          <w:tcPr>
            <w:tcW w:w="1165" w:type="dxa"/>
            <w:gridSpan w:val="2"/>
            <w:shd w:val="clear" w:color="auto" w:fill="auto"/>
            <w:vAlign w:val="center"/>
          </w:tcPr>
          <w:p>
            <w:pPr>
              <w:pStyle w:val="15"/>
              <w:ind w:firstLine="0"/>
              <w:jc w:val="center"/>
              <w:rPr>
                <w:rFonts w:ascii="仿宋" w:hAnsi="仿宋" w:eastAsia="仿宋" w:cs="仿宋"/>
                <w:color w:val="auto"/>
                <w:sz w:val="24"/>
                <w:szCs w:val="24"/>
                <w:highlight w:val="none"/>
              </w:rPr>
            </w:pPr>
          </w:p>
        </w:tc>
        <w:tc>
          <w:tcPr>
            <w:tcW w:w="1155" w:type="dxa"/>
            <w:shd w:val="clear" w:color="auto" w:fill="auto"/>
            <w:vAlign w:val="center"/>
          </w:tcPr>
          <w:p>
            <w:pPr>
              <w:pStyle w:val="15"/>
              <w:ind w:firstLine="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职  务</w:t>
            </w:r>
          </w:p>
        </w:tc>
        <w:tc>
          <w:tcPr>
            <w:tcW w:w="1155" w:type="dxa"/>
            <w:gridSpan w:val="2"/>
            <w:shd w:val="clear" w:color="auto" w:fill="auto"/>
            <w:vAlign w:val="center"/>
          </w:tcPr>
          <w:p>
            <w:pPr>
              <w:pStyle w:val="15"/>
              <w:ind w:firstLine="0"/>
              <w:jc w:val="center"/>
              <w:rPr>
                <w:rFonts w:ascii="仿宋" w:hAnsi="仿宋" w:eastAsia="仿宋" w:cs="仿宋"/>
                <w:color w:val="auto"/>
                <w:sz w:val="24"/>
                <w:szCs w:val="24"/>
                <w:highlight w:val="none"/>
              </w:rPr>
            </w:pPr>
          </w:p>
        </w:tc>
        <w:tc>
          <w:tcPr>
            <w:tcW w:w="2745" w:type="dxa"/>
            <w:gridSpan w:val="2"/>
            <w:shd w:val="clear" w:color="auto" w:fill="auto"/>
            <w:vAlign w:val="center"/>
          </w:tcPr>
          <w:p>
            <w:pPr>
              <w:pStyle w:val="15"/>
              <w:ind w:firstLine="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拟在本项目任职</w:t>
            </w:r>
          </w:p>
        </w:tc>
        <w:tc>
          <w:tcPr>
            <w:tcW w:w="1800" w:type="dxa"/>
            <w:shd w:val="clear" w:color="auto" w:fill="auto"/>
            <w:vAlign w:val="center"/>
          </w:tcPr>
          <w:p>
            <w:pPr>
              <w:pStyle w:val="15"/>
              <w:ind w:firstLine="0"/>
              <w:jc w:val="center"/>
              <w:rPr>
                <w:rFonts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04" w:type="dxa"/>
            <w:shd w:val="clear" w:color="auto" w:fill="auto"/>
            <w:vAlign w:val="center"/>
          </w:tcPr>
          <w:p>
            <w:pPr>
              <w:pStyle w:val="15"/>
              <w:ind w:firstLine="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毕业院校</w:t>
            </w:r>
          </w:p>
        </w:tc>
        <w:tc>
          <w:tcPr>
            <w:tcW w:w="8020" w:type="dxa"/>
            <w:gridSpan w:val="8"/>
            <w:shd w:val="clear" w:color="auto" w:fill="auto"/>
            <w:vAlign w:val="center"/>
          </w:tcPr>
          <w:p>
            <w:pPr>
              <w:pStyle w:val="15"/>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224" w:type="dxa"/>
            <w:gridSpan w:val="9"/>
            <w:shd w:val="clear" w:color="auto" w:fill="auto"/>
            <w:vAlign w:val="center"/>
          </w:tcPr>
          <w:p>
            <w:pPr>
              <w:pStyle w:val="15"/>
              <w:ind w:firstLine="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主要工作履历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13" w:type="dxa"/>
            <w:gridSpan w:val="2"/>
            <w:shd w:val="clear" w:color="auto" w:fill="auto"/>
            <w:vAlign w:val="center"/>
          </w:tcPr>
          <w:p>
            <w:pPr>
              <w:pStyle w:val="15"/>
              <w:ind w:firstLine="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时间</w:t>
            </w:r>
          </w:p>
        </w:tc>
        <w:tc>
          <w:tcPr>
            <w:tcW w:w="2297" w:type="dxa"/>
            <w:gridSpan w:val="3"/>
            <w:shd w:val="clear" w:color="auto" w:fill="auto"/>
            <w:vAlign w:val="center"/>
          </w:tcPr>
          <w:p>
            <w:pPr>
              <w:pStyle w:val="15"/>
              <w:ind w:firstLine="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参加过类似项目</w:t>
            </w:r>
          </w:p>
        </w:tc>
        <w:tc>
          <w:tcPr>
            <w:tcW w:w="1701" w:type="dxa"/>
            <w:gridSpan w:val="2"/>
            <w:shd w:val="clear" w:color="auto" w:fill="auto"/>
            <w:vAlign w:val="center"/>
          </w:tcPr>
          <w:p>
            <w:pPr>
              <w:pStyle w:val="15"/>
              <w:ind w:firstLine="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担任职务</w:t>
            </w:r>
          </w:p>
        </w:tc>
        <w:tc>
          <w:tcPr>
            <w:tcW w:w="3313" w:type="dxa"/>
            <w:gridSpan w:val="2"/>
            <w:shd w:val="clear" w:color="auto" w:fill="auto"/>
            <w:vAlign w:val="center"/>
          </w:tcPr>
          <w:p>
            <w:pPr>
              <w:pStyle w:val="15"/>
              <w:ind w:firstLine="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业主及联系电话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13" w:type="dxa"/>
            <w:gridSpan w:val="2"/>
            <w:shd w:val="clear" w:color="auto" w:fill="auto"/>
            <w:vAlign w:val="center"/>
          </w:tcPr>
          <w:p>
            <w:pPr>
              <w:pStyle w:val="15"/>
              <w:ind w:firstLine="0"/>
              <w:jc w:val="center"/>
              <w:rPr>
                <w:rFonts w:ascii="仿宋" w:hAnsi="仿宋" w:eastAsia="仿宋" w:cs="仿宋"/>
                <w:color w:val="auto"/>
                <w:sz w:val="24"/>
                <w:szCs w:val="24"/>
                <w:highlight w:val="none"/>
              </w:rPr>
            </w:pPr>
          </w:p>
        </w:tc>
        <w:tc>
          <w:tcPr>
            <w:tcW w:w="2297" w:type="dxa"/>
            <w:gridSpan w:val="3"/>
            <w:shd w:val="clear" w:color="auto" w:fill="auto"/>
            <w:vAlign w:val="center"/>
          </w:tcPr>
          <w:p>
            <w:pPr>
              <w:pStyle w:val="15"/>
              <w:ind w:firstLine="0"/>
              <w:jc w:val="center"/>
              <w:rPr>
                <w:rFonts w:ascii="仿宋" w:hAnsi="仿宋" w:eastAsia="仿宋" w:cs="仿宋"/>
                <w:color w:val="auto"/>
                <w:sz w:val="24"/>
                <w:szCs w:val="24"/>
                <w:highlight w:val="none"/>
              </w:rPr>
            </w:pPr>
          </w:p>
        </w:tc>
        <w:tc>
          <w:tcPr>
            <w:tcW w:w="1701" w:type="dxa"/>
            <w:gridSpan w:val="2"/>
            <w:shd w:val="clear" w:color="auto" w:fill="auto"/>
            <w:vAlign w:val="center"/>
          </w:tcPr>
          <w:p>
            <w:pPr>
              <w:pStyle w:val="15"/>
              <w:ind w:firstLine="0"/>
              <w:jc w:val="center"/>
              <w:rPr>
                <w:rFonts w:ascii="仿宋" w:hAnsi="仿宋" w:eastAsia="仿宋" w:cs="仿宋"/>
                <w:color w:val="auto"/>
                <w:sz w:val="24"/>
                <w:szCs w:val="24"/>
                <w:highlight w:val="none"/>
              </w:rPr>
            </w:pPr>
          </w:p>
        </w:tc>
        <w:tc>
          <w:tcPr>
            <w:tcW w:w="3313" w:type="dxa"/>
            <w:gridSpan w:val="2"/>
            <w:shd w:val="clear" w:color="auto" w:fill="auto"/>
            <w:vAlign w:val="center"/>
          </w:tcPr>
          <w:p>
            <w:pPr>
              <w:pStyle w:val="15"/>
              <w:ind w:firstLine="0"/>
              <w:jc w:val="center"/>
              <w:rPr>
                <w:rFonts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13" w:type="dxa"/>
            <w:gridSpan w:val="2"/>
            <w:shd w:val="clear" w:color="auto" w:fill="auto"/>
            <w:vAlign w:val="center"/>
          </w:tcPr>
          <w:p>
            <w:pPr>
              <w:pStyle w:val="15"/>
              <w:ind w:firstLine="0"/>
              <w:jc w:val="center"/>
              <w:rPr>
                <w:rFonts w:ascii="仿宋" w:hAnsi="仿宋" w:eastAsia="仿宋" w:cs="仿宋"/>
                <w:color w:val="auto"/>
                <w:sz w:val="24"/>
                <w:szCs w:val="24"/>
                <w:highlight w:val="none"/>
              </w:rPr>
            </w:pPr>
          </w:p>
        </w:tc>
        <w:tc>
          <w:tcPr>
            <w:tcW w:w="2297" w:type="dxa"/>
            <w:gridSpan w:val="3"/>
            <w:shd w:val="clear" w:color="auto" w:fill="auto"/>
            <w:vAlign w:val="center"/>
          </w:tcPr>
          <w:p>
            <w:pPr>
              <w:pStyle w:val="15"/>
              <w:ind w:firstLine="0"/>
              <w:jc w:val="center"/>
              <w:rPr>
                <w:rFonts w:ascii="仿宋" w:hAnsi="仿宋" w:eastAsia="仿宋" w:cs="仿宋"/>
                <w:color w:val="auto"/>
                <w:sz w:val="24"/>
                <w:szCs w:val="24"/>
                <w:highlight w:val="none"/>
              </w:rPr>
            </w:pPr>
          </w:p>
        </w:tc>
        <w:tc>
          <w:tcPr>
            <w:tcW w:w="1701" w:type="dxa"/>
            <w:gridSpan w:val="2"/>
            <w:shd w:val="clear" w:color="auto" w:fill="auto"/>
            <w:vAlign w:val="center"/>
          </w:tcPr>
          <w:p>
            <w:pPr>
              <w:pStyle w:val="15"/>
              <w:ind w:firstLine="0"/>
              <w:jc w:val="center"/>
              <w:rPr>
                <w:rFonts w:ascii="仿宋" w:hAnsi="仿宋" w:eastAsia="仿宋" w:cs="仿宋"/>
                <w:color w:val="auto"/>
                <w:sz w:val="24"/>
                <w:szCs w:val="24"/>
                <w:highlight w:val="none"/>
              </w:rPr>
            </w:pPr>
          </w:p>
        </w:tc>
        <w:tc>
          <w:tcPr>
            <w:tcW w:w="3313" w:type="dxa"/>
            <w:gridSpan w:val="2"/>
            <w:shd w:val="clear" w:color="auto" w:fill="auto"/>
            <w:vAlign w:val="center"/>
          </w:tcPr>
          <w:p>
            <w:pPr>
              <w:pStyle w:val="15"/>
              <w:ind w:firstLine="0"/>
              <w:jc w:val="center"/>
              <w:rPr>
                <w:rFonts w:ascii="仿宋" w:hAnsi="仿宋" w:eastAsia="仿宋" w:cs="仿宋"/>
                <w:color w:val="auto"/>
                <w:sz w:val="24"/>
                <w:szCs w:val="24"/>
                <w:highlight w:val="none"/>
              </w:rPr>
            </w:pPr>
          </w:p>
        </w:tc>
      </w:tr>
    </w:tbl>
    <w:p>
      <w:pPr>
        <w:pStyle w:val="15"/>
        <w:ind w:firstLine="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附：执业资格证书、职称证书、学历证书等电子文档证明材料</w:t>
      </w:r>
    </w:p>
    <w:p>
      <w:pPr>
        <w:pStyle w:val="15"/>
        <w:ind w:firstLine="0"/>
        <w:rPr>
          <w:rFonts w:ascii="仿宋" w:hAnsi="仿宋" w:eastAsia="仿宋" w:cs="仿宋"/>
          <w:color w:val="auto"/>
          <w:sz w:val="24"/>
          <w:szCs w:val="24"/>
          <w:highlight w:val="none"/>
        </w:rPr>
      </w:pPr>
    </w:p>
    <w:p>
      <w:pPr>
        <w:pStyle w:val="15"/>
        <w:ind w:firstLine="0"/>
        <w:jc w:val="center"/>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项目班子一览表</w:t>
      </w:r>
    </w:p>
    <w:tbl>
      <w:tblPr>
        <w:tblStyle w:val="62"/>
        <w:tblW w:w="92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418"/>
        <w:gridCol w:w="1984"/>
        <w:gridCol w:w="1843"/>
        <w:gridCol w:w="27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42" w:type="dxa"/>
            <w:shd w:val="clear" w:color="auto" w:fill="auto"/>
            <w:vAlign w:val="center"/>
          </w:tcPr>
          <w:p>
            <w:pPr>
              <w:pStyle w:val="15"/>
              <w:ind w:firstLine="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姓名</w:t>
            </w:r>
          </w:p>
        </w:tc>
        <w:tc>
          <w:tcPr>
            <w:tcW w:w="1418" w:type="dxa"/>
            <w:shd w:val="clear" w:color="auto" w:fill="auto"/>
            <w:vAlign w:val="center"/>
          </w:tcPr>
          <w:p>
            <w:pPr>
              <w:pStyle w:val="15"/>
              <w:ind w:firstLine="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职务</w:t>
            </w:r>
          </w:p>
        </w:tc>
        <w:tc>
          <w:tcPr>
            <w:tcW w:w="1984" w:type="dxa"/>
            <w:shd w:val="clear" w:color="auto" w:fill="auto"/>
            <w:vAlign w:val="center"/>
          </w:tcPr>
          <w:p>
            <w:pPr>
              <w:pStyle w:val="15"/>
              <w:ind w:firstLine="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专业技术资格</w:t>
            </w:r>
          </w:p>
        </w:tc>
        <w:tc>
          <w:tcPr>
            <w:tcW w:w="1843" w:type="dxa"/>
            <w:shd w:val="clear" w:color="auto" w:fill="auto"/>
            <w:vAlign w:val="center"/>
          </w:tcPr>
          <w:p>
            <w:pPr>
              <w:pStyle w:val="15"/>
              <w:ind w:firstLine="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证书编号</w:t>
            </w:r>
          </w:p>
        </w:tc>
        <w:tc>
          <w:tcPr>
            <w:tcW w:w="2755" w:type="dxa"/>
            <w:shd w:val="clear" w:color="auto" w:fill="auto"/>
            <w:vAlign w:val="center"/>
          </w:tcPr>
          <w:p>
            <w:pPr>
              <w:pStyle w:val="15"/>
              <w:ind w:firstLine="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实施经验说明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42" w:type="dxa"/>
            <w:shd w:val="clear" w:color="auto" w:fill="auto"/>
            <w:vAlign w:val="center"/>
          </w:tcPr>
          <w:p>
            <w:pPr>
              <w:pStyle w:val="15"/>
              <w:ind w:firstLine="0"/>
              <w:jc w:val="center"/>
              <w:rPr>
                <w:rFonts w:ascii="仿宋" w:hAnsi="仿宋" w:eastAsia="仿宋" w:cs="仿宋"/>
                <w:color w:val="auto"/>
                <w:sz w:val="24"/>
                <w:szCs w:val="24"/>
                <w:highlight w:val="none"/>
              </w:rPr>
            </w:pPr>
          </w:p>
        </w:tc>
        <w:tc>
          <w:tcPr>
            <w:tcW w:w="1418" w:type="dxa"/>
            <w:shd w:val="clear" w:color="auto" w:fill="auto"/>
            <w:vAlign w:val="center"/>
          </w:tcPr>
          <w:p>
            <w:pPr>
              <w:pStyle w:val="15"/>
              <w:ind w:firstLine="0"/>
              <w:jc w:val="center"/>
              <w:rPr>
                <w:rFonts w:ascii="仿宋" w:hAnsi="仿宋" w:eastAsia="仿宋" w:cs="仿宋"/>
                <w:color w:val="auto"/>
                <w:sz w:val="24"/>
                <w:szCs w:val="24"/>
                <w:highlight w:val="none"/>
              </w:rPr>
            </w:pPr>
          </w:p>
        </w:tc>
        <w:tc>
          <w:tcPr>
            <w:tcW w:w="1984" w:type="dxa"/>
            <w:shd w:val="clear" w:color="auto" w:fill="auto"/>
            <w:vAlign w:val="center"/>
          </w:tcPr>
          <w:p>
            <w:pPr>
              <w:pStyle w:val="15"/>
              <w:ind w:firstLine="0"/>
              <w:jc w:val="center"/>
              <w:rPr>
                <w:rFonts w:ascii="仿宋" w:hAnsi="仿宋" w:eastAsia="仿宋" w:cs="仿宋"/>
                <w:color w:val="auto"/>
                <w:sz w:val="24"/>
                <w:szCs w:val="24"/>
                <w:highlight w:val="none"/>
              </w:rPr>
            </w:pPr>
          </w:p>
        </w:tc>
        <w:tc>
          <w:tcPr>
            <w:tcW w:w="1843" w:type="dxa"/>
            <w:shd w:val="clear" w:color="auto" w:fill="auto"/>
            <w:vAlign w:val="center"/>
          </w:tcPr>
          <w:p>
            <w:pPr>
              <w:pStyle w:val="15"/>
              <w:ind w:firstLine="0"/>
              <w:jc w:val="center"/>
              <w:rPr>
                <w:rFonts w:ascii="仿宋" w:hAnsi="仿宋" w:eastAsia="仿宋" w:cs="仿宋"/>
                <w:color w:val="auto"/>
                <w:sz w:val="24"/>
                <w:szCs w:val="24"/>
                <w:highlight w:val="none"/>
              </w:rPr>
            </w:pPr>
          </w:p>
        </w:tc>
        <w:tc>
          <w:tcPr>
            <w:tcW w:w="2755" w:type="dxa"/>
            <w:shd w:val="clear" w:color="auto" w:fill="auto"/>
            <w:vAlign w:val="center"/>
          </w:tcPr>
          <w:p>
            <w:pPr>
              <w:pStyle w:val="15"/>
              <w:ind w:firstLine="0"/>
              <w:jc w:val="center"/>
              <w:rPr>
                <w:rFonts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42" w:type="dxa"/>
            <w:shd w:val="clear" w:color="auto" w:fill="auto"/>
            <w:vAlign w:val="center"/>
          </w:tcPr>
          <w:p>
            <w:pPr>
              <w:pStyle w:val="15"/>
              <w:ind w:firstLine="0"/>
              <w:jc w:val="center"/>
              <w:rPr>
                <w:rFonts w:ascii="仿宋" w:hAnsi="仿宋" w:eastAsia="仿宋" w:cs="仿宋"/>
                <w:color w:val="auto"/>
                <w:sz w:val="24"/>
                <w:szCs w:val="24"/>
                <w:highlight w:val="none"/>
              </w:rPr>
            </w:pPr>
          </w:p>
        </w:tc>
        <w:tc>
          <w:tcPr>
            <w:tcW w:w="1418" w:type="dxa"/>
            <w:shd w:val="clear" w:color="auto" w:fill="auto"/>
            <w:vAlign w:val="center"/>
          </w:tcPr>
          <w:p>
            <w:pPr>
              <w:pStyle w:val="15"/>
              <w:ind w:firstLine="0"/>
              <w:jc w:val="center"/>
              <w:rPr>
                <w:rFonts w:ascii="仿宋" w:hAnsi="仿宋" w:eastAsia="仿宋" w:cs="仿宋"/>
                <w:color w:val="auto"/>
                <w:sz w:val="24"/>
                <w:szCs w:val="24"/>
                <w:highlight w:val="none"/>
              </w:rPr>
            </w:pPr>
          </w:p>
        </w:tc>
        <w:tc>
          <w:tcPr>
            <w:tcW w:w="1984" w:type="dxa"/>
            <w:shd w:val="clear" w:color="auto" w:fill="auto"/>
            <w:vAlign w:val="center"/>
          </w:tcPr>
          <w:p>
            <w:pPr>
              <w:pStyle w:val="15"/>
              <w:ind w:firstLine="0"/>
              <w:jc w:val="center"/>
              <w:rPr>
                <w:rFonts w:ascii="仿宋" w:hAnsi="仿宋" w:eastAsia="仿宋" w:cs="仿宋"/>
                <w:color w:val="auto"/>
                <w:sz w:val="24"/>
                <w:szCs w:val="24"/>
                <w:highlight w:val="none"/>
              </w:rPr>
            </w:pPr>
          </w:p>
        </w:tc>
        <w:tc>
          <w:tcPr>
            <w:tcW w:w="1843" w:type="dxa"/>
            <w:shd w:val="clear" w:color="auto" w:fill="auto"/>
            <w:vAlign w:val="center"/>
          </w:tcPr>
          <w:p>
            <w:pPr>
              <w:pStyle w:val="15"/>
              <w:ind w:firstLine="0"/>
              <w:jc w:val="center"/>
              <w:rPr>
                <w:rFonts w:ascii="仿宋" w:hAnsi="仿宋" w:eastAsia="仿宋" w:cs="仿宋"/>
                <w:color w:val="auto"/>
                <w:sz w:val="24"/>
                <w:szCs w:val="24"/>
                <w:highlight w:val="none"/>
              </w:rPr>
            </w:pPr>
          </w:p>
        </w:tc>
        <w:tc>
          <w:tcPr>
            <w:tcW w:w="2755" w:type="dxa"/>
            <w:shd w:val="clear" w:color="auto" w:fill="auto"/>
            <w:vAlign w:val="center"/>
          </w:tcPr>
          <w:p>
            <w:pPr>
              <w:pStyle w:val="15"/>
              <w:ind w:firstLine="0"/>
              <w:jc w:val="center"/>
              <w:rPr>
                <w:rFonts w:ascii="仿宋" w:hAnsi="仿宋" w:eastAsia="仿宋" w:cs="仿宋"/>
                <w:color w:val="auto"/>
                <w:sz w:val="24"/>
                <w:szCs w:val="24"/>
                <w:highlight w:val="none"/>
              </w:rPr>
            </w:pPr>
          </w:p>
        </w:tc>
      </w:tr>
    </w:tbl>
    <w:p>
      <w:pPr>
        <w:pStyle w:val="15"/>
        <w:ind w:firstLine="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附：相关人员的专业技术资格证书电子文档证明材料</w:t>
      </w:r>
    </w:p>
    <w:p>
      <w:pPr>
        <w:pStyle w:val="15"/>
        <w:ind w:firstLine="0"/>
        <w:rPr>
          <w:rFonts w:ascii="仿宋" w:hAnsi="仿宋" w:eastAsia="仿宋" w:cs="仿宋"/>
          <w:color w:val="auto"/>
          <w:sz w:val="24"/>
          <w:szCs w:val="24"/>
          <w:highlight w:val="none"/>
        </w:rPr>
      </w:pP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供应商盖章：</w:t>
      </w:r>
      <w:r>
        <w:rPr>
          <w:rFonts w:hint="eastAsia" w:ascii="仿宋" w:hAnsi="仿宋" w:eastAsia="仿宋" w:cs="仿宋"/>
          <w:color w:val="auto"/>
          <w:sz w:val="24"/>
          <w:szCs w:val="21"/>
          <w:highlight w:val="none"/>
          <w:u w:val="single"/>
        </w:rPr>
        <w:t xml:space="preserve">                </w:t>
      </w:r>
    </w:p>
    <w:p>
      <w:pPr>
        <w:pStyle w:val="157"/>
        <w:spacing w:line="360" w:lineRule="auto"/>
        <w:ind w:firstLine="480"/>
        <w:jc w:val="center"/>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 xml:space="preserve">                            日      期：</w:t>
      </w:r>
      <w:r>
        <w:rPr>
          <w:rFonts w:hint="eastAsia" w:ascii="仿宋" w:hAnsi="仿宋" w:eastAsia="仿宋" w:cs="仿宋"/>
          <w:color w:val="auto"/>
          <w:sz w:val="24"/>
          <w:szCs w:val="21"/>
          <w:highlight w:val="none"/>
          <w:u w:val="single"/>
        </w:rPr>
        <w:t xml:space="preserve">                </w:t>
      </w:r>
    </w:p>
    <w:p>
      <w:pPr>
        <w:pStyle w:val="157"/>
        <w:spacing w:before="48" w:after="48" w:line="400" w:lineRule="exact"/>
        <w:rPr>
          <w:rFonts w:ascii="仿宋" w:hAnsi="仿宋" w:eastAsia="仿宋" w:cs="仿宋"/>
          <w:color w:val="auto"/>
          <w:sz w:val="24"/>
          <w:highlight w:val="none"/>
          <w:lang w:val="en-GB"/>
        </w:rPr>
      </w:pPr>
    </w:p>
    <w:p>
      <w:pPr>
        <w:pStyle w:val="4"/>
        <w:spacing w:before="0" w:after="0"/>
        <w:ind w:left="0" w:firstLine="0"/>
        <w:jc w:val="center"/>
        <w:rPr>
          <w:rFonts w:ascii="仿宋" w:hAnsi="仿宋" w:eastAsia="仿宋" w:cs="仿宋"/>
          <w:color w:val="auto"/>
          <w:highlight w:val="none"/>
        </w:rPr>
      </w:pPr>
      <w:bookmarkStart w:id="498" w:name="_Toc30220"/>
      <w:r>
        <w:rPr>
          <w:rFonts w:hint="eastAsia" w:ascii="仿宋" w:hAnsi="仿宋" w:eastAsia="仿宋" w:cs="仿宋"/>
          <w:color w:val="auto"/>
          <w:highlight w:val="none"/>
        </w:rPr>
        <w:t>2.1</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 xml:space="preserve">   重点难点分析与理解</w:t>
      </w:r>
      <w:bookmarkEnd w:id="498"/>
    </w:p>
    <w:p>
      <w:pPr>
        <w:pStyle w:val="969"/>
        <w:spacing w:line="36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highlight w:val="none"/>
        </w:rPr>
        <w:t>格式自行设计</w:t>
      </w:r>
      <w:r>
        <w:rPr>
          <w:rFonts w:hint="eastAsia" w:ascii="仿宋" w:hAnsi="仿宋" w:eastAsia="仿宋" w:cs="仿宋"/>
          <w:color w:val="auto"/>
          <w:sz w:val="24"/>
          <w:szCs w:val="24"/>
          <w:highlight w:val="none"/>
        </w:rPr>
        <w:t>）</w:t>
      </w:r>
    </w:p>
    <w:p>
      <w:pPr>
        <w:pStyle w:val="157"/>
        <w:spacing w:before="48" w:after="48" w:line="400" w:lineRule="exact"/>
        <w:rPr>
          <w:rFonts w:ascii="仿宋" w:hAnsi="仿宋" w:eastAsia="仿宋" w:cs="仿宋"/>
          <w:color w:val="auto"/>
          <w:sz w:val="24"/>
          <w:highlight w:val="none"/>
          <w:lang w:val="en-GB"/>
        </w:rPr>
      </w:pPr>
    </w:p>
    <w:p>
      <w:pPr>
        <w:pStyle w:val="157"/>
        <w:wordWrap w:val="0"/>
        <w:spacing w:before="48" w:after="48"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供应商盖章：</w:t>
      </w:r>
      <w:r>
        <w:rPr>
          <w:rFonts w:hint="eastAsia" w:ascii="仿宋" w:hAnsi="仿宋" w:eastAsia="仿宋" w:cs="仿宋"/>
          <w:color w:val="auto"/>
          <w:sz w:val="24"/>
          <w:szCs w:val="21"/>
          <w:highlight w:val="none"/>
          <w:u w:val="single"/>
        </w:rPr>
        <w:t xml:space="preserve">                </w:t>
      </w:r>
    </w:p>
    <w:p>
      <w:pPr>
        <w:pStyle w:val="157"/>
        <w:wordWrap w:val="0"/>
        <w:spacing w:before="48" w:after="48"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pPr>
        <w:pStyle w:val="157"/>
        <w:spacing w:before="48" w:after="48" w:line="360" w:lineRule="auto"/>
        <w:ind w:firstLine="480"/>
        <w:jc w:val="right"/>
        <w:rPr>
          <w:rFonts w:ascii="仿宋" w:hAnsi="仿宋" w:eastAsia="仿宋" w:cs="仿宋"/>
          <w:color w:val="auto"/>
          <w:sz w:val="24"/>
          <w:szCs w:val="21"/>
          <w:highlight w:val="none"/>
          <w:u w:val="single"/>
        </w:rPr>
      </w:pPr>
    </w:p>
    <w:p>
      <w:pPr>
        <w:pStyle w:val="157"/>
        <w:spacing w:before="48" w:after="48" w:line="360" w:lineRule="auto"/>
        <w:ind w:firstLine="480"/>
        <w:jc w:val="right"/>
        <w:rPr>
          <w:rFonts w:ascii="仿宋" w:hAnsi="仿宋" w:eastAsia="仿宋" w:cs="仿宋"/>
          <w:color w:val="auto"/>
          <w:sz w:val="24"/>
          <w:szCs w:val="21"/>
          <w:highlight w:val="none"/>
          <w:u w:val="single"/>
        </w:rPr>
      </w:pPr>
    </w:p>
    <w:p>
      <w:pPr>
        <w:pStyle w:val="157"/>
        <w:spacing w:before="48" w:after="48" w:line="360" w:lineRule="auto"/>
        <w:ind w:firstLine="480"/>
        <w:jc w:val="right"/>
        <w:rPr>
          <w:rFonts w:ascii="仿宋" w:hAnsi="仿宋" w:eastAsia="仿宋" w:cs="仿宋"/>
          <w:color w:val="auto"/>
          <w:sz w:val="24"/>
          <w:szCs w:val="21"/>
          <w:highlight w:val="none"/>
          <w:u w:val="single"/>
        </w:rPr>
      </w:pPr>
    </w:p>
    <w:p>
      <w:pPr>
        <w:pStyle w:val="157"/>
        <w:spacing w:before="48" w:after="48" w:line="360" w:lineRule="auto"/>
        <w:ind w:firstLine="480"/>
        <w:jc w:val="right"/>
        <w:rPr>
          <w:rFonts w:ascii="仿宋" w:hAnsi="仿宋" w:eastAsia="仿宋" w:cs="仿宋"/>
          <w:color w:val="auto"/>
          <w:sz w:val="24"/>
          <w:szCs w:val="21"/>
          <w:highlight w:val="none"/>
          <w:u w:val="single"/>
        </w:rPr>
      </w:pPr>
    </w:p>
    <w:p>
      <w:pPr>
        <w:pStyle w:val="157"/>
        <w:spacing w:before="48" w:after="48" w:line="360" w:lineRule="auto"/>
        <w:ind w:firstLine="480"/>
        <w:jc w:val="right"/>
        <w:rPr>
          <w:rFonts w:ascii="仿宋" w:hAnsi="仿宋" w:eastAsia="仿宋" w:cs="仿宋"/>
          <w:color w:val="auto"/>
          <w:sz w:val="24"/>
          <w:szCs w:val="21"/>
          <w:highlight w:val="none"/>
          <w:u w:val="single"/>
        </w:rPr>
      </w:pPr>
    </w:p>
    <w:p>
      <w:pPr>
        <w:pStyle w:val="4"/>
        <w:spacing w:before="0" w:after="0"/>
        <w:ind w:left="0" w:firstLine="0"/>
        <w:jc w:val="center"/>
        <w:rPr>
          <w:rFonts w:ascii="仿宋" w:hAnsi="仿宋" w:eastAsia="仿宋" w:cs="仿宋"/>
          <w:color w:val="auto"/>
          <w:highlight w:val="none"/>
        </w:rPr>
      </w:pPr>
      <w:bookmarkStart w:id="499" w:name="_Toc11678"/>
      <w:r>
        <w:rPr>
          <w:rFonts w:hint="eastAsia" w:ascii="仿宋" w:hAnsi="仿宋" w:eastAsia="仿宋" w:cs="仿宋"/>
          <w:color w:val="auto"/>
          <w:highlight w:val="none"/>
        </w:rPr>
        <w:t>2.1</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 xml:space="preserve">   重点难点解决措施</w:t>
      </w:r>
      <w:bookmarkEnd w:id="499"/>
    </w:p>
    <w:p>
      <w:pPr>
        <w:pStyle w:val="969"/>
        <w:spacing w:line="36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highlight w:val="none"/>
        </w:rPr>
        <w:t>格式自行设计</w:t>
      </w:r>
      <w:r>
        <w:rPr>
          <w:rFonts w:hint="eastAsia" w:ascii="仿宋" w:hAnsi="仿宋" w:eastAsia="仿宋" w:cs="仿宋"/>
          <w:color w:val="auto"/>
          <w:sz w:val="24"/>
          <w:szCs w:val="24"/>
          <w:highlight w:val="none"/>
        </w:rPr>
        <w:t>）</w:t>
      </w:r>
    </w:p>
    <w:p>
      <w:pPr>
        <w:pStyle w:val="157"/>
        <w:spacing w:before="48" w:after="48" w:line="400" w:lineRule="exact"/>
        <w:rPr>
          <w:rFonts w:ascii="仿宋" w:hAnsi="仿宋" w:eastAsia="仿宋" w:cs="仿宋"/>
          <w:color w:val="auto"/>
          <w:sz w:val="24"/>
          <w:highlight w:val="none"/>
          <w:lang w:val="en-GB"/>
        </w:rPr>
      </w:pPr>
    </w:p>
    <w:p>
      <w:pPr>
        <w:pStyle w:val="157"/>
        <w:wordWrap w:val="0"/>
        <w:spacing w:before="48" w:after="48"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供应商盖章：</w:t>
      </w:r>
      <w:r>
        <w:rPr>
          <w:rFonts w:hint="eastAsia" w:ascii="仿宋" w:hAnsi="仿宋" w:eastAsia="仿宋" w:cs="仿宋"/>
          <w:color w:val="auto"/>
          <w:sz w:val="24"/>
          <w:szCs w:val="21"/>
          <w:highlight w:val="none"/>
          <w:u w:val="single"/>
        </w:rPr>
        <w:t xml:space="preserve">                </w:t>
      </w:r>
    </w:p>
    <w:p>
      <w:pPr>
        <w:pStyle w:val="157"/>
        <w:wordWrap w:val="0"/>
        <w:spacing w:before="48" w:after="48"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pPr>
        <w:pStyle w:val="157"/>
        <w:spacing w:before="48" w:after="48" w:line="360" w:lineRule="auto"/>
        <w:ind w:firstLine="480"/>
        <w:jc w:val="right"/>
        <w:rPr>
          <w:rFonts w:ascii="仿宋" w:hAnsi="仿宋" w:eastAsia="仿宋" w:cs="仿宋"/>
          <w:color w:val="auto"/>
          <w:sz w:val="24"/>
          <w:szCs w:val="21"/>
          <w:highlight w:val="none"/>
          <w:u w:val="single"/>
        </w:rPr>
      </w:pPr>
    </w:p>
    <w:p>
      <w:pPr>
        <w:pStyle w:val="157"/>
        <w:spacing w:before="48" w:after="48" w:line="360" w:lineRule="auto"/>
        <w:ind w:firstLine="480"/>
        <w:jc w:val="right"/>
        <w:rPr>
          <w:rFonts w:ascii="仿宋" w:hAnsi="仿宋" w:eastAsia="仿宋" w:cs="仿宋"/>
          <w:color w:val="auto"/>
          <w:sz w:val="24"/>
          <w:szCs w:val="21"/>
          <w:highlight w:val="none"/>
          <w:u w:val="single"/>
        </w:rPr>
      </w:pPr>
    </w:p>
    <w:p>
      <w:pPr>
        <w:pStyle w:val="157"/>
        <w:spacing w:before="48" w:after="48" w:line="360" w:lineRule="auto"/>
        <w:ind w:firstLine="480"/>
        <w:jc w:val="right"/>
        <w:rPr>
          <w:rFonts w:ascii="仿宋" w:hAnsi="仿宋" w:eastAsia="仿宋" w:cs="仿宋"/>
          <w:color w:val="auto"/>
          <w:sz w:val="24"/>
          <w:szCs w:val="21"/>
          <w:highlight w:val="none"/>
          <w:u w:val="single"/>
        </w:rPr>
      </w:pPr>
    </w:p>
    <w:p>
      <w:pPr>
        <w:pStyle w:val="157"/>
        <w:spacing w:line="360" w:lineRule="auto"/>
        <w:ind w:firstLine="480"/>
        <w:jc w:val="right"/>
        <w:rPr>
          <w:rFonts w:ascii="仿宋" w:hAnsi="仿宋" w:eastAsia="仿宋" w:cs="仿宋"/>
          <w:color w:val="auto"/>
          <w:sz w:val="24"/>
          <w:szCs w:val="21"/>
          <w:highlight w:val="none"/>
          <w:u w:val="single"/>
        </w:rPr>
      </w:pPr>
    </w:p>
    <w:p>
      <w:pPr>
        <w:pStyle w:val="4"/>
        <w:adjustRightInd/>
        <w:spacing w:before="0" w:after="0" w:line="360" w:lineRule="auto"/>
        <w:ind w:left="0" w:firstLine="0"/>
        <w:jc w:val="center"/>
        <w:rPr>
          <w:rFonts w:ascii="仿宋" w:hAnsi="仿宋" w:eastAsia="仿宋" w:cs="仿宋"/>
          <w:color w:val="auto"/>
          <w:highlight w:val="none"/>
        </w:rPr>
      </w:pPr>
      <w:bookmarkStart w:id="500" w:name="_Toc34895615"/>
      <w:bookmarkStart w:id="501" w:name="_Toc341260008"/>
      <w:bookmarkStart w:id="502" w:name="_Toc8482"/>
      <w:bookmarkStart w:id="503" w:name="_Toc377979050"/>
      <w:bookmarkStart w:id="504" w:name="_Toc96338070"/>
      <w:bookmarkStart w:id="505" w:name="_Toc531359072"/>
      <w:bookmarkStart w:id="506" w:name="_Toc305144129"/>
      <w:bookmarkStart w:id="507" w:name="_Toc409172377"/>
      <w:bookmarkStart w:id="508" w:name="_Toc359934644"/>
      <w:bookmarkStart w:id="509" w:name="_Toc303756458"/>
      <w:bookmarkStart w:id="510" w:name="_Toc515526271"/>
      <w:bookmarkStart w:id="511" w:name="_Toc30994"/>
      <w:r>
        <w:rPr>
          <w:rFonts w:hint="eastAsia" w:ascii="仿宋" w:hAnsi="仿宋" w:eastAsia="仿宋" w:cs="仿宋"/>
          <w:color w:val="auto"/>
          <w:highlight w:val="none"/>
        </w:rPr>
        <w:t>2.1</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 xml:space="preserve">   供应商需要说明的其他文件和说明</w:t>
      </w:r>
      <w:bookmarkEnd w:id="500"/>
      <w:bookmarkEnd w:id="501"/>
      <w:bookmarkEnd w:id="502"/>
      <w:bookmarkEnd w:id="503"/>
      <w:bookmarkEnd w:id="504"/>
      <w:bookmarkEnd w:id="505"/>
      <w:bookmarkEnd w:id="506"/>
      <w:bookmarkEnd w:id="507"/>
      <w:bookmarkEnd w:id="508"/>
      <w:bookmarkEnd w:id="509"/>
      <w:bookmarkEnd w:id="510"/>
      <w:bookmarkEnd w:id="511"/>
    </w:p>
    <w:p>
      <w:pPr>
        <w:pStyle w:val="978"/>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（格式自行设计）</w:t>
      </w:r>
    </w:p>
    <w:p>
      <w:pPr>
        <w:pStyle w:val="978"/>
        <w:spacing w:line="360" w:lineRule="auto"/>
        <w:jc w:val="left"/>
        <w:rPr>
          <w:rFonts w:ascii="仿宋" w:hAnsi="仿宋" w:eastAsia="仿宋" w:cs="仿宋"/>
          <w:color w:val="auto"/>
          <w:sz w:val="24"/>
          <w:highlight w:val="none"/>
        </w:rPr>
      </w:pP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供应商盖章：</w:t>
      </w:r>
      <w:r>
        <w:rPr>
          <w:rFonts w:hint="eastAsia" w:ascii="仿宋" w:hAnsi="仿宋" w:eastAsia="仿宋" w:cs="仿宋"/>
          <w:color w:val="auto"/>
          <w:sz w:val="24"/>
          <w:szCs w:val="21"/>
          <w:highlight w:val="none"/>
          <w:u w:val="single"/>
        </w:rPr>
        <w:t xml:space="preserve">                </w:t>
      </w: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p>
    <w:p>
      <w:pPr>
        <w:pStyle w:val="157"/>
        <w:spacing w:line="360" w:lineRule="auto"/>
        <w:jc w:val="left"/>
        <w:rPr>
          <w:rFonts w:ascii="仿宋" w:hAnsi="仿宋" w:eastAsia="仿宋" w:cs="仿宋"/>
          <w:color w:val="auto"/>
          <w:sz w:val="24"/>
          <w:szCs w:val="21"/>
          <w:highlight w:val="none"/>
          <w:u w:val="single"/>
        </w:rPr>
      </w:pPr>
    </w:p>
    <w:p>
      <w:pPr>
        <w:pStyle w:val="157"/>
        <w:wordWrap w:val="0"/>
        <w:spacing w:line="360" w:lineRule="auto"/>
        <w:ind w:firstLine="480"/>
        <w:jc w:val="right"/>
        <w:rPr>
          <w:rFonts w:ascii="仿宋" w:hAnsi="仿宋" w:eastAsia="仿宋" w:cs="仿宋"/>
          <w:color w:val="auto"/>
          <w:sz w:val="24"/>
          <w:szCs w:val="21"/>
          <w:highlight w:val="none"/>
          <w:u w:val="single"/>
        </w:rPr>
        <w:sectPr>
          <w:pgSz w:w="11905" w:h="16838"/>
          <w:pgMar w:top="1440" w:right="1803" w:bottom="1440" w:left="1803" w:header="851" w:footer="992" w:gutter="0"/>
          <w:cols w:space="0" w:num="1"/>
          <w:rtlGutter w:val="0"/>
          <w:docGrid w:linePitch="312" w:charSpace="0"/>
        </w:sectPr>
      </w:pPr>
    </w:p>
    <w:p>
      <w:pPr>
        <w:pStyle w:val="59"/>
        <w:spacing w:before="240" w:beforeLines="100" w:after="240" w:afterLines="100"/>
        <w:outlineLvl w:val="1"/>
        <w:rPr>
          <w:rFonts w:ascii="仿宋" w:hAnsi="仿宋" w:eastAsia="仿宋" w:cs="仿宋"/>
          <w:color w:val="auto"/>
          <w:sz w:val="44"/>
          <w:szCs w:val="44"/>
          <w:highlight w:val="none"/>
        </w:rPr>
      </w:pPr>
      <w:bookmarkStart w:id="512" w:name="_Toc139797680"/>
      <w:bookmarkStart w:id="513" w:name="_Toc96338071"/>
      <w:bookmarkStart w:id="514" w:name="_Toc530551896"/>
      <w:bookmarkStart w:id="515" w:name="_Toc531359073"/>
      <w:bookmarkStart w:id="516" w:name="_Toc15735"/>
      <w:bookmarkStart w:id="517" w:name="_Toc8618"/>
      <w:r>
        <w:rPr>
          <w:rFonts w:hint="eastAsia" w:ascii="仿宋" w:hAnsi="仿宋" w:eastAsia="仿宋" w:cs="仿宋"/>
          <w:color w:val="auto"/>
          <w:sz w:val="44"/>
          <w:szCs w:val="44"/>
          <w:highlight w:val="none"/>
        </w:rPr>
        <w:t>三  报价文件格式</w:t>
      </w:r>
      <w:bookmarkEnd w:id="512"/>
      <w:bookmarkEnd w:id="513"/>
      <w:bookmarkEnd w:id="514"/>
      <w:bookmarkEnd w:id="515"/>
      <w:bookmarkEnd w:id="516"/>
      <w:bookmarkEnd w:id="517"/>
    </w:p>
    <w:p>
      <w:pPr>
        <w:spacing w:line="360" w:lineRule="auto"/>
        <w:rPr>
          <w:rFonts w:ascii="仿宋" w:hAnsi="仿宋" w:eastAsia="仿宋" w:cs="仿宋"/>
          <w:color w:val="auto"/>
          <w:sz w:val="24"/>
          <w:highlight w:val="none"/>
        </w:rPr>
      </w:pPr>
    </w:p>
    <w:p>
      <w:pPr>
        <w:pStyle w:val="4"/>
        <w:spacing w:before="0" w:after="0"/>
        <w:ind w:firstLine="0"/>
        <w:jc w:val="left"/>
        <w:rPr>
          <w:rFonts w:ascii="仿宋" w:hAnsi="仿宋" w:eastAsia="仿宋" w:cs="仿宋"/>
          <w:color w:val="auto"/>
          <w:sz w:val="24"/>
          <w:szCs w:val="24"/>
          <w:highlight w:val="none"/>
        </w:rPr>
      </w:pPr>
      <w:bookmarkStart w:id="518" w:name="_Toc96338072"/>
      <w:bookmarkStart w:id="519" w:name="_Toc137"/>
      <w:bookmarkStart w:id="520" w:name="_Toc139797681"/>
      <w:bookmarkStart w:id="521" w:name="_Toc8890"/>
      <w:bookmarkStart w:id="522" w:name="_Toc530551897"/>
      <w:bookmarkStart w:id="523" w:name="_Toc493956072"/>
      <w:bookmarkStart w:id="524" w:name="_Toc531359074"/>
      <w:r>
        <w:rPr>
          <w:rFonts w:hint="eastAsia" w:ascii="仿宋" w:hAnsi="仿宋" w:eastAsia="仿宋" w:cs="仿宋"/>
          <w:color w:val="auto"/>
          <w:sz w:val="24"/>
          <w:szCs w:val="24"/>
          <w:highlight w:val="none"/>
        </w:rPr>
        <w:t>3.1     报价文件文件封面格式</w:t>
      </w:r>
      <w:bookmarkEnd w:id="518"/>
      <w:bookmarkEnd w:id="519"/>
      <w:bookmarkEnd w:id="520"/>
      <w:bookmarkEnd w:id="521"/>
    </w:p>
    <w:p>
      <w:pPr>
        <w:pStyle w:val="15"/>
        <w:spacing w:line="360" w:lineRule="auto"/>
        <w:ind w:firstLine="0"/>
        <w:jc w:val="center"/>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磋商响应文件</w:t>
      </w:r>
    </w:p>
    <w:p>
      <w:pPr>
        <w:snapToGrid w:val="0"/>
        <w:jc w:val="center"/>
        <w:rPr>
          <w:rFonts w:ascii="仿宋" w:hAnsi="仿宋" w:eastAsia="仿宋" w:cs="仿宋"/>
          <w:bCs/>
          <w:color w:val="auto"/>
          <w:sz w:val="24"/>
          <w:szCs w:val="20"/>
          <w:highlight w:val="none"/>
        </w:rPr>
      </w:pPr>
    </w:p>
    <w:tbl>
      <w:tblPr>
        <w:tblStyle w:val="62"/>
        <w:tblW w:w="7054" w:type="dxa"/>
        <w:jc w:val="center"/>
        <w:tblLayout w:type="fixed"/>
        <w:tblCellMar>
          <w:top w:w="0" w:type="dxa"/>
          <w:left w:w="108" w:type="dxa"/>
          <w:bottom w:w="0" w:type="dxa"/>
          <w:right w:w="108" w:type="dxa"/>
        </w:tblCellMar>
      </w:tblPr>
      <w:tblGrid>
        <w:gridCol w:w="2518"/>
        <w:gridCol w:w="4536"/>
      </w:tblGrid>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highlight w:val="none"/>
              </w:rPr>
            </w:pPr>
            <w:r>
              <w:rPr>
                <w:rFonts w:hint="eastAsia" w:ascii="仿宋" w:hAnsi="仿宋" w:eastAsia="仿宋" w:cs="仿宋"/>
                <w:color w:val="auto"/>
                <w:sz w:val="24"/>
                <w:highlight w:val="none"/>
              </w:rPr>
              <w:t>磋商响应文件名称：</w:t>
            </w:r>
          </w:p>
        </w:tc>
        <w:tc>
          <w:tcPr>
            <w:tcW w:w="4536" w:type="dxa"/>
            <w:shd w:val="clear" w:color="auto" w:fill="auto"/>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rPr>
              <w:t xml:space="preserve"> 报价文件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highlight w:val="none"/>
              </w:rPr>
            </w:pPr>
            <w:r>
              <w:rPr>
                <w:rFonts w:hint="eastAsia" w:ascii="仿宋" w:hAnsi="仿宋" w:eastAsia="仿宋" w:cs="仿宋"/>
                <w:color w:val="auto"/>
                <w:sz w:val="24"/>
                <w:highlight w:val="none"/>
              </w:rPr>
              <w:t>项 目 编 号：</w:t>
            </w:r>
          </w:p>
        </w:tc>
        <w:tc>
          <w:tcPr>
            <w:tcW w:w="4536" w:type="dxa"/>
            <w:shd w:val="clear" w:color="auto" w:fill="auto"/>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highlight w:val="none"/>
              </w:rPr>
            </w:pPr>
            <w:r>
              <w:rPr>
                <w:rFonts w:hint="eastAsia" w:ascii="仿宋" w:hAnsi="仿宋" w:eastAsia="仿宋" w:cs="仿宋"/>
                <w:color w:val="auto"/>
                <w:sz w:val="24"/>
                <w:highlight w:val="none"/>
              </w:rPr>
              <w:t>项 目 名 称：</w:t>
            </w:r>
          </w:p>
        </w:tc>
        <w:tc>
          <w:tcPr>
            <w:tcW w:w="4536" w:type="dxa"/>
            <w:shd w:val="clear" w:color="auto" w:fill="auto"/>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highlight w:val="none"/>
              </w:rPr>
            </w:pPr>
            <w:r>
              <w:rPr>
                <w:rFonts w:hint="eastAsia" w:ascii="仿宋" w:hAnsi="仿宋" w:eastAsia="仿宋" w:cs="仿宋"/>
                <w:color w:val="auto"/>
                <w:sz w:val="24"/>
                <w:highlight w:val="none"/>
              </w:rPr>
              <w:t>标      项：</w:t>
            </w:r>
          </w:p>
        </w:tc>
        <w:tc>
          <w:tcPr>
            <w:tcW w:w="4536" w:type="dxa"/>
            <w:shd w:val="clear" w:color="auto" w:fill="auto"/>
            <w:vAlign w:val="center"/>
          </w:tcPr>
          <w:p>
            <w:pPr>
              <w:jc w:val="left"/>
              <w:rPr>
                <w:rFonts w:ascii="仿宋" w:hAnsi="仿宋" w:eastAsia="仿宋" w:cs="仿宋"/>
                <w:color w:val="auto"/>
                <w:sz w:val="24"/>
                <w:highlight w:val="none"/>
                <w:u w:val="single"/>
              </w:rPr>
            </w:pPr>
            <w:r>
              <w:rPr>
                <w:rFonts w:hint="eastAsia" w:ascii="仿宋" w:hAnsi="仿宋" w:eastAsia="仿宋" w:cs="仿宋"/>
                <w:color w:val="auto"/>
                <w:sz w:val="24"/>
                <w:highlight w:val="none"/>
                <w:u w:val="single"/>
              </w:rPr>
              <w:t xml:space="preserve">（若有）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highlight w:val="none"/>
              </w:rPr>
            </w:pPr>
          </w:p>
        </w:tc>
        <w:tc>
          <w:tcPr>
            <w:tcW w:w="4536" w:type="dxa"/>
            <w:shd w:val="clear" w:color="auto" w:fill="auto"/>
            <w:vAlign w:val="center"/>
          </w:tcPr>
          <w:p>
            <w:pPr>
              <w:jc w:val="left"/>
              <w:rPr>
                <w:rFonts w:ascii="仿宋" w:hAnsi="仿宋" w:eastAsia="仿宋" w:cs="仿宋"/>
                <w:color w:val="auto"/>
                <w:sz w:val="24"/>
                <w:highlight w:val="none"/>
              </w:rPr>
            </w:pP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highlight w:val="none"/>
              </w:rPr>
            </w:pPr>
            <w:r>
              <w:rPr>
                <w:rFonts w:hint="eastAsia" w:ascii="仿宋" w:hAnsi="仿宋" w:eastAsia="仿宋" w:cs="仿宋"/>
                <w:color w:val="auto"/>
                <w:sz w:val="24"/>
                <w:highlight w:val="none"/>
              </w:rPr>
              <w:t>供应商全称（盖章）：</w:t>
            </w:r>
          </w:p>
        </w:tc>
        <w:tc>
          <w:tcPr>
            <w:tcW w:w="4536" w:type="dxa"/>
            <w:shd w:val="clear" w:color="auto" w:fill="auto"/>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highlight w:val="none"/>
              </w:rPr>
            </w:pPr>
            <w:r>
              <w:rPr>
                <w:rFonts w:hint="eastAsia" w:ascii="仿宋" w:hAnsi="仿宋" w:eastAsia="仿宋" w:cs="仿宋"/>
                <w:color w:val="auto"/>
                <w:sz w:val="24"/>
                <w:highlight w:val="none"/>
              </w:rPr>
              <w:t>供应商地址：</w:t>
            </w:r>
          </w:p>
        </w:tc>
        <w:tc>
          <w:tcPr>
            <w:tcW w:w="4536" w:type="dxa"/>
            <w:shd w:val="clear" w:color="auto" w:fill="auto"/>
            <w:vAlign w:val="center"/>
          </w:tcPr>
          <w:p>
            <w:pPr>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p>
        </w:tc>
      </w:tr>
      <w:tr>
        <w:tblPrEx>
          <w:tblCellMar>
            <w:top w:w="0" w:type="dxa"/>
            <w:left w:w="108" w:type="dxa"/>
            <w:bottom w:w="0" w:type="dxa"/>
            <w:right w:w="108" w:type="dxa"/>
          </w:tblCellMar>
        </w:tblPrEx>
        <w:trPr>
          <w:trHeight w:val="397" w:hRule="atLeast"/>
          <w:jc w:val="center"/>
        </w:trPr>
        <w:tc>
          <w:tcPr>
            <w:tcW w:w="7054" w:type="dxa"/>
            <w:gridSpan w:val="2"/>
            <w:shd w:val="clear" w:color="auto" w:fill="auto"/>
            <w:vAlign w:val="center"/>
          </w:tcPr>
          <w:p>
            <w:pPr>
              <w:jc w:val="left"/>
              <w:rPr>
                <w:rFonts w:ascii="仿宋" w:hAnsi="仿宋" w:eastAsia="仿宋" w:cs="仿宋"/>
                <w:color w:val="auto"/>
                <w:sz w:val="24"/>
                <w:highlight w:val="none"/>
                <w:u w:val="single"/>
              </w:rPr>
            </w:pPr>
          </w:p>
        </w:tc>
      </w:tr>
      <w:tr>
        <w:tblPrEx>
          <w:tblCellMar>
            <w:top w:w="0" w:type="dxa"/>
            <w:left w:w="108" w:type="dxa"/>
            <w:bottom w:w="0" w:type="dxa"/>
            <w:right w:w="108" w:type="dxa"/>
          </w:tblCellMar>
        </w:tblPrEx>
        <w:trPr>
          <w:trHeight w:val="397" w:hRule="atLeast"/>
          <w:jc w:val="center"/>
        </w:trPr>
        <w:tc>
          <w:tcPr>
            <w:tcW w:w="7054" w:type="dxa"/>
            <w:gridSpan w:val="2"/>
            <w:shd w:val="clear" w:color="auto" w:fill="auto"/>
            <w:vAlign w:val="center"/>
          </w:tcPr>
          <w:p>
            <w:pPr>
              <w:jc w:val="center"/>
              <w:rPr>
                <w:rFonts w:ascii="仿宋" w:hAnsi="仿宋" w:eastAsia="仿宋" w:cs="仿宋"/>
                <w:color w:val="auto"/>
                <w:sz w:val="24"/>
                <w:highlight w:val="none"/>
              </w:rPr>
            </w:pPr>
            <w:r>
              <w:rPr>
                <w:rFonts w:hint="eastAsia" w:ascii="仿宋" w:hAnsi="仿宋" w:eastAsia="仿宋" w:cs="仿宋"/>
                <w:color w:val="auto"/>
                <w:sz w:val="24"/>
                <w:highlight w:val="none"/>
              </w:rPr>
              <w:t>年  月  日</w:t>
            </w:r>
          </w:p>
        </w:tc>
      </w:tr>
    </w:tbl>
    <w:p>
      <w:pPr>
        <w:spacing w:line="360" w:lineRule="auto"/>
        <w:rPr>
          <w:rFonts w:ascii="仿宋" w:hAnsi="仿宋" w:eastAsia="仿宋" w:cs="仿宋"/>
          <w:color w:val="auto"/>
          <w:sz w:val="24"/>
          <w:highlight w:val="none"/>
        </w:rPr>
      </w:pPr>
    </w:p>
    <w:p>
      <w:pPr>
        <w:spacing w:line="360" w:lineRule="auto"/>
        <w:rPr>
          <w:rFonts w:ascii="仿宋" w:hAnsi="仿宋" w:eastAsia="仿宋" w:cs="仿宋"/>
          <w:color w:val="auto"/>
          <w:sz w:val="24"/>
          <w:highlight w:val="none"/>
        </w:rPr>
      </w:pPr>
    </w:p>
    <w:p>
      <w:pPr>
        <w:pStyle w:val="4"/>
        <w:spacing w:before="0" w:after="0"/>
        <w:ind w:firstLine="0"/>
        <w:jc w:val="left"/>
        <w:rPr>
          <w:rFonts w:ascii="仿宋" w:hAnsi="仿宋" w:eastAsia="仿宋" w:cs="仿宋"/>
          <w:color w:val="auto"/>
          <w:sz w:val="24"/>
          <w:szCs w:val="24"/>
          <w:highlight w:val="none"/>
        </w:rPr>
      </w:pPr>
      <w:bookmarkStart w:id="525" w:name="_Toc96338073"/>
      <w:bookmarkStart w:id="526" w:name="_Toc6131"/>
      <w:bookmarkStart w:id="527" w:name="_Toc139797682"/>
      <w:bookmarkStart w:id="528" w:name="_Toc7158"/>
      <w:r>
        <w:rPr>
          <w:rFonts w:hint="eastAsia" w:ascii="仿宋" w:hAnsi="仿宋" w:eastAsia="仿宋" w:cs="仿宋"/>
          <w:color w:val="auto"/>
          <w:sz w:val="24"/>
          <w:szCs w:val="24"/>
          <w:highlight w:val="none"/>
        </w:rPr>
        <w:t>3.2     报价文件文件目录</w:t>
      </w:r>
      <w:bookmarkEnd w:id="525"/>
      <w:bookmarkEnd w:id="526"/>
      <w:bookmarkEnd w:id="527"/>
      <w:bookmarkEnd w:id="528"/>
    </w:p>
    <w:p>
      <w:pPr>
        <w:pStyle w:val="15"/>
        <w:spacing w:line="360" w:lineRule="auto"/>
        <w:ind w:firstLine="0"/>
        <w:rPr>
          <w:rFonts w:ascii="仿宋" w:hAnsi="仿宋" w:eastAsia="仿宋" w:cs="仿宋"/>
          <w:color w:val="auto"/>
          <w:highlight w:val="none"/>
        </w:rPr>
      </w:pPr>
    </w:p>
    <w:p>
      <w:pPr>
        <w:pStyle w:val="15"/>
        <w:spacing w:line="360" w:lineRule="auto"/>
        <w:ind w:firstLine="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（格式自行设计）</w:t>
      </w:r>
    </w:p>
    <w:p>
      <w:pPr>
        <w:pStyle w:val="15"/>
        <w:spacing w:line="360" w:lineRule="auto"/>
        <w:ind w:firstLine="0"/>
        <w:rPr>
          <w:rFonts w:ascii="仿宋" w:hAnsi="仿宋" w:eastAsia="仿宋" w:cs="仿宋"/>
          <w:color w:val="auto"/>
          <w:sz w:val="24"/>
          <w:szCs w:val="24"/>
          <w:highlight w:val="none"/>
        </w:rPr>
      </w:pPr>
    </w:p>
    <w:p>
      <w:pPr>
        <w:pStyle w:val="4"/>
        <w:spacing w:before="0" w:after="0"/>
        <w:ind w:firstLine="0"/>
        <w:jc w:val="left"/>
        <w:rPr>
          <w:rFonts w:ascii="仿宋" w:hAnsi="仿宋" w:eastAsia="仿宋" w:cs="仿宋"/>
          <w:color w:val="auto"/>
          <w:sz w:val="24"/>
          <w:szCs w:val="24"/>
          <w:highlight w:val="none"/>
        </w:rPr>
        <w:sectPr>
          <w:pgSz w:w="11905" w:h="16838"/>
          <w:pgMar w:top="1440" w:right="1803" w:bottom="1440" w:left="1803" w:header="851" w:footer="992" w:gutter="0"/>
          <w:cols w:space="0" w:num="1"/>
          <w:rtlGutter w:val="0"/>
          <w:docGrid w:linePitch="312" w:charSpace="0"/>
        </w:sectPr>
      </w:pPr>
    </w:p>
    <w:p>
      <w:pPr>
        <w:pStyle w:val="4"/>
        <w:spacing w:before="0" w:after="0"/>
        <w:ind w:firstLine="0"/>
        <w:jc w:val="left"/>
        <w:rPr>
          <w:rFonts w:ascii="仿宋" w:hAnsi="仿宋" w:eastAsia="仿宋" w:cs="仿宋"/>
          <w:color w:val="auto"/>
          <w:sz w:val="24"/>
          <w:szCs w:val="24"/>
          <w:highlight w:val="none"/>
        </w:rPr>
      </w:pPr>
      <w:bookmarkStart w:id="529" w:name="_Toc96338074"/>
      <w:bookmarkStart w:id="530" w:name="_Toc139797683"/>
      <w:bookmarkStart w:id="531" w:name="_Toc17605"/>
      <w:bookmarkStart w:id="532" w:name="_Toc13356"/>
      <w:r>
        <w:rPr>
          <w:rFonts w:hint="eastAsia" w:ascii="仿宋" w:hAnsi="仿宋" w:eastAsia="仿宋" w:cs="仿宋"/>
          <w:color w:val="auto"/>
          <w:sz w:val="24"/>
          <w:szCs w:val="24"/>
          <w:highlight w:val="none"/>
        </w:rPr>
        <w:t>3.3     开标一览表</w:t>
      </w:r>
      <w:bookmarkEnd w:id="522"/>
      <w:bookmarkEnd w:id="523"/>
      <w:bookmarkEnd w:id="524"/>
      <w:r>
        <w:rPr>
          <w:rFonts w:hint="eastAsia" w:ascii="仿宋" w:hAnsi="仿宋" w:eastAsia="仿宋" w:cs="仿宋"/>
          <w:color w:val="auto"/>
          <w:sz w:val="24"/>
          <w:szCs w:val="24"/>
          <w:highlight w:val="none"/>
        </w:rPr>
        <w:t>格式</w:t>
      </w:r>
      <w:bookmarkEnd w:id="529"/>
      <w:bookmarkEnd w:id="530"/>
      <w:bookmarkEnd w:id="531"/>
      <w:bookmarkEnd w:id="532"/>
    </w:p>
    <w:p>
      <w:pPr>
        <w:pStyle w:val="15"/>
        <w:spacing w:line="360" w:lineRule="auto"/>
        <w:ind w:firstLine="0"/>
        <w:jc w:val="center"/>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开标一览表</w:t>
      </w:r>
    </w:p>
    <w:p>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u w:val="single"/>
        </w:rPr>
        <w:t xml:space="preserve">           </w:t>
      </w:r>
    </w:p>
    <w:p>
      <w:pPr>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标项：</w:t>
      </w:r>
      <w:r>
        <w:rPr>
          <w:rFonts w:hint="eastAsia" w:ascii="仿宋" w:hAnsi="仿宋" w:eastAsia="仿宋" w:cs="仿宋"/>
          <w:color w:val="auto"/>
          <w:sz w:val="24"/>
          <w:highlight w:val="none"/>
          <w:u w:val="single"/>
        </w:rPr>
        <w:t>（若有）</w:t>
      </w:r>
    </w:p>
    <w:tbl>
      <w:tblPr>
        <w:tblStyle w:val="62"/>
        <w:tblW w:w="9005" w:type="dxa"/>
        <w:jc w:val="center"/>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Layout w:type="fixed"/>
        <w:tblCellMar>
          <w:top w:w="0" w:type="dxa"/>
          <w:left w:w="108" w:type="dxa"/>
          <w:bottom w:w="0" w:type="dxa"/>
          <w:right w:w="108" w:type="dxa"/>
        </w:tblCellMar>
      </w:tblPr>
      <w:tblGrid>
        <w:gridCol w:w="2716"/>
        <w:gridCol w:w="6289"/>
      </w:tblGrid>
      <w:tr>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1134" w:hRule="atLeast"/>
          <w:jc w:val="center"/>
        </w:trPr>
        <w:tc>
          <w:tcPr>
            <w:tcW w:w="2716" w:type="dxa"/>
            <w:tcBorders>
              <w:top w:val="double" w:color="000000" w:sz="6" w:space="0"/>
              <w:left w:val="double" w:color="000000" w:sz="6" w:space="0"/>
              <w:bottom w:val="single" w:color="000000" w:sz="6" w:space="0"/>
              <w:right w:val="single" w:color="000000" w:sz="6" w:space="0"/>
            </w:tcBorders>
            <w:vAlign w:val="center"/>
          </w:tcPr>
          <w:p>
            <w:pPr>
              <w:pStyle w:val="973"/>
              <w:tabs>
                <w:tab w:val="left" w:pos="420"/>
                <w:tab w:val="center" w:pos="4153"/>
                <w:tab w:val="right" w:pos="8306"/>
              </w:tabs>
              <w:adjustRightInd w:val="0"/>
              <w:jc w:val="center"/>
              <w:rPr>
                <w:rFonts w:ascii="仿宋" w:hAnsi="仿宋" w:eastAsia="仿宋" w:cs="仿宋"/>
                <w:caps/>
                <w:color w:val="auto"/>
                <w:spacing w:val="20"/>
                <w:kern w:val="0"/>
                <w:sz w:val="24"/>
                <w:szCs w:val="20"/>
                <w:highlight w:val="none"/>
              </w:rPr>
            </w:pPr>
            <w:r>
              <w:rPr>
                <w:rFonts w:hint="eastAsia" w:ascii="仿宋" w:hAnsi="仿宋" w:eastAsia="仿宋" w:cs="仿宋"/>
                <w:caps/>
                <w:color w:val="auto"/>
                <w:spacing w:val="20"/>
                <w:kern w:val="0"/>
                <w:sz w:val="24"/>
                <w:szCs w:val="20"/>
                <w:highlight w:val="none"/>
              </w:rPr>
              <w:t>名称</w:t>
            </w:r>
          </w:p>
        </w:tc>
        <w:tc>
          <w:tcPr>
            <w:tcW w:w="6289" w:type="dxa"/>
            <w:tcBorders>
              <w:top w:val="double" w:color="000000" w:sz="6" w:space="0"/>
              <w:left w:val="single" w:color="000000" w:sz="6" w:space="0"/>
              <w:bottom w:val="single" w:color="000000" w:sz="6" w:space="0"/>
              <w:right w:val="double" w:color="000000" w:sz="6" w:space="0"/>
            </w:tcBorders>
            <w:vAlign w:val="center"/>
          </w:tcPr>
          <w:p>
            <w:pPr>
              <w:pStyle w:val="973"/>
              <w:jc w:val="center"/>
              <w:rPr>
                <w:rFonts w:ascii="仿宋" w:hAnsi="仿宋" w:eastAsia="仿宋" w:cs="仿宋"/>
                <w:caps/>
                <w:color w:val="auto"/>
                <w:spacing w:val="20"/>
                <w:sz w:val="24"/>
                <w:highlight w:val="none"/>
              </w:rPr>
            </w:pPr>
            <w:r>
              <w:rPr>
                <w:rFonts w:hint="eastAsia" w:ascii="仿宋" w:hAnsi="仿宋" w:eastAsia="仿宋" w:cs="仿宋"/>
                <w:caps/>
                <w:color w:val="auto"/>
                <w:spacing w:val="20"/>
                <w:sz w:val="24"/>
                <w:highlight w:val="none"/>
              </w:rPr>
              <w:t>总报价（元）</w:t>
            </w:r>
          </w:p>
        </w:tc>
      </w:tr>
      <w:tr>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1134" w:hRule="atLeast"/>
          <w:jc w:val="center"/>
        </w:trPr>
        <w:tc>
          <w:tcPr>
            <w:tcW w:w="2716" w:type="dxa"/>
            <w:tcBorders>
              <w:top w:val="single" w:color="000000" w:sz="6" w:space="0"/>
              <w:left w:val="double" w:color="000000" w:sz="6" w:space="0"/>
              <w:bottom w:val="double" w:color="000000" w:sz="6" w:space="0"/>
              <w:right w:val="single" w:color="000000" w:sz="6" w:space="0"/>
            </w:tcBorders>
            <w:vAlign w:val="center"/>
          </w:tcPr>
          <w:p>
            <w:pPr>
              <w:pStyle w:val="973"/>
              <w:jc w:val="center"/>
              <w:rPr>
                <w:rFonts w:ascii="仿宋" w:hAnsi="仿宋" w:eastAsia="仿宋" w:cs="仿宋"/>
                <w:color w:val="auto"/>
                <w:spacing w:val="20"/>
                <w:sz w:val="24"/>
                <w:highlight w:val="none"/>
              </w:rPr>
            </w:pPr>
            <w:r>
              <w:rPr>
                <w:rFonts w:hint="eastAsia" w:ascii="仿宋" w:hAnsi="仿宋" w:eastAsia="仿宋" w:cs="仿宋"/>
                <w:color w:val="auto"/>
                <w:spacing w:val="20"/>
                <w:sz w:val="24"/>
                <w:highlight w:val="none"/>
              </w:rPr>
              <w:t>项目总报价</w:t>
            </w:r>
          </w:p>
        </w:tc>
        <w:tc>
          <w:tcPr>
            <w:tcW w:w="6289" w:type="dxa"/>
            <w:tcBorders>
              <w:top w:val="single" w:color="000000" w:sz="6" w:space="0"/>
              <w:left w:val="single" w:color="000000" w:sz="6" w:space="0"/>
              <w:bottom w:val="double" w:color="000000" w:sz="6" w:space="0"/>
              <w:right w:val="double" w:color="000000" w:sz="6" w:space="0"/>
            </w:tcBorders>
            <w:vAlign w:val="center"/>
          </w:tcPr>
          <w:p>
            <w:pPr>
              <w:pStyle w:val="973"/>
              <w:rPr>
                <w:rFonts w:ascii="仿宋" w:hAnsi="仿宋" w:eastAsia="仿宋" w:cs="仿宋"/>
                <w:color w:val="auto"/>
                <w:spacing w:val="20"/>
                <w:sz w:val="24"/>
                <w:highlight w:val="none"/>
              </w:rPr>
            </w:pPr>
            <w:r>
              <w:rPr>
                <w:rFonts w:hint="eastAsia" w:ascii="仿宋" w:hAnsi="仿宋" w:eastAsia="仿宋" w:cs="仿宋"/>
                <w:color w:val="auto"/>
                <w:spacing w:val="20"/>
                <w:sz w:val="24"/>
                <w:highlight w:val="none"/>
              </w:rPr>
              <w:t>大写                （￥           ）</w:t>
            </w:r>
          </w:p>
        </w:tc>
      </w:tr>
    </w:tbl>
    <w:p>
      <w:pPr>
        <w:pStyle w:val="973"/>
        <w:rPr>
          <w:rFonts w:ascii="仿宋" w:hAnsi="仿宋" w:eastAsia="仿宋" w:cs="仿宋"/>
          <w:b/>
          <w:iCs/>
          <w:color w:val="auto"/>
          <w:spacing w:val="20"/>
          <w:sz w:val="24"/>
          <w:highlight w:val="none"/>
        </w:rPr>
      </w:pPr>
      <w:r>
        <w:rPr>
          <w:rFonts w:hint="eastAsia" w:ascii="仿宋" w:hAnsi="仿宋" w:eastAsia="仿宋" w:cs="仿宋"/>
          <w:b/>
          <w:color w:val="auto"/>
          <w:sz w:val="24"/>
          <w:szCs w:val="21"/>
          <w:highlight w:val="none"/>
        </w:rPr>
        <w:t xml:space="preserve"> </w:t>
      </w:r>
      <w:r>
        <w:rPr>
          <w:rFonts w:hint="eastAsia" w:ascii="仿宋" w:hAnsi="仿宋" w:eastAsia="仿宋" w:cs="仿宋"/>
          <w:b/>
          <w:iCs/>
          <w:color w:val="auto"/>
          <w:spacing w:val="20"/>
          <w:sz w:val="24"/>
          <w:highlight w:val="none"/>
        </w:rPr>
        <w:t>注：</w:t>
      </w:r>
    </w:p>
    <w:p>
      <w:pPr>
        <w:pStyle w:val="973"/>
        <w:spacing w:line="360" w:lineRule="auto"/>
        <w:ind w:firstLine="480" w:firstLineChars="200"/>
        <w:jc w:val="left"/>
        <w:rPr>
          <w:rFonts w:ascii="仿宋" w:hAnsi="仿宋" w:eastAsia="仿宋" w:cs="仿宋"/>
          <w:iCs/>
          <w:color w:val="auto"/>
          <w:sz w:val="24"/>
          <w:highlight w:val="none"/>
        </w:rPr>
      </w:pPr>
      <w:r>
        <w:rPr>
          <w:rFonts w:hint="eastAsia" w:ascii="仿宋" w:hAnsi="仿宋" w:eastAsia="仿宋" w:cs="仿宋"/>
          <w:iCs/>
          <w:color w:val="auto"/>
          <w:sz w:val="24"/>
          <w:highlight w:val="none"/>
        </w:rPr>
        <w:t>1. 具体价格明细详见《投标分项报价表》</w:t>
      </w:r>
    </w:p>
    <w:p>
      <w:pPr>
        <w:pStyle w:val="973"/>
        <w:spacing w:line="360" w:lineRule="auto"/>
        <w:ind w:firstLine="480" w:firstLineChars="200"/>
        <w:jc w:val="left"/>
        <w:rPr>
          <w:rFonts w:ascii="仿宋" w:hAnsi="仿宋" w:eastAsia="仿宋" w:cs="仿宋"/>
          <w:iCs/>
          <w:color w:val="auto"/>
          <w:sz w:val="24"/>
          <w:highlight w:val="none"/>
        </w:rPr>
      </w:pPr>
      <w:r>
        <w:rPr>
          <w:rFonts w:hint="eastAsia" w:ascii="仿宋" w:hAnsi="仿宋" w:eastAsia="仿宋" w:cs="仿宋"/>
          <w:iCs/>
          <w:color w:val="auto"/>
          <w:sz w:val="24"/>
          <w:highlight w:val="none"/>
        </w:rPr>
        <w:t>2. 总报价一经涂改，应在涂改处加盖单位公章或投标人代表签字（或盖章），否则其投标作无效标处理。</w:t>
      </w:r>
    </w:p>
    <w:p>
      <w:pPr>
        <w:pStyle w:val="973"/>
        <w:spacing w:line="360" w:lineRule="auto"/>
        <w:ind w:firstLine="480" w:firstLineChars="200"/>
        <w:jc w:val="left"/>
        <w:rPr>
          <w:rFonts w:ascii="仿宋" w:hAnsi="仿宋" w:eastAsia="仿宋" w:cs="仿宋"/>
          <w:color w:val="auto"/>
          <w:sz w:val="24"/>
          <w:szCs w:val="21"/>
          <w:highlight w:val="none"/>
          <w:u w:val="single"/>
        </w:rPr>
      </w:pPr>
      <w:r>
        <w:rPr>
          <w:rFonts w:hint="eastAsia" w:ascii="仿宋" w:hAnsi="仿宋" w:eastAsia="仿宋" w:cs="仿宋"/>
          <w:bCs/>
          <w:color w:val="auto"/>
          <w:sz w:val="24"/>
          <w:highlight w:val="none"/>
        </w:rPr>
        <w:t>3. 总报价应包括</w:t>
      </w:r>
      <w:r>
        <w:rPr>
          <w:rFonts w:hint="eastAsia" w:ascii="仿宋" w:hAnsi="仿宋" w:eastAsia="仿宋" w:cs="仿宋"/>
          <w:bCs/>
          <w:color w:val="auto"/>
          <w:sz w:val="24"/>
          <w:highlight w:val="none"/>
          <w:lang w:val="en-US" w:eastAsia="zh-CN"/>
        </w:rPr>
        <w:t>服务、人工、保险、税金</w:t>
      </w:r>
      <w:r>
        <w:rPr>
          <w:rFonts w:hint="eastAsia" w:ascii="仿宋" w:hAnsi="仿宋" w:eastAsia="仿宋" w:cs="仿宋"/>
          <w:bCs/>
          <w:color w:val="auto"/>
          <w:sz w:val="24"/>
          <w:highlight w:val="none"/>
        </w:rPr>
        <w:t>以及实施本项目所需的其他一切费用。</w:t>
      </w:r>
    </w:p>
    <w:p>
      <w:pPr>
        <w:pStyle w:val="973"/>
        <w:spacing w:line="360" w:lineRule="auto"/>
        <w:rPr>
          <w:rFonts w:ascii="仿宋" w:hAnsi="仿宋" w:eastAsia="仿宋" w:cs="仿宋"/>
          <w:bCs/>
          <w:color w:val="auto"/>
          <w:sz w:val="24"/>
          <w:highlight w:val="none"/>
        </w:rPr>
      </w:pPr>
    </w:p>
    <w:p>
      <w:pPr>
        <w:spacing w:line="360" w:lineRule="auto"/>
        <w:jc w:val="left"/>
        <w:rPr>
          <w:rFonts w:ascii="仿宋" w:hAnsi="仿宋" w:eastAsia="仿宋" w:cs="仿宋"/>
          <w:color w:val="auto"/>
          <w:spacing w:val="20"/>
          <w:sz w:val="24"/>
          <w:highlight w:val="none"/>
        </w:rPr>
      </w:pPr>
    </w:p>
    <w:p>
      <w:pPr>
        <w:pStyle w:val="157"/>
        <w:wordWrap w:val="0"/>
        <w:spacing w:line="360" w:lineRule="auto"/>
        <w:ind w:firstLine="480"/>
        <w:jc w:val="right"/>
        <w:rPr>
          <w:rFonts w:ascii="仿宋" w:hAnsi="仿宋" w:eastAsia="仿宋" w:cs="仿宋"/>
          <w:color w:val="auto"/>
          <w:sz w:val="24"/>
          <w:szCs w:val="21"/>
          <w:highlight w:val="none"/>
          <w:u w:val="single"/>
        </w:rPr>
      </w:pPr>
      <w:bookmarkStart w:id="533" w:name="_Toc531359075"/>
      <w:bookmarkStart w:id="534" w:name="_Toc530551898"/>
      <w:bookmarkStart w:id="535" w:name="_Toc493956073"/>
      <w:r>
        <w:rPr>
          <w:rFonts w:hint="eastAsia" w:ascii="仿宋" w:hAnsi="仿宋" w:eastAsia="仿宋" w:cs="仿宋"/>
          <w:color w:val="auto"/>
          <w:sz w:val="24"/>
          <w:szCs w:val="21"/>
          <w:highlight w:val="none"/>
        </w:rPr>
        <w:t>供应商盖章：</w:t>
      </w:r>
      <w:r>
        <w:rPr>
          <w:rFonts w:hint="eastAsia" w:ascii="仿宋" w:hAnsi="仿宋" w:eastAsia="仿宋" w:cs="仿宋"/>
          <w:color w:val="auto"/>
          <w:sz w:val="24"/>
          <w:szCs w:val="21"/>
          <w:highlight w:val="none"/>
          <w:u w:val="single"/>
        </w:rPr>
        <w:t xml:space="preserve">               </w:t>
      </w:r>
      <w:r>
        <w:rPr>
          <w:rFonts w:hint="eastAsia" w:ascii="仿宋" w:hAnsi="仿宋" w:eastAsia="仿宋" w:cs="仿宋"/>
          <w:color w:val="auto"/>
          <w:spacing w:val="20"/>
          <w:sz w:val="24"/>
          <w:szCs w:val="21"/>
          <w:highlight w:val="none"/>
          <w:u w:val="single"/>
        </w:rPr>
        <w:t xml:space="preserve"> </w:t>
      </w: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r>
        <w:rPr>
          <w:rFonts w:hint="eastAsia" w:ascii="仿宋" w:hAnsi="仿宋" w:eastAsia="仿宋" w:cs="仿宋"/>
          <w:color w:val="auto"/>
          <w:spacing w:val="20"/>
          <w:sz w:val="24"/>
          <w:szCs w:val="21"/>
          <w:highlight w:val="none"/>
          <w:u w:val="single"/>
        </w:rPr>
        <w:t xml:space="preserve"> </w:t>
      </w:r>
    </w:p>
    <w:p>
      <w:pPr>
        <w:pStyle w:val="4"/>
        <w:spacing w:before="0" w:after="0"/>
        <w:ind w:firstLine="0"/>
        <w:jc w:val="right"/>
        <w:rPr>
          <w:rFonts w:ascii="仿宋" w:hAnsi="仿宋" w:eastAsia="仿宋" w:cs="仿宋"/>
          <w:color w:val="auto"/>
          <w:sz w:val="28"/>
          <w:szCs w:val="28"/>
          <w:highlight w:val="none"/>
        </w:rPr>
        <w:sectPr>
          <w:pgSz w:w="11905" w:h="16838"/>
          <w:pgMar w:top="1440" w:right="1803" w:bottom="1440" w:left="1803" w:header="851" w:footer="992" w:gutter="0"/>
          <w:cols w:space="0" w:num="1"/>
          <w:rtlGutter w:val="0"/>
          <w:docGrid w:linePitch="312" w:charSpace="0"/>
        </w:sectPr>
      </w:pPr>
    </w:p>
    <w:p>
      <w:pPr>
        <w:pStyle w:val="4"/>
        <w:spacing w:before="0" w:after="0"/>
        <w:ind w:firstLine="0"/>
        <w:jc w:val="left"/>
        <w:rPr>
          <w:rFonts w:ascii="仿宋" w:hAnsi="仿宋" w:eastAsia="仿宋" w:cs="仿宋"/>
          <w:color w:val="auto"/>
          <w:sz w:val="24"/>
          <w:szCs w:val="24"/>
          <w:highlight w:val="none"/>
        </w:rPr>
      </w:pPr>
      <w:bookmarkStart w:id="536" w:name="_Toc139797684"/>
      <w:bookmarkStart w:id="537" w:name="_Toc96338075"/>
      <w:bookmarkStart w:id="538" w:name="_Toc26195"/>
      <w:bookmarkStart w:id="539" w:name="_Toc13369"/>
      <w:r>
        <w:rPr>
          <w:rFonts w:hint="eastAsia" w:ascii="仿宋" w:hAnsi="仿宋" w:eastAsia="仿宋" w:cs="仿宋"/>
          <w:color w:val="auto"/>
          <w:sz w:val="24"/>
          <w:szCs w:val="24"/>
          <w:highlight w:val="none"/>
        </w:rPr>
        <w:t xml:space="preserve">3.4     </w:t>
      </w:r>
      <w:bookmarkEnd w:id="533"/>
      <w:bookmarkEnd w:id="534"/>
      <w:bookmarkEnd w:id="535"/>
      <w:r>
        <w:rPr>
          <w:rFonts w:hint="eastAsia" w:ascii="仿宋" w:hAnsi="仿宋" w:eastAsia="仿宋" w:cs="仿宋"/>
          <w:color w:val="auto"/>
          <w:kern w:val="0"/>
          <w:sz w:val="24"/>
          <w:highlight w:val="none"/>
        </w:rPr>
        <w:t>报价</w:t>
      </w:r>
      <w:r>
        <w:rPr>
          <w:rFonts w:hint="eastAsia" w:ascii="仿宋" w:hAnsi="仿宋" w:eastAsia="仿宋" w:cs="仿宋"/>
          <w:bCs w:val="0"/>
          <w:color w:val="auto"/>
          <w:sz w:val="24"/>
          <w:highlight w:val="none"/>
        </w:rPr>
        <w:t>明细表</w:t>
      </w:r>
      <w:r>
        <w:rPr>
          <w:rFonts w:hint="eastAsia" w:ascii="仿宋" w:hAnsi="仿宋" w:eastAsia="仿宋" w:cs="仿宋"/>
          <w:color w:val="auto"/>
          <w:sz w:val="24"/>
          <w:szCs w:val="24"/>
          <w:highlight w:val="none"/>
        </w:rPr>
        <w:t>格式</w:t>
      </w:r>
      <w:bookmarkEnd w:id="536"/>
      <w:bookmarkEnd w:id="537"/>
      <w:bookmarkEnd w:id="538"/>
      <w:bookmarkEnd w:id="539"/>
    </w:p>
    <w:p>
      <w:pPr>
        <w:pStyle w:val="15"/>
        <w:spacing w:line="360" w:lineRule="auto"/>
        <w:ind w:firstLine="0"/>
        <w:jc w:val="center"/>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报价明细表</w:t>
      </w:r>
    </w:p>
    <w:p>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（格式仅供参考，可以根据实际情况自行设计）</w:t>
      </w:r>
    </w:p>
    <w:p>
      <w:pPr>
        <w:rPr>
          <w:rFonts w:ascii="仿宋" w:hAnsi="仿宋" w:eastAsia="仿宋" w:cs="仿宋"/>
          <w:color w:val="auto"/>
          <w:highlight w:val="none"/>
        </w:rPr>
      </w:pPr>
    </w:p>
    <w:p>
      <w:pPr>
        <w:spacing w:line="360" w:lineRule="auto"/>
        <w:jc w:val="left"/>
        <w:rPr>
          <w:rFonts w:ascii="仿宋" w:hAnsi="仿宋" w:eastAsia="仿宋" w:cs="仿宋"/>
          <w:color w:val="auto"/>
          <w:spacing w:val="20"/>
          <w:sz w:val="24"/>
          <w:highlight w:val="none"/>
        </w:rPr>
      </w:pPr>
    </w:p>
    <w:p>
      <w:pPr>
        <w:pStyle w:val="157"/>
        <w:wordWrap w:val="0"/>
        <w:spacing w:line="360" w:lineRule="auto"/>
        <w:ind w:firstLine="480"/>
        <w:jc w:val="right"/>
        <w:rPr>
          <w:rFonts w:ascii="仿宋" w:hAnsi="仿宋" w:eastAsia="仿宋" w:cs="仿宋"/>
          <w:color w:val="auto"/>
          <w:sz w:val="24"/>
          <w:szCs w:val="21"/>
          <w:highlight w:val="none"/>
          <w:u w:val="single"/>
        </w:rPr>
      </w:pPr>
      <w:r>
        <w:rPr>
          <w:rFonts w:hint="eastAsia" w:ascii="仿宋" w:hAnsi="仿宋" w:eastAsia="仿宋" w:cs="仿宋"/>
          <w:color w:val="auto"/>
          <w:sz w:val="24"/>
          <w:szCs w:val="21"/>
          <w:highlight w:val="none"/>
        </w:rPr>
        <w:t>供应商盖章：</w:t>
      </w:r>
      <w:r>
        <w:rPr>
          <w:rFonts w:hint="eastAsia" w:ascii="仿宋" w:hAnsi="仿宋" w:eastAsia="仿宋" w:cs="仿宋"/>
          <w:color w:val="auto"/>
          <w:sz w:val="24"/>
          <w:szCs w:val="21"/>
          <w:highlight w:val="none"/>
          <w:u w:val="single"/>
        </w:rPr>
        <w:t xml:space="preserve">               </w:t>
      </w:r>
      <w:r>
        <w:rPr>
          <w:rFonts w:hint="eastAsia" w:ascii="仿宋" w:hAnsi="仿宋" w:eastAsia="仿宋" w:cs="仿宋"/>
          <w:color w:val="auto"/>
          <w:spacing w:val="20"/>
          <w:sz w:val="24"/>
          <w:szCs w:val="21"/>
          <w:highlight w:val="none"/>
          <w:u w:val="single"/>
        </w:rPr>
        <w:t xml:space="preserve"> </w:t>
      </w:r>
    </w:p>
    <w:p>
      <w:pPr>
        <w:pStyle w:val="157"/>
        <w:wordWrap w:val="0"/>
        <w:spacing w:line="360" w:lineRule="auto"/>
        <w:ind w:firstLine="480"/>
        <w:jc w:val="right"/>
        <w:rPr>
          <w:rFonts w:ascii="仿宋" w:hAnsi="仿宋" w:eastAsia="仿宋" w:cs="仿宋"/>
          <w:color w:val="auto"/>
          <w:spacing w:val="20"/>
          <w:sz w:val="24"/>
          <w:szCs w:val="21"/>
          <w:highlight w:val="none"/>
          <w:u w:val="single"/>
        </w:rPr>
      </w:pPr>
      <w:r>
        <w:rPr>
          <w:rFonts w:hint="eastAsia" w:ascii="仿宋" w:hAnsi="仿宋" w:eastAsia="仿宋" w:cs="仿宋"/>
          <w:color w:val="auto"/>
          <w:sz w:val="24"/>
          <w:szCs w:val="21"/>
          <w:highlight w:val="none"/>
        </w:rPr>
        <w:t>日      期：</w:t>
      </w:r>
      <w:r>
        <w:rPr>
          <w:rFonts w:hint="eastAsia" w:ascii="仿宋" w:hAnsi="仿宋" w:eastAsia="仿宋" w:cs="仿宋"/>
          <w:color w:val="auto"/>
          <w:sz w:val="24"/>
          <w:szCs w:val="21"/>
          <w:highlight w:val="none"/>
          <w:u w:val="single"/>
        </w:rPr>
        <w:t xml:space="preserve">               </w:t>
      </w:r>
      <w:r>
        <w:rPr>
          <w:rFonts w:hint="eastAsia" w:ascii="仿宋" w:hAnsi="仿宋" w:eastAsia="仿宋" w:cs="仿宋"/>
          <w:color w:val="auto"/>
          <w:spacing w:val="20"/>
          <w:sz w:val="24"/>
          <w:szCs w:val="21"/>
          <w:highlight w:val="none"/>
          <w:u w:val="single"/>
        </w:rPr>
        <w:t xml:space="preserve"> </w:t>
      </w: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4"/>
        <w:adjustRightInd/>
        <w:spacing w:before="0" w:after="0" w:line="360" w:lineRule="auto"/>
        <w:ind w:left="0" w:firstLine="0"/>
        <w:jc w:val="center"/>
        <w:rPr>
          <w:rFonts w:ascii="仿宋" w:hAnsi="仿宋" w:eastAsia="仿宋" w:cs="仿宋"/>
          <w:bCs w:val="0"/>
          <w:color w:val="auto"/>
          <w:highlight w:val="none"/>
        </w:rPr>
      </w:pPr>
      <w:bookmarkStart w:id="540" w:name="_Toc5952"/>
      <w:bookmarkStart w:id="541" w:name="_Toc139797664"/>
      <w:bookmarkStart w:id="542" w:name="_Toc7344"/>
      <w:r>
        <w:rPr>
          <w:rFonts w:hint="eastAsia" w:ascii="仿宋" w:hAnsi="仿宋" w:eastAsia="仿宋" w:cs="仿宋"/>
          <w:bCs w:val="0"/>
          <w:color w:val="auto"/>
          <w:highlight w:val="none"/>
        </w:rPr>
        <w:t xml:space="preserve">3.5   </w:t>
      </w:r>
      <w:r>
        <w:rPr>
          <w:rFonts w:hint="eastAsia" w:ascii="仿宋" w:hAnsi="仿宋" w:eastAsia="仿宋" w:cs="仿宋"/>
          <w:bCs w:val="0"/>
          <w:color w:val="auto"/>
          <w:highlight w:val="none"/>
          <w:lang w:val="en-US" w:eastAsia="zh-CN"/>
        </w:rPr>
        <w:t xml:space="preserve">  </w:t>
      </w:r>
      <w:r>
        <w:rPr>
          <w:rFonts w:hint="eastAsia" w:ascii="仿宋" w:hAnsi="仿宋" w:eastAsia="仿宋" w:cs="仿宋"/>
          <w:bCs w:val="0"/>
          <w:color w:val="auto"/>
          <w:highlight w:val="none"/>
        </w:rPr>
        <w:t>中小企业声明函（服务）</w:t>
      </w:r>
      <w:bookmarkEnd w:id="540"/>
      <w:bookmarkEnd w:id="541"/>
      <w:bookmarkEnd w:id="542"/>
    </w:p>
    <w:p>
      <w:pPr>
        <w:spacing w:line="360" w:lineRule="auto"/>
        <w:ind w:firstLine="560" w:firstLineChars="200"/>
        <w:rPr>
          <w:rFonts w:ascii="仿宋" w:hAnsi="仿宋" w:eastAsia="仿宋" w:cs="仿宋"/>
          <w:color w:val="auto"/>
          <w:sz w:val="28"/>
          <w:szCs w:val="28"/>
          <w:highlight w:val="none"/>
        </w:rPr>
      </w:pPr>
    </w:p>
    <w:p>
      <w:pPr>
        <w:spacing w:line="360" w:lineRule="auto"/>
        <w:ind w:firstLine="560" w:firstLineChars="20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本公司（联合体）郑重声明，根据《政府采购促进中小企业发展管理办法》（财库〔2020〕46号）的规定，本公司（联合体）参加</w:t>
      </w:r>
      <w:r>
        <w:rPr>
          <w:rFonts w:hint="eastAsia" w:ascii="仿宋" w:hAnsi="仿宋" w:eastAsia="仿宋" w:cs="仿宋"/>
          <w:color w:val="auto"/>
          <w:sz w:val="28"/>
          <w:szCs w:val="28"/>
          <w:highlight w:val="none"/>
          <w:u w:val="single"/>
        </w:rPr>
        <w:t>（采购人名称）</w:t>
      </w:r>
      <w:r>
        <w:rPr>
          <w:rFonts w:hint="eastAsia" w:ascii="仿宋" w:hAnsi="仿宋" w:eastAsia="仿宋" w:cs="仿宋"/>
          <w:color w:val="auto"/>
          <w:sz w:val="28"/>
          <w:szCs w:val="28"/>
          <w:highlight w:val="none"/>
        </w:rPr>
        <w:t>的</w:t>
      </w:r>
      <w:r>
        <w:rPr>
          <w:rFonts w:hint="eastAsia" w:ascii="仿宋" w:hAnsi="仿宋" w:eastAsia="仿宋" w:cs="仿宋"/>
          <w:color w:val="auto"/>
          <w:sz w:val="28"/>
          <w:szCs w:val="28"/>
          <w:highlight w:val="none"/>
          <w:u w:val="single"/>
        </w:rPr>
        <w:t>（项目名称）</w:t>
      </w:r>
      <w:r>
        <w:rPr>
          <w:rFonts w:hint="eastAsia" w:ascii="仿宋" w:hAnsi="仿宋" w:eastAsia="仿宋" w:cs="仿宋"/>
          <w:color w:val="auto"/>
          <w:sz w:val="28"/>
          <w:szCs w:val="28"/>
          <w:highlight w:val="none"/>
        </w:rPr>
        <w:t>采购活动，</w:t>
      </w:r>
      <w:r>
        <w:rPr>
          <w:rFonts w:ascii="仿宋_GB2312;仿宋" w:hAnsi="仿宋_GB2312;仿宋" w:eastAsia="仿宋_GB2312;仿宋"/>
          <w:color w:val="auto"/>
          <w:sz w:val="28"/>
          <w:szCs w:val="28"/>
          <w:highlight w:val="none"/>
        </w:rPr>
        <w:t>服务全部由符合政策要求的中小企业承接。相关企业（含联合体中的中小企业、签订分包意向协议的中小企业）的具体情况如下：</w:t>
      </w:r>
    </w:p>
    <w:p>
      <w:pPr>
        <w:spacing w:line="360" w:lineRule="auto"/>
        <w:ind w:firstLine="560" w:firstLineChars="20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u w:val="single"/>
        </w:rPr>
        <w:t xml:space="preserve"> （标的名称） </w:t>
      </w:r>
      <w:r>
        <w:rPr>
          <w:rFonts w:hint="eastAsia" w:ascii="仿宋" w:hAnsi="仿宋" w:eastAsia="仿宋" w:cs="仿宋"/>
          <w:color w:val="auto"/>
          <w:sz w:val="28"/>
          <w:szCs w:val="28"/>
          <w:highlight w:val="none"/>
        </w:rPr>
        <w:t>，属于</w:t>
      </w:r>
      <w:r>
        <w:rPr>
          <w:rFonts w:hint="eastAsia" w:ascii="仿宋" w:hAnsi="仿宋" w:eastAsia="仿宋" w:cs="仿宋"/>
          <w:color w:val="auto"/>
          <w:sz w:val="28"/>
          <w:szCs w:val="28"/>
          <w:highlight w:val="none"/>
          <w:u w:val="single"/>
        </w:rPr>
        <w:t xml:space="preserve">（采购文件中明确的所属行业） </w:t>
      </w:r>
      <w:r>
        <w:rPr>
          <w:rFonts w:hint="eastAsia" w:ascii="仿宋" w:hAnsi="仿宋" w:eastAsia="仿宋" w:cs="仿宋"/>
          <w:color w:val="auto"/>
          <w:sz w:val="28"/>
          <w:szCs w:val="28"/>
          <w:highlight w:val="none"/>
        </w:rPr>
        <w:t>；承接企业为</w:t>
      </w:r>
      <w:r>
        <w:rPr>
          <w:rFonts w:hint="eastAsia" w:ascii="仿宋" w:hAnsi="仿宋" w:eastAsia="仿宋" w:cs="仿宋"/>
          <w:color w:val="auto"/>
          <w:sz w:val="28"/>
          <w:szCs w:val="28"/>
          <w:highlight w:val="none"/>
          <w:u w:val="single"/>
        </w:rPr>
        <w:t>（企业名称）</w:t>
      </w:r>
      <w:r>
        <w:rPr>
          <w:rFonts w:hint="eastAsia" w:ascii="仿宋" w:hAnsi="仿宋" w:eastAsia="仿宋" w:cs="仿宋"/>
          <w:color w:val="auto"/>
          <w:sz w:val="28"/>
          <w:szCs w:val="28"/>
          <w:highlight w:val="none"/>
        </w:rPr>
        <w:t>，从业人员</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人，营业收入为</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万元，资产总额为</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万元</w:t>
      </w:r>
      <w:r>
        <w:rPr>
          <w:rFonts w:hint="eastAsia" w:ascii="仿宋" w:hAnsi="仿宋" w:eastAsia="仿宋" w:cs="仿宋"/>
          <w:color w:val="auto"/>
          <w:sz w:val="32"/>
          <w:szCs w:val="28"/>
          <w:highlight w:val="none"/>
          <w:vertAlign w:val="superscript"/>
        </w:rPr>
        <w:fldChar w:fldCharType="begin"/>
      </w:r>
      <w:r>
        <w:rPr>
          <w:rFonts w:hint="eastAsia" w:ascii="仿宋" w:hAnsi="仿宋" w:eastAsia="仿宋" w:cs="仿宋"/>
          <w:color w:val="auto"/>
          <w:sz w:val="32"/>
          <w:szCs w:val="28"/>
          <w:highlight w:val="none"/>
          <w:vertAlign w:val="superscript"/>
        </w:rPr>
        <w:instrText xml:space="preserve"> = 1 \* GB3 </w:instrText>
      </w:r>
      <w:r>
        <w:rPr>
          <w:rFonts w:hint="eastAsia" w:ascii="仿宋" w:hAnsi="仿宋" w:eastAsia="仿宋" w:cs="仿宋"/>
          <w:color w:val="auto"/>
          <w:sz w:val="32"/>
          <w:szCs w:val="28"/>
          <w:highlight w:val="none"/>
          <w:vertAlign w:val="superscript"/>
        </w:rPr>
        <w:fldChar w:fldCharType="separate"/>
      </w:r>
      <w:r>
        <w:rPr>
          <w:rFonts w:hint="eastAsia" w:ascii="仿宋" w:hAnsi="仿宋" w:eastAsia="仿宋" w:cs="仿宋"/>
          <w:color w:val="auto"/>
          <w:sz w:val="32"/>
          <w:szCs w:val="28"/>
          <w:highlight w:val="none"/>
          <w:vertAlign w:val="superscript"/>
        </w:rPr>
        <w:t>①</w:t>
      </w:r>
      <w:r>
        <w:rPr>
          <w:rFonts w:hint="eastAsia" w:ascii="仿宋" w:hAnsi="仿宋" w:eastAsia="仿宋" w:cs="仿宋"/>
          <w:color w:val="auto"/>
          <w:sz w:val="32"/>
          <w:szCs w:val="28"/>
          <w:highlight w:val="none"/>
          <w:vertAlign w:val="superscript"/>
        </w:rPr>
        <w:fldChar w:fldCharType="end"/>
      </w:r>
      <w:r>
        <w:rPr>
          <w:rFonts w:hint="eastAsia" w:ascii="仿宋" w:hAnsi="仿宋" w:eastAsia="仿宋" w:cs="仿宋"/>
          <w:color w:val="auto"/>
          <w:sz w:val="28"/>
          <w:szCs w:val="28"/>
          <w:highlight w:val="none"/>
        </w:rPr>
        <w:t>，属于（中型企业、小型企业、微型企业）；</w:t>
      </w:r>
    </w:p>
    <w:p>
      <w:pPr>
        <w:spacing w:line="360" w:lineRule="auto"/>
        <w:ind w:firstLine="560" w:firstLineChars="20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u w:val="single"/>
        </w:rPr>
        <w:t xml:space="preserve"> （标的名称） </w:t>
      </w:r>
      <w:r>
        <w:rPr>
          <w:rFonts w:hint="eastAsia" w:ascii="仿宋" w:hAnsi="仿宋" w:eastAsia="仿宋" w:cs="仿宋"/>
          <w:color w:val="auto"/>
          <w:sz w:val="28"/>
          <w:szCs w:val="28"/>
          <w:highlight w:val="none"/>
        </w:rPr>
        <w:t>，属于</w:t>
      </w:r>
      <w:r>
        <w:rPr>
          <w:rFonts w:hint="eastAsia" w:ascii="仿宋" w:hAnsi="仿宋" w:eastAsia="仿宋" w:cs="仿宋"/>
          <w:color w:val="auto"/>
          <w:sz w:val="28"/>
          <w:szCs w:val="28"/>
          <w:highlight w:val="none"/>
          <w:u w:val="single"/>
        </w:rPr>
        <w:t xml:space="preserve">（采购文件中明确的所属行业） </w:t>
      </w:r>
      <w:r>
        <w:rPr>
          <w:rFonts w:hint="eastAsia" w:ascii="仿宋" w:hAnsi="仿宋" w:eastAsia="仿宋" w:cs="仿宋"/>
          <w:color w:val="auto"/>
          <w:sz w:val="28"/>
          <w:szCs w:val="28"/>
          <w:highlight w:val="none"/>
        </w:rPr>
        <w:t>；承接企业为</w:t>
      </w:r>
      <w:r>
        <w:rPr>
          <w:rFonts w:hint="eastAsia" w:ascii="仿宋" w:hAnsi="仿宋" w:eastAsia="仿宋" w:cs="仿宋"/>
          <w:color w:val="auto"/>
          <w:sz w:val="28"/>
          <w:szCs w:val="28"/>
          <w:highlight w:val="none"/>
          <w:u w:val="single"/>
        </w:rPr>
        <w:t>（企业名称）</w:t>
      </w:r>
      <w:r>
        <w:rPr>
          <w:rFonts w:hint="eastAsia" w:ascii="仿宋" w:hAnsi="仿宋" w:eastAsia="仿宋" w:cs="仿宋"/>
          <w:color w:val="auto"/>
          <w:sz w:val="28"/>
          <w:szCs w:val="28"/>
          <w:highlight w:val="none"/>
        </w:rPr>
        <w:t>，从业人员</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人，营业收入为</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万元，资产总额为</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万元，属于（中型企业、小型企业、微型企业）；</w:t>
      </w:r>
    </w:p>
    <w:p>
      <w:pPr>
        <w:spacing w:line="360" w:lineRule="auto"/>
        <w:ind w:firstLine="560" w:firstLineChars="20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w:t>
      </w:r>
    </w:p>
    <w:p>
      <w:pPr>
        <w:spacing w:line="360" w:lineRule="auto"/>
        <w:ind w:firstLine="560" w:firstLineChars="20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以上企业，不属于大企业的分支机构，不存在控股股东为大企业的情形，也不存在与大企业的负责人为同一人的情形。</w:t>
      </w:r>
    </w:p>
    <w:p>
      <w:pPr>
        <w:spacing w:line="360" w:lineRule="auto"/>
        <w:ind w:firstLine="560" w:firstLineChars="20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本企业对上述声明内容的真实性负责。如有虚假，将依法承担相应责任。</w:t>
      </w:r>
    </w:p>
    <w:p>
      <w:pPr>
        <w:spacing w:line="360" w:lineRule="auto"/>
        <w:ind w:firstLine="560" w:firstLineChars="200"/>
        <w:rPr>
          <w:rFonts w:ascii="仿宋" w:hAnsi="仿宋" w:eastAsia="仿宋" w:cs="仿宋"/>
          <w:color w:val="auto"/>
          <w:sz w:val="28"/>
          <w:szCs w:val="28"/>
          <w:highlight w:val="none"/>
        </w:rPr>
      </w:pPr>
    </w:p>
    <w:p>
      <w:pPr>
        <w:wordWrap w:val="0"/>
        <w:spacing w:line="360" w:lineRule="auto"/>
        <w:ind w:firstLine="560" w:firstLineChars="200"/>
        <w:jc w:val="right"/>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企业名称（盖章）：        </w:t>
      </w:r>
    </w:p>
    <w:p>
      <w:pPr>
        <w:wordWrap w:val="0"/>
        <w:spacing w:line="360" w:lineRule="auto"/>
        <w:ind w:firstLine="560" w:firstLineChars="200"/>
        <w:jc w:val="right"/>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日 期：              </w:t>
      </w:r>
    </w:p>
    <w:p>
      <w:pPr>
        <w:spacing w:line="360" w:lineRule="auto"/>
        <w:jc w:val="left"/>
        <w:rPr>
          <w:rFonts w:ascii="仿宋" w:hAnsi="仿宋" w:eastAsia="仿宋" w:cs="仿宋"/>
          <w:color w:val="auto"/>
          <w:sz w:val="28"/>
          <w:szCs w:val="28"/>
          <w:highlight w:val="none"/>
        </w:rPr>
      </w:pPr>
    </w:p>
    <w:p>
      <w:pPr>
        <w:spacing w:line="360" w:lineRule="auto"/>
        <w:rPr>
          <w:rFonts w:ascii="仿宋" w:hAnsi="仿宋" w:eastAsia="仿宋" w:cs="仿宋"/>
          <w:color w:val="auto"/>
          <w:szCs w:val="21"/>
          <w:highlight w:val="none"/>
        </w:rPr>
      </w:pPr>
      <w:r>
        <w:rPr>
          <w:rFonts w:hint="eastAsia" w:ascii="仿宋" w:hAnsi="仿宋" w:eastAsia="仿宋" w:cs="仿宋"/>
          <w:color w:val="auto"/>
          <w:highlight w:val="none"/>
        </w:rPr>
        <mc:AlternateContent>
          <mc:Choice Requires="wps">
            <w:drawing>
              <wp:anchor distT="0" distB="0" distL="114300" distR="114300" simplePos="0" relativeHeight="251664384" behindDoc="0" locked="0" layoutInCell="1" allowOverlap="1">
                <wp:simplePos x="0" y="0"/>
                <wp:positionH relativeFrom="column">
                  <wp:posOffset>5080</wp:posOffset>
                </wp:positionH>
                <wp:positionV relativeFrom="paragraph">
                  <wp:posOffset>207010</wp:posOffset>
                </wp:positionV>
                <wp:extent cx="2984500" cy="0"/>
                <wp:effectExtent l="0" t="7620" r="0" b="8255"/>
                <wp:wrapNone/>
                <wp:docPr id="4" name="直接连接符 4"/>
                <wp:cNvGraphicFramePr/>
                <a:graphic xmlns:a="http://schemas.openxmlformats.org/drawingml/2006/main">
                  <a:graphicData uri="http://schemas.microsoft.com/office/word/2010/wordprocessingShape">
                    <wps:wsp>
                      <wps:cNvCnPr/>
                      <wps:spPr>
                        <a:xfrm>
                          <a:off x="0" y="0"/>
                          <a:ext cx="2984740" cy="0"/>
                        </a:xfrm>
                        <a:prstGeom prst="line">
                          <a:avLst/>
                        </a:prstGeom>
                        <a:noFill/>
                        <a:ln w="15875" cap="flat" cmpd="sng" algn="ctr">
                          <a:solidFill>
                            <a:sysClr val="windowText" lastClr="000000"/>
                          </a:solidFill>
                          <a:prstDash val="solid"/>
                          <a:miter lim="800000"/>
                        </a:ln>
                        <a:effectLst/>
                      </wps:spPr>
                      <wps:bodyPr/>
                    </wps:wsp>
                  </a:graphicData>
                </a:graphic>
              </wp:anchor>
            </w:drawing>
          </mc:Choice>
          <mc:Fallback>
            <w:pict>
              <v:line id="_x0000_s1026" o:spid="_x0000_s1026" o:spt="20" style="position:absolute;left:0pt;margin-left:0.4pt;margin-top:16.3pt;height:0pt;width:235pt;z-index:251664384;mso-width-relative:page;mso-height-relative:page;" filled="f" stroked="t" coordsize="21600,21600" o:gfxdata="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8QhJNIAAAAGAQAADwAAAAAAAAABACAAAAAiAAAAZHJzL2Rvd25yZXYueG1sUEsBAhQAFAAA&#10;AAgAh07iQNEkkxD1AQAA1AMAAA4AAAAAAAAAAQAgAAAAIQEAAGRycy9lMm9Eb2MueG1sUEsFBgAA&#10;AAAGAAYAWQEAAIgFAAAAAA==&#10;">
                <v:fill on="f" focussize="0,0"/>
                <v:stroke weight="1.25pt" color="#000000" miterlimit="8" joinstyle="miter"/>
                <v:imagedata o:title=""/>
                <o:lock v:ext="edit" aspectratio="f"/>
              </v:line>
            </w:pict>
          </mc:Fallback>
        </mc:AlternateContent>
      </w:r>
    </w:p>
    <w:p>
      <w:pPr>
        <w:spacing w:line="360" w:lineRule="auto"/>
        <w:rPr>
          <w:rFonts w:ascii="仿宋" w:hAnsi="仿宋" w:eastAsia="仿宋" w:cs="仿宋"/>
          <w:color w:val="auto"/>
          <w:szCs w:val="21"/>
          <w:highlight w:val="none"/>
        </w:rPr>
      </w:pPr>
      <w:r>
        <w:rPr>
          <w:rFonts w:hint="eastAsia" w:ascii="仿宋" w:hAnsi="仿宋" w:eastAsia="仿宋" w:cs="仿宋"/>
          <w:color w:val="auto"/>
          <w:szCs w:val="21"/>
          <w:highlight w:val="none"/>
        </w:rPr>
        <w:fldChar w:fldCharType="begin"/>
      </w:r>
      <w:r>
        <w:rPr>
          <w:rFonts w:hint="eastAsia" w:ascii="仿宋" w:hAnsi="仿宋" w:eastAsia="仿宋" w:cs="仿宋"/>
          <w:color w:val="auto"/>
          <w:szCs w:val="21"/>
          <w:highlight w:val="none"/>
        </w:rPr>
        <w:instrText xml:space="preserve"> = 1 \* GB3 </w:instrText>
      </w:r>
      <w:r>
        <w:rPr>
          <w:rFonts w:hint="eastAsia" w:ascii="仿宋" w:hAnsi="仿宋" w:eastAsia="仿宋" w:cs="仿宋"/>
          <w:color w:val="auto"/>
          <w:szCs w:val="21"/>
          <w:highlight w:val="none"/>
        </w:rPr>
        <w:fldChar w:fldCharType="separate"/>
      </w:r>
      <w:r>
        <w:rPr>
          <w:rFonts w:hint="eastAsia" w:ascii="仿宋" w:hAnsi="仿宋" w:eastAsia="仿宋" w:cs="仿宋"/>
          <w:color w:val="auto"/>
          <w:szCs w:val="21"/>
          <w:highlight w:val="none"/>
        </w:rPr>
        <w:t>①</w:t>
      </w:r>
      <w:r>
        <w:rPr>
          <w:rFonts w:hint="eastAsia" w:ascii="仿宋" w:hAnsi="仿宋" w:eastAsia="仿宋" w:cs="仿宋"/>
          <w:color w:val="auto"/>
          <w:szCs w:val="21"/>
          <w:highlight w:val="none"/>
        </w:rPr>
        <w:fldChar w:fldCharType="end"/>
      </w:r>
      <w:r>
        <w:rPr>
          <w:rFonts w:hint="eastAsia" w:ascii="仿宋" w:hAnsi="仿宋" w:eastAsia="仿宋" w:cs="仿宋"/>
          <w:color w:val="auto"/>
          <w:szCs w:val="21"/>
          <w:highlight w:val="none"/>
        </w:rPr>
        <w:t>从业人员、营业收入、资产总额填报上一年度数据，无上一年度数据的新成立企业可不填报。</w:t>
      </w:r>
    </w:p>
    <w:p>
      <w:pPr>
        <w:rPr>
          <w:rFonts w:ascii="仿宋" w:hAnsi="仿宋" w:eastAsia="仿宋" w:cs="仿宋"/>
          <w:color w:val="auto"/>
          <w:highlight w:val="none"/>
        </w:rPr>
      </w:pPr>
    </w:p>
    <w:p>
      <w:pPr>
        <w:rPr>
          <w:rFonts w:ascii="仿宋" w:hAnsi="仿宋" w:eastAsia="仿宋" w:cs="仿宋"/>
          <w:color w:val="auto"/>
          <w:highlight w:val="none"/>
        </w:rPr>
      </w:pPr>
    </w:p>
    <w:p>
      <w:pPr>
        <w:rPr>
          <w:rFonts w:ascii="仿宋" w:hAnsi="仿宋" w:eastAsia="仿宋" w:cs="仿宋"/>
          <w:color w:val="auto"/>
          <w:highlight w:val="none"/>
        </w:rPr>
      </w:pPr>
    </w:p>
    <w:p>
      <w:pPr>
        <w:spacing w:line="360" w:lineRule="auto"/>
        <w:ind w:right="420"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备注：</w:t>
      </w:r>
    </w:p>
    <w:p>
      <w:pPr>
        <w:spacing w:line="360" w:lineRule="auto"/>
        <w:ind w:right="42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采购文件第二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符合资格要求。声明内容不实的，属于提供虚假材料谋取中标、成交的，依法承担法律责任。</w:t>
      </w:r>
    </w:p>
    <w:p>
      <w:pPr>
        <w:spacing w:line="360" w:lineRule="auto"/>
        <w:ind w:right="42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rPr>
          <w:rFonts w:ascii="仿宋" w:hAnsi="仿宋" w:eastAsia="仿宋" w:cs="仿宋"/>
          <w:color w:val="auto"/>
          <w:highlight w:val="none"/>
        </w:rPr>
        <w:sectPr>
          <w:pgSz w:w="11905" w:h="16838"/>
          <w:pgMar w:top="1440" w:right="1803" w:bottom="1440" w:left="1803" w:header="851" w:footer="992" w:gutter="0"/>
          <w:cols w:space="0" w:num="1"/>
          <w:rtlGutter w:val="0"/>
          <w:docGrid w:linePitch="312" w:charSpace="0"/>
        </w:sectPr>
      </w:pPr>
    </w:p>
    <w:p>
      <w:pPr>
        <w:pStyle w:val="4"/>
        <w:adjustRightInd/>
        <w:spacing w:before="0" w:after="0" w:line="360" w:lineRule="auto"/>
        <w:ind w:left="0" w:firstLine="0"/>
        <w:jc w:val="center"/>
        <w:rPr>
          <w:rFonts w:ascii="仿宋" w:hAnsi="仿宋" w:eastAsia="仿宋" w:cs="仿宋"/>
          <w:bCs w:val="0"/>
          <w:color w:val="auto"/>
          <w:highlight w:val="none"/>
        </w:rPr>
      </w:pPr>
      <w:bookmarkStart w:id="543" w:name="_Toc14280"/>
      <w:bookmarkStart w:id="544" w:name="_Toc139797665"/>
      <w:bookmarkStart w:id="545" w:name="_Toc8547"/>
      <w:r>
        <w:rPr>
          <w:rFonts w:hint="eastAsia" w:ascii="仿宋" w:hAnsi="仿宋" w:eastAsia="仿宋" w:cs="仿宋"/>
          <w:bCs w:val="0"/>
          <w:color w:val="auto"/>
          <w:highlight w:val="none"/>
        </w:rPr>
        <w:t xml:space="preserve">3.6   </w:t>
      </w:r>
      <w:r>
        <w:rPr>
          <w:rFonts w:hint="eastAsia" w:ascii="仿宋" w:hAnsi="仿宋" w:eastAsia="仿宋" w:cs="仿宋"/>
          <w:bCs w:val="0"/>
          <w:color w:val="auto"/>
          <w:highlight w:val="none"/>
          <w:lang w:val="en-US" w:eastAsia="zh-CN"/>
        </w:rPr>
        <w:t xml:space="preserve">  </w:t>
      </w:r>
      <w:r>
        <w:rPr>
          <w:rFonts w:hint="eastAsia" w:ascii="仿宋" w:hAnsi="仿宋" w:eastAsia="仿宋" w:cs="仿宋"/>
          <w:bCs w:val="0"/>
          <w:color w:val="auto"/>
          <w:highlight w:val="none"/>
        </w:rPr>
        <w:t>残疾人福利性单位声明函</w:t>
      </w:r>
      <w:bookmarkEnd w:id="543"/>
      <w:bookmarkEnd w:id="544"/>
      <w:bookmarkEnd w:id="545"/>
    </w:p>
    <w:p>
      <w:pPr>
        <w:widowControl/>
        <w:spacing w:line="360" w:lineRule="auto"/>
        <w:jc w:val="center"/>
        <w:rPr>
          <w:rFonts w:ascii="仿宋" w:hAnsi="仿宋" w:eastAsia="仿宋" w:cs="仿宋"/>
          <w:bCs/>
          <w:color w:val="auto"/>
          <w:spacing w:val="6"/>
          <w:kern w:val="0"/>
          <w:sz w:val="36"/>
          <w:szCs w:val="36"/>
          <w:highlight w:val="none"/>
        </w:rPr>
      </w:pPr>
    </w:p>
    <w:p>
      <w:pPr>
        <w:widowControl/>
        <w:spacing w:line="360" w:lineRule="auto"/>
        <w:ind w:firstLine="60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本单位郑重声明，根据《财政部 民政部 中国残疾人联合会关于促进残疾人就业政府采购政策的通知》（财库〔2017〕141号）的规定，本单位为符合条件的残疾人福利性单位，且本单位参加</w:t>
      </w:r>
      <w:r>
        <w:rPr>
          <w:rFonts w:hint="eastAsia" w:ascii="仿宋" w:hAnsi="仿宋" w:eastAsia="仿宋" w:cs="仿宋"/>
          <w:color w:val="auto"/>
          <w:sz w:val="28"/>
          <w:szCs w:val="28"/>
          <w:highlight w:val="none"/>
          <w:u w:val="single"/>
        </w:rPr>
        <w:t xml:space="preserve">  </w:t>
      </w:r>
      <w:r>
        <w:rPr>
          <w:rFonts w:hint="eastAsia" w:ascii="仿宋" w:hAnsi="仿宋" w:eastAsia="仿宋" w:cs="仿宋"/>
          <w:i/>
          <w:color w:val="auto"/>
          <w:sz w:val="24"/>
          <w:highlight w:val="none"/>
          <w:u w:val="single"/>
        </w:rPr>
        <w:t xml:space="preserve"> </w:t>
      </w:r>
      <w:r>
        <w:rPr>
          <w:rFonts w:hint="eastAsia" w:ascii="仿宋" w:hAnsi="仿宋" w:eastAsia="仿宋" w:cs="仿宋"/>
          <w:i/>
          <w:color w:val="auto"/>
          <w:sz w:val="28"/>
          <w:szCs w:val="28"/>
          <w:highlight w:val="none"/>
          <w:u w:val="single"/>
        </w:rPr>
        <w:t xml:space="preserve">（采购人名称） </w:t>
      </w:r>
      <w:r>
        <w:rPr>
          <w:rFonts w:hint="eastAsia" w:ascii="仿宋" w:hAnsi="仿宋" w:eastAsia="仿宋" w:cs="仿宋"/>
          <w:i/>
          <w:color w:val="auto"/>
          <w:sz w:val="24"/>
          <w:highlight w:val="none"/>
          <w:u w:val="single"/>
        </w:rPr>
        <w:t xml:space="preserve">   </w:t>
      </w:r>
      <w:r>
        <w:rPr>
          <w:rFonts w:hint="eastAsia" w:ascii="仿宋" w:hAnsi="仿宋" w:eastAsia="仿宋" w:cs="仿宋"/>
          <w:color w:val="auto"/>
          <w:sz w:val="28"/>
          <w:szCs w:val="28"/>
          <w:highlight w:val="none"/>
        </w:rPr>
        <w:t>的项目采购活动提供本单位制造的货物（由本单位承担工程/提供服务），或者提供其他残疾人福利性单位制造的货物（不包括使用非残疾人福利性单位注册商标的货物）。</w:t>
      </w:r>
    </w:p>
    <w:p>
      <w:pPr>
        <w:widowControl/>
        <w:spacing w:line="360" w:lineRule="auto"/>
        <w:ind w:firstLine="60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本单位对上述声明的真实性负责。如有虚假，将依法承担相应责任。</w:t>
      </w:r>
    </w:p>
    <w:p>
      <w:pPr>
        <w:widowControl/>
        <w:spacing w:line="360" w:lineRule="auto"/>
        <w:rPr>
          <w:rFonts w:ascii="仿宋" w:hAnsi="仿宋" w:eastAsia="仿宋" w:cs="仿宋"/>
          <w:color w:val="auto"/>
          <w:spacing w:val="6"/>
          <w:kern w:val="0"/>
          <w:sz w:val="30"/>
          <w:szCs w:val="30"/>
          <w:highlight w:val="none"/>
        </w:rPr>
      </w:pPr>
    </w:p>
    <w:p>
      <w:pPr>
        <w:widowControl/>
        <w:spacing w:line="360" w:lineRule="auto"/>
        <w:ind w:right="1420" w:firstLine="600"/>
        <w:jc w:val="right"/>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单位名称（盖章）：</w:t>
      </w:r>
    </w:p>
    <w:p>
      <w:pPr>
        <w:widowControl/>
        <w:spacing w:line="360" w:lineRule="auto"/>
        <w:ind w:right="2680" w:firstLine="600"/>
        <w:jc w:val="right"/>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日  期：</w:t>
      </w:r>
    </w:p>
    <w:p>
      <w:pPr>
        <w:widowControl/>
        <w:spacing w:line="360" w:lineRule="auto"/>
        <w:ind w:right="2960"/>
        <w:jc w:val="left"/>
        <w:rPr>
          <w:rFonts w:ascii="仿宋" w:hAnsi="仿宋" w:eastAsia="仿宋" w:cs="仿宋"/>
          <w:color w:val="auto"/>
          <w:kern w:val="0"/>
          <w:sz w:val="28"/>
          <w:szCs w:val="28"/>
          <w:highlight w:val="none"/>
        </w:rPr>
      </w:pPr>
    </w:p>
    <w:p>
      <w:pPr>
        <w:widowControl/>
        <w:spacing w:line="360" w:lineRule="auto"/>
        <w:ind w:right="2960"/>
        <w:jc w:val="left"/>
        <w:rPr>
          <w:rFonts w:ascii="仿宋" w:hAnsi="仿宋" w:eastAsia="仿宋" w:cs="仿宋"/>
          <w:color w:val="auto"/>
          <w:kern w:val="0"/>
          <w:sz w:val="28"/>
          <w:szCs w:val="28"/>
          <w:highlight w:val="none"/>
        </w:rPr>
      </w:pPr>
    </w:p>
    <w:p>
      <w:pPr>
        <w:widowControl/>
        <w:spacing w:line="360" w:lineRule="auto"/>
        <w:ind w:right="2960"/>
        <w:jc w:val="left"/>
        <w:rPr>
          <w:rFonts w:ascii="仿宋" w:hAnsi="仿宋" w:eastAsia="仿宋" w:cs="仿宋"/>
          <w:color w:val="auto"/>
          <w:kern w:val="0"/>
          <w:sz w:val="28"/>
          <w:szCs w:val="28"/>
          <w:highlight w:val="none"/>
        </w:rPr>
      </w:pPr>
    </w:p>
    <w:p>
      <w:pPr>
        <w:widowControl/>
        <w:spacing w:line="360" w:lineRule="auto"/>
        <w:ind w:right="2960"/>
        <w:jc w:val="left"/>
        <w:rPr>
          <w:rFonts w:ascii="仿宋" w:hAnsi="仿宋" w:eastAsia="仿宋" w:cs="仿宋"/>
          <w:color w:val="auto"/>
          <w:kern w:val="0"/>
          <w:sz w:val="28"/>
          <w:szCs w:val="28"/>
          <w:highlight w:val="none"/>
        </w:rPr>
      </w:pPr>
    </w:p>
    <w:p>
      <w:pPr>
        <w:widowControl/>
        <w:spacing w:line="360" w:lineRule="auto"/>
        <w:ind w:right="2960"/>
        <w:jc w:val="left"/>
        <w:rPr>
          <w:rFonts w:ascii="仿宋" w:hAnsi="仿宋" w:eastAsia="仿宋" w:cs="仿宋"/>
          <w:color w:val="auto"/>
          <w:kern w:val="0"/>
          <w:sz w:val="28"/>
          <w:szCs w:val="28"/>
          <w:highlight w:val="none"/>
        </w:rPr>
      </w:pPr>
    </w:p>
    <w:p>
      <w:pPr>
        <w:widowControl/>
        <w:spacing w:line="360" w:lineRule="auto"/>
        <w:ind w:right="2960"/>
        <w:jc w:val="left"/>
        <w:rPr>
          <w:rFonts w:ascii="仿宋" w:hAnsi="仿宋" w:eastAsia="仿宋" w:cs="仿宋"/>
          <w:color w:val="auto"/>
          <w:kern w:val="0"/>
          <w:sz w:val="28"/>
          <w:szCs w:val="28"/>
          <w:highlight w:val="none"/>
        </w:rPr>
      </w:pPr>
    </w:p>
    <w:p>
      <w:pPr>
        <w:widowControl/>
        <w:spacing w:line="360" w:lineRule="auto"/>
        <w:ind w:right="2960"/>
        <w:jc w:val="left"/>
        <w:rPr>
          <w:rFonts w:ascii="仿宋" w:hAnsi="仿宋" w:eastAsia="仿宋" w:cs="仿宋"/>
          <w:color w:val="auto"/>
          <w:kern w:val="0"/>
          <w:sz w:val="28"/>
          <w:szCs w:val="28"/>
          <w:highlight w:val="none"/>
        </w:rPr>
      </w:pPr>
    </w:p>
    <w:p>
      <w:pPr>
        <w:widowControl/>
        <w:spacing w:line="360" w:lineRule="auto"/>
        <w:ind w:right="2960"/>
        <w:jc w:val="left"/>
        <w:rPr>
          <w:rFonts w:ascii="仿宋" w:hAnsi="仿宋" w:eastAsia="仿宋" w:cs="仿宋"/>
          <w:color w:val="auto"/>
          <w:kern w:val="0"/>
          <w:sz w:val="28"/>
          <w:szCs w:val="28"/>
          <w:highlight w:val="none"/>
        </w:rPr>
      </w:pPr>
    </w:p>
    <w:p>
      <w:pPr>
        <w:widowControl/>
        <w:spacing w:line="360" w:lineRule="auto"/>
        <w:ind w:right="2960"/>
        <w:jc w:val="left"/>
        <w:rPr>
          <w:rFonts w:ascii="仿宋" w:hAnsi="仿宋" w:eastAsia="仿宋" w:cs="仿宋"/>
          <w:color w:val="auto"/>
          <w:kern w:val="0"/>
          <w:sz w:val="28"/>
          <w:szCs w:val="28"/>
          <w:highlight w:val="none"/>
        </w:rPr>
      </w:pPr>
    </w:p>
    <w:p>
      <w:pPr>
        <w:widowControl/>
        <w:spacing w:line="360" w:lineRule="auto"/>
        <w:ind w:right="2960"/>
        <w:jc w:val="left"/>
        <w:rPr>
          <w:rFonts w:ascii="仿宋" w:hAnsi="仿宋" w:eastAsia="仿宋" w:cs="仿宋"/>
          <w:color w:val="auto"/>
          <w:kern w:val="0"/>
          <w:sz w:val="28"/>
          <w:szCs w:val="28"/>
          <w:highlight w:val="none"/>
        </w:rPr>
      </w:pPr>
    </w:p>
    <w:p>
      <w:pPr>
        <w:widowControl/>
        <w:spacing w:line="360" w:lineRule="auto"/>
        <w:ind w:right="2960"/>
        <w:jc w:val="left"/>
        <w:rPr>
          <w:rFonts w:ascii="仿宋" w:hAnsi="仿宋" w:eastAsia="仿宋" w:cs="仿宋"/>
          <w:color w:val="auto"/>
          <w:kern w:val="0"/>
          <w:sz w:val="28"/>
          <w:szCs w:val="28"/>
          <w:highlight w:val="none"/>
        </w:rPr>
      </w:pPr>
    </w:p>
    <w:p>
      <w:pPr>
        <w:widowControl/>
        <w:spacing w:line="360" w:lineRule="auto"/>
        <w:ind w:right="2960"/>
        <w:jc w:val="left"/>
        <w:rPr>
          <w:rFonts w:ascii="仿宋" w:hAnsi="仿宋" w:eastAsia="仿宋" w:cs="仿宋"/>
          <w:color w:val="auto"/>
          <w:kern w:val="0"/>
          <w:sz w:val="28"/>
          <w:szCs w:val="28"/>
          <w:highlight w:val="none"/>
        </w:rPr>
      </w:pPr>
    </w:p>
    <w:p>
      <w:pPr>
        <w:pStyle w:val="4"/>
        <w:adjustRightInd/>
        <w:spacing w:before="0" w:after="0" w:line="360" w:lineRule="auto"/>
        <w:ind w:left="0" w:firstLine="0"/>
        <w:jc w:val="center"/>
        <w:rPr>
          <w:rFonts w:ascii="仿宋" w:hAnsi="仿宋" w:eastAsia="仿宋" w:cs="仿宋"/>
          <w:bCs w:val="0"/>
          <w:color w:val="auto"/>
          <w:highlight w:val="none"/>
        </w:rPr>
      </w:pPr>
      <w:bookmarkStart w:id="546" w:name="_Toc28597"/>
      <w:bookmarkStart w:id="547" w:name="_Toc139797666"/>
      <w:bookmarkStart w:id="548" w:name="_Toc12594"/>
      <w:r>
        <w:rPr>
          <w:rFonts w:hint="eastAsia" w:ascii="仿宋" w:hAnsi="仿宋" w:eastAsia="仿宋" w:cs="仿宋"/>
          <w:bCs w:val="0"/>
          <w:color w:val="auto"/>
          <w:highlight w:val="none"/>
        </w:rPr>
        <w:t xml:space="preserve">3.7   </w:t>
      </w:r>
      <w:r>
        <w:rPr>
          <w:rFonts w:hint="eastAsia" w:ascii="仿宋" w:hAnsi="仿宋" w:eastAsia="仿宋" w:cs="仿宋"/>
          <w:bCs w:val="0"/>
          <w:color w:val="auto"/>
          <w:highlight w:val="none"/>
          <w:lang w:val="en-US" w:eastAsia="zh-CN"/>
        </w:rPr>
        <w:t xml:space="preserve">  </w:t>
      </w:r>
      <w:r>
        <w:rPr>
          <w:rFonts w:hint="eastAsia" w:ascii="仿宋" w:hAnsi="仿宋" w:eastAsia="仿宋" w:cs="仿宋"/>
          <w:bCs w:val="0"/>
          <w:color w:val="auto"/>
          <w:highlight w:val="none"/>
        </w:rPr>
        <w:t>监狱企业证明</w:t>
      </w:r>
      <w:bookmarkEnd w:id="546"/>
      <w:bookmarkEnd w:id="547"/>
      <w:bookmarkEnd w:id="548"/>
    </w:p>
    <w:p>
      <w:pPr>
        <w:spacing w:line="360" w:lineRule="auto"/>
        <w:jc w:val="center"/>
        <w:rPr>
          <w:rFonts w:ascii="仿宋" w:hAnsi="仿宋" w:eastAsia="仿宋" w:cs="仿宋"/>
          <w:color w:val="auto"/>
          <w:sz w:val="24"/>
          <w:highlight w:val="none"/>
        </w:rPr>
      </w:pPr>
    </w:p>
    <w:p>
      <w:pPr>
        <w:spacing w:line="360" w:lineRule="auto"/>
        <w:ind w:firstLine="562" w:firstLineChars="200"/>
        <w:jc w:val="left"/>
        <w:rPr>
          <w:rFonts w:ascii="仿宋" w:hAnsi="仿宋" w:eastAsia="仿宋" w:cs="仿宋"/>
          <w:color w:val="auto"/>
          <w:sz w:val="28"/>
          <w:szCs w:val="28"/>
          <w:highlight w:val="none"/>
        </w:rPr>
      </w:pPr>
      <w:r>
        <w:rPr>
          <w:rFonts w:hint="eastAsia" w:ascii="仿宋" w:hAnsi="仿宋" w:eastAsia="仿宋" w:cs="仿宋"/>
          <w:b/>
          <w:color w:val="auto"/>
          <w:sz w:val="28"/>
          <w:szCs w:val="28"/>
          <w:highlight w:val="none"/>
        </w:rPr>
        <w:t>注：</w:t>
      </w:r>
      <w:r>
        <w:rPr>
          <w:rFonts w:hint="eastAsia" w:ascii="仿宋" w:hAnsi="仿宋" w:eastAsia="仿宋" w:cs="仿宋"/>
          <w:color w:val="auto"/>
          <w:sz w:val="28"/>
          <w:szCs w:val="28"/>
          <w:highlight w:val="none"/>
        </w:rPr>
        <w:t>须提供省级以上监狱管理局、戒毒管理局（含新疆生产建设兵团）出具的属于监狱企业的证明文件</w:t>
      </w:r>
    </w:p>
    <w:p>
      <w:pPr>
        <w:rPr>
          <w:rFonts w:ascii="仿宋" w:hAnsi="仿宋" w:eastAsia="仿宋" w:cs="仿宋"/>
          <w:color w:val="auto"/>
          <w:highlight w:val="none"/>
        </w:rPr>
      </w:pPr>
    </w:p>
    <w:p>
      <w:pPr>
        <w:pStyle w:val="61"/>
        <w:ind w:firstLine="420"/>
        <w:rPr>
          <w:rFonts w:ascii="仿宋" w:hAnsi="仿宋" w:eastAsia="仿宋" w:cs="仿宋"/>
          <w:color w:val="auto"/>
          <w:highlight w:val="non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ind w:firstLine="480"/>
        <w:jc w:val="right"/>
        <w:rPr>
          <w:rFonts w:ascii="仿宋" w:hAnsi="仿宋" w:eastAsia="仿宋" w:cs="仿宋"/>
          <w:color w:val="auto"/>
          <w:spacing w:val="20"/>
          <w:sz w:val="24"/>
          <w:szCs w:val="21"/>
          <w:highlight w:val="none"/>
          <w:u w:val="single"/>
        </w:rPr>
      </w:pPr>
    </w:p>
    <w:p>
      <w:pPr>
        <w:pStyle w:val="157"/>
        <w:spacing w:line="360" w:lineRule="auto"/>
        <w:rPr>
          <w:rFonts w:ascii="仿宋" w:hAnsi="仿宋" w:eastAsia="仿宋" w:cs="仿宋"/>
          <w:color w:val="auto"/>
          <w:spacing w:val="20"/>
          <w:sz w:val="24"/>
          <w:szCs w:val="21"/>
          <w:highlight w:val="none"/>
          <w:u w:val="single"/>
        </w:rPr>
      </w:pPr>
    </w:p>
    <w:bookmarkEnd w:id="485"/>
    <w:p>
      <w:pPr>
        <w:pStyle w:val="3"/>
        <w:spacing w:before="0" w:after="0" w:line="480" w:lineRule="auto"/>
        <w:ind w:left="431" w:hanging="431"/>
        <w:jc w:val="center"/>
        <w:rPr>
          <w:rFonts w:ascii="仿宋" w:hAnsi="仿宋" w:eastAsia="仿宋" w:cs="仿宋"/>
          <w:color w:val="auto"/>
          <w:sz w:val="36"/>
          <w:szCs w:val="36"/>
          <w:highlight w:val="none"/>
        </w:rPr>
      </w:pPr>
      <w:bookmarkStart w:id="549" w:name="_Toc19654"/>
      <w:bookmarkStart w:id="550" w:name="_Toc139797642"/>
      <w:bookmarkStart w:id="551" w:name="_Toc24448"/>
      <w:r>
        <w:rPr>
          <w:rFonts w:hint="eastAsia" w:ascii="仿宋" w:hAnsi="仿宋" w:eastAsia="仿宋" w:cs="仿宋"/>
          <w:color w:val="auto"/>
          <w:sz w:val="36"/>
          <w:szCs w:val="36"/>
          <w:highlight w:val="none"/>
        </w:rPr>
        <w:t>第七部分</w:t>
      </w:r>
      <w:bookmarkStart w:id="552" w:name="_Toc184313300"/>
      <w:bookmarkEnd w:id="552"/>
      <w:bookmarkStart w:id="553" w:name="_Toc184308060"/>
      <w:bookmarkEnd w:id="553"/>
      <w:bookmarkStart w:id="554" w:name="_Toc184312107"/>
      <w:bookmarkEnd w:id="554"/>
      <w:bookmarkStart w:id="555" w:name="_Toc184308068"/>
      <w:bookmarkEnd w:id="555"/>
      <w:bookmarkStart w:id="556" w:name="_Toc184312086"/>
      <w:bookmarkEnd w:id="556"/>
      <w:bookmarkStart w:id="557" w:name="_Toc184312129"/>
      <w:bookmarkEnd w:id="557"/>
      <w:bookmarkStart w:id="558" w:name="_Toc184312139"/>
      <w:bookmarkEnd w:id="558"/>
      <w:bookmarkStart w:id="559" w:name="_Toc184310301"/>
      <w:bookmarkEnd w:id="559"/>
      <w:bookmarkStart w:id="560" w:name="_Toc184313288"/>
      <w:bookmarkEnd w:id="560"/>
      <w:bookmarkStart w:id="561" w:name="_Toc184312075"/>
      <w:bookmarkEnd w:id="561"/>
      <w:bookmarkStart w:id="562" w:name="_Toc184314471"/>
      <w:bookmarkEnd w:id="562"/>
      <w:bookmarkStart w:id="563" w:name="_Toc184310274"/>
      <w:bookmarkEnd w:id="563"/>
      <w:bookmarkStart w:id="564" w:name="_Toc184310299"/>
      <w:bookmarkEnd w:id="564"/>
      <w:bookmarkStart w:id="565" w:name="_Toc184314418"/>
      <w:bookmarkEnd w:id="565"/>
      <w:bookmarkStart w:id="566" w:name="_Toc184314448"/>
      <w:bookmarkEnd w:id="566"/>
      <w:bookmarkStart w:id="567" w:name="_Toc184314477"/>
      <w:bookmarkEnd w:id="567"/>
      <w:bookmarkStart w:id="568" w:name="_Toc184313306"/>
      <w:bookmarkEnd w:id="568"/>
      <w:bookmarkStart w:id="569" w:name="_Toc184314451"/>
      <w:bookmarkEnd w:id="569"/>
      <w:bookmarkStart w:id="570" w:name="_Toc184314449"/>
      <w:bookmarkEnd w:id="570"/>
      <w:bookmarkStart w:id="571" w:name="_Toc184313298"/>
      <w:bookmarkEnd w:id="571"/>
      <w:bookmarkStart w:id="572" w:name="_Toc184308052"/>
      <w:bookmarkEnd w:id="572"/>
      <w:bookmarkStart w:id="573" w:name="_Toc184312130"/>
      <w:bookmarkEnd w:id="573"/>
      <w:bookmarkStart w:id="574" w:name="_Toc184313265"/>
      <w:bookmarkEnd w:id="574"/>
      <w:bookmarkStart w:id="575" w:name="_Toc184310296"/>
      <w:bookmarkEnd w:id="575"/>
      <w:bookmarkStart w:id="576" w:name="_Toc184312068"/>
      <w:bookmarkEnd w:id="576"/>
      <w:bookmarkStart w:id="577" w:name="_Toc184310336"/>
      <w:bookmarkEnd w:id="577"/>
      <w:bookmarkStart w:id="578" w:name="_Toc184308051"/>
      <w:bookmarkEnd w:id="578"/>
      <w:bookmarkStart w:id="579" w:name="_Toc184312081"/>
      <w:bookmarkEnd w:id="579"/>
      <w:bookmarkStart w:id="580" w:name="_Toc184314440"/>
      <w:bookmarkEnd w:id="580"/>
      <w:bookmarkStart w:id="581" w:name="_Toc184310297"/>
      <w:bookmarkEnd w:id="581"/>
      <w:bookmarkStart w:id="582" w:name="_Toc184312105"/>
      <w:bookmarkEnd w:id="582"/>
      <w:bookmarkStart w:id="583" w:name="_Toc184312103"/>
      <w:bookmarkEnd w:id="583"/>
      <w:bookmarkStart w:id="584" w:name="_Toc184313309"/>
      <w:bookmarkEnd w:id="584"/>
      <w:bookmarkStart w:id="585" w:name="_Toc184314413"/>
      <w:bookmarkEnd w:id="585"/>
      <w:bookmarkStart w:id="586" w:name="_Toc184314422"/>
      <w:bookmarkEnd w:id="586"/>
      <w:bookmarkStart w:id="587" w:name="_Toc184312121"/>
      <w:bookmarkEnd w:id="587"/>
      <w:bookmarkStart w:id="588" w:name="_Toc184313303"/>
      <w:bookmarkEnd w:id="588"/>
      <w:bookmarkStart w:id="589" w:name="_Toc184312098"/>
      <w:bookmarkEnd w:id="589"/>
      <w:bookmarkStart w:id="590" w:name="_Toc184314445"/>
      <w:bookmarkEnd w:id="590"/>
      <w:bookmarkStart w:id="591" w:name="_Toc184310335"/>
      <w:bookmarkEnd w:id="591"/>
      <w:bookmarkStart w:id="592" w:name="_Toc184310340"/>
      <w:bookmarkEnd w:id="592"/>
      <w:bookmarkStart w:id="593" w:name="_Toc184312073"/>
      <w:bookmarkEnd w:id="593"/>
      <w:bookmarkStart w:id="594" w:name="_Toc184308089"/>
      <w:bookmarkEnd w:id="594"/>
      <w:bookmarkStart w:id="595" w:name="_Toc184313260"/>
      <w:bookmarkEnd w:id="595"/>
      <w:bookmarkStart w:id="596" w:name="_Toc184314482"/>
      <w:bookmarkEnd w:id="596"/>
      <w:bookmarkStart w:id="597" w:name="_Toc184314454"/>
      <w:bookmarkEnd w:id="597"/>
      <w:bookmarkStart w:id="598" w:name="_Toc184312071"/>
      <w:bookmarkEnd w:id="598"/>
      <w:bookmarkStart w:id="599" w:name="_Toc184313243"/>
      <w:bookmarkEnd w:id="599"/>
      <w:bookmarkStart w:id="600" w:name="_Toc184314465"/>
      <w:bookmarkEnd w:id="600"/>
      <w:bookmarkStart w:id="601" w:name="_Toc184310313"/>
      <w:bookmarkEnd w:id="601"/>
      <w:bookmarkStart w:id="602" w:name="_Toc184313247"/>
      <w:bookmarkEnd w:id="602"/>
      <w:bookmarkStart w:id="603" w:name="_Toc184310288"/>
      <w:bookmarkEnd w:id="603"/>
      <w:bookmarkStart w:id="604" w:name="_Toc184308053"/>
      <w:bookmarkEnd w:id="604"/>
      <w:bookmarkStart w:id="605" w:name="_Toc184308086"/>
      <w:bookmarkEnd w:id="605"/>
      <w:bookmarkStart w:id="606" w:name="_Toc184312127"/>
      <w:bookmarkEnd w:id="606"/>
      <w:bookmarkStart w:id="607" w:name="_Toc184308056"/>
      <w:bookmarkEnd w:id="607"/>
      <w:bookmarkStart w:id="608" w:name="_Toc184310325"/>
      <w:bookmarkEnd w:id="608"/>
      <w:bookmarkStart w:id="609" w:name="_Toc184308046"/>
      <w:bookmarkEnd w:id="609"/>
      <w:bookmarkStart w:id="610" w:name="_Toc184314441"/>
      <w:bookmarkEnd w:id="610"/>
      <w:bookmarkStart w:id="611" w:name="_Toc184314469"/>
      <w:bookmarkEnd w:id="611"/>
      <w:bookmarkStart w:id="612" w:name="_Toc184310311"/>
      <w:bookmarkEnd w:id="612"/>
      <w:bookmarkStart w:id="613" w:name="_Toc184312104"/>
      <w:bookmarkEnd w:id="613"/>
      <w:bookmarkStart w:id="614" w:name="_Toc184313275"/>
      <w:bookmarkEnd w:id="614"/>
      <w:bookmarkStart w:id="615" w:name="_Toc184313263"/>
      <w:bookmarkEnd w:id="615"/>
      <w:bookmarkStart w:id="616" w:name="_Toc184314443"/>
      <w:bookmarkEnd w:id="616"/>
      <w:bookmarkStart w:id="617" w:name="_Toc184312089"/>
      <w:bookmarkEnd w:id="617"/>
      <w:bookmarkStart w:id="618" w:name="_Toc184308105"/>
      <w:bookmarkEnd w:id="618"/>
      <w:bookmarkStart w:id="619" w:name="_Toc184313305"/>
      <w:bookmarkEnd w:id="619"/>
      <w:bookmarkStart w:id="620" w:name="_Toc184312131"/>
      <w:bookmarkEnd w:id="620"/>
      <w:bookmarkStart w:id="621" w:name="_Toc184308103"/>
      <w:bookmarkEnd w:id="621"/>
      <w:bookmarkStart w:id="622" w:name="_Toc184310323"/>
      <w:bookmarkEnd w:id="622"/>
      <w:bookmarkStart w:id="623" w:name="_Toc184310320"/>
      <w:bookmarkEnd w:id="623"/>
      <w:bookmarkStart w:id="624" w:name="_Toc184310300"/>
      <w:bookmarkEnd w:id="624"/>
      <w:bookmarkStart w:id="625" w:name="_Toc184314444"/>
      <w:bookmarkEnd w:id="625"/>
      <w:bookmarkStart w:id="626" w:name="_Toc184308076"/>
      <w:bookmarkEnd w:id="626"/>
      <w:bookmarkStart w:id="627" w:name="_Toc184313297"/>
      <w:bookmarkEnd w:id="627"/>
      <w:bookmarkStart w:id="628" w:name="_Toc184312083"/>
      <w:bookmarkEnd w:id="628"/>
      <w:bookmarkStart w:id="629" w:name="_Toc184308102"/>
      <w:bookmarkEnd w:id="629"/>
      <w:bookmarkStart w:id="630" w:name="_Toc184312120"/>
      <w:bookmarkEnd w:id="630"/>
      <w:bookmarkStart w:id="631" w:name="_Toc184313301"/>
      <w:bookmarkEnd w:id="631"/>
      <w:bookmarkStart w:id="632" w:name="_Toc184308054"/>
      <w:bookmarkEnd w:id="632"/>
      <w:bookmarkStart w:id="633" w:name="_Toc184312124"/>
      <w:bookmarkEnd w:id="633"/>
      <w:bookmarkStart w:id="634" w:name="_Toc184308065"/>
      <w:bookmarkEnd w:id="634"/>
      <w:bookmarkStart w:id="635" w:name="_Toc184310276"/>
      <w:bookmarkEnd w:id="635"/>
      <w:bookmarkStart w:id="636" w:name="_Toc184308061"/>
      <w:bookmarkEnd w:id="636"/>
      <w:bookmarkStart w:id="637" w:name="_Toc184308096"/>
      <w:bookmarkEnd w:id="637"/>
      <w:bookmarkStart w:id="638" w:name="_Toc184308083"/>
      <w:bookmarkEnd w:id="638"/>
      <w:bookmarkStart w:id="639" w:name="_Toc184313296"/>
      <w:bookmarkEnd w:id="639"/>
      <w:bookmarkStart w:id="640" w:name="_Toc184314416"/>
      <w:bookmarkEnd w:id="640"/>
      <w:bookmarkStart w:id="641" w:name="_Toc184313266"/>
      <w:bookmarkEnd w:id="641"/>
      <w:bookmarkStart w:id="642" w:name="_Toc184313271"/>
      <w:bookmarkEnd w:id="642"/>
      <w:bookmarkStart w:id="643" w:name="_Toc184310342"/>
      <w:bookmarkEnd w:id="643"/>
      <w:bookmarkStart w:id="644" w:name="_Toc184313308"/>
      <w:bookmarkEnd w:id="644"/>
      <w:bookmarkStart w:id="645" w:name="_Toc184310273"/>
      <w:bookmarkEnd w:id="645"/>
      <w:bookmarkStart w:id="646" w:name="_Toc184313277"/>
      <w:bookmarkEnd w:id="646"/>
      <w:bookmarkStart w:id="647" w:name="_Toc184308064"/>
      <w:bookmarkEnd w:id="647"/>
      <w:bookmarkStart w:id="648" w:name="_Toc184310329"/>
      <w:bookmarkEnd w:id="648"/>
      <w:bookmarkStart w:id="649" w:name="_Toc184314460"/>
      <w:bookmarkEnd w:id="649"/>
      <w:bookmarkStart w:id="650" w:name="_Toc184312091"/>
      <w:bookmarkEnd w:id="650"/>
      <w:bookmarkStart w:id="651" w:name="_Toc184312113"/>
      <w:bookmarkEnd w:id="651"/>
      <w:bookmarkStart w:id="652" w:name="_Toc184313239"/>
      <w:bookmarkEnd w:id="652"/>
      <w:bookmarkStart w:id="653" w:name="_Toc184312114"/>
      <w:bookmarkEnd w:id="653"/>
      <w:bookmarkStart w:id="654" w:name="_Toc184310280"/>
      <w:bookmarkEnd w:id="654"/>
      <w:bookmarkStart w:id="655" w:name="_Toc184310295"/>
      <w:bookmarkEnd w:id="655"/>
      <w:bookmarkStart w:id="656" w:name="_Toc184310304"/>
      <w:bookmarkEnd w:id="656"/>
      <w:bookmarkStart w:id="657" w:name="_Toc184310293"/>
      <w:bookmarkEnd w:id="657"/>
      <w:bookmarkStart w:id="658" w:name="_Toc184310331"/>
      <w:bookmarkEnd w:id="658"/>
      <w:bookmarkStart w:id="659" w:name="_Toc184312116"/>
      <w:bookmarkEnd w:id="659"/>
      <w:bookmarkStart w:id="660" w:name="_Toc184308050"/>
      <w:bookmarkEnd w:id="660"/>
      <w:bookmarkStart w:id="661" w:name="_Toc184308036"/>
      <w:bookmarkEnd w:id="661"/>
      <w:bookmarkStart w:id="662" w:name="_Toc184314435"/>
      <w:bookmarkEnd w:id="662"/>
      <w:bookmarkStart w:id="663" w:name="_Toc184314427"/>
      <w:bookmarkEnd w:id="663"/>
      <w:bookmarkStart w:id="664" w:name="_Toc184308048"/>
      <w:bookmarkEnd w:id="664"/>
      <w:bookmarkStart w:id="665" w:name="_Toc184314473"/>
      <w:bookmarkEnd w:id="665"/>
      <w:bookmarkStart w:id="666" w:name="_Toc184312077"/>
      <w:bookmarkEnd w:id="666"/>
      <w:bookmarkStart w:id="667" w:name="_Toc184308045"/>
      <w:bookmarkEnd w:id="667"/>
      <w:bookmarkStart w:id="668" w:name="_Toc184314475"/>
      <w:bookmarkEnd w:id="668"/>
      <w:bookmarkStart w:id="669" w:name="_Toc184313299"/>
      <w:bookmarkEnd w:id="669"/>
      <w:bookmarkStart w:id="670" w:name="_Toc184314425"/>
      <w:bookmarkEnd w:id="670"/>
      <w:bookmarkStart w:id="671" w:name="_Toc184310328"/>
      <w:bookmarkEnd w:id="671"/>
      <w:bookmarkStart w:id="672" w:name="_Toc184308098"/>
      <w:bookmarkEnd w:id="672"/>
      <w:bookmarkStart w:id="673" w:name="_Toc184308090"/>
      <w:bookmarkEnd w:id="673"/>
      <w:bookmarkStart w:id="674" w:name="_Toc184313276"/>
      <w:bookmarkEnd w:id="674"/>
      <w:bookmarkStart w:id="675" w:name="_Toc184308091"/>
      <w:bookmarkEnd w:id="675"/>
      <w:bookmarkStart w:id="676" w:name="_Toc184312070"/>
      <w:bookmarkEnd w:id="676"/>
      <w:bookmarkStart w:id="677" w:name="_Toc184312108"/>
      <w:bookmarkEnd w:id="677"/>
      <w:bookmarkStart w:id="678" w:name="_Toc184314417"/>
      <w:bookmarkEnd w:id="678"/>
      <w:bookmarkStart w:id="679" w:name="_Toc184313294"/>
      <w:bookmarkEnd w:id="679"/>
      <w:bookmarkStart w:id="680" w:name="_Toc184312100"/>
      <w:bookmarkEnd w:id="680"/>
      <w:bookmarkStart w:id="681" w:name="_Toc184308095"/>
      <w:bookmarkEnd w:id="681"/>
      <w:bookmarkStart w:id="682" w:name="_Toc184308079"/>
      <w:bookmarkEnd w:id="682"/>
      <w:bookmarkStart w:id="683" w:name="_Toc184308037"/>
      <w:bookmarkEnd w:id="683"/>
      <w:bookmarkStart w:id="684" w:name="_Toc184314442"/>
      <w:bookmarkEnd w:id="684"/>
      <w:bookmarkStart w:id="685" w:name="_Toc184312126"/>
      <w:bookmarkEnd w:id="685"/>
      <w:bookmarkStart w:id="686" w:name="_Toc184308074"/>
      <w:bookmarkEnd w:id="686"/>
      <w:bookmarkStart w:id="687" w:name="_Toc184308062"/>
      <w:bookmarkEnd w:id="687"/>
      <w:bookmarkStart w:id="688" w:name="_Toc184312096"/>
      <w:bookmarkEnd w:id="688"/>
      <w:bookmarkStart w:id="689" w:name="_Toc184310318"/>
      <w:bookmarkEnd w:id="689"/>
      <w:bookmarkStart w:id="690" w:name="_Toc184308039"/>
      <w:bookmarkEnd w:id="690"/>
      <w:bookmarkStart w:id="691" w:name="_Toc184314457"/>
      <w:bookmarkEnd w:id="691"/>
      <w:bookmarkStart w:id="692" w:name="_Toc184313310"/>
      <w:bookmarkEnd w:id="692"/>
      <w:bookmarkStart w:id="693" w:name="_Toc184308044"/>
      <w:bookmarkEnd w:id="693"/>
      <w:bookmarkStart w:id="694" w:name="_Toc184308107"/>
      <w:bookmarkEnd w:id="694"/>
      <w:bookmarkStart w:id="695" w:name="_Toc184312078"/>
      <w:bookmarkEnd w:id="695"/>
      <w:bookmarkStart w:id="696" w:name="_Toc184312102"/>
      <w:bookmarkEnd w:id="696"/>
      <w:bookmarkStart w:id="697" w:name="_Toc184308100"/>
      <w:bookmarkEnd w:id="697"/>
      <w:bookmarkStart w:id="698" w:name="_Toc184312095"/>
      <w:bookmarkEnd w:id="698"/>
      <w:bookmarkStart w:id="699" w:name="_Toc184314472"/>
      <w:bookmarkEnd w:id="699"/>
      <w:bookmarkStart w:id="700" w:name="_Toc184313287"/>
      <w:bookmarkEnd w:id="700"/>
      <w:bookmarkStart w:id="701" w:name="_Toc184310341"/>
      <w:bookmarkEnd w:id="701"/>
      <w:bookmarkStart w:id="702" w:name="_Toc184313249"/>
      <w:bookmarkEnd w:id="702"/>
      <w:bookmarkStart w:id="703" w:name="_Toc184314453"/>
      <w:bookmarkEnd w:id="703"/>
      <w:bookmarkStart w:id="704" w:name="_Toc184313272"/>
      <w:bookmarkEnd w:id="704"/>
      <w:bookmarkStart w:id="705" w:name="_Toc184314464"/>
      <w:bookmarkEnd w:id="705"/>
      <w:bookmarkStart w:id="706" w:name="_Toc184313290"/>
      <w:bookmarkEnd w:id="706"/>
      <w:bookmarkStart w:id="707" w:name="_Toc184314452"/>
      <w:bookmarkEnd w:id="707"/>
      <w:bookmarkStart w:id="708" w:name="_Toc184310290"/>
      <w:bookmarkEnd w:id="708"/>
      <w:bookmarkStart w:id="709" w:name="_Toc184310272"/>
      <w:bookmarkEnd w:id="709"/>
      <w:bookmarkStart w:id="710" w:name="_Toc184308041"/>
      <w:bookmarkEnd w:id="710"/>
      <w:bookmarkStart w:id="711" w:name="_Toc184314438"/>
      <w:bookmarkEnd w:id="711"/>
      <w:bookmarkStart w:id="712" w:name="_Toc184308085"/>
      <w:bookmarkEnd w:id="712"/>
      <w:bookmarkStart w:id="713" w:name="_Toc184312067"/>
      <w:bookmarkEnd w:id="713"/>
      <w:bookmarkStart w:id="714" w:name="_Toc184313293"/>
      <w:bookmarkEnd w:id="714"/>
      <w:bookmarkStart w:id="715" w:name="_Toc184313251"/>
      <w:bookmarkEnd w:id="715"/>
      <w:bookmarkStart w:id="716" w:name="_Toc184312080"/>
      <w:bookmarkEnd w:id="716"/>
      <w:bookmarkStart w:id="717" w:name="_Toc184310327"/>
      <w:bookmarkEnd w:id="717"/>
      <w:bookmarkStart w:id="718" w:name="_Toc184310332"/>
      <w:bookmarkEnd w:id="718"/>
      <w:bookmarkStart w:id="719" w:name="_Toc184314424"/>
      <w:bookmarkEnd w:id="719"/>
      <w:bookmarkStart w:id="720" w:name="_Toc184313289"/>
      <w:bookmarkEnd w:id="720"/>
      <w:bookmarkStart w:id="721" w:name="_Toc184314450"/>
      <w:bookmarkEnd w:id="721"/>
      <w:bookmarkStart w:id="722" w:name="_Toc184310289"/>
      <w:bookmarkEnd w:id="722"/>
      <w:bookmarkStart w:id="723" w:name="_Toc184310319"/>
      <w:bookmarkEnd w:id="723"/>
      <w:bookmarkStart w:id="724" w:name="_Toc184308106"/>
      <w:bookmarkEnd w:id="724"/>
      <w:bookmarkStart w:id="725" w:name="_Toc184313255"/>
      <w:bookmarkEnd w:id="725"/>
      <w:bookmarkStart w:id="726" w:name="_Toc184312097"/>
      <w:bookmarkEnd w:id="726"/>
      <w:bookmarkStart w:id="727" w:name="_Toc184314412"/>
      <w:bookmarkEnd w:id="727"/>
      <w:bookmarkStart w:id="728" w:name="_Toc184310282"/>
      <w:bookmarkEnd w:id="728"/>
      <w:bookmarkStart w:id="729" w:name="_Toc184312133"/>
      <w:bookmarkEnd w:id="729"/>
      <w:bookmarkStart w:id="730" w:name="_Toc184314410"/>
      <w:bookmarkEnd w:id="730"/>
      <w:bookmarkStart w:id="731" w:name="_Toc184308088"/>
      <w:bookmarkEnd w:id="731"/>
      <w:bookmarkStart w:id="732" w:name="_Toc184312093"/>
      <w:bookmarkEnd w:id="732"/>
      <w:bookmarkStart w:id="733" w:name="_Toc184308058"/>
      <w:bookmarkEnd w:id="733"/>
      <w:bookmarkStart w:id="734" w:name="_Toc184314430"/>
      <w:bookmarkEnd w:id="734"/>
      <w:bookmarkStart w:id="735" w:name="_Toc184314433"/>
      <w:bookmarkEnd w:id="735"/>
      <w:bookmarkStart w:id="736" w:name="_Toc184313264"/>
      <w:bookmarkEnd w:id="736"/>
      <w:bookmarkStart w:id="737" w:name="_Toc184310308"/>
      <w:bookmarkEnd w:id="737"/>
      <w:bookmarkStart w:id="738" w:name="_Toc184312106"/>
      <w:bookmarkEnd w:id="738"/>
      <w:bookmarkStart w:id="739" w:name="_Toc184312072"/>
      <w:bookmarkEnd w:id="739"/>
      <w:bookmarkStart w:id="740" w:name="_Toc184314434"/>
      <w:bookmarkEnd w:id="740"/>
      <w:bookmarkStart w:id="741" w:name="_Toc184310334"/>
      <w:bookmarkEnd w:id="741"/>
      <w:bookmarkStart w:id="742" w:name="_Toc184314468"/>
      <w:bookmarkEnd w:id="742"/>
      <w:bookmarkStart w:id="743" w:name="_Toc184313291"/>
      <w:bookmarkEnd w:id="743"/>
      <w:bookmarkStart w:id="744" w:name="_Toc184314446"/>
      <w:bookmarkEnd w:id="744"/>
      <w:bookmarkStart w:id="745" w:name="_Toc184312069"/>
      <w:bookmarkEnd w:id="745"/>
      <w:bookmarkStart w:id="746" w:name="_Toc184312119"/>
      <w:bookmarkEnd w:id="746"/>
      <w:bookmarkStart w:id="747" w:name="_Toc184314432"/>
      <w:bookmarkEnd w:id="747"/>
      <w:bookmarkStart w:id="748" w:name="_Toc184308108"/>
      <w:bookmarkEnd w:id="748"/>
      <w:bookmarkStart w:id="749" w:name="_Toc184310306"/>
      <w:bookmarkEnd w:id="749"/>
      <w:bookmarkStart w:id="750" w:name="_Toc184312122"/>
      <w:bookmarkEnd w:id="750"/>
      <w:bookmarkStart w:id="751" w:name="_Toc184313257"/>
      <w:bookmarkEnd w:id="751"/>
      <w:bookmarkStart w:id="752" w:name="_Toc184312125"/>
      <w:bookmarkEnd w:id="752"/>
      <w:bookmarkStart w:id="753" w:name="_Toc184312087"/>
      <w:bookmarkEnd w:id="753"/>
      <w:bookmarkStart w:id="754" w:name="_Toc184308043"/>
      <w:bookmarkEnd w:id="754"/>
      <w:bookmarkStart w:id="755" w:name="_Toc184314458"/>
      <w:bookmarkEnd w:id="755"/>
      <w:bookmarkStart w:id="756" w:name="_Toc184310294"/>
      <w:bookmarkEnd w:id="756"/>
      <w:bookmarkStart w:id="757" w:name="_Toc184313256"/>
      <w:bookmarkEnd w:id="757"/>
      <w:bookmarkStart w:id="758" w:name="_Toc184308057"/>
      <w:bookmarkEnd w:id="758"/>
      <w:bookmarkStart w:id="759" w:name="_Toc184312084"/>
      <w:bookmarkEnd w:id="759"/>
      <w:bookmarkStart w:id="760" w:name="_Toc184314415"/>
      <w:bookmarkEnd w:id="760"/>
      <w:bookmarkStart w:id="761" w:name="_Toc184310285"/>
      <w:bookmarkEnd w:id="761"/>
      <w:bookmarkStart w:id="762" w:name="_Toc184310275"/>
      <w:bookmarkEnd w:id="762"/>
      <w:bookmarkStart w:id="763" w:name="_Toc184313267"/>
      <w:bookmarkEnd w:id="763"/>
      <w:bookmarkStart w:id="764" w:name="_Toc184312079"/>
      <w:bookmarkEnd w:id="764"/>
      <w:bookmarkStart w:id="765" w:name="_Toc184310292"/>
      <w:bookmarkEnd w:id="765"/>
      <w:bookmarkStart w:id="766" w:name="_Toc184310333"/>
      <w:bookmarkEnd w:id="766"/>
      <w:bookmarkStart w:id="767" w:name="_Toc184314456"/>
      <w:bookmarkEnd w:id="767"/>
      <w:bookmarkStart w:id="768" w:name="_Toc184310321"/>
      <w:bookmarkEnd w:id="768"/>
      <w:bookmarkStart w:id="769" w:name="_Toc184313253"/>
      <w:bookmarkEnd w:id="769"/>
      <w:bookmarkStart w:id="770" w:name="_Toc184314470"/>
      <w:bookmarkEnd w:id="770"/>
      <w:bookmarkStart w:id="771" w:name="_Toc184312094"/>
      <w:bookmarkEnd w:id="771"/>
      <w:bookmarkStart w:id="772" w:name="_Toc184310315"/>
      <w:bookmarkEnd w:id="772"/>
      <w:bookmarkStart w:id="773" w:name="_Toc184308097"/>
      <w:bookmarkEnd w:id="773"/>
      <w:bookmarkStart w:id="774" w:name="_Toc184312109"/>
      <w:bookmarkEnd w:id="774"/>
      <w:bookmarkStart w:id="775" w:name="_Toc184310283"/>
      <w:bookmarkEnd w:id="775"/>
      <w:bookmarkStart w:id="776" w:name="_Toc184310298"/>
      <w:bookmarkEnd w:id="776"/>
      <w:bookmarkStart w:id="777" w:name="_Toc184314455"/>
      <w:bookmarkEnd w:id="777"/>
      <w:bookmarkStart w:id="778" w:name="_Toc184310305"/>
      <w:bookmarkEnd w:id="778"/>
      <w:bookmarkStart w:id="779" w:name="_Toc184313268"/>
      <w:bookmarkEnd w:id="779"/>
      <w:bookmarkStart w:id="780" w:name="_Toc184313252"/>
      <w:bookmarkEnd w:id="780"/>
      <w:bookmarkStart w:id="781" w:name="_Toc184310287"/>
      <w:bookmarkEnd w:id="781"/>
      <w:bookmarkStart w:id="782" w:name="_Toc184308070"/>
      <w:bookmarkEnd w:id="782"/>
      <w:bookmarkStart w:id="783" w:name="_Toc184313278"/>
      <w:bookmarkEnd w:id="783"/>
      <w:bookmarkStart w:id="784" w:name="_Toc184312117"/>
      <w:bookmarkEnd w:id="784"/>
      <w:bookmarkStart w:id="785" w:name="_Toc184312082"/>
      <w:bookmarkEnd w:id="785"/>
      <w:bookmarkStart w:id="786" w:name="_Toc184313262"/>
      <w:bookmarkEnd w:id="786"/>
      <w:bookmarkStart w:id="787" w:name="_Toc184313270"/>
      <w:bookmarkEnd w:id="787"/>
      <w:bookmarkStart w:id="788" w:name="_Toc184313295"/>
      <w:bookmarkEnd w:id="788"/>
      <w:bookmarkStart w:id="789" w:name="_Toc184313279"/>
      <w:bookmarkEnd w:id="789"/>
      <w:bookmarkStart w:id="790" w:name="_Toc184313281"/>
      <w:bookmarkEnd w:id="790"/>
      <w:bookmarkStart w:id="791" w:name="_Toc184310284"/>
      <w:bookmarkEnd w:id="791"/>
      <w:bookmarkStart w:id="792" w:name="_Toc184310309"/>
      <w:bookmarkEnd w:id="792"/>
      <w:bookmarkStart w:id="793" w:name="_Toc184314436"/>
      <w:bookmarkEnd w:id="793"/>
      <w:bookmarkStart w:id="794" w:name="_Toc184314414"/>
      <w:bookmarkEnd w:id="794"/>
      <w:bookmarkStart w:id="795" w:name="_Toc184312136"/>
      <w:bookmarkEnd w:id="795"/>
      <w:bookmarkStart w:id="796" w:name="_Toc184308092"/>
      <w:bookmarkEnd w:id="796"/>
      <w:bookmarkStart w:id="797" w:name="_Toc184314476"/>
      <w:bookmarkEnd w:id="797"/>
      <w:bookmarkStart w:id="798" w:name="_Toc184310291"/>
      <w:bookmarkEnd w:id="798"/>
      <w:bookmarkStart w:id="799" w:name="_Toc184312101"/>
      <w:bookmarkEnd w:id="799"/>
      <w:bookmarkStart w:id="800" w:name="_Toc184308055"/>
      <w:bookmarkEnd w:id="800"/>
      <w:bookmarkStart w:id="801" w:name="_Toc184308078"/>
      <w:bookmarkEnd w:id="801"/>
      <w:bookmarkStart w:id="802" w:name="_Toc184310310"/>
      <w:bookmarkEnd w:id="802"/>
      <w:bookmarkStart w:id="803" w:name="_Toc184314447"/>
      <w:bookmarkEnd w:id="803"/>
      <w:bookmarkStart w:id="804" w:name="_Toc184310322"/>
      <w:bookmarkEnd w:id="804"/>
      <w:bookmarkStart w:id="805" w:name="_Toc184308069"/>
      <w:bookmarkEnd w:id="805"/>
      <w:bookmarkStart w:id="806" w:name="_Toc184313245"/>
      <w:bookmarkEnd w:id="806"/>
      <w:bookmarkStart w:id="807" w:name="_Toc184310344"/>
      <w:bookmarkEnd w:id="807"/>
      <w:bookmarkStart w:id="808" w:name="_Toc184312074"/>
      <w:bookmarkEnd w:id="808"/>
      <w:bookmarkStart w:id="809" w:name="_Toc184313258"/>
      <w:bookmarkEnd w:id="809"/>
      <w:bookmarkStart w:id="810" w:name="_Toc184313274"/>
      <w:bookmarkEnd w:id="810"/>
      <w:bookmarkStart w:id="811" w:name="_Toc184312118"/>
      <w:bookmarkEnd w:id="811"/>
      <w:bookmarkStart w:id="812" w:name="_Toc184308042"/>
      <w:bookmarkEnd w:id="812"/>
      <w:bookmarkStart w:id="813" w:name="_Toc184308101"/>
      <w:bookmarkEnd w:id="813"/>
      <w:bookmarkStart w:id="814" w:name="_Toc184310314"/>
      <w:bookmarkEnd w:id="814"/>
      <w:bookmarkStart w:id="815" w:name="_Toc184314420"/>
      <w:bookmarkEnd w:id="815"/>
      <w:bookmarkStart w:id="816" w:name="_Toc184310316"/>
      <w:bookmarkEnd w:id="816"/>
      <w:bookmarkStart w:id="817" w:name="_Toc184308040"/>
      <w:bookmarkEnd w:id="817"/>
      <w:bookmarkStart w:id="818" w:name="_Toc184310324"/>
      <w:bookmarkEnd w:id="818"/>
      <w:bookmarkStart w:id="819" w:name="_Toc184314411"/>
      <w:bookmarkEnd w:id="819"/>
      <w:bookmarkStart w:id="820" w:name="_Toc184314437"/>
      <w:bookmarkEnd w:id="820"/>
      <w:bookmarkStart w:id="821" w:name="_Toc184314439"/>
      <w:bookmarkEnd w:id="821"/>
      <w:bookmarkStart w:id="822" w:name="_Toc184310338"/>
      <w:bookmarkEnd w:id="822"/>
      <w:bookmarkStart w:id="823" w:name="_Toc184313244"/>
      <w:bookmarkEnd w:id="823"/>
      <w:bookmarkStart w:id="824" w:name="_Toc184313285"/>
      <w:bookmarkEnd w:id="824"/>
      <w:bookmarkStart w:id="825" w:name="_Toc184308080"/>
      <w:bookmarkEnd w:id="825"/>
      <w:bookmarkStart w:id="826" w:name="_Toc184308082"/>
      <w:bookmarkEnd w:id="826"/>
      <w:bookmarkStart w:id="827" w:name="_Toc184312112"/>
      <w:bookmarkEnd w:id="827"/>
      <w:bookmarkStart w:id="828" w:name="_Toc184313282"/>
      <w:bookmarkEnd w:id="828"/>
      <w:bookmarkStart w:id="829" w:name="_Toc184312085"/>
      <w:bookmarkEnd w:id="829"/>
      <w:bookmarkStart w:id="830" w:name="_Toc184314421"/>
      <w:bookmarkEnd w:id="830"/>
      <w:bookmarkStart w:id="831" w:name="_Toc184310339"/>
      <w:bookmarkEnd w:id="831"/>
      <w:bookmarkStart w:id="832" w:name="_Toc184314467"/>
      <w:bookmarkEnd w:id="832"/>
      <w:bookmarkStart w:id="833" w:name="_Toc184308104"/>
      <w:bookmarkEnd w:id="833"/>
      <w:bookmarkStart w:id="834" w:name="_Toc184313284"/>
      <w:bookmarkEnd w:id="834"/>
      <w:bookmarkStart w:id="835" w:name="_Toc184310326"/>
      <w:bookmarkEnd w:id="835"/>
      <w:bookmarkStart w:id="836" w:name="_Toc184312090"/>
      <w:bookmarkEnd w:id="836"/>
      <w:bookmarkStart w:id="837" w:name="_Toc184312099"/>
      <w:bookmarkEnd w:id="837"/>
      <w:bookmarkStart w:id="838" w:name="_Toc184308071"/>
      <w:bookmarkEnd w:id="838"/>
      <w:bookmarkStart w:id="839" w:name="_Toc184308038"/>
      <w:bookmarkEnd w:id="839"/>
      <w:bookmarkStart w:id="840" w:name="_Toc184310286"/>
      <w:bookmarkEnd w:id="840"/>
      <w:bookmarkStart w:id="841" w:name="_Toc184312137"/>
      <w:bookmarkEnd w:id="841"/>
      <w:bookmarkStart w:id="842" w:name="_Toc184308084"/>
      <w:bookmarkEnd w:id="842"/>
      <w:bookmarkStart w:id="843" w:name="_Toc184308099"/>
      <w:bookmarkEnd w:id="843"/>
      <w:bookmarkStart w:id="844" w:name="_Toc184314419"/>
      <w:bookmarkEnd w:id="844"/>
      <w:bookmarkStart w:id="845" w:name="_Toc184308081"/>
      <w:bookmarkEnd w:id="845"/>
      <w:bookmarkStart w:id="846" w:name="_Toc184312092"/>
      <w:bookmarkEnd w:id="846"/>
      <w:bookmarkStart w:id="847" w:name="_Toc184313302"/>
      <w:bookmarkEnd w:id="847"/>
      <w:bookmarkStart w:id="848" w:name="_Toc184313307"/>
      <w:bookmarkEnd w:id="848"/>
      <w:bookmarkStart w:id="849" w:name="_Toc184313250"/>
      <w:bookmarkEnd w:id="849"/>
      <w:bookmarkStart w:id="850" w:name="_Toc184313261"/>
      <w:bookmarkEnd w:id="850"/>
      <w:bookmarkStart w:id="851" w:name="_Toc184310307"/>
      <w:bookmarkEnd w:id="851"/>
      <w:bookmarkStart w:id="852" w:name="_Toc184308047"/>
      <w:bookmarkEnd w:id="852"/>
      <w:bookmarkStart w:id="853" w:name="_Toc184313286"/>
      <w:bookmarkEnd w:id="853"/>
      <w:bookmarkStart w:id="854" w:name="_Toc184313246"/>
      <w:bookmarkEnd w:id="854"/>
      <w:bookmarkStart w:id="855" w:name="_Toc184308067"/>
      <w:bookmarkEnd w:id="855"/>
      <w:bookmarkStart w:id="856" w:name="_Toc184308066"/>
      <w:bookmarkEnd w:id="856"/>
      <w:bookmarkStart w:id="857" w:name="_Toc184314478"/>
      <w:bookmarkEnd w:id="857"/>
      <w:bookmarkStart w:id="858" w:name="_Toc184314463"/>
      <w:bookmarkEnd w:id="858"/>
      <w:bookmarkStart w:id="859" w:name="_Toc184314429"/>
      <w:bookmarkEnd w:id="859"/>
      <w:bookmarkStart w:id="860" w:name="_Toc184310330"/>
      <w:bookmarkEnd w:id="860"/>
      <w:bookmarkStart w:id="861" w:name="_Toc184314459"/>
      <w:bookmarkEnd w:id="861"/>
      <w:bookmarkStart w:id="862" w:name="_Toc184313304"/>
      <w:bookmarkEnd w:id="862"/>
      <w:bookmarkStart w:id="863" w:name="_Toc184314479"/>
      <w:bookmarkEnd w:id="863"/>
      <w:bookmarkStart w:id="864" w:name="_Toc184312115"/>
      <w:bookmarkEnd w:id="864"/>
      <w:bookmarkStart w:id="865" w:name="_Toc184310337"/>
      <w:bookmarkEnd w:id="865"/>
      <w:bookmarkStart w:id="866" w:name="_Toc184314462"/>
      <w:bookmarkEnd w:id="866"/>
      <w:bookmarkStart w:id="867" w:name="_Toc184308063"/>
      <w:bookmarkEnd w:id="867"/>
      <w:bookmarkStart w:id="868" w:name="_Toc184313254"/>
      <w:bookmarkEnd w:id="868"/>
      <w:bookmarkStart w:id="869" w:name="_Toc184308072"/>
      <w:bookmarkEnd w:id="869"/>
      <w:bookmarkStart w:id="870" w:name="_Toc184308087"/>
      <w:bookmarkEnd w:id="870"/>
      <w:bookmarkStart w:id="871" w:name="_Toc184310278"/>
      <w:bookmarkEnd w:id="871"/>
      <w:bookmarkStart w:id="872" w:name="_Toc184313241"/>
      <w:bookmarkEnd w:id="872"/>
      <w:bookmarkStart w:id="873" w:name="_Toc184308073"/>
      <w:bookmarkEnd w:id="873"/>
      <w:bookmarkStart w:id="874" w:name="_Toc184313273"/>
      <w:bookmarkEnd w:id="874"/>
      <w:bookmarkStart w:id="875" w:name="_Toc184313259"/>
      <w:bookmarkEnd w:id="875"/>
      <w:bookmarkStart w:id="876" w:name="_Toc184312134"/>
      <w:bookmarkEnd w:id="876"/>
      <w:bookmarkStart w:id="877" w:name="_Toc184308049"/>
      <w:bookmarkEnd w:id="877"/>
      <w:bookmarkStart w:id="878" w:name="_Toc184314466"/>
      <w:bookmarkEnd w:id="878"/>
      <w:bookmarkStart w:id="879" w:name="_Toc184310303"/>
      <w:bookmarkEnd w:id="879"/>
      <w:bookmarkStart w:id="880" w:name="_Toc184313269"/>
      <w:bookmarkEnd w:id="880"/>
      <w:bookmarkStart w:id="881" w:name="_Toc184314481"/>
      <w:bookmarkEnd w:id="881"/>
      <w:bookmarkStart w:id="882" w:name="_Toc184308094"/>
      <w:bookmarkEnd w:id="882"/>
      <w:bookmarkStart w:id="883" w:name="_Toc184312132"/>
      <w:bookmarkEnd w:id="883"/>
      <w:bookmarkStart w:id="884" w:name="_Toc184312111"/>
      <w:bookmarkEnd w:id="884"/>
      <w:bookmarkStart w:id="885" w:name="_Toc184312088"/>
      <w:bookmarkEnd w:id="885"/>
      <w:bookmarkStart w:id="886" w:name="_Toc184313242"/>
      <w:bookmarkEnd w:id="886"/>
      <w:bookmarkStart w:id="887" w:name="_Toc184308093"/>
      <w:bookmarkEnd w:id="887"/>
      <w:bookmarkStart w:id="888" w:name="_Toc184313238"/>
      <w:bookmarkEnd w:id="888"/>
      <w:bookmarkStart w:id="889" w:name="_Toc184310317"/>
      <w:bookmarkEnd w:id="889"/>
      <w:bookmarkStart w:id="890" w:name="_Toc184313280"/>
      <w:bookmarkEnd w:id="890"/>
      <w:bookmarkStart w:id="891" w:name="_Toc184310302"/>
      <w:bookmarkEnd w:id="891"/>
      <w:bookmarkStart w:id="892" w:name="_Toc184313240"/>
      <w:bookmarkEnd w:id="892"/>
      <w:bookmarkStart w:id="893" w:name="_Toc184308077"/>
      <w:bookmarkEnd w:id="893"/>
      <w:bookmarkStart w:id="894" w:name="_Toc184314428"/>
      <w:bookmarkEnd w:id="894"/>
      <w:bookmarkStart w:id="895" w:name="_Toc184312110"/>
      <w:bookmarkEnd w:id="895"/>
      <w:bookmarkStart w:id="896" w:name="_Toc184312123"/>
      <w:bookmarkEnd w:id="896"/>
      <w:bookmarkStart w:id="897" w:name="_Toc184314423"/>
      <w:bookmarkEnd w:id="897"/>
      <w:bookmarkStart w:id="898" w:name="_Toc184310343"/>
      <w:bookmarkEnd w:id="898"/>
      <w:bookmarkStart w:id="899" w:name="_Toc184312128"/>
      <w:bookmarkEnd w:id="899"/>
      <w:bookmarkStart w:id="900" w:name="_Toc184313248"/>
      <w:bookmarkEnd w:id="900"/>
      <w:bookmarkStart w:id="901" w:name="_Toc184310312"/>
      <w:bookmarkEnd w:id="901"/>
      <w:bookmarkStart w:id="902" w:name="_Toc184313283"/>
      <w:bookmarkEnd w:id="902"/>
      <w:bookmarkStart w:id="903" w:name="_Toc184310279"/>
      <w:bookmarkEnd w:id="903"/>
      <w:bookmarkStart w:id="904" w:name="_Toc184310281"/>
      <w:bookmarkEnd w:id="904"/>
      <w:bookmarkStart w:id="905" w:name="_Toc184308075"/>
      <w:bookmarkEnd w:id="905"/>
      <w:bookmarkStart w:id="906" w:name="_Toc184314480"/>
      <w:bookmarkEnd w:id="906"/>
      <w:bookmarkStart w:id="907" w:name="_Toc184312135"/>
      <w:bookmarkEnd w:id="907"/>
      <w:bookmarkStart w:id="908" w:name="_Toc184314431"/>
      <w:bookmarkEnd w:id="908"/>
      <w:bookmarkStart w:id="909" w:name="_Toc184314474"/>
      <w:bookmarkEnd w:id="909"/>
      <w:bookmarkStart w:id="910" w:name="_Toc184310277"/>
      <w:bookmarkEnd w:id="910"/>
      <w:bookmarkStart w:id="911" w:name="_Toc184312076"/>
      <w:bookmarkEnd w:id="911"/>
      <w:bookmarkStart w:id="912" w:name="_Toc184312138"/>
      <w:bookmarkEnd w:id="912"/>
      <w:bookmarkStart w:id="913" w:name="_Toc184313292"/>
      <w:bookmarkEnd w:id="913"/>
      <w:bookmarkStart w:id="914" w:name="_Toc184314426"/>
      <w:bookmarkEnd w:id="914"/>
      <w:bookmarkStart w:id="915" w:name="_Toc184314461"/>
      <w:bookmarkEnd w:id="915"/>
      <w:bookmarkStart w:id="916" w:name="_Toc184308059"/>
      <w:bookmarkEnd w:id="916"/>
      <w:r>
        <w:rPr>
          <w:rFonts w:hint="eastAsia" w:ascii="仿宋" w:hAnsi="仿宋" w:eastAsia="仿宋" w:cs="仿宋"/>
          <w:color w:val="auto"/>
          <w:sz w:val="36"/>
          <w:szCs w:val="36"/>
          <w:highlight w:val="none"/>
        </w:rPr>
        <w:t xml:space="preserve"> 评审办法</w:t>
      </w:r>
      <w:bookmarkEnd w:id="549"/>
      <w:bookmarkEnd w:id="550"/>
      <w:bookmarkEnd w:id="551"/>
    </w:p>
    <w:p>
      <w:pPr>
        <w:pStyle w:val="59"/>
        <w:widowControl w:val="0"/>
        <w:numPr>
          <w:ilvl w:val="0"/>
          <w:numId w:val="8"/>
        </w:numPr>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highlight w:val="none"/>
          <w:lang w:val="en-US"/>
        </w:rPr>
      </w:pPr>
      <w:bookmarkStart w:id="917" w:name="_Toc21782"/>
      <w:bookmarkStart w:id="918" w:name="_Toc139797643"/>
      <w:bookmarkStart w:id="919" w:name="_Toc11547"/>
      <w:r>
        <w:rPr>
          <w:rFonts w:hint="eastAsia" w:ascii="仿宋" w:hAnsi="仿宋" w:eastAsia="仿宋" w:cs="仿宋"/>
          <w:bCs/>
          <w:color w:val="auto"/>
          <w:kern w:val="2"/>
          <w:sz w:val="30"/>
          <w:szCs w:val="30"/>
          <w:highlight w:val="none"/>
          <w:lang w:val="en-US"/>
        </w:rPr>
        <w:t>评审方法</w:t>
      </w:r>
      <w:bookmarkEnd w:id="917"/>
      <w:bookmarkEnd w:id="918"/>
      <w:bookmarkEnd w:id="919"/>
    </w:p>
    <w:p>
      <w:pPr>
        <w:adjustRightInd/>
        <w:spacing w:line="360" w:lineRule="auto"/>
        <w:ind w:firstLine="482" w:firstLineChars="200"/>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1.1本项目采用综合评分法。</w:t>
      </w:r>
      <w:r>
        <w:rPr>
          <w:rFonts w:hint="eastAsia" w:ascii="仿宋" w:hAnsi="仿宋" w:eastAsia="仿宋" w:cs="仿宋"/>
          <w:color w:val="auto"/>
          <w:kern w:val="0"/>
          <w:sz w:val="24"/>
          <w:highlight w:val="none"/>
        </w:rPr>
        <w:t>综合评分法，是指响应文件满足磋商文件全部</w:t>
      </w:r>
    </w:p>
    <w:p>
      <w:pPr>
        <w:adjustRightInd/>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实质性要求且按评审因素的量化指标评审得分最高的供应商为成交候选供应商的评审方法。</w:t>
      </w:r>
    </w:p>
    <w:p>
      <w:pPr>
        <w:pStyle w:val="15"/>
        <w:spacing w:line="360" w:lineRule="auto"/>
        <w:ind w:firstLine="482" w:firstLineChars="200"/>
        <w:rPr>
          <w:rFonts w:ascii="仿宋" w:hAnsi="仿宋" w:eastAsia="仿宋" w:cs="仿宋"/>
          <w:color w:val="auto"/>
          <w:sz w:val="24"/>
          <w:highlight w:val="none"/>
        </w:rPr>
      </w:pPr>
      <w:r>
        <w:rPr>
          <w:rFonts w:hint="eastAsia" w:ascii="仿宋" w:hAnsi="仿宋" w:eastAsia="仿宋" w:cs="仿宋"/>
          <w:b/>
          <w:bCs/>
          <w:color w:val="auto"/>
          <w:sz w:val="24"/>
          <w:highlight w:val="none"/>
        </w:rPr>
        <w:t>1.2磋商小组组建</w:t>
      </w:r>
      <w:r>
        <w:rPr>
          <w:rFonts w:hint="eastAsia" w:ascii="仿宋" w:hAnsi="仿宋" w:eastAsia="仿宋" w:cs="仿宋"/>
          <w:color w:val="auto"/>
          <w:sz w:val="24"/>
          <w:highlight w:val="none"/>
        </w:rPr>
        <w:t>：磋商小组由评审专家或采购人代表和评审专家组成，成</w:t>
      </w:r>
    </w:p>
    <w:p>
      <w:pPr>
        <w:pStyle w:val="15"/>
        <w:spacing w:line="360" w:lineRule="auto"/>
        <w:ind w:firstLine="0"/>
        <w:rPr>
          <w:rFonts w:ascii="仿宋" w:hAnsi="仿宋" w:eastAsia="仿宋" w:cs="仿宋"/>
          <w:color w:val="auto"/>
          <w:sz w:val="24"/>
          <w:highlight w:val="none"/>
        </w:rPr>
      </w:pPr>
      <w:r>
        <w:rPr>
          <w:rFonts w:hint="eastAsia" w:ascii="仿宋" w:hAnsi="仿宋" w:eastAsia="仿宋" w:cs="仿宋"/>
          <w:color w:val="auto"/>
          <w:sz w:val="24"/>
          <w:highlight w:val="none"/>
        </w:rPr>
        <w:t>员人数为3人以上单数，其中评审专家不少于成员总数的三分之二。评审专家按规定从评审专家库中随机抽取。如有特殊情况的，按相关规定组建磋商小组；</w:t>
      </w:r>
    </w:p>
    <w:p>
      <w:pPr>
        <w:pStyle w:val="15"/>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pPr>
        <w:snapToGrid w:val="0"/>
        <w:spacing w:line="360" w:lineRule="auto"/>
        <w:ind w:firstLine="482" w:firstLineChars="200"/>
        <w:rPr>
          <w:rFonts w:ascii="仿宋" w:hAnsi="仿宋" w:eastAsia="仿宋" w:cs="仿宋"/>
          <w:b/>
          <w:color w:val="auto"/>
          <w:kern w:val="0"/>
          <w:sz w:val="24"/>
          <w:szCs w:val="20"/>
          <w:highlight w:val="none"/>
        </w:rPr>
      </w:pPr>
      <w:r>
        <w:rPr>
          <w:rFonts w:hint="eastAsia" w:ascii="仿宋" w:hAnsi="仿宋" w:eastAsia="仿宋" w:cs="仿宋"/>
          <w:b/>
          <w:color w:val="auto"/>
          <w:kern w:val="0"/>
          <w:sz w:val="24"/>
          <w:szCs w:val="20"/>
          <w:highlight w:val="none"/>
        </w:rPr>
        <w:t>1.3.磋商小组的组成人员的回避。</w:t>
      </w:r>
    </w:p>
    <w:p>
      <w:pPr>
        <w:pStyle w:val="139"/>
        <w:spacing w:before="0"/>
        <w:ind w:firstLine="480"/>
        <w:rPr>
          <w:rFonts w:ascii="仿宋" w:hAnsi="仿宋" w:eastAsia="仿宋" w:cs="仿宋"/>
          <w:color w:val="auto"/>
          <w:highlight w:val="none"/>
        </w:rPr>
      </w:pPr>
      <w:r>
        <w:rPr>
          <w:rFonts w:hint="eastAsia" w:ascii="仿宋" w:hAnsi="仿宋" w:eastAsia="仿宋" w:cs="仿宋"/>
          <w:color w:val="auto"/>
          <w:highlight w:val="none"/>
        </w:rPr>
        <w:t>在政府采购活动中，磋商小组的组成人员与供应商有下列利害关系之一的，应当回避：</w:t>
      </w:r>
    </w:p>
    <w:p>
      <w:pPr>
        <w:pStyle w:val="139"/>
        <w:spacing w:before="0"/>
        <w:ind w:firstLine="0" w:firstLineChars="0"/>
        <w:rPr>
          <w:rFonts w:ascii="仿宋" w:hAnsi="仿宋" w:eastAsia="仿宋" w:cs="仿宋"/>
          <w:color w:val="auto"/>
          <w:kern w:val="0"/>
          <w:highlight w:val="none"/>
        </w:rPr>
      </w:pPr>
      <w:r>
        <w:rPr>
          <w:rFonts w:hint="eastAsia" w:ascii="仿宋" w:hAnsi="仿宋" w:eastAsia="仿宋" w:cs="仿宋"/>
          <w:color w:val="auto"/>
          <w:kern w:val="0"/>
          <w:highlight w:val="none"/>
        </w:rPr>
        <w:t>　　1.3.1参加采购活动前3年内与供应商存在劳动关系；</w:t>
      </w:r>
    </w:p>
    <w:p>
      <w:pPr>
        <w:pStyle w:val="139"/>
        <w:spacing w:before="0"/>
        <w:ind w:firstLine="0" w:firstLineChars="0"/>
        <w:rPr>
          <w:rFonts w:ascii="仿宋" w:hAnsi="仿宋" w:eastAsia="仿宋" w:cs="仿宋"/>
          <w:color w:val="auto"/>
          <w:kern w:val="0"/>
          <w:highlight w:val="none"/>
        </w:rPr>
      </w:pPr>
      <w:r>
        <w:rPr>
          <w:rFonts w:hint="eastAsia" w:ascii="仿宋" w:hAnsi="仿宋" w:eastAsia="仿宋" w:cs="仿宋"/>
          <w:color w:val="auto"/>
          <w:kern w:val="0"/>
          <w:highlight w:val="none"/>
        </w:rPr>
        <w:t>　　1.3.2参加采购活动前3年内担任供应商的董事、监事；</w:t>
      </w:r>
    </w:p>
    <w:p>
      <w:pPr>
        <w:pStyle w:val="139"/>
        <w:spacing w:before="0"/>
        <w:ind w:firstLine="0" w:firstLineChars="0"/>
        <w:rPr>
          <w:rFonts w:ascii="仿宋" w:hAnsi="仿宋" w:eastAsia="仿宋" w:cs="仿宋"/>
          <w:color w:val="auto"/>
          <w:kern w:val="0"/>
          <w:highlight w:val="none"/>
        </w:rPr>
      </w:pPr>
      <w:r>
        <w:rPr>
          <w:rFonts w:hint="eastAsia" w:ascii="仿宋" w:hAnsi="仿宋" w:eastAsia="仿宋" w:cs="仿宋"/>
          <w:color w:val="auto"/>
          <w:kern w:val="0"/>
          <w:highlight w:val="none"/>
        </w:rPr>
        <w:t>　　1.3.3参加采购活动前3年内是供应商的控股股东或者实际控制人；</w:t>
      </w:r>
    </w:p>
    <w:p>
      <w:pPr>
        <w:pStyle w:val="139"/>
        <w:spacing w:before="0"/>
        <w:ind w:firstLine="480" w:firstLineChars="0"/>
        <w:rPr>
          <w:rFonts w:ascii="仿宋" w:hAnsi="仿宋" w:eastAsia="仿宋" w:cs="仿宋"/>
          <w:color w:val="auto"/>
          <w:kern w:val="0"/>
          <w:highlight w:val="none"/>
        </w:rPr>
      </w:pPr>
      <w:r>
        <w:rPr>
          <w:rFonts w:hint="eastAsia" w:ascii="仿宋" w:hAnsi="仿宋" w:eastAsia="仿宋" w:cs="仿宋"/>
          <w:color w:val="auto"/>
          <w:kern w:val="0"/>
          <w:highlight w:val="none"/>
        </w:rPr>
        <w:t>1.4.4与供应商的法定代表人或者负责人有夫妻、直系血亲、三代以内旁系血亲或者近姻亲关系；</w:t>
      </w:r>
    </w:p>
    <w:p>
      <w:pPr>
        <w:pStyle w:val="139"/>
        <w:spacing w:before="0"/>
        <w:ind w:firstLine="480" w:firstLineChars="0"/>
        <w:rPr>
          <w:rFonts w:ascii="仿宋" w:hAnsi="仿宋" w:eastAsia="仿宋" w:cs="仿宋"/>
          <w:color w:val="auto"/>
          <w:kern w:val="0"/>
          <w:highlight w:val="none"/>
        </w:rPr>
      </w:pPr>
      <w:r>
        <w:rPr>
          <w:rFonts w:hint="eastAsia" w:ascii="仿宋" w:hAnsi="仿宋" w:eastAsia="仿宋" w:cs="仿宋"/>
          <w:color w:val="auto"/>
          <w:kern w:val="0"/>
          <w:highlight w:val="none"/>
        </w:rPr>
        <w:t>1.5.5与供应商有其他可能影响政府采购活动公平、公正进行的关系。</w:t>
      </w:r>
    </w:p>
    <w:p>
      <w:pPr>
        <w:snapToGrid w:val="0"/>
        <w:spacing w:line="360" w:lineRule="auto"/>
        <w:ind w:firstLine="482" w:firstLineChars="200"/>
        <w:rPr>
          <w:rFonts w:ascii="仿宋" w:hAnsi="仿宋" w:eastAsia="仿宋" w:cs="仿宋"/>
          <w:b/>
          <w:color w:val="auto"/>
          <w:kern w:val="0"/>
          <w:sz w:val="24"/>
          <w:szCs w:val="20"/>
          <w:highlight w:val="none"/>
        </w:rPr>
      </w:pPr>
      <w:r>
        <w:rPr>
          <w:rFonts w:hint="eastAsia" w:ascii="仿宋" w:hAnsi="仿宋" w:eastAsia="仿宋" w:cs="仿宋"/>
          <w:b/>
          <w:color w:val="auto"/>
          <w:kern w:val="0"/>
          <w:sz w:val="24"/>
          <w:szCs w:val="20"/>
          <w:highlight w:val="none"/>
        </w:rPr>
        <w:t>1.4、磋商小组的职责</w:t>
      </w:r>
    </w:p>
    <w:p>
      <w:pPr>
        <w:pStyle w:val="139"/>
        <w:spacing w:before="0"/>
        <w:ind w:firstLine="482"/>
        <w:rPr>
          <w:rFonts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1.4.1磋商小组负责具体评审事务，并独立履行下列职责：</w:t>
      </w:r>
    </w:p>
    <w:p>
      <w:pPr>
        <w:pStyle w:val="139"/>
        <w:spacing w:before="0"/>
        <w:ind w:firstLine="480"/>
        <w:rPr>
          <w:rFonts w:ascii="仿宋" w:hAnsi="仿宋" w:eastAsia="仿宋" w:cs="仿宋"/>
          <w:color w:val="auto"/>
          <w:highlight w:val="none"/>
        </w:rPr>
      </w:pPr>
      <w:r>
        <w:rPr>
          <w:rFonts w:hint="eastAsia" w:ascii="仿宋" w:hAnsi="仿宋" w:eastAsia="仿宋" w:cs="仿宋"/>
          <w:color w:val="auto"/>
          <w:highlight w:val="none"/>
        </w:rPr>
        <w:t>1.4.1.1对响应文件的有效性、完整性和响应程度进行审查；</w:t>
      </w:r>
    </w:p>
    <w:p>
      <w:pPr>
        <w:pStyle w:val="139"/>
        <w:spacing w:before="0"/>
        <w:ind w:firstLine="480"/>
        <w:rPr>
          <w:rFonts w:ascii="仿宋" w:hAnsi="仿宋" w:eastAsia="仿宋" w:cs="仿宋"/>
          <w:color w:val="auto"/>
          <w:highlight w:val="none"/>
        </w:rPr>
      </w:pPr>
      <w:r>
        <w:rPr>
          <w:rFonts w:hint="eastAsia" w:ascii="仿宋" w:hAnsi="仿宋" w:eastAsia="仿宋" w:cs="仿宋"/>
          <w:color w:val="auto"/>
          <w:highlight w:val="none"/>
        </w:rPr>
        <w:t>1.4.1.2审查、评价响应文件是否符合磋商文件的商务、技术等实质性要求；</w:t>
      </w:r>
    </w:p>
    <w:p>
      <w:pPr>
        <w:pStyle w:val="139"/>
        <w:spacing w:before="0"/>
        <w:ind w:firstLine="480"/>
        <w:rPr>
          <w:rFonts w:ascii="仿宋" w:hAnsi="仿宋" w:eastAsia="仿宋" w:cs="仿宋"/>
          <w:color w:val="auto"/>
          <w:highlight w:val="none"/>
        </w:rPr>
      </w:pPr>
      <w:r>
        <w:rPr>
          <w:rFonts w:hint="eastAsia" w:ascii="仿宋" w:hAnsi="仿宋" w:eastAsia="仿宋" w:cs="仿宋"/>
          <w:color w:val="auto"/>
          <w:highlight w:val="none"/>
        </w:rPr>
        <w:t>1.4.1.3要求供应商对响应文件有关事项作出澄清、说明或者更正；</w:t>
      </w:r>
    </w:p>
    <w:p>
      <w:pPr>
        <w:pStyle w:val="139"/>
        <w:spacing w:before="0"/>
        <w:ind w:firstLine="480"/>
        <w:rPr>
          <w:rFonts w:ascii="仿宋" w:hAnsi="仿宋" w:eastAsia="仿宋" w:cs="仿宋"/>
          <w:color w:val="auto"/>
          <w:highlight w:val="none"/>
        </w:rPr>
      </w:pPr>
      <w:r>
        <w:rPr>
          <w:rFonts w:hint="eastAsia" w:ascii="仿宋" w:hAnsi="仿宋" w:eastAsia="仿宋" w:cs="仿宋"/>
          <w:color w:val="auto"/>
          <w:highlight w:val="none"/>
        </w:rPr>
        <w:t>1.4.1.4磋商小组集中与单一供应商分别进行磋商；</w:t>
      </w:r>
    </w:p>
    <w:p>
      <w:pPr>
        <w:pStyle w:val="139"/>
        <w:spacing w:before="0"/>
        <w:ind w:firstLine="480"/>
        <w:rPr>
          <w:rFonts w:ascii="仿宋" w:hAnsi="仿宋" w:eastAsia="仿宋" w:cs="仿宋"/>
          <w:color w:val="auto"/>
          <w:highlight w:val="none"/>
        </w:rPr>
      </w:pPr>
      <w:r>
        <w:rPr>
          <w:rFonts w:hint="eastAsia" w:ascii="仿宋" w:hAnsi="仿宋" w:eastAsia="仿宋" w:cs="仿宋"/>
          <w:color w:val="auto"/>
          <w:highlight w:val="none"/>
        </w:rPr>
        <w:t>1.4.1.5确定磋商文件的变动情况，并确定提交最后报价的供应商；</w:t>
      </w:r>
    </w:p>
    <w:p>
      <w:pPr>
        <w:pStyle w:val="139"/>
        <w:spacing w:before="0"/>
        <w:ind w:firstLine="480"/>
        <w:rPr>
          <w:rFonts w:ascii="仿宋" w:hAnsi="仿宋" w:eastAsia="仿宋" w:cs="仿宋"/>
          <w:color w:val="auto"/>
          <w:highlight w:val="none"/>
        </w:rPr>
      </w:pPr>
      <w:r>
        <w:rPr>
          <w:rFonts w:hint="eastAsia" w:ascii="仿宋" w:hAnsi="仿宋" w:eastAsia="仿宋" w:cs="仿宋"/>
          <w:color w:val="auto"/>
          <w:highlight w:val="none"/>
        </w:rPr>
        <w:t>1.4.1.6根据磋商文件确定的评审办法及评审标准对提交最后报价的供应商的响应文件和最后报价采用综合评分法进行综合评分；</w:t>
      </w:r>
    </w:p>
    <w:p>
      <w:pPr>
        <w:pStyle w:val="139"/>
        <w:spacing w:before="0"/>
        <w:ind w:firstLine="480"/>
        <w:rPr>
          <w:rFonts w:ascii="仿宋" w:hAnsi="仿宋" w:eastAsia="仿宋" w:cs="仿宋"/>
          <w:color w:val="auto"/>
          <w:highlight w:val="none"/>
        </w:rPr>
      </w:pPr>
      <w:r>
        <w:rPr>
          <w:rFonts w:hint="eastAsia" w:ascii="仿宋" w:hAnsi="仿宋" w:eastAsia="仿宋" w:cs="仿宋"/>
          <w:color w:val="auto"/>
          <w:highlight w:val="none"/>
        </w:rPr>
        <w:t>1.4.1.7编制评审报告，确定成交候选人名单，以及根据采购人委托直接确定成交人；</w:t>
      </w:r>
    </w:p>
    <w:p>
      <w:pPr>
        <w:pStyle w:val="139"/>
        <w:spacing w:before="0"/>
        <w:ind w:firstLine="480"/>
        <w:rPr>
          <w:rFonts w:ascii="仿宋" w:hAnsi="仿宋" w:eastAsia="仿宋" w:cs="仿宋"/>
          <w:color w:val="auto"/>
          <w:highlight w:val="none"/>
        </w:rPr>
      </w:pPr>
      <w:r>
        <w:rPr>
          <w:rFonts w:hint="eastAsia" w:ascii="仿宋" w:hAnsi="仿宋" w:eastAsia="仿宋" w:cs="仿宋"/>
          <w:color w:val="auto"/>
          <w:highlight w:val="none"/>
        </w:rPr>
        <w:t>1.4.1.8向采购人、采购代理机构或者有关部门报告评审中发现的违法行为；</w:t>
      </w:r>
    </w:p>
    <w:p>
      <w:pPr>
        <w:pStyle w:val="139"/>
        <w:spacing w:before="0"/>
        <w:ind w:firstLine="480"/>
        <w:rPr>
          <w:rFonts w:ascii="仿宋" w:hAnsi="仿宋" w:eastAsia="仿宋" w:cs="仿宋"/>
          <w:color w:val="auto"/>
          <w:highlight w:val="none"/>
        </w:rPr>
      </w:pPr>
      <w:r>
        <w:rPr>
          <w:rFonts w:hint="eastAsia" w:ascii="仿宋" w:hAnsi="仿宋" w:eastAsia="仿宋" w:cs="仿宋"/>
          <w:color w:val="auto"/>
          <w:highlight w:val="none"/>
        </w:rPr>
        <w:t>1.4.1.9法律、法规、规章、磋商文件等规定的其它事项。</w:t>
      </w:r>
    </w:p>
    <w:p>
      <w:pPr>
        <w:pStyle w:val="139"/>
        <w:spacing w:before="0"/>
        <w:ind w:firstLine="482"/>
        <w:rPr>
          <w:rFonts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1.4.2.磋商小组及其成员不得有下列行为：</w:t>
      </w:r>
    </w:p>
    <w:p>
      <w:pPr>
        <w:pStyle w:val="139"/>
        <w:spacing w:before="0"/>
        <w:ind w:firstLine="480"/>
        <w:rPr>
          <w:rFonts w:ascii="仿宋" w:hAnsi="仿宋" w:eastAsia="仿宋" w:cs="仿宋"/>
          <w:color w:val="auto"/>
          <w:highlight w:val="none"/>
        </w:rPr>
      </w:pPr>
      <w:r>
        <w:rPr>
          <w:rFonts w:hint="eastAsia" w:ascii="仿宋" w:hAnsi="仿宋" w:eastAsia="仿宋" w:cs="仿宋"/>
          <w:bCs/>
          <w:color w:val="auto"/>
          <w:kern w:val="0"/>
          <w:szCs w:val="24"/>
          <w:highlight w:val="none"/>
        </w:rPr>
        <w:t>1.4.</w:t>
      </w:r>
      <w:r>
        <w:rPr>
          <w:rFonts w:hint="eastAsia" w:ascii="仿宋" w:hAnsi="仿宋" w:eastAsia="仿宋" w:cs="仿宋"/>
          <w:color w:val="auto"/>
          <w:highlight w:val="none"/>
        </w:rPr>
        <w:t>2.1确定参与本项目至评审结束前私自接触供应商；</w:t>
      </w:r>
    </w:p>
    <w:p>
      <w:pPr>
        <w:pStyle w:val="139"/>
        <w:spacing w:before="0"/>
        <w:ind w:firstLine="480"/>
        <w:rPr>
          <w:rFonts w:ascii="仿宋" w:hAnsi="仿宋" w:eastAsia="仿宋" w:cs="仿宋"/>
          <w:color w:val="auto"/>
          <w:highlight w:val="none"/>
        </w:rPr>
      </w:pPr>
      <w:r>
        <w:rPr>
          <w:rFonts w:hint="eastAsia" w:ascii="仿宋" w:hAnsi="仿宋" w:eastAsia="仿宋" w:cs="仿宋"/>
          <w:bCs/>
          <w:color w:val="auto"/>
          <w:kern w:val="0"/>
          <w:szCs w:val="24"/>
          <w:highlight w:val="none"/>
        </w:rPr>
        <w:t>1.4.</w:t>
      </w:r>
      <w:r>
        <w:rPr>
          <w:rFonts w:hint="eastAsia" w:ascii="仿宋" w:hAnsi="仿宋" w:eastAsia="仿宋" w:cs="仿宋"/>
          <w:color w:val="auto"/>
          <w:highlight w:val="none"/>
        </w:rPr>
        <w:t xml:space="preserve">2.2接受供应商提出的“超出响应文件的范围或者改变响应文件的实质性内容”的澄清、说明或者更正； </w:t>
      </w:r>
    </w:p>
    <w:p>
      <w:pPr>
        <w:pStyle w:val="139"/>
        <w:spacing w:before="0"/>
        <w:ind w:firstLine="480"/>
        <w:rPr>
          <w:rFonts w:ascii="仿宋" w:hAnsi="仿宋" w:eastAsia="仿宋" w:cs="仿宋"/>
          <w:color w:val="auto"/>
          <w:highlight w:val="none"/>
        </w:rPr>
      </w:pPr>
      <w:r>
        <w:rPr>
          <w:rFonts w:hint="eastAsia" w:ascii="仿宋" w:hAnsi="仿宋" w:eastAsia="仿宋" w:cs="仿宋"/>
          <w:bCs/>
          <w:color w:val="auto"/>
          <w:kern w:val="0"/>
          <w:szCs w:val="24"/>
          <w:highlight w:val="none"/>
        </w:rPr>
        <w:t>1.4.</w:t>
      </w:r>
      <w:r>
        <w:rPr>
          <w:rFonts w:hint="eastAsia" w:ascii="仿宋" w:hAnsi="仿宋" w:eastAsia="仿宋" w:cs="仿宋"/>
          <w:color w:val="auto"/>
          <w:highlight w:val="none"/>
        </w:rPr>
        <w:t>2.3违反评审纪律发表倾向性意见或者征询采购人的倾向性意见；</w:t>
      </w:r>
    </w:p>
    <w:p>
      <w:pPr>
        <w:pStyle w:val="139"/>
        <w:spacing w:before="0"/>
        <w:ind w:firstLine="480"/>
        <w:rPr>
          <w:rFonts w:ascii="仿宋" w:hAnsi="仿宋" w:eastAsia="仿宋" w:cs="仿宋"/>
          <w:color w:val="auto"/>
          <w:highlight w:val="none"/>
        </w:rPr>
      </w:pPr>
      <w:r>
        <w:rPr>
          <w:rFonts w:hint="eastAsia" w:ascii="仿宋" w:hAnsi="仿宋" w:eastAsia="仿宋" w:cs="仿宋"/>
          <w:bCs/>
          <w:color w:val="auto"/>
          <w:kern w:val="0"/>
          <w:szCs w:val="24"/>
          <w:highlight w:val="none"/>
        </w:rPr>
        <w:t>1.4.</w:t>
      </w:r>
      <w:r>
        <w:rPr>
          <w:rFonts w:hint="eastAsia" w:ascii="仿宋" w:hAnsi="仿宋" w:eastAsia="仿宋" w:cs="仿宋"/>
          <w:color w:val="auto"/>
          <w:highlight w:val="none"/>
        </w:rPr>
        <w:t>2.4对需要专业判断的主观评审因素协商评分；</w:t>
      </w:r>
    </w:p>
    <w:p>
      <w:pPr>
        <w:pStyle w:val="139"/>
        <w:spacing w:before="0"/>
        <w:ind w:firstLine="480"/>
        <w:rPr>
          <w:rFonts w:ascii="仿宋" w:hAnsi="仿宋" w:eastAsia="仿宋" w:cs="仿宋"/>
          <w:color w:val="auto"/>
          <w:highlight w:val="none"/>
        </w:rPr>
      </w:pPr>
      <w:r>
        <w:rPr>
          <w:rFonts w:hint="eastAsia" w:ascii="仿宋" w:hAnsi="仿宋" w:eastAsia="仿宋" w:cs="仿宋"/>
          <w:bCs/>
          <w:color w:val="auto"/>
          <w:kern w:val="0"/>
          <w:szCs w:val="24"/>
          <w:highlight w:val="none"/>
        </w:rPr>
        <w:t>1.4.</w:t>
      </w:r>
      <w:r>
        <w:rPr>
          <w:rFonts w:hint="eastAsia" w:ascii="仿宋" w:hAnsi="仿宋" w:eastAsia="仿宋" w:cs="仿宋"/>
          <w:color w:val="auto"/>
          <w:highlight w:val="none"/>
        </w:rPr>
        <w:t>2.5在评审过程中擅离职守，影响评审程序正常进行的；</w:t>
      </w:r>
    </w:p>
    <w:p>
      <w:pPr>
        <w:pStyle w:val="139"/>
        <w:spacing w:before="0"/>
        <w:ind w:firstLine="480"/>
        <w:rPr>
          <w:rFonts w:ascii="仿宋" w:hAnsi="仿宋" w:eastAsia="仿宋" w:cs="仿宋"/>
          <w:color w:val="auto"/>
          <w:highlight w:val="none"/>
        </w:rPr>
      </w:pPr>
      <w:r>
        <w:rPr>
          <w:rFonts w:hint="eastAsia" w:ascii="仿宋" w:hAnsi="仿宋" w:eastAsia="仿宋" w:cs="仿宋"/>
          <w:bCs/>
          <w:color w:val="auto"/>
          <w:kern w:val="0"/>
          <w:szCs w:val="24"/>
          <w:highlight w:val="none"/>
        </w:rPr>
        <w:t>1.4.</w:t>
      </w:r>
      <w:r>
        <w:rPr>
          <w:rFonts w:hint="eastAsia" w:ascii="仿宋" w:hAnsi="仿宋" w:eastAsia="仿宋" w:cs="仿宋"/>
          <w:color w:val="auto"/>
          <w:highlight w:val="none"/>
        </w:rPr>
        <w:t>2.6记录、复制或者带走任何评审资料；</w:t>
      </w:r>
    </w:p>
    <w:p>
      <w:pPr>
        <w:pStyle w:val="139"/>
        <w:spacing w:before="0"/>
        <w:ind w:firstLine="480"/>
        <w:rPr>
          <w:rFonts w:ascii="仿宋" w:hAnsi="仿宋" w:eastAsia="仿宋" w:cs="仿宋"/>
          <w:color w:val="auto"/>
          <w:highlight w:val="none"/>
        </w:rPr>
      </w:pPr>
      <w:r>
        <w:rPr>
          <w:rFonts w:hint="eastAsia" w:ascii="仿宋" w:hAnsi="仿宋" w:eastAsia="仿宋" w:cs="仿宋"/>
          <w:bCs/>
          <w:color w:val="auto"/>
          <w:kern w:val="0"/>
          <w:szCs w:val="24"/>
          <w:highlight w:val="none"/>
        </w:rPr>
        <w:t>1.4.</w:t>
      </w:r>
      <w:r>
        <w:rPr>
          <w:rFonts w:hint="eastAsia" w:ascii="仿宋" w:hAnsi="仿宋" w:eastAsia="仿宋" w:cs="仿宋"/>
          <w:color w:val="auto"/>
          <w:highlight w:val="none"/>
        </w:rPr>
        <w:t>2.7其他不遵守评审纪律的行为。</w:t>
      </w:r>
    </w:p>
    <w:p>
      <w:pPr>
        <w:pStyle w:val="139"/>
        <w:spacing w:before="0"/>
        <w:ind w:firstLine="480"/>
        <w:rPr>
          <w:rFonts w:ascii="仿宋" w:hAnsi="仿宋" w:eastAsia="仿宋" w:cs="仿宋"/>
          <w:color w:val="auto"/>
          <w:highlight w:val="none"/>
        </w:rPr>
      </w:pPr>
      <w:r>
        <w:rPr>
          <w:rFonts w:hint="eastAsia" w:ascii="仿宋" w:hAnsi="仿宋" w:eastAsia="仿宋" w:cs="仿宋"/>
          <w:color w:val="auto"/>
          <w:highlight w:val="none"/>
        </w:rPr>
        <w:t>磋商小组成员有</w:t>
      </w:r>
      <w:r>
        <w:rPr>
          <w:rFonts w:hint="eastAsia" w:ascii="仿宋" w:hAnsi="仿宋" w:eastAsia="仿宋" w:cs="仿宋"/>
          <w:bCs/>
          <w:color w:val="auto"/>
          <w:kern w:val="0"/>
          <w:szCs w:val="24"/>
          <w:highlight w:val="none"/>
        </w:rPr>
        <w:t>1.4.</w:t>
      </w:r>
      <w:r>
        <w:rPr>
          <w:rFonts w:hint="eastAsia" w:ascii="仿宋" w:hAnsi="仿宋" w:eastAsia="仿宋" w:cs="仿宋"/>
          <w:color w:val="auto"/>
          <w:highlight w:val="none"/>
        </w:rPr>
        <w:t>2.1-</w:t>
      </w:r>
      <w:r>
        <w:rPr>
          <w:rFonts w:hint="eastAsia" w:ascii="仿宋" w:hAnsi="仿宋" w:eastAsia="仿宋" w:cs="仿宋"/>
          <w:bCs/>
          <w:color w:val="auto"/>
          <w:kern w:val="0"/>
          <w:szCs w:val="24"/>
          <w:highlight w:val="none"/>
        </w:rPr>
        <w:t>1.4.</w:t>
      </w:r>
      <w:r>
        <w:rPr>
          <w:rFonts w:hint="eastAsia" w:ascii="仿宋" w:hAnsi="仿宋" w:eastAsia="仿宋" w:cs="仿宋"/>
          <w:color w:val="auto"/>
          <w:highlight w:val="none"/>
        </w:rPr>
        <w:t>2.5行为之一的，其评审意见无效，并不得获取评审劳务报酬和报销异地评审差旅费。</w:t>
      </w:r>
    </w:p>
    <w:p>
      <w:pPr>
        <w:rPr>
          <w:rFonts w:ascii="仿宋" w:hAnsi="仿宋" w:eastAsia="仿宋" w:cs="仿宋"/>
          <w:color w:val="auto"/>
          <w:highlight w:val="none"/>
        </w:rPr>
      </w:pPr>
    </w:p>
    <w:p>
      <w:pPr>
        <w:pStyle w:val="59"/>
        <w:widowControl w:val="0"/>
        <w:numPr>
          <w:ilvl w:val="0"/>
          <w:numId w:val="8"/>
        </w:numPr>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highlight w:val="none"/>
          <w:lang w:val="en-US"/>
        </w:rPr>
      </w:pPr>
      <w:bookmarkStart w:id="920" w:name="_Toc26051"/>
      <w:bookmarkStart w:id="921" w:name="_Toc139797644"/>
      <w:bookmarkStart w:id="922" w:name="_Toc20778"/>
      <w:r>
        <w:rPr>
          <w:rFonts w:hint="eastAsia" w:ascii="仿宋" w:hAnsi="仿宋" w:eastAsia="仿宋" w:cs="仿宋"/>
          <w:bCs/>
          <w:color w:val="auto"/>
          <w:kern w:val="2"/>
          <w:sz w:val="30"/>
          <w:szCs w:val="30"/>
          <w:highlight w:val="none"/>
          <w:lang w:val="en-US"/>
        </w:rPr>
        <w:t>评审标准</w:t>
      </w:r>
      <w:bookmarkEnd w:id="920"/>
      <w:bookmarkEnd w:id="921"/>
      <w:bookmarkEnd w:id="922"/>
    </w:p>
    <w:p>
      <w:pPr>
        <w:pStyle w:val="38"/>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  本次评审采用综合评分法，总分100分。</w:t>
      </w:r>
    </w:p>
    <w:p>
      <w:pPr>
        <w:pStyle w:val="38"/>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2.2  资信商务及技术分的权重为</w:t>
      </w:r>
      <w:r>
        <w:rPr>
          <w:rFonts w:hint="eastAsia" w:ascii="仿宋" w:hAnsi="仿宋" w:eastAsia="仿宋" w:cs="仿宋"/>
          <w:color w:val="auto"/>
          <w:sz w:val="24"/>
          <w:szCs w:val="24"/>
          <w:highlight w:val="none"/>
          <w:u w:val="single"/>
        </w:rPr>
        <w:t>90</w:t>
      </w:r>
      <w:r>
        <w:rPr>
          <w:rFonts w:hint="eastAsia" w:ascii="仿宋" w:hAnsi="仿宋" w:eastAsia="仿宋" w:cs="仿宋"/>
          <w:color w:val="auto"/>
          <w:sz w:val="24"/>
          <w:szCs w:val="24"/>
          <w:highlight w:val="none"/>
        </w:rPr>
        <w:t>%，评审分值为</w:t>
      </w:r>
      <w:r>
        <w:rPr>
          <w:rFonts w:hint="eastAsia" w:ascii="仿宋" w:hAnsi="仿宋" w:eastAsia="仿宋" w:cs="仿宋"/>
          <w:color w:val="auto"/>
          <w:sz w:val="24"/>
          <w:szCs w:val="24"/>
          <w:highlight w:val="none"/>
          <w:u w:val="single"/>
        </w:rPr>
        <w:t>90</w:t>
      </w:r>
      <w:r>
        <w:rPr>
          <w:rFonts w:hint="eastAsia" w:ascii="仿宋" w:hAnsi="仿宋" w:eastAsia="仿宋" w:cs="仿宋"/>
          <w:color w:val="auto"/>
          <w:sz w:val="24"/>
          <w:szCs w:val="24"/>
          <w:highlight w:val="none"/>
        </w:rPr>
        <w:t>分。评审专家对各供应商的资信商务及技术文件经充分审核，讨论后，其中客观部分（即资信商务部分）应统一意见后统一给分，其他部分（即技术部分）由评审专家独立评定打分。各有效供应商的资信商务及技术得分为各评审专家对该供应商的评审得分结果汇总后的算术平均值。</w:t>
      </w:r>
    </w:p>
    <w:p>
      <w:pPr>
        <w:pStyle w:val="38"/>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2.3  报价分的权重为1</w:t>
      </w:r>
      <w:r>
        <w:rPr>
          <w:rFonts w:hint="eastAsia" w:ascii="仿宋" w:hAnsi="仿宋" w:eastAsia="仿宋" w:cs="仿宋"/>
          <w:color w:val="auto"/>
          <w:sz w:val="24"/>
          <w:szCs w:val="24"/>
          <w:highlight w:val="none"/>
          <w:u w:val="single"/>
        </w:rPr>
        <w:t>0</w:t>
      </w:r>
      <w:r>
        <w:rPr>
          <w:rFonts w:hint="eastAsia" w:ascii="仿宋" w:hAnsi="仿宋" w:eastAsia="仿宋" w:cs="仿宋"/>
          <w:color w:val="auto"/>
          <w:sz w:val="24"/>
          <w:szCs w:val="24"/>
          <w:highlight w:val="none"/>
        </w:rPr>
        <w:t>%，评审分值为</w:t>
      </w:r>
      <w:r>
        <w:rPr>
          <w:rFonts w:hint="eastAsia" w:ascii="仿宋" w:hAnsi="仿宋" w:eastAsia="仿宋" w:cs="仿宋"/>
          <w:color w:val="auto"/>
          <w:sz w:val="24"/>
          <w:szCs w:val="24"/>
          <w:highlight w:val="none"/>
          <w:u w:val="single"/>
        </w:rPr>
        <w:t>10</w:t>
      </w:r>
      <w:r>
        <w:rPr>
          <w:rFonts w:hint="eastAsia" w:ascii="仿宋" w:hAnsi="仿宋" w:eastAsia="仿宋" w:cs="仿宋"/>
          <w:color w:val="auto"/>
          <w:sz w:val="24"/>
          <w:szCs w:val="24"/>
          <w:highlight w:val="none"/>
        </w:rPr>
        <w:t>分，由磋商小组按各供应商报价统一计算。</w:t>
      </w:r>
    </w:p>
    <w:p>
      <w:pPr>
        <w:pStyle w:val="38"/>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2.4  供应商总得分=资信商务及技术得分+报价得分。</w:t>
      </w:r>
    </w:p>
    <w:p>
      <w:pPr>
        <w:pStyle w:val="38"/>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2.5  评审专家在规定的分值范围内打分，评分保留两位小数。</w:t>
      </w:r>
    </w:p>
    <w:p>
      <w:pPr>
        <w:pStyle w:val="59"/>
        <w:widowControl w:val="0"/>
        <w:numPr>
          <w:ilvl w:val="0"/>
          <w:numId w:val="8"/>
        </w:numPr>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highlight w:val="none"/>
          <w:lang w:val="en-US"/>
        </w:rPr>
      </w:pPr>
      <w:bookmarkStart w:id="923" w:name="_Toc18078"/>
      <w:bookmarkStart w:id="924" w:name="_Toc12552"/>
      <w:bookmarkStart w:id="925" w:name="_Toc96338195"/>
      <w:bookmarkStart w:id="926" w:name="_Toc139797645"/>
      <w:r>
        <w:rPr>
          <w:rFonts w:hint="eastAsia" w:ascii="仿宋" w:hAnsi="仿宋" w:eastAsia="仿宋" w:cs="仿宋"/>
          <w:bCs/>
          <w:color w:val="auto"/>
          <w:kern w:val="2"/>
          <w:sz w:val="30"/>
          <w:szCs w:val="30"/>
          <w:highlight w:val="none"/>
          <w:lang w:val="en-US"/>
        </w:rPr>
        <w:t>评审内容及标准</w:t>
      </w:r>
      <w:bookmarkEnd w:id="923"/>
      <w:bookmarkEnd w:id="924"/>
      <w:bookmarkEnd w:id="925"/>
      <w:bookmarkEnd w:id="926"/>
    </w:p>
    <w:p>
      <w:pPr>
        <w:pStyle w:val="38"/>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3.1   报价分（10分）</w:t>
      </w:r>
    </w:p>
    <w:p>
      <w:pPr>
        <w:pStyle w:val="38"/>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3.1.1 报价分按供应商最后报价的价格进行评分，报价得分采用低价优先法计算，即满足磋商文件要求且最后报价最低的磋商最后报价为评审基准价，其他供应商的价格分按照下列公式计算：</w:t>
      </w:r>
    </w:p>
    <w:p>
      <w:pPr>
        <w:pStyle w:val="38"/>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价格分=（评审基准价/</w:t>
      </w:r>
      <w:r>
        <w:rPr>
          <w:rFonts w:hint="eastAsia" w:ascii="仿宋" w:hAnsi="仿宋" w:eastAsia="仿宋" w:cs="仿宋"/>
          <w:color w:val="auto"/>
          <w:sz w:val="24"/>
          <w:highlight w:val="none"/>
        </w:rPr>
        <w:t>评审价格</w:t>
      </w:r>
      <w:r>
        <w:rPr>
          <w:rFonts w:hint="eastAsia" w:ascii="仿宋" w:hAnsi="仿宋" w:eastAsia="仿宋" w:cs="仿宋"/>
          <w:color w:val="auto"/>
          <w:sz w:val="24"/>
          <w:szCs w:val="24"/>
          <w:highlight w:val="none"/>
        </w:rPr>
        <w:t>）×报价权重×100</w:t>
      </w:r>
    </w:p>
    <w:p>
      <w:pPr>
        <w:pStyle w:val="38"/>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3.3.1  价格扣除：因落实政府采购政策进行价格调整的，以调整后的价格计算评审基准价和磋商最后报价。</w:t>
      </w:r>
    </w:p>
    <w:p>
      <w:pPr>
        <w:pStyle w:val="38"/>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调整后的磋商最后报价＝小微企业报价×（1-扣除率）</w:t>
      </w:r>
    </w:p>
    <w:p>
      <w:pPr>
        <w:pStyle w:val="38"/>
        <w:tabs>
          <w:tab w:val="left" w:pos="7288"/>
        </w:tabs>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3.2  资信商务及技术分9</w:t>
      </w:r>
      <w:r>
        <w:rPr>
          <w:rFonts w:hint="eastAsia" w:ascii="仿宋" w:hAnsi="仿宋" w:eastAsia="仿宋" w:cs="仿宋"/>
          <w:color w:val="auto"/>
          <w:sz w:val="24"/>
          <w:szCs w:val="24"/>
          <w:highlight w:val="none"/>
          <w:u w:val="single"/>
        </w:rPr>
        <w:t>0</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rPr>
        <w:tab/>
      </w:r>
    </w:p>
    <w:tbl>
      <w:tblPr>
        <w:tblStyle w:val="62"/>
        <w:tblpPr w:leftFromText="180" w:rightFromText="180" w:vertAnchor="text" w:horzAnchor="page" w:tblpX="1275" w:tblpY="466"/>
        <w:tblOverlap w:val="never"/>
        <w:tblW w:w="9884" w:type="dxa"/>
        <w:tblInd w:w="0" w:type="dxa"/>
        <w:tblLayout w:type="fixed"/>
        <w:tblCellMar>
          <w:top w:w="0" w:type="dxa"/>
          <w:left w:w="108" w:type="dxa"/>
          <w:bottom w:w="0" w:type="dxa"/>
          <w:right w:w="108" w:type="dxa"/>
        </w:tblCellMar>
      </w:tblPr>
      <w:tblGrid>
        <w:gridCol w:w="385"/>
        <w:gridCol w:w="780"/>
        <w:gridCol w:w="1290"/>
        <w:gridCol w:w="6574"/>
        <w:gridCol w:w="855"/>
      </w:tblGrid>
      <w:tr>
        <w:tblPrEx>
          <w:tblCellMar>
            <w:top w:w="0" w:type="dxa"/>
            <w:left w:w="108" w:type="dxa"/>
            <w:bottom w:w="0" w:type="dxa"/>
            <w:right w:w="108" w:type="dxa"/>
          </w:tblCellMar>
        </w:tblPrEx>
        <w:trPr>
          <w:trHeight w:val="488" w:hRule="atLeast"/>
        </w:trPr>
        <w:tc>
          <w:tcPr>
            <w:tcW w:w="385" w:type="dxa"/>
            <w:tcBorders>
              <w:top w:val="single" w:color="000000" w:sz="4" w:space="0"/>
              <w:left w:val="single" w:color="000000" w:sz="4" w:space="0"/>
              <w:bottom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jc w:val="center"/>
              <w:rPr>
                <w:rFonts w:ascii="仿宋" w:hAnsi="仿宋" w:eastAsia="仿宋" w:cs="仿宋"/>
                <w:color w:val="auto"/>
                <w:highlight w:val="none"/>
              </w:rPr>
            </w:pPr>
            <w:r>
              <w:rPr>
                <w:rFonts w:hint="eastAsia" w:ascii="仿宋" w:hAnsi="仿宋" w:eastAsia="仿宋" w:cs="仿宋"/>
                <w:color w:val="auto"/>
                <w:highlight w:val="none"/>
              </w:rPr>
              <w:t>序号</w:t>
            </w:r>
          </w:p>
        </w:tc>
        <w:tc>
          <w:tcPr>
            <w:tcW w:w="780" w:type="dxa"/>
            <w:tcBorders>
              <w:top w:val="single" w:color="000000" w:sz="4" w:space="0"/>
              <w:left w:val="single" w:color="000000" w:sz="4" w:space="0"/>
              <w:bottom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jc w:val="center"/>
              <w:rPr>
                <w:rFonts w:ascii="仿宋" w:hAnsi="仿宋" w:eastAsia="仿宋" w:cs="仿宋"/>
                <w:color w:val="auto"/>
                <w:highlight w:val="none"/>
              </w:rPr>
            </w:pPr>
            <w:r>
              <w:rPr>
                <w:rFonts w:hint="eastAsia" w:ascii="仿宋" w:hAnsi="仿宋" w:eastAsia="仿宋" w:cs="仿宋"/>
                <w:color w:val="auto"/>
                <w:highlight w:val="none"/>
              </w:rPr>
              <w:t>类 型</w:t>
            </w:r>
          </w:p>
        </w:tc>
        <w:tc>
          <w:tcPr>
            <w:tcW w:w="7864" w:type="dxa"/>
            <w:gridSpan w:val="2"/>
            <w:tcBorders>
              <w:top w:val="single" w:color="000000" w:sz="4" w:space="0"/>
              <w:left w:val="single" w:color="000000" w:sz="4" w:space="0"/>
              <w:bottom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jc w:val="center"/>
              <w:rPr>
                <w:rFonts w:ascii="仿宋" w:hAnsi="仿宋" w:eastAsia="仿宋" w:cs="仿宋"/>
                <w:color w:val="auto"/>
                <w:highlight w:val="none"/>
              </w:rPr>
            </w:pPr>
            <w:r>
              <w:rPr>
                <w:rFonts w:hint="eastAsia" w:ascii="仿宋" w:hAnsi="仿宋" w:eastAsia="仿宋" w:cs="仿宋"/>
                <w:color w:val="auto"/>
                <w:highlight w:val="none"/>
              </w:rPr>
              <w:t>评分内容</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jc w:val="center"/>
              <w:rPr>
                <w:rFonts w:ascii="仿宋" w:hAnsi="仿宋" w:eastAsia="仿宋" w:cs="仿宋"/>
                <w:color w:val="auto"/>
                <w:highlight w:val="none"/>
              </w:rPr>
            </w:pPr>
            <w:r>
              <w:rPr>
                <w:rFonts w:hint="eastAsia" w:ascii="仿宋" w:hAnsi="仿宋" w:eastAsia="仿宋" w:cs="仿宋"/>
                <w:color w:val="auto"/>
                <w:highlight w:val="none"/>
              </w:rPr>
              <w:t>分值</w:t>
            </w:r>
          </w:p>
        </w:tc>
      </w:tr>
      <w:tr>
        <w:tblPrEx>
          <w:tblCellMar>
            <w:top w:w="0" w:type="dxa"/>
            <w:left w:w="108" w:type="dxa"/>
            <w:bottom w:w="0" w:type="dxa"/>
            <w:right w:w="108" w:type="dxa"/>
          </w:tblCellMar>
        </w:tblPrEx>
        <w:trPr>
          <w:trHeight w:val="90" w:hRule="atLeast"/>
        </w:trPr>
        <w:tc>
          <w:tcPr>
            <w:tcW w:w="385" w:type="dxa"/>
            <w:tcBorders>
              <w:top w:val="single" w:color="000000" w:sz="4" w:space="0"/>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r>
              <w:rPr>
                <w:rFonts w:hint="eastAsia" w:ascii="仿宋" w:hAnsi="仿宋" w:eastAsia="仿宋" w:cs="仿宋"/>
                <w:color w:val="auto"/>
                <w:highlight w:val="none"/>
              </w:rPr>
              <w:t>1</w:t>
            </w:r>
          </w:p>
        </w:tc>
        <w:tc>
          <w:tcPr>
            <w:tcW w:w="780" w:type="dxa"/>
            <w:tcBorders>
              <w:top w:val="single" w:color="000000" w:sz="4" w:space="0"/>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jc w:val="center"/>
              <w:rPr>
                <w:rFonts w:ascii="仿宋" w:hAnsi="仿宋" w:eastAsia="仿宋" w:cs="仿宋"/>
                <w:color w:val="auto"/>
                <w:highlight w:val="none"/>
              </w:rPr>
            </w:pPr>
            <w:r>
              <w:rPr>
                <w:rFonts w:hint="eastAsia" w:ascii="仿宋" w:hAnsi="仿宋" w:eastAsia="仿宋" w:cs="仿宋"/>
                <w:color w:val="auto"/>
                <w:highlight w:val="none"/>
              </w:rPr>
              <w:t>资信商务部分</w:t>
            </w:r>
          </w:p>
        </w:tc>
        <w:tc>
          <w:tcPr>
            <w:tcW w:w="1290" w:type="dxa"/>
            <w:tcBorders>
              <w:top w:val="single" w:color="000000" w:sz="4" w:space="0"/>
              <w:left w:val="single" w:color="000000" w:sz="4" w:space="0"/>
              <w:bottom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jc w:val="center"/>
              <w:rPr>
                <w:rFonts w:ascii="仿宋" w:hAnsi="仿宋" w:eastAsia="仿宋" w:cs="仿宋"/>
                <w:bCs/>
                <w:color w:val="auto"/>
                <w:highlight w:val="none"/>
              </w:rPr>
            </w:pPr>
            <w:r>
              <w:rPr>
                <w:rFonts w:hint="eastAsia" w:ascii="仿宋" w:hAnsi="仿宋" w:eastAsia="仿宋" w:cs="仿宋"/>
                <w:bCs/>
                <w:color w:val="auto"/>
                <w:highlight w:val="none"/>
              </w:rPr>
              <w:t>企业</w:t>
            </w:r>
          </w:p>
          <w:p>
            <w:pPr>
              <w:pStyle w:val="990"/>
              <w:pageBreakBefore w:val="0"/>
              <w:kinsoku/>
              <w:wordWrap/>
              <w:overflowPunct/>
              <w:topLinePunct w:val="0"/>
              <w:autoSpaceDE/>
              <w:autoSpaceDN/>
              <w:bidi w:val="0"/>
              <w:adjustRightInd/>
              <w:spacing w:line="240" w:lineRule="auto"/>
              <w:jc w:val="center"/>
              <w:rPr>
                <w:rFonts w:ascii="仿宋" w:hAnsi="仿宋" w:eastAsia="仿宋" w:cs="仿宋"/>
                <w:color w:val="auto"/>
                <w:highlight w:val="none"/>
              </w:rPr>
            </w:pPr>
            <w:r>
              <w:rPr>
                <w:rFonts w:hint="eastAsia" w:ascii="仿宋" w:hAnsi="仿宋" w:eastAsia="仿宋" w:cs="仿宋"/>
                <w:bCs/>
                <w:color w:val="auto"/>
                <w:highlight w:val="none"/>
              </w:rPr>
              <w:t>业绩</w:t>
            </w:r>
          </w:p>
        </w:tc>
        <w:tc>
          <w:tcPr>
            <w:tcW w:w="6574" w:type="dxa"/>
            <w:tcBorders>
              <w:top w:val="single" w:color="000000" w:sz="4" w:space="0"/>
              <w:left w:val="single" w:color="000000" w:sz="4" w:space="0"/>
              <w:bottom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根据供应商提供的2020年1月1日至今同类案例（以合同签订日期为准）进行打分，每提供一个业绩得0.5分，共1分。</w:t>
            </w:r>
          </w:p>
          <w:p>
            <w:pPr>
              <w:pStyle w:val="990"/>
              <w:pageBreakBefore w:val="0"/>
              <w:kinsoku/>
              <w:wordWrap/>
              <w:overflowPunct/>
              <w:topLinePunct w:val="0"/>
              <w:autoSpaceDE/>
              <w:autoSpaceDN/>
              <w:bidi w:val="0"/>
              <w:adjustRightInd/>
              <w:spacing w:line="240" w:lineRule="auto"/>
              <w:rPr>
                <w:rFonts w:ascii="仿宋" w:hAnsi="仿宋" w:eastAsia="仿宋" w:cs="仿宋"/>
                <w:b/>
                <w:bCs/>
                <w:color w:val="auto"/>
                <w:highlight w:val="none"/>
              </w:rPr>
            </w:pPr>
            <w:r>
              <w:rPr>
                <w:rFonts w:hint="eastAsia" w:ascii="仿宋" w:hAnsi="仿宋" w:eastAsia="仿宋" w:cs="仿宋"/>
                <w:b/>
                <w:bCs/>
                <w:color w:val="auto"/>
                <w:highlight w:val="none"/>
              </w:rPr>
              <w:t>注：需提供合同</w:t>
            </w:r>
            <w:r>
              <w:rPr>
                <w:rFonts w:hint="eastAsia" w:ascii="仿宋" w:hAnsi="仿宋" w:eastAsia="仿宋" w:cs="仿宋"/>
                <w:b/>
                <w:bCs/>
                <w:color w:val="auto"/>
                <w:highlight w:val="none"/>
                <w:lang w:val="en-US" w:eastAsia="zh-CN"/>
              </w:rPr>
              <w:t>扫描件进入响应文件</w:t>
            </w:r>
            <w:r>
              <w:rPr>
                <w:rFonts w:hint="eastAsia" w:ascii="仿宋" w:hAnsi="仿宋" w:eastAsia="仿宋" w:cs="仿宋"/>
                <w:b/>
                <w:bCs/>
                <w:color w:val="auto"/>
                <w:highlight w:val="none"/>
              </w:rPr>
              <w:t>并加盖供应商公章，不提供或提供不完整不得分</w:t>
            </w:r>
            <w:r>
              <w:rPr>
                <w:rFonts w:hint="eastAsia" w:ascii="仿宋" w:hAnsi="仿宋" w:eastAsia="仿宋" w:cs="仿宋"/>
                <w:b/>
                <w:bCs/>
                <w:color w:val="auto"/>
                <w:highlight w:val="none"/>
                <w:lang w:eastAsia="zh-CN"/>
              </w:rPr>
              <w:t>。</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jc w:val="center"/>
              <w:rPr>
                <w:rFonts w:ascii="仿宋" w:hAnsi="仿宋" w:eastAsia="仿宋" w:cs="仿宋"/>
                <w:color w:val="auto"/>
                <w:highlight w:val="none"/>
              </w:rPr>
            </w:pPr>
            <w:r>
              <w:rPr>
                <w:rFonts w:hint="eastAsia" w:ascii="仿宋" w:hAnsi="仿宋" w:eastAsia="仿宋" w:cs="仿宋"/>
                <w:color w:val="auto"/>
                <w:highlight w:val="none"/>
              </w:rPr>
              <w:t>1分</w:t>
            </w:r>
          </w:p>
        </w:tc>
      </w:tr>
      <w:tr>
        <w:tblPrEx>
          <w:tblCellMar>
            <w:top w:w="0" w:type="dxa"/>
            <w:left w:w="108" w:type="dxa"/>
            <w:bottom w:w="0" w:type="dxa"/>
            <w:right w:w="108" w:type="dxa"/>
          </w:tblCellMar>
        </w:tblPrEx>
        <w:trPr>
          <w:trHeight w:val="90" w:hRule="atLeast"/>
        </w:trPr>
        <w:tc>
          <w:tcPr>
            <w:tcW w:w="385" w:type="dxa"/>
            <w:vMerge w:val="restart"/>
            <w:tcBorders>
              <w:top w:val="single" w:color="000000" w:sz="4" w:space="0"/>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r>
              <w:rPr>
                <w:rFonts w:hint="eastAsia" w:ascii="仿宋" w:hAnsi="仿宋" w:eastAsia="仿宋" w:cs="仿宋"/>
                <w:color w:val="auto"/>
                <w:highlight w:val="none"/>
              </w:rPr>
              <w:t>2</w:t>
            </w:r>
          </w:p>
        </w:tc>
        <w:tc>
          <w:tcPr>
            <w:tcW w:w="780" w:type="dxa"/>
            <w:vMerge w:val="restart"/>
            <w:tcBorders>
              <w:top w:val="single" w:color="000000" w:sz="4" w:space="0"/>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jc w:val="center"/>
              <w:rPr>
                <w:rFonts w:ascii="仿宋" w:hAnsi="仿宋" w:eastAsia="仿宋" w:cs="仿宋"/>
                <w:color w:val="auto"/>
                <w:highlight w:val="none"/>
              </w:rPr>
            </w:pPr>
            <w:r>
              <w:rPr>
                <w:rFonts w:hint="eastAsia" w:ascii="仿宋" w:hAnsi="仿宋" w:eastAsia="仿宋" w:cs="仿宋"/>
                <w:color w:val="auto"/>
                <w:highlight w:val="none"/>
              </w:rPr>
              <w:t>技术部分</w:t>
            </w:r>
          </w:p>
        </w:tc>
        <w:tc>
          <w:tcPr>
            <w:tcW w:w="1290" w:type="dxa"/>
            <w:tcBorders>
              <w:top w:val="single" w:color="000000" w:sz="4" w:space="0"/>
              <w:left w:val="single" w:color="000000" w:sz="4" w:space="0"/>
              <w:bottom w:val="single" w:color="000000" w:sz="4" w:space="0"/>
              <w:right w:val="single" w:color="000000" w:sz="4" w:space="0"/>
            </w:tcBorders>
            <w:vAlign w:val="center"/>
          </w:tcPr>
          <w:p>
            <w:pPr>
              <w:pageBreakBefore w:val="0"/>
              <w:numPr>
                <w:ilvl w:val="0"/>
                <w:numId w:val="0"/>
              </w:numPr>
              <w:kinsoku/>
              <w:wordWrap/>
              <w:overflowPunct/>
              <w:topLinePunct w:val="0"/>
              <w:autoSpaceDE/>
              <w:autoSpaceDN/>
              <w:bidi w:val="0"/>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w:t>
            </w:r>
          </w:p>
          <w:p>
            <w:pPr>
              <w:pageBreakBefore w:val="0"/>
              <w:numPr>
                <w:ilvl w:val="0"/>
                <w:numId w:val="0"/>
              </w:numPr>
              <w:kinsoku/>
              <w:wordWrap/>
              <w:overflowPunct/>
              <w:topLinePunct w:val="0"/>
              <w:autoSpaceDE/>
              <w:autoSpaceDN/>
              <w:bidi w:val="0"/>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理解</w:t>
            </w:r>
          </w:p>
        </w:tc>
        <w:tc>
          <w:tcPr>
            <w:tcW w:w="6574" w:type="dxa"/>
            <w:tcBorders>
              <w:top w:val="single" w:color="000000" w:sz="4" w:space="0"/>
              <w:left w:val="single" w:color="000000" w:sz="4" w:space="0"/>
              <w:bottom w:val="single" w:color="000000" w:sz="4" w:space="0"/>
              <w:right w:val="single" w:color="000000" w:sz="4" w:space="0"/>
            </w:tcBorders>
            <w:vAlign w:val="center"/>
          </w:tcPr>
          <w:p>
            <w:pPr>
              <w:pageBreakBefore w:val="0"/>
              <w:numPr>
                <w:ilvl w:val="0"/>
                <w:numId w:val="0"/>
              </w:numPr>
              <w:kinsoku/>
              <w:wordWrap/>
              <w:overflowPunct/>
              <w:topLinePunct w:val="0"/>
              <w:autoSpaceDE/>
              <w:autoSpaceDN/>
              <w:bidi w:val="0"/>
              <w:spacing w:line="24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根据本项目的特点和具体实际，按照采购文件的各项要求，考核供应商对本项目的分析理解程度</w:t>
            </w:r>
            <w:r>
              <w:rPr>
                <w:rFonts w:hint="eastAsia" w:ascii="仿宋" w:hAnsi="仿宋" w:eastAsia="仿宋" w:cs="仿宋"/>
                <w:color w:val="auto"/>
                <w:sz w:val="24"/>
                <w:highlight w:val="none"/>
                <w:lang w:val="en-US" w:eastAsia="zh-CN"/>
              </w:rPr>
              <w:t>综合打分，</w:t>
            </w:r>
            <w:r>
              <w:rPr>
                <w:rFonts w:hint="eastAsia" w:ascii="仿宋" w:hAnsi="仿宋" w:eastAsia="仿宋" w:cs="仿宋"/>
                <w:color w:val="auto"/>
                <w:sz w:val="24"/>
                <w:highlight w:val="none"/>
              </w:rPr>
              <w:t>理解全面、完整、可行、能够确保项目高效实施的，最高得</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分。每有一项缺失或内容不切合本项目实际的该项不得分；每有一处内容无法满足本项目需求或有缺陷的扣0.5分。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jc w:val="center"/>
              <w:rPr>
                <w:rFonts w:ascii="仿宋" w:hAnsi="仿宋" w:eastAsia="仿宋" w:cs="仿宋"/>
                <w:color w:val="auto"/>
                <w:highlight w:val="none"/>
              </w:rPr>
            </w:pP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分</w:t>
            </w:r>
          </w:p>
        </w:tc>
      </w:tr>
      <w:tr>
        <w:tblPrEx>
          <w:tblCellMar>
            <w:top w:w="0" w:type="dxa"/>
            <w:left w:w="108" w:type="dxa"/>
            <w:bottom w:w="0" w:type="dxa"/>
            <w:right w:w="108" w:type="dxa"/>
          </w:tblCellMar>
        </w:tblPrEx>
        <w:trPr>
          <w:trHeight w:val="90" w:hRule="atLeast"/>
        </w:trPr>
        <w:tc>
          <w:tcPr>
            <w:tcW w:w="385" w:type="dxa"/>
            <w:vMerge w:val="continue"/>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780" w:type="dxa"/>
            <w:vMerge w:val="continue"/>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jc w:val="center"/>
              <w:rPr>
                <w:rFonts w:ascii="仿宋" w:hAnsi="仿宋" w:eastAsia="仿宋" w:cs="仿宋"/>
                <w:color w:val="auto"/>
                <w:highlight w:val="none"/>
              </w:rPr>
            </w:pPr>
          </w:p>
        </w:tc>
        <w:tc>
          <w:tcPr>
            <w:tcW w:w="1290" w:type="dxa"/>
            <w:tcBorders>
              <w:top w:val="single" w:color="000000" w:sz="4" w:space="0"/>
              <w:left w:val="single" w:color="000000" w:sz="4" w:space="0"/>
              <w:bottom w:val="single" w:color="000000" w:sz="4" w:space="0"/>
              <w:right w:val="single" w:color="000000" w:sz="4" w:space="0"/>
            </w:tcBorders>
            <w:vAlign w:val="center"/>
          </w:tcPr>
          <w:p>
            <w:pPr>
              <w:pageBreakBefore w:val="0"/>
              <w:numPr>
                <w:ilvl w:val="0"/>
                <w:numId w:val="0"/>
              </w:numPr>
              <w:kinsoku/>
              <w:wordWrap/>
              <w:overflowPunct/>
              <w:topLinePunct w:val="0"/>
              <w:autoSpaceDE/>
              <w:autoSpaceDN/>
              <w:bidi w:val="0"/>
              <w:spacing w:line="24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总体思路及目标</w:t>
            </w:r>
          </w:p>
        </w:tc>
        <w:tc>
          <w:tcPr>
            <w:tcW w:w="6574" w:type="dxa"/>
            <w:tcBorders>
              <w:top w:val="single" w:color="000000" w:sz="4" w:space="0"/>
              <w:left w:val="single" w:color="000000" w:sz="4" w:space="0"/>
              <w:bottom w:val="single" w:color="000000" w:sz="4" w:space="0"/>
              <w:right w:val="single" w:color="000000" w:sz="4" w:space="0"/>
            </w:tcBorders>
            <w:vAlign w:val="center"/>
          </w:tcPr>
          <w:p>
            <w:pPr>
              <w:pageBreakBefore w:val="0"/>
              <w:numPr>
                <w:ilvl w:val="0"/>
                <w:numId w:val="0"/>
              </w:numPr>
              <w:kinsoku/>
              <w:wordWrap/>
              <w:overflowPunct/>
              <w:topLinePunct w:val="0"/>
              <w:autoSpaceDE/>
              <w:autoSpaceDN/>
              <w:bidi w:val="0"/>
              <w:spacing w:line="24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根据本项目的特点和具体实际，按照采购文件的各项要求，考核供应商对本项目的</w:t>
            </w:r>
            <w:r>
              <w:rPr>
                <w:rFonts w:hint="eastAsia" w:ascii="仿宋" w:hAnsi="仿宋" w:eastAsia="仿宋" w:cs="仿宋"/>
                <w:color w:val="auto"/>
                <w:sz w:val="24"/>
                <w:highlight w:val="none"/>
                <w:lang w:val="en-US" w:eastAsia="zh-CN"/>
              </w:rPr>
              <w:t>总体思路及目标综合打分：</w:t>
            </w:r>
          </w:p>
          <w:p>
            <w:pPr>
              <w:pageBreakBefore w:val="0"/>
              <w:numPr>
                <w:ilvl w:val="0"/>
                <w:numId w:val="0"/>
              </w:numPr>
              <w:kinsoku/>
              <w:wordWrap/>
              <w:overflowPunct/>
              <w:topLinePunct w:val="0"/>
              <w:autoSpaceDE/>
              <w:autoSpaceDN/>
              <w:bidi w:val="0"/>
              <w:spacing w:line="24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对完成本项目的总体思路</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最高得3分</w:t>
            </w:r>
            <w:r>
              <w:rPr>
                <w:rFonts w:hint="eastAsia" w:ascii="仿宋" w:hAnsi="仿宋" w:eastAsia="仿宋" w:cs="仿宋"/>
                <w:color w:val="auto"/>
                <w:sz w:val="24"/>
                <w:highlight w:val="none"/>
              </w:rPr>
              <w:t>；</w:t>
            </w:r>
          </w:p>
          <w:p>
            <w:pPr>
              <w:pageBreakBefore w:val="0"/>
              <w:numPr>
                <w:ilvl w:val="0"/>
                <w:numId w:val="0"/>
              </w:numPr>
              <w:kinsoku/>
              <w:wordWrap/>
              <w:overflowPunct/>
              <w:topLinePunct w:val="0"/>
              <w:autoSpaceDE/>
              <w:autoSpaceDN/>
              <w:bidi w:val="0"/>
              <w:spacing w:line="24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项目目标的阐述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最高得3</w:t>
            </w:r>
            <w:r>
              <w:rPr>
                <w:rFonts w:hint="eastAsia" w:ascii="仿宋" w:hAnsi="仿宋" w:eastAsia="仿宋" w:cs="仿宋"/>
                <w:color w:val="auto"/>
                <w:sz w:val="24"/>
                <w:highlight w:val="none"/>
              </w:rPr>
              <w:t>分</w:t>
            </w:r>
            <w:r>
              <w:rPr>
                <w:rFonts w:hint="eastAsia" w:ascii="仿宋" w:hAnsi="仿宋" w:eastAsia="仿宋" w:cs="仿宋"/>
                <w:color w:val="auto"/>
                <w:sz w:val="24"/>
                <w:highlight w:val="none"/>
                <w:lang w:eastAsia="zh-CN"/>
              </w:rPr>
              <w:t>；</w:t>
            </w:r>
          </w:p>
          <w:p>
            <w:pPr>
              <w:pageBreakBefore w:val="0"/>
              <w:numPr>
                <w:ilvl w:val="0"/>
                <w:numId w:val="0"/>
              </w:numPr>
              <w:kinsoku/>
              <w:wordWrap/>
              <w:overflowPunct/>
              <w:topLinePunct w:val="0"/>
              <w:autoSpaceDE/>
              <w:autoSpaceDN/>
              <w:bidi w:val="0"/>
              <w:spacing w:line="24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总体思路及目标清晰、全面、完整、可行、能够确保项目高</w:t>
            </w:r>
          </w:p>
          <w:p>
            <w:pPr>
              <w:pageBreakBefore w:val="0"/>
              <w:numPr>
                <w:ilvl w:val="0"/>
                <w:numId w:val="0"/>
              </w:numPr>
              <w:kinsoku/>
              <w:wordWrap/>
              <w:overflowPunct/>
              <w:topLinePunct w:val="0"/>
              <w:autoSpaceDE/>
              <w:autoSpaceDN/>
              <w:bidi w:val="0"/>
              <w:spacing w:line="24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效实施的，最高得6分。每有一项缺失或内容不切合本项目</w:t>
            </w:r>
          </w:p>
          <w:p>
            <w:pPr>
              <w:pageBreakBefore w:val="0"/>
              <w:numPr>
                <w:ilvl w:val="0"/>
                <w:numId w:val="0"/>
              </w:numPr>
              <w:kinsoku/>
              <w:wordWrap/>
              <w:overflowPunct/>
              <w:topLinePunct w:val="0"/>
              <w:autoSpaceDE/>
              <w:autoSpaceDN/>
              <w:bidi w:val="0"/>
              <w:spacing w:line="24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实际的该项不得分；每有一处内容无法满足本项目需求或有</w:t>
            </w:r>
          </w:p>
          <w:p>
            <w:pPr>
              <w:pageBreakBefore w:val="0"/>
              <w:numPr>
                <w:ilvl w:val="0"/>
                <w:numId w:val="0"/>
              </w:numPr>
              <w:kinsoku/>
              <w:wordWrap/>
              <w:overflowPunct/>
              <w:topLinePunct w:val="0"/>
              <w:autoSpaceDE/>
              <w:autoSpaceDN/>
              <w:bidi w:val="0"/>
              <w:spacing w:line="240" w:lineRule="auto"/>
              <w:rPr>
                <w:rFonts w:hint="eastAsia"/>
                <w:color w:val="auto"/>
                <w:lang w:val="en-US" w:eastAsia="zh-CN"/>
              </w:rPr>
            </w:pPr>
            <w:r>
              <w:rPr>
                <w:rFonts w:hint="eastAsia" w:ascii="仿宋" w:hAnsi="仿宋" w:eastAsia="仿宋" w:cs="仿宋"/>
                <w:color w:val="auto"/>
                <w:sz w:val="24"/>
                <w:highlight w:val="none"/>
                <w:lang w:val="en-US" w:eastAsia="zh-CN"/>
              </w:rPr>
              <w:t>缺陷的扣0.5分。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pageBreakBefore w:val="0"/>
              <w:widowControl/>
              <w:kinsoku/>
              <w:wordWrap/>
              <w:overflowPunct/>
              <w:topLinePunct w:val="0"/>
              <w:autoSpaceDE/>
              <w:autoSpaceDN/>
              <w:bidi w:val="0"/>
              <w:adjustRightInd/>
              <w:spacing w:line="240" w:lineRule="auto"/>
              <w:jc w:val="center"/>
              <w:rPr>
                <w:rFonts w:hint="default" w:asciiTheme="majorEastAsia" w:hAnsiTheme="majorEastAsia" w:eastAsiaTheme="majorEastAsia" w:cstheme="majorEastAsia"/>
                <w:color w:val="auto"/>
                <w:kern w:val="2"/>
                <w:sz w:val="28"/>
                <w:szCs w:val="28"/>
                <w:highlight w:val="none"/>
                <w:lang w:val="en-US" w:eastAsia="zh-CN" w:bidi="ar-SA"/>
              </w:rPr>
            </w:pPr>
            <w:r>
              <w:rPr>
                <w:rFonts w:hint="eastAsia" w:ascii="仿宋" w:hAnsi="仿宋" w:eastAsia="仿宋" w:cs="仿宋"/>
                <w:color w:val="auto"/>
                <w:kern w:val="2"/>
                <w:sz w:val="24"/>
                <w:szCs w:val="24"/>
                <w:highlight w:val="none"/>
                <w:lang w:val="en-US" w:eastAsia="zh-CN" w:bidi="ar-SA"/>
              </w:rPr>
              <w:t>6分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780" w:type="dxa"/>
            <w:vMerge w:val="continue"/>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jc w:val="center"/>
              <w:rPr>
                <w:rFonts w:ascii="仿宋" w:hAnsi="仿宋" w:eastAsia="仿宋" w:cs="仿宋"/>
                <w:color w:val="auto"/>
                <w:highlight w:val="none"/>
              </w:rPr>
            </w:pPr>
          </w:p>
        </w:tc>
        <w:tc>
          <w:tcPr>
            <w:tcW w:w="1290" w:type="dxa"/>
            <w:vMerge w:val="restart"/>
            <w:tcBorders>
              <w:left w:val="single" w:color="000000" w:sz="4" w:space="0"/>
              <w:right w:val="single" w:color="000000" w:sz="4" w:space="0"/>
            </w:tcBorders>
            <w:vAlign w:val="center"/>
          </w:tcPr>
          <w:p>
            <w:pPr>
              <w:pageBreakBefore w:val="0"/>
              <w:widowControl/>
              <w:kinsoku/>
              <w:wordWrap/>
              <w:overflowPunct/>
              <w:topLinePunct w:val="0"/>
              <w:autoSpaceDE/>
              <w:autoSpaceDN/>
              <w:bidi w:val="0"/>
              <w:spacing w:line="240" w:lineRule="auto"/>
              <w:jc w:val="center"/>
              <w:textAlignment w:val="center"/>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整体服务方案</w:t>
            </w:r>
          </w:p>
        </w:tc>
        <w:tc>
          <w:tcPr>
            <w:tcW w:w="6574" w:type="dxa"/>
            <w:tcBorders>
              <w:top w:val="single" w:color="000000" w:sz="4" w:space="0"/>
              <w:left w:val="single" w:color="000000" w:sz="4" w:space="0"/>
              <w:bottom w:val="single" w:color="000000" w:sz="4" w:space="0"/>
              <w:right w:val="single" w:color="000000" w:sz="4" w:space="0"/>
            </w:tcBorders>
            <w:vAlign w:val="center"/>
          </w:tcPr>
          <w:p>
            <w:pPr>
              <w:pageBreakBefore w:val="0"/>
              <w:numPr>
                <w:ilvl w:val="0"/>
                <w:numId w:val="0"/>
              </w:numPr>
              <w:kinsoku/>
              <w:wordWrap/>
              <w:overflowPunct/>
              <w:topLinePunct w:val="0"/>
              <w:autoSpaceDE/>
              <w:autoSpaceDN/>
              <w:bidi w:val="0"/>
              <w:spacing w:line="24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w:t>
            </w:r>
            <w:r>
              <w:rPr>
                <w:rFonts w:hint="eastAsia" w:ascii="仿宋" w:hAnsi="仿宋" w:eastAsia="仿宋" w:cs="仿宋"/>
                <w:color w:val="auto"/>
                <w:sz w:val="24"/>
                <w:highlight w:val="none"/>
              </w:rPr>
              <w:t>协助建立高企、科小、企业研究院、研发中心等工作的服务方案的完整性、合理性、可行性等方面进行打分，最高得</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分。</w:t>
            </w:r>
          </w:p>
        </w:tc>
        <w:tc>
          <w:tcPr>
            <w:tcW w:w="855" w:type="dxa"/>
            <w:tcBorders>
              <w:top w:val="single" w:color="000000" w:sz="4" w:space="0"/>
              <w:left w:val="single" w:color="000000" w:sz="4" w:space="0"/>
              <w:bottom w:val="single" w:color="000000" w:sz="4" w:space="0"/>
              <w:right w:val="single" w:color="000000" w:sz="4" w:space="0"/>
            </w:tcBorders>
            <w:vAlign w:val="center"/>
          </w:tcPr>
          <w:p>
            <w:pPr>
              <w:pageBreakBefore w:val="0"/>
              <w:widowControl/>
              <w:kinsoku/>
              <w:wordWrap/>
              <w:overflowPunct/>
              <w:topLinePunct w:val="0"/>
              <w:autoSpaceDE/>
              <w:autoSpaceDN/>
              <w:bidi w:val="0"/>
              <w:spacing w:line="240" w:lineRule="auto"/>
              <w:jc w:val="center"/>
              <w:textAlignment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r>
              <w:rPr>
                <w:rFonts w:hint="eastAsia" w:ascii="仿宋" w:hAnsi="仿宋" w:eastAsia="仿宋" w:cs="仿宋"/>
                <w:color w:val="auto"/>
                <w:highlight w:val="none"/>
              </w:rPr>
              <w:t xml:space="preserve"> </w:t>
            </w:r>
          </w:p>
        </w:tc>
        <w:tc>
          <w:tcPr>
            <w:tcW w:w="780" w:type="dxa"/>
            <w:vMerge w:val="continue"/>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jc w:val="center"/>
              <w:rPr>
                <w:rFonts w:ascii="仿宋" w:hAnsi="仿宋" w:eastAsia="仿宋" w:cs="仿宋"/>
                <w:color w:val="auto"/>
                <w:highlight w:val="none"/>
              </w:rPr>
            </w:pPr>
          </w:p>
        </w:tc>
        <w:tc>
          <w:tcPr>
            <w:tcW w:w="1290" w:type="dxa"/>
            <w:vMerge w:val="continue"/>
            <w:tcBorders>
              <w:left w:val="single" w:color="000000" w:sz="4" w:space="0"/>
              <w:right w:val="single" w:color="000000" w:sz="4" w:space="0"/>
            </w:tcBorders>
            <w:vAlign w:val="center"/>
          </w:tcPr>
          <w:p>
            <w:pPr>
              <w:pageBreakBefore w:val="0"/>
              <w:widowControl/>
              <w:kinsoku/>
              <w:wordWrap/>
              <w:overflowPunct/>
              <w:topLinePunct w:val="0"/>
              <w:autoSpaceDE/>
              <w:autoSpaceDN/>
              <w:bidi w:val="0"/>
              <w:spacing w:line="240" w:lineRule="auto"/>
              <w:jc w:val="center"/>
              <w:textAlignment w:val="center"/>
              <w:rPr>
                <w:rFonts w:ascii="仿宋" w:hAnsi="仿宋" w:eastAsia="仿宋" w:cs="仿宋"/>
                <w:color w:val="auto"/>
                <w:kern w:val="0"/>
                <w:sz w:val="24"/>
                <w:highlight w:val="none"/>
              </w:rPr>
            </w:pPr>
          </w:p>
        </w:tc>
        <w:tc>
          <w:tcPr>
            <w:tcW w:w="6574" w:type="dxa"/>
            <w:tcBorders>
              <w:top w:val="single" w:color="000000" w:sz="4" w:space="0"/>
              <w:left w:val="single" w:color="000000" w:sz="4" w:space="0"/>
              <w:bottom w:val="single" w:color="000000" w:sz="4" w:space="0"/>
              <w:right w:val="single" w:color="000000" w:sz="4" w:space="0"/>
            </w:tcBorders>
            <w:vAlign w:val="center"/>
          </w:tcPr>
          <w:p>
            <w:pPr>
              <w:pageBreakBefore w:val="0"/>
              <w:numPr>
                <w:ilvl w:val="0"/>
                <w:numId w:val="0"/>
              </w:numPr>
              <w:kinsoku/>
              <w:wordWrap/>
              <w:overflowPunct/>
              <w:topLinePunct w:val="0"/>
              <w:autoSpaceDE/>
              <w:autoSpaceDN/>
              <w:bidi w:val="0"/>
              <w:spacing w:line="24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根据运营服务工作的服务方案</w:t>
            </w:r>
            <w:r>
              <w:rPr>
                <w:rFonts w:hint="eastAsia" w:ascii="仿宋" w:hAnsi="仿宋" w:eastAsia="仿宋" w:cs="仿宋"/>
                <w:color w:val="auto"/>
                <w:sz w:val="24"/>
                <w:highlight w:val="none"/>
              </w:rPr>
              <w:t>的完整性、合理性、可行性等方面进行打分，最高得</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分。</w:t>
            </w:r>
          </w:p>
        </w:tc>
        <w:tc>
          <w:tcPr>
            <w:tcW w:w="855" w:type="dxa"/>
            <w:tcBorders>
              <w:top w:val="single" w:color="000000" w:sz="4" w:space="0"/>
              <w:left w:val="single" w:color="000000" w:sz="4" w:space="0"/>
              <w:bottom w:val="single" w:color="000000" w:sz="4" w:space="0"/>
              <w:right w:val="single" w:color="000000" w:sz="4" w:space="0"/>
            </w:tcBorders>
            <w:vAlign w:val="center"/>
          </w:tcPr>
          <w:p>
            <w:pPr>
              <w:pageBreakBefore w:val="0"/>
              <w:widowControl/>
              <w:kinsoku/>
              <w:wordWrap/>
              <w:overflowPunct/>
              <w:topLinePunct w:val="0"/>
              <w:autoSpaceDE/>
              <w:autoSpaceDN/>
              <w:bidi w:val="0"/>
              <w:spacing w:line="240" w:lineRule="auto"/>
              <w:jc w:val="center"/>
              <w:textAlignment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780" w:type="dxa"/>
            <w:vMerge w:val="continue"/>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jc w:val="center"/>
              <w:rPr>
                <w:rFonts w:ascii="仿宋" w:hAnsi="仿宋" w:eastAsia="仿宋" w:cs="仿宋"/>
                <w:color w:val="auto"/>
                <w:highlight w:val="none"/>
              </w:rPr>
            </w:pPr>
          </w:p>
        </w:tc>
        <w:tc>
          <w:tcPr>
            <w:tcW w:w="1290" w:type="dxa"/>
            <w:vMerge w:val="continue"/>
            <w:tcBorders>
              <w:left w:val="single" w:color="000000" w:sz="4" w:space="0"/>
              <w:right w:val="single" w:color="000000" w:sz="4" w:space="0"/>
            </w:tcBorders>
            <w:vAlign w:val="center"/>
          </w:tcPr>
          <w:p>
            <w:pPr>
              <w:pageBreakBefore w:val="0"/>
              <w:widowControl/>
              <w:kinsoku/>
              <w:wordWrap/>
              <w:overflowPunct/>
              <w:topLinePunct w:val="0"/>
              <w:autoSpaceDE/>
              <w:autoSpaceDN/>
              <w:bidi w:val="0"/>
              <w:spacing w:line="240" w:lineRule="auto"/>
              <w:jc w:val="center"/>
              <w:textAlignment w:val="center"/>
              <w:rPr>
                <w:rFonts w:ascii="仿宋" w:hAnsi="仿宋" w:eastAsia="仿宋" w:cs="仿宋"/>
                <w:color w:val="auto"/>
                <w:sz w:val="24"/>
                <w:highlight w:val="none"/>
                <w:lang w:bidi="ar"/>
              </w:rPr>
            </w:pPr>
          </w:p>
        </w:tc>
        <w:tc>
          <w:tcPr>
            <w:tcW w:w="6574" w:type="dxa"/>
            <w:tcBorders>
              <w:top w:val="single" w:color="000000" w:sz="4" w:space="0"/>
              <w:left w:val="single" w:color="000000" w:sz="4" w:space="0"/>
              <w:bottom w:val="single" w:color="000000" w:sz="4" w:space="0"/>
              <w:right w:val="single" w:color="000000" w:sz="4" w:space="0"/>
            </w:tcBorders>
            <w:vAlign w:val="center"/>
          </w:tcPr>
          <w:p>
            <w:pPr>
              <w:pageBreakBefore w:val="0"/>
              <w:numPr>
                <w:ilvl w:val="0"/>
                <w:numId w:val="0"/>
              </w:numPr>
              <w:kinsoku/>
              <w:wordWrap/>
              <w:overflowPunct/>
              <w:topLinePunct w:val="0"/>
              <w:autoSpaceDE/>
              <w:autoSpaceDN/>
              <w:bidi w:val="0"/>
              <w:spacing w:line="24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根据技术市场运行与维护服务方案</w:t>
            </w:r>
            <w:r>
              <w:rPr>
                <w:rFonts w:hint="eastAsia" w:ascii="仿宋" w:hAnsi="仿宋" w:eastAsia="仿宋" w:cs="仿宋"/>
                <w:color w:val="auto"/>
                <w:sz w:val="24"/>
                <w:highlight w:val="none"/>
              </w:rPr>
              <w:t>的完整性、合理性、可行性等方面进行打分，最高得</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分。</w:t>
            </w:r>
          </w:p>
        </w:tc>
        <w:tc>
          <w:tcPr>
            <w:tcW w:w="855" w:type="dxa"/>
            <w:tcBorders>
              <w:top w:val="single" w:color="000000" w:sz="4" w:space="0"/>
              <w:left w:val="single" w:color="000000" w:sz="4" w:space="0"/>
              <w:bottom w:val="single" w:color="000000" w:sz="4" w:space="0"/>
              <w:right w:val="single" w:color="000000" w:sz="4" w:space="0"/>
            </w:tcBorders>
            <w:vAlign w:val="center"/>
          </w:tcPr>
          <w:p>
            <w:pPr>
              <w:pageBreakBefore w:val="0"/>
              <w:widowControl/>
              <w:kinsoku/>
              <w:wordWrap/>
              <w:overflowPunct/>
              <w:topLinePunct w:val="0"/>
              <w:autoSpaceDE/>
              <w:autoSpaceDN/>
              <w:bidi w:val="0"/>
              <w:spacing w:line="240" w:lineRule="auto"/>
              <w:jc w:val="center"/>
              <w:textAlignment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7分</w:t>
            </w:r>
          </w:p>
        </w:tc>
      </w:tr>
      <w:tr>
        <w:tblPrEx>
          <w:tblCellMar>
            <w:top w:w="0" w:type="dxa"/>
            <w:left w:w="108" w:type="dxa"/>
            <w:bottom w:w="0" w:type="dxa"/>
            <w:right w:w="108" w:type="dxa"/>
          </w:tblCellMar>
        </w:tblPrEx>
        <w:trPr>
          <w:trHeight w:val="832" w:hRule="atLeast"/>
        </w:trPr>
        <w:tc>
          <w:tcPr>
            <w:tcW w:w="385" w:type="dxa"/>
            <w:vMerge w:val="continue"/>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780" w:type="dxa"/>
            <w:vMerge w:val="continue"/>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jc w:val="center"/>
              <w:rPr>
                <w:rFonts w:ascii="仿宋" w:hAnsi="仿宋" w:eastAsia="仿宋" w:cs="仿宋"/>
                <w:color w:val="auto"/>
                <w:highlight w:val="none"/>
              </w:rPr>
            </w:pPr>
          </w:p>
        </w:tc>
        <w:tc>
          <w:tcPr>
            <w:tcW w:w="1290" w:type="dxa"/>
            <w:vMerge w:val="continue"/>
            <w:tcBorders>
              <w:left w:val="single" w:color="000000" w:sz="4" w:space="0"/>
              <w:right w:val="single" w:color="000000" w:sz="4" w:space="0"/>
            </w:tcBorders>
            <w:vAlign w:val="center"/>
          </w:tcPr>
          <w:p>
            <w:pPr>
              <w:pageBreakBefore w:val="0"/>
              <w:widowControl/>
              <w:kinsoku/>
              <w:wordWrap/>
              <w:overflowPunct/>
              <w:topLinePunct w:val="0"/>
              <w:autoSpaceDE/>
              <w:autoSpaceDN/>
              <w:bidi w:val="0"/>
              <w:spacing w:line="240" w:lineRule="auto"/>
              <w:jc w:val="center"/>
              <w:textAlignment w:val="center"/>
              <w:rPr>
                <w:rFonts w:ascii="仿宋" w:hAnsi="仿宋" w:eastAsia="仿宋" w:cs="仿宋"/>
                <w:color w:val="auto"/>
                <w:kern w:val="0"/>
                <w:sz w:val="24"/>
                <w:highlight w:val="none"/>
              </w:rPr>
            </w:pPr>
          </w:p>
        </w:tc>
        <w:tc>
          <w:tcPr>
            <w:tcW w:w="6574" w:type="dxa"/>
            <w:tcBorders>
              <w:top w:val="single" w:color="000000" w:sz="4" w:space="0"/>
              <w:left w:val="single" w:color="000000" w:sz="4" w:space="0"/>
              <w:bottom w:val="single" w:color="000000" w:sz="4" w:space="0"/>
              <w:right w:val="single" w:color="000000" w:sz="4" w:space="0"/>
            </w:tcBorders>
            <w:vAlign w:val="center"/>
          </w:tcPr>
          <w:p>
            <w:pPr>
              <w:pageBreakBefore w:val="0"/>
              <w:numPr>
                <w:ilvl w:val="0"/>
                <w:numId w:val="0"/>
              </w:numPr>
              <w:kinsoku/>
              <w:wordWrap/>
              <w:overflowPunct/>
              <w:topLinePunct w:val="0"/>
              <w:autoSpaceDE/>
              <w:autoSpaceDN/>
              <w:bidi w:val="0"/>
              <w:spacing w:line="24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根据企业走访、难题挖掘与征集方案</w:t>
            </w:r>
            <w:r>
              <w:rPr>
                <w:rFonts w:hint="eastAsia" w:ascii="仿宋" w:hAnsi="仿宋" w:eastAsia="仿宋" w:cs="仿宋"/>
                <w:color w:val="auto"/>
                <w:sz w:val="24"/>
                <w:highlight w:val="none"/>
              </w:rPr>
              <w:t>的完整性、合理性、可行性等方面进行打分，最高得</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分。</w:t>
            </w:r>
          </w:p>
        </w:tc>
        <w:tc>
          <w:tcPr>
            <w:tcW w:w="855" w:type="dxa"/>
            <w:tcBorders>
              <w:top w:val="single" w:color="000000" w:sz="4" w:space="0"/>
              <w:left w:val="single" w:color="000000" w:sz="4" w:space="0"/>
              <w:bottom w:val="single" w:color="000000" w:sz="4" w:space="0"/>
              <w:right w:val="single" w:color="000000" w:sz="4" w:space="0"/>
            </w:tcBorders>
            <w:vAlign w:val="center"/>
          </w:tcPr>
          <w:p>
            <w:pPr>
              <w:pageBreakBefore w:val="0"/>
              <w:widowControl/>
              <w:kinsoku/>
              <w:wordWrap/>
              <w:overflowPunct/>
              <w:topLinePunct w:val="0"/>
              <w:autoSpaceDE/>
              <w:autoSpaceDN/>
              <w:bidi w:val="0"/>
              <w:spacing w:line="240" w:lineRule="auto"/>
              <w:jc w:val="center"/>
              <w:textAlignment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7分</w:t>
            </w:r>
          </w:p>
        </w:tc>
      </w:tr>
      <w:tr>
        <w:tblPrEx>
          <w:tblCellMar>
            <w:top w:w="0" w:type="dxa"/>
            <w:left w:w="108" w:type="dxa"/>
            <w:bottom w:w="0" w:type="dxa"/>
            <w:right w:w="108" w:type="dxa"/>
          </w:tblCellMar>
        </w:tblPrEx>
        <w:trPr>
          <w:trHeight w:val="599" w:hRule="atLeast"/>
        </w:trPr>
        <w:tc>
          <w:tcPr>
            <w:tcW w:w="385" w:type="dxa"/>
            <w:vMerge w:val="continue"/>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780" w:type="dxa"/>
            <w:vMerge w:val="continue"/>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jc w:val="center"/>
              <w:rPr>
                <w:rFonts w:ascii="仿宋" w:hAnsi="仿宋" w:eastAsia="仿宋" w:cs="仿宋"/>
                <w:color w:val="auto"/>
                <w:highlight w:val="none"/>
              </w:rPr>
            </w:pPr>
          </w:p>
        </w:tc>
        <w:tc>
          <w:tcPr>
            <w:tcW w:w="1290" w:type="dxa"/>
            <w:vMerge w:val="continue"/>
            <w:tcBorders>
              <w:left w:val="single" w:color="000000" w:sz="4" w:space="0"/>
              <w:right w:val="single" w:color="000000" w:sz="4" w:space="0"/>
            </w:tcBorders>
            <w:vAlign w:val="center"/>
          </w:tcPr>
          <w:p>
            <w:pPr>
              <w:pageBreakBefore w:val="0"/>
              <w:widowControl/>
              <w:kinsoku/>
              <w:wordWrap/>
              <w:overflowPunct/>
              <w:topLinePunct w:val="0"/>
              <w:autoSpaceDE/>
              <w:autoSpaceDN/>
              <w:bidi w:val="0"/>
              <w:spacing w:line="240" w:lineRule="auto"/>
              <w:jc w:val="center"/>
              <w:textAlignment w:val="center"/>
              <w:rPr>
                <w:rFonts w:ascii="仿宋" w:hAnsi="仿宋" w:eastAsia="仿宋" w:cs="仿宋"/>
                <w:color w:val="auto"/>
                <w:sz w:val="24"/>
                <w:highlight w:val="none"/>
                <w:lang w:bidi="ar"/>
              </w:rPr>
            </w:pPr>
          </w:p>
        </w:tc>
        <w:tc>
          <w:tcPr>
            <w:tcW w:w="6574" w:type="dxa"/>
            <w:tcBorders>
              <w:top w:val="single" w:color="000000" w:sz="4" w:space="0"/>
              <w:left w:val="single" w:color="000000" w:sz="4" w:space="0"/>
              <w:bottom w:val="single" w:color="000000" w:sz="4" w:space="0"/>
              <w:right w:val="single" w:color="000000" w:sz="4" w:space="0"/>
            </w:tcBorders>
            <w:vAlign w:val="center"/>
          </w:tcPr>
          <w:p>
            <w:pPr>
              <w:pageBreakBefore w:val="0"/>
              <w:numPr>
                <w:ilvl w:val="0"/>
                <w:numId w:val="0"/>
              </w:numPr>
              <w:kinsoku/>
              <w:wordWrap/>
              <w:overflowPunct/>
              <w:topLinePunct w:val="0"/>
              <w:autoSpaceDE/>
              <w:autoSpaceDN/>
              <w:bidi w:val="0"/>
              <w:spacing w:line="24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根据活动组织开展方案</w:t>
            </w:r>
            <w:r>
              <w:rPr>
                <w:rFonts w:hint="eastAsia" w:ascii="仿宋" w:hAnsi="仿宋" w:eastAsia="仿宋" w:cs="仿宋"/>
                <w:color w:val="auto"/>
                <w:sz w:val="24"/>
                <w:highlight w:val="none"/>
              </w:rPr>
              <w:t>的完整性、合理性、可行性等方面进行打分，最高得</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分。</w:t>
            </w:r>
          </w:p>
        </w:tc>
        <w:tc>
          <w:tcPr>
            <w:tcW w:w="855" w:type="dxa"/>
            <w:tcBorders>
              <w:top w:val="single" w:color="000000" w:sz="4" w:space="0"/>
              <w:left w:val="single" w:color="000000" w:sz="4" w:space="0"/>
              <w:bottom w:val="single" w:color="000000" w:sz="4" w:space="0"/>
              <w:right w:val="single" w:color="000000" w:sz="4" w:space="0"/>
            </w:tcBorders>
            <w:vAlign w:val="center"/>
          </w:tcPr>
          <w:p>
            <w:pPr>
              <w:pageBreakBefore w:val="0"/>
              <w:widowControl/>
              <w:kinsoku/>
              <w:wordWrap/>
              <w:overflowPunct/>
              <w:topLinePunct w:val="0"/>
              <w:autoSpaceDE/>
              <w:autoSpaceDN/>
              <w:bidi w:val="0"/>
              <w:spacing w:line="240" w:lineRule="auto"/>
              <w:jc w:val="center"/>
              <w:textAlignment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7分</w:t>
            </w:r>
          </w:p>
        </w:tc>
      </w:tr>
      <w:tr>
        <w:tblPrEx>
          <w:tblCellMar>
            <w:top w:w="0" w:type="dxa"/>
            <w:left w:w="108" w:type="dxa"/>
            <w:bottom w:w="0" w:type="dxa"/>
            <w:right w:w="108" w:type="dxa"/>
          </w:tblCellMar>
        </w:tblPrEx>
        <w:trPr>
          <w:trHeight w:val="890" w:hRule="atLeast"/>
        </w:trPr>
        <w:tc>
          <w:tcPr>
            <w:tcW w:w="385" w:type="dxa"/>
            <w:vMerge w:val="continue"/>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780" w:type="dxa"/>
            <w:vMerge w:val="continue"/>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1290" w:type="dxa"/>
            <w:vMerge w:val="continue"/>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jc w:val="center"/>
              <w:rPr>
                <w:rFonts w:ascii="仿宋" w:hAnsi="仿宋" w:eastAsia="仿宋" w:cs="仿宋"/>
                <w:bCs/>
                <w:color w:val="auto"/>
                <w:highlight w:val="none"/>
              </w:rPr>
            </w:pPr>
          </w:p>
        </w:tc>
        <w:tc>
          <w:tcPr>
            <w:tcW w:w="6574" w:type="dxa"/>
            <w:tcBorders>
              <w:top w:val="single" w:color="000000" w:sz="4" w:space="0"/>
              <w:left w:val="single" w:color="000000" w:sz="4" w:space="0"/>
              <w:bottom w:val="single" w:color="000000" w:sz="4" w:space="0"/>
              <w:right w:val="single" w:color="000000" w:sz="4" w:space="0"/>
            </w:tcBorders>
            <w:vAlign w:val="center"/>
          </w:tcPr>
          <w:p>
            <w:pPr>
              <w:pageBreakBefore w:val="0"/>
              <w:numPr>
                <w:ilvl w:val="0"/>
                <w:numId w:val="0"/>
              </w:numPr>
              <w:kinsoku/>
              <w:wordWrap/>
              <w:overflowPunct/>
              <w:topLinePunct w:val="0"/>
              <w:autoSpaceDE/>
              <w:autoSpaceDN/>
              <w:bidi w:val="0"/>
              <w:spacing w:line="24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根据线下市场日常管理，科技服务中介引进、管理方案</w:t>
            </w:r>
            <w:r>
              <w:rPr>
                <w:rFonts w:hint="eastAsia" w:ascii="仿宋" w:hAnsi="仿宋" w:eastAsia="仿宋" w:cs="仿宋"/>
                <w:color w:val="auto"/>
                <w:sz w:val="24"/>
                <w:highlight w:val="none"/>
              </w:rPr>
              <w:t>的完整性、合理性、可行性等方面进行打分，最高得</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分。</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7分</w:t>
            </w:r>
          </w:p>
        </w:tc>
      </w:tr>
      <w:tr>
        <w:tblPrEx>
          <w:tblCellMar>
            <w:top w:w="0" w:type="dxa"/>
            <w:left w:w="108" w:type="dxa"/>
            <w:bottom w:w="0" w:type="dxa"/>
            <w:right w:w="108" w:type="dxa"/>
          </w:tblCellMar>
        </w:tblPrEx>
        <w:trPr>
          <w:trHeight w:val="445" w:hRule="atLeast"/>
        </w:trPr>
        <w:tc>
          <w:tcPr>
            <w:tcW w:w="385" w:type="dxa"/>
            <w:vMerge w:val="continue"/>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780" w:type="dxa"/>
            <w:vMerge w:val="continue"/>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1290" w:type="dxa"/>
            <w:vMerge w:val="continue"/>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jc w:val="center"/>
              <w:rPr>
                <w:rFonts w:ascii="仿宋" w:hAnsi="仿宋" w:eastAsia="仿宋" w:cs="仿宋"/>
                <w:bCs/>
                <w:color w:val="auto"/>
                <w:highlight w:val="none"/>
              </w:rPr>
            </w:pPr>
          </w:p>
        </w:tc>
        <w:tc>
          <w:tcPr>
            <w:tcW w:w="6574" w:type="dxa"/>
            <w:tcBorders>
              <w:top w:val="single" w:color="000000" w:sz="4" w:space="0"/>
              <w:left w:val="single" w:color="000000" w:sz="4" w:space="0"/>
              <w:bottom w:val="single" w:color="000000" w:sz="4" w:space="0"/>
              <w:right w:val="single" w:color="000000" w:sz="4" w:space="0"/>
            </w:tcBorders>
            <w:vAlign w:val="center"/>
          </w:tcPr>
          <w:p>
            <w:pPr>
              <w:pageBreakBefore w:val="0"/>
              <w:numPr>
                <w:ilvl w:val="0"/>
                <w:numId w:val="0"/>
              </w:numPr>
              <w:kinsoku/>
              <w:wordWrap/>
              <w:overflowPunct/>
              <w:topLinePunct w:val="0"/>
              <w:autoSpaceDE/>
              <w:autoSpaceDN/>
              <w:bidi w:val="0"/>
              <w:spacing w:line="24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根据市场宣传、企业科技新品推广宣传方案</w:t>
            </w:r>
            <w:r>
              <w:rPr>
                <w:rFonts w:hint="eastAsia" w:ascii="仿宋" w:hAnsi="仿宋" w:eastAsia="仿宋" w:cs="仿宋"/>
                <w:color w:val="auto"/>
                <w:sz w:val="24"/>
                <w:highlight w:val="none"/>
              </w:rPr>
              <w:t>的完整性、合理性、可行性等方面进行打分，最高得</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分。</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7分</w:t>
            </w:r>
          </w:p>
        </w:tc>
      </w:tr>
      <w:tr>
        <w:tblPrEx>
          <w:tblCellMar>
            <w:top w:w="0" w:type="dxa"/>
            <w:left w:w="108" w:type="dxa"/>
            <w:bottom w:w="0" w:type="dxa"/>
            <w:right w:w="108" w:type="dxa"/>
          </w:tblCellMar>
        </w:tblPrEx>
        <w:trPr>
          <w:trHeight w:val="813" w:hRule="atLeast"/>
        </w:trPr>
        <w:tc>
          <w:tcPr>
            <w:tcW w:w="385" w:type="dxa"/>
            <w:vMerge w:val="continue"/>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780" w:type="dxa"/>
            <w:vMerge w:val="continue"/>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1290" w:type="dxa"/>
            <w:vMerge w:val="continue"/>
            <w:tcBorders>
              <w:left w:val="single" w:color="000000" w:sz="4" w:space="0"/>
              <w:bottom w:val="single" w:color="000000" w:sz="4" w:space="0"/>
              <w:right w:val="single" w:color="000000" w:sz="4" w:space="0"/>
            </w:tcBorders>
            <w:vAlign w:val="center"/>
          </w:tcPr>
          <w:p>
            <w:pPr>
              <w:pageBreakBefore w:val="0"/>
              <w:kinsoku/>
              <w:wordWrap/>
              <w:overflowPunct/>
              <w:topLinePunct w:val="0"/>
              <w:autoSpaceDE/>
              <w:autoSpaceDN/>
              <w:bidi w:val="0"/>
              <w:snapToGrid w:val="0"/>
              <w:spacing w:line="240" w:lineRule="auto"/>
              <w:jc w:val="center"/>
              <w:rPr>
                <w:rFonts w:ascii="仿宋" w:hAnsi="仿宋" w:eastAsia="仿宋" w:cs="仿宋"/>
                <w:b/>
                <w:color w:val="auto"/>
                <w:sz w:val="24"/>
                <w:highlight w:val="none"/>
              </w:rPr>
            </w:pPr>
          </w:p>
        </w:tc>
        <w:tc>
          <w:tcPr>
            <w:tcW w:w="6574" w:type="dxa"/>
            <w:tcBorders>
              <w:top w:val="single" w:color="000000" w:sz="4" w:space="0"/>
              <w:left w:val="single" w:color="000000" w:sz="4" w:space="0"/>
              <w:bottom w:val="single" w:color="000000" w:sz="4" w:space="0"/>
              <w:right w:val="single" w:color="000000" w:sz="4" w:space="0"/>
            </w:tcBorders>
            <w:vAlign w:val="center"/>
          </w:tcPr>
          <w:p>
            <w:pPr>
              <w:pageBreakBefore w:val="0"/>
              <w:numPr>
                <w:ilvl w:val="0"/>
                <w:numId w:val="0"/>
              </w:numPr>
              <w:kinsoku/>
              <w:wordWrap/>
              <w:overflowPunct/>
              <w:topLinePunct w:val="0"/>
              <w:autoSpaceDE/>
              <w:autoSpaceDN/>
              <w:bidi w:val="0"/>
              <w:spacing w:line="24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根据科技宣传、科技成果发布和推介展示活动方案</w:t>
            </w:r>
            <w:r>
              <w:rPr>
                <w:rFonts w:hint="eastAsia" w:ascii="仿宋" w:hAnsi="仿宋" w:eastAsia="仿宋" w:cs="仿宋"/>
                <w:color w:val="auto"/>
                <w:sz w:val="24"/>
                <w:highlight w:val="none"/>
              </w:rPr>
              <w:t>的完整性、合理性、可行性等方面进行打分，最高得</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分。</w:t>
            </w:r>
          </w:p>
        </w:tc>
        <w:tc>
          <w:tcPr>
            <w:tcW w:w="855" w:type="dxa"/>
            <w:tcBorders>
              <w:top w:val="single" w:color="000000" w:sz="4" w:space="0"/>
              <w:left w:val="single" w:color="000000" w:sz="4" w:space="0"/>
              <w:bottom w:val="single" w:color="000000" w:sz="4" w:space="0"/>
              <w:right w:val="single" w:color="000000" w:sz="4" w:space="0"/>
            </w:tcBorders>
            <w:vAlign w:val="center"/>
          </w:tcPr>
          <w:p>
            <w:pPr>
              <w:pageBreakBefore w:val="0"/>
              <w:kinsoku/>
              <w:wordWrap/>
              <w:overflowPunct/>
              <w:topLinePunct w:val="0"/>
              <w:autoSpaceDE/>
              <w:autoSpaceDN/>
              <w:bidi w:val="0"/>
              <w:spacing w:line="24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7分</w:t>
            </w:r>
          </w:p>
        </w:tc>
      </w:tr>
      <w:tr>
        <w:tblPrEx>
          <w:tblCellMar>
            <w:top w:w="0" w:type="dxa"/>
            <w:left w:w="108" w:type="dxa"/>
            <w:bottom w:w="0" w:type="dxa"/>
            <w:right w:w="108" w:type="dxa"/>
          </w:tblCellMar>
        </w:tblPrEx>
        <w:trPr>
          <w:trHeight w:val="708" w:hRule="atLeast"/>
        </w:trPr>
        <w:tc>
          <w:tcPr>
            <w:tcW w:w="385" w:type="dxa"/>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780" w:type="dxa"/>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1290" w:type="dxa"/>
            <w:tcBorders>
              <w:top w:val="single" w:color="000000" w:sz="4" w:space="0"/>
              <w:left w:val="single" w:color="000000" w:sz="4" w:space="0"/>
              <w:bottom w:val="single" w:color="000000" w:sz="4" w:space="0"/>
              <w:right w:val="single" w:color="000000" w:sz="4" w:space="0"/>
            </w:tcBorders>
            <w:vAlign w:val="center"/>
          </w:tcPr>
          <w:p>
            <w:pPr>
              <w:pageBreakBefore w:val="0"/>
              <w:kinsoku/>
              <w:wordWrap/>
              <w:overflowPunct/>
              <w:topLinePunct w:val="0"/>
              <w:autoSpaceDE/>
              <w:autoSpaceDN/>
              <w:bidi w:val="0"/>
              <w:spacing w:line="240" w:lineRule="auto"/>
              <w:jc w:val="center"/>
              <w:rPr>
                <w:rFonts w:hint="eastAsia" w:ascii="仿宋" w:hAnsi="仿宋" w:eastAsia="仿宋" w:cs="仿宋"/>
                <w:color w:val="auto"/>
                <w:sz w:val="24"/>
                <w:highlight w:val="none"/>
                <w:lang w:bidi="ar"/>
              </w:rPr>
            </w:pPr>
            <w:r>
              <w:rPr>
                <w:rFonts w:hint="eastAsia" w:ascii="仿宋" w:hAnsi="仿宋" w:eastAsia="仿宋" w:cs="仿宋"/>
                <w:color w:val="auto"/>
                <w:sz w:val="24"/>
                <w:highlight w:val="none"/>
                <w:lang w:bidi="ar"/>
              </w:rPr>
              <w:t>合理化建议</w:t>
            </w:r>
          </w:p>
        </w:tc>
        <w:tc>
          <w:tcPr>
            <w:tcW w:w="6574" w:type="dxa"/>
            <w:tcBorders>
              <w:top w:val="single" w:color="000000" w:sz="4" w:space="0"/>
              <w:left w:val="single" w:color="000000" w:sz="4" w:space="0"/>
              <w:bottom w:val="single" w:color="000000" w:sz="4" w:space="0"/>
              <w:right w:val="single" w:color="000000" w:sz="4" w:space="0"/>
            </w:tcBorders>
            <w:vAlign w:val="center"/>
          </w:tcPr>
          <w:p>
            <w:pPr>
              <w:pageBreakBefore w:val="0"/>
              <w:widowControl/>
              <w:kinsoku/>
              <w:wordWrap/>
              <w:overflowPunct/>
              <w:topLinePunct w:val="0"/>
              <w:autoSpaceDE/>
              <w:autoSpaceDN/>
              <w:bidi w:val="0"/>
              <w:snapToGrid w:val="0"/>
              <w:spacing w:line="240" w:lineRule="auto"/>
              <w:jc w:val="left"/>
              <w:textAlignment w:val="baseline"/>
              <w:rPr>
                <w:rFonts w:hint="eastAsia" w:ascii="仿宋" w:hAnsi="仿宋" w:eastAsia="仿宋" w:cs="仿宋"/>
                <w:color w:val="auto"/>
                <w:sz w:val="24"/>
                <w:highlight w:val="none"/>
                <w:lang w:bidi="ar"/>
              </w:rPr>
            </w:pPr>
            <w:r>
              <w:rPr>
                <w:rFonts w:hint="eastAsia" w:ascii="仿宋" w:hAnsi="仿宋" w:eastAsia="仿宋" w:cs="仿宋"/>
                <w:color w:val="auto"/>
                <w:sz w:val="24"/>
                <w:highlight w:val="none"/>
              </w:rPr>
              <w:t>根据本项目的特点和具体实际，按照采购文件的各项要求，考核供应商对本项目</w:t>
            </w:r>
            <w:r>
              <w:rPr>
                <w:rFonts w:hint="eastAsia" w:ascii="仿宋" w:hAnsi="仿宋" w:eastAsia="仿宋" w:cs="仿宋"/>
                <w:color w:val="auto"/>
                <w:sz w:val="24"/>
                <w:highlight w:val="none"/>
                <w:lang w:val="en-US" w:eastAsia="zh-CN"/>
              </w:rPr>
              <w:t>有效</w:t>
            </w:r>
            <w:r>
              <w:rPr>
                <w:rFonts w:hint="eastAsia" w:ascii="仿宋" w:hAnsi="仿宋" w:eastAsia="仿宋" w:cs="仿宋"/>
                <w:color w:val="auto"/>
                <w:sz w:val="24"/>
                <w:highlight w:val="none"/>
                <w:lang w:bidi="ar"/>
              </w:rPr>
              <w:t>改进措施和合理化建议</w:t>
            </w:r>
            <w:r>
              <w:rPr>
                <w:rFonts w:hint="eastAsia" w:ascii="仿宋" w:hAnsi="仿宋" w:eastAsia="仿宋" w:cs="仿宋"/>
                <w:color w:val="auto"/>
                <w:sz w:val="24"/>
                <w:highlight w:val="none"/>
                <w:lang w:val="en-US" w:eastAsia="zh-CN"/>
              </w:rPr>
              <w:t>综合打分，措施、建议</w:t>
            </w:r>
            <w:r>
              <w:rPr>
                <w:rFonts w:hint="eastAsia" w:ascii="仿宋" w:hAnsi="仿宋" w:eastAsia="仿宋" w:cs="仿宋"/>
                <w:color w:val="auto"/>
                <w:sz w:val="24"/>
                <w:highlight w:val="none"/>
              </w:rPr>
              <w:t>全面、完整、可行、能够确保项目高效实施的，最高得</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分。每有一项缺失或内容不切合本项目实际的该项不得分；每有一处内容无法满足本项目需求或有缺陷的扣0.5分。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pageBreakBefore w:val="0"/>
              <w:kinsoku/>
              <w:wordWrap/>
              <w:overflowPunct/>
              <w:topLinePunct w:val="0"/>
              <w:autoSpaceDE/>
              <w:autoSpaceDN/>
              <w:bidi w:val="0"/>
              <w:spacing w:line="24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5分</w:t>
            </w:r>
          </w:p>
        </w:tc>
      </w:tr>
      <w:tr>
        <w:tblPrEx>
          <w:tblCellMar>
            <w:top w:w="0" w:type="dxa"/>
            <w:left w:w="108" w:type="dxa"/>
            <w:bottom w:w="0" w:type="dxa"/>
            <w:right w:w="108" w:type="dxa"/>
          </w:tblCellMar>
        </w:tblPrEx>
        <w:trPr>
          <w:trHeight w:val="708" w:hRule="atLeast"/>
        </w:trPr>
        <w:tc>
          <w:tcPr>
            <w:tcW w:w="385" w:type="dxa"/>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780" w:type="dxa"/>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1290" w:type="dxa"/>
            <w:tcBorders>
              <w:top w:val="single" w:color="000000" w:sz="4" w:space="0"/>
              <w:left w:val="single" w:color="000000" w:sz="4" w:space="0"/>
              <w:bottom w:val="single" w:color="auto" w:sz="4" w:space="0"/>
              <w:right w:val="single" w:color="000000" w:sz="4" w:space="0"/>
            </w:tcBorders>
            <w:vAlign w:val="center"/>
          </w:tcPr>
          <w:p>
            <w:pPr>
              <w:pageBreakBefore w:val="0"/>
              <w:kinsoku/>
              <w:wordWrap/>
              <w:overflowPunct/>
              <w:topLinePunct w:val="0"/>
              <w:autoSpaceDE/>
              <w:autoSpaceDN/>
              <w:bidi w:val="0"/>
              <w:spacing w:line="240" w:lineRule="auto"/>
              <w:jc w:val="center"/>
              <w:rPr>
                <w:rFonts w:hint="eastAsia" w:ascii="仿宋" w:hAnsi="仿宋" w:eastAsia="仿宋" w:cs="仿宋"/>
                <w:color w:val="auto"/>
                <w:sz w:val="24"/>
                <w:highlight w:val="none"/>
                <w:lang w:val="en-US" w:eastAsia="zh-CN" w:bidi="ar"/>
              </w:rPr>
            </w:pPr>
            <w:r>
              <w:rPr>
                <w:rFonts w:hint="eastAsia" w:ascii="仿宋" w:hAnsi="仿宋" w:eastAsia="仿宋" w:cs="仿宋"/>
                <w:color w:val="auto"/>
                <w:sz w:val="24"/>
                <w:highlight w:val="none"/>
                <w:lang w:bidi="ar"/>
              </w:rPr>
              <w:t>廉政管理考勤管理</w:t>
            </w:r>
            <w:r>
              <w:rPr>
                <w:rFonts w:hint="eastAsia" w:ascii="仿宋" w:hAnsi="仿宋" w:eastAsia="仿宋" w:cs="仿宋"/>
                <w:color w:val="auto"/>
                <w:sz w:val="24"/>
                <w:highlight w:val="none"/>
                <w:lang w:val="en-US" w:eastAsia="zh-CN" w:bidi="ar"/>
              </w:rPr>
              <w:t>制度</w:t>
            </w:r>
          </w:p>
        </w:tc>
        <w:tc>
          <w:tcPr>
            <w:tcW w:w="6574" w:type="dxa"/>
            <w:tcBorders>
              <w:top w:val="single" w:color="000000" w:sz="4" w:space="0"/>
              <w:left w:val="single" w:color="000000" w:sz="4" w:space="0"/>
              <w:bottom w:val="single" w:color="auto" w:sz="4" w:space="0"/>
              <w:right w:val="single" w:color="000000" w:sz="4" w:space="0"/>
            </w:tcBorders>
            <w:vAlign w:val="center"/>
          </w:tcPr>
          <w:p>
            <w:pPr>
              <w:pageBreakBefore w:val="0"/>
              <w:widowControl/>
              <w:kinsoku/>
              <w:wordWrap/>
              <w:overflowPunct/>
              <w:topLinePunct w:val="0"/>
              <w:autoSpaceDE/>
              <w:autoSpaceDN/>
              <w:bidi w:val="0"/>
              <w:snapToGrid w:val="0"/>
              <w:spacing w:line="240" w:lineRule="auto"/>
              <w:jc w:val="left"/>
              <w:textAlignment w:val="baseline"/>
              <w:rPr>
                <w:rFonts w:hint="eastAsia" w:ascii="仿宋" w:hAnsi="仿宋" w:eastAsia="仿宋" w:cs="仿宋"/>
                <w:color w:val="auto"/>
                <w:sz w:val="24"/>
                <w:highlight w:val="none"/>
                <w:lang w:bidi="ar"/>
              </w:rPr>
            </w:pPr>
            <w:r>
              <w:rPr>
                <w:rFonts w:hint="eastAsia" w:ascii="仿宋" w:hAnsi="仿宋" w:eastAsia="仿宋" w:cs="仿宋"/>
                <w:color w:val="auto"/>
                <w:sz w:val="24"/>
                <w:highlight w:val="none"/>
              </w:rPr>
              <w:t>根据本项目的特点和具体实际，按照采购文件的各项要求，考核供应商对派驻本项目团队人员廉政管理、考勤管理等各项内控制度</w:t>
            </w:r>
            <w:r>
              <w:rPr>
                <w:rFonts w:hint="eastAsia" w:ascii="仿宋" w:hAnsi="仿宋" w:eastAsia="仿宋" w:cs="仿宋"/>
                <w:color w:val="auto"/>
                <w:sz w:val="24"/>
                <w:highlight w:val="none"/>
                <w:lang w:val="en-US" w:eastAsia="zh-CN"/>
              </w:rPr>
              <w:t>综合打分，管理制度</w:t>
            </w:r>
            <w:r>
              <w:rPr>
                <w:rFonts w:hint="eastAsia" w:ascii="仿宋" w:hAnsi="仿宋" w:eastAsia="仿宋" w:cs="仿宋"/>
                <w:color w:val="auto"/>
                <w:sz w:val="24"/>
                <w:highlight w:val="none"/>
              </w:rPr>
              <w:t>全面、完整、可行、能够确保项目高效实施的，最高得</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分。每有一项缺失或内容不切合本项目实际的该项不得分；每有一处内容无法满足本项目需求或有缺陷的扣0.5分。</w:t>
            </w:r>
          </w:p>
        </w:tc>
        <w:tc>
          <w:tcPr>
            <w:tcW w:w="855" w:type="dxa"/>
            <w:tcBorders>
              <w:top w:val="single" w:color="000000" w:sz="4" w:space="0"/>
              <w:left w:val="single" w:color="000000" w:sz="4" w:space="0"/>
              <w:bottom w:val="single" w:color="auto" w:sz="4" w:space="0"/>
              <w:right w:val="single" w:color="000000" w:sz="4" w:space="0"/>
            </w:tcBorders>
            <w:vAlign w:val="center"/>
          </w:tcPr>
          <w:p>
            <w:pPr>
              <w:pageBreakBefore w:val="0"/>
              <w:kinsoku/>
              <w:wordWrap/>
              <w:overflowPunct/>
              <w:topLinePunct w:val="0"/>
              <w:autoSpaceDE/>
              <w:autoSpaceDN/>
              <w:bidi w:val="0"/>
              <w:spacing w:line="24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5分</w:t>
            </w:r>
          </w:p>
        </w:tc>
      </w:tr>
      <w:tr>
        <w:tblPrEx>
          <w:tblCellMar>
            <w:top w:w="0" w:type="dxa"/>
            <w:left w:w="108" w:type="dxa"/>
            <w:bottom w:w="0" w:type="dxa"/>
            <w:right w:w="108" w:type="dxa"/>
          </w:tblCellMar>
        </w:tblPrEx>
        <w:trPr>
          <w:trHeight w:val="708" w:hRule="atLeast"/>
        </w:trPr>
        <w:tc>
          <w:tcPr>
            <w:tcW w:w="385" w:type="dxa"/>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780" w:type="dxa"/>
            <w:tcBorders>
              <w:left w:val="single" w:color="000000" w:sz="4" w:space="0"/>
              <w:right w:val="single" w:color="auto"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1290" w:type="dxa"/>
            <w:vMerge w:val="restar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240" w:lineRule="auto"/>
              <w:jc w:val="center"/>
              <w:rPr>
                <w:rFonts w:hint="default" w:ascii="仿宋" w:hAnsi="仿宋" w:eastAsia="仿宋" w:cs="仿宋"/>
                <w:color w:val="auto"/>
                <w:sz w:val="24"/>
                <w:highlight w:val="none"/>
                <w:lang w:val="en-US" w:eastAsia="zh-CN" w:bidi="ar"/>
              </w:rPr>
            </w:pPr>
            <w:r>
              <w:rPr>
                <w:rFonts w:hint="eastAsia" w:ascii="仿宋" w:hAnsi="仿宋" w:eastAsia="仿宋" w:cs="仿宋"/>
                <w:color w:val="auto"/>
                <w:sz w:val="24"/>
                <w:highlight w:val="none"/>
                <w:lang w:val="en-US" w:eastAsia="zh-CN" w:bidi="ar"/>
              </w:rPr>
              <w:t>项目团队配备</w:t>
            </w:r>
          </w:p>
        </w:tc>
        <w:tc>
          <w:tcPr>
            <w:tcW w:w="6574" w:type="dxa"/>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autoSpaceDE/>
              <w:autoSpaceDN/>
              <w:bidi w:val="0"/>
              <w:snapToGrid w:val="0"/>
              <w:spacing w:line="240" w:lineRule="auto"/>
              <w:jc w:val="both"/>
              <w:textAlignment w:val="baseline"/>
              <w:rPr>
                <w:rFonts w:hint="default" w:ascii="仿宋" w:hAnsi="仿宋" w:eastAsia="仿宋" w:cs="仿宋"/>
                <w:i w:val="0"/>
                <w:iCs w:val="0"/>
                <w:color w:val="auto"/>
                <w:sz w:val="24"/>
                <w:highlight w:val="none"/>
                <w:lang w:val="en-US" w:eastAsia="zh-CN"/>
              </w:rPr>
            </w:pPr>
            <w:r>
              <w:rPr>
                <w:rFonts w:hint="default" w:ascii="仿宋" w:hAnsi="仿宋" w:eastAsia="仿宋" w:cs="仿宋"/>
                <w:i w:val="0"/>
                <w:iCs w:val="0"/>
                <w:color w:val="auto"/>
                <w:sz w:val="24"/>
                <w:highlight w:val="none"/>
                <w:lang w:val="en-US" w:eastAsia="zh-CN"/>
              </w:rPr>
              <w:t>拟派本项目工作小组人员（含项目负责人）3人的不得分，在此基础上每增加1人得1分，最高得3分。</w:t>
            </w:r>
          </w:p>
          <w:p>
            <w:pPr>
              <w:pageBreakBefore w:val="0"/>
              <w:widowControl/>
              <w:kinsoku/>
              <w:wordWrap/>
              <w:overflowPunct/>
              <w:topLinePunct w:val="0"/>
              <w:autoSpaceDE/>
              <w:autoSpaceDN/>
              <w:bidi w:val="0"/>
              <w:snapToGrid w:val="0"/>
              <w:spacing w:line="240" w:lineRule="auto"/>
              <w:jc w:val="both"/>
              <w:textAlignment w:val="baseline"/>
              <w:rPr>
                <w:rFonts w:hint="eastAsia" w:ascii="仿宋" w:hAnsi="仿宋" w:eastAsia="仿宋" w:cs="仿宋"/>
                <w:i w:val="0"/>
                <w:iCs w:val="0"/>
                <w:color w:val="auto"/>
                <w:kern w:val="2"/>
                <w:sz w:val="24"/>
                <w:szCs w:val="24"/>
                <w:highlight w:val="none"/>
                <w:lang w:val="en-US" w:eastAsia="zh-CN" w:bidi="ar-SA"/>
              </w:rPr>
            </w:pPr>
            <w:r>
              <w:rPr>
                <w:rFonts w:hint="default" w:ascii="仿宋" w:hAnsi="仿宋" w:eastAsia="仿宋" w:cs="仿宋"/>
                <w:i w:val="0"/>
                <w:iCs w:val="0"/>
                <w:color w:val="auto"/>
                <w:sz w:val="24"/>
                <w:highlight w:val="none"/>
                <w:lang w:val="en-US" w:eastAsia="zh-CN"/>
              </w:rPr>
              <w:t>注：提供人员名单、相关学历证书及磋商截止日前三个月中任意一个月的社保缴纳证明材料</w:t>
            </w:r>
            <w:r>
              <w:rPr>
                <w:rFonts w:hint="eastAsia" w:ascii="仿宋" w:hAnsi="仿宋" w:eastAsia="仿宋" w:cs="仿宋"/>
                <w:i w:val="0"/>
                <w:iCs w:val="0"/>
                <w:color w:val="auto"/>
                <w:sz w:val="24"/>
                <w:highlight w:val="none"/>
                <w:lang w:val="en-US" w:eastAsia="zh-CN"/>
              </w:rPr>
              <w:t>扫描件</w:t>
            </w:r>
            <w:r>
              <w:rPr>
                <w:rFonts w:hint="default" w:ascii="仿宋" w:hAnsi="仿宋" w:eastAsia="仿宋" w:cs="仿宋"/>
                <w:i w:val="0"/>
                <w:iCs w:val="0"/>
                <w:color w:val="auto"/>
                <w:sz w:val="24"/>
                <w:highlight w:val="none"/>
                <w:lang w:val="en-US" w:eastAsia="zh-CN"/>
              </w:rPr>
              <w:t>进入响应文件并加盖供应商公章。</w:t>
            </w:r>
          </w:p>
        </w:tc>
        <w:tc>
          <w:tcPr>
            <w:tcW w:w="855"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24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3分</w:t>
            </w:r>
          </w:p>
        </w:tc>
      </w:tr>
      <w:tr>
        <w:tblPrEx>
          <w:tblCellMar>
            <w:top w:w="0" w:type="dxa"/>
            <w:left w:w="108" w:type="dxa"/>
            <w:bottom w:w="0" w:type="dxa"/>
            <w:right w:w="108" w:type="dxa"/>
          </w:tblCellMar>
        </w:tblPrEx>
        <w:trPr>
          <w:trHeight w:val="403" w:hRule="atLeast"/>
        </w:trPr>
        <w:tc>
          <w:tcPr>
            <w:tcW w:w="385" w:type="dxa"/>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780" w:type="dxa"/>
            <w:tcBorders>
              <w:left w:val="single" w:color="000000" w:sz="4" w:space="0"/>
              <w:right w:val="single" w:color="auto"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1290" w:type="dxa"/>
            <w:vMerge w:val="continue"/>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240" w:lineRule="auto"/>
              <w:jc w:val="center"/>
              <w:rPr>
                <w:rFonts w:hint="eastAsia" w:ascii="仿宋" w:hAnsi="仿宋" w:eastAsia="仿宋" w:cs="仿宋"/>
                <w:color w:val="auto"/>
                <w:sz w:val="24"/>
                <w:highlight w:val="none"/>
                <w:lang w:bidi="ar"/>
              </w:rPr>
            </w:pPr>
          </w:p>
        </w:tc>
        <w:tc>
          <w:tcPr>
            <w:tcW w:w="6574" w:type="dxa"/>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autoSpaceDE/>
              <w:autoSpaceDN/>
              <w:bidi w:val="0"/>
              <w:snapToGrid w:val="0"/>
              <w:spacing w:line="240" w:lineRule="auto"/>
              <w:jc w:val="both"/>
              <w:textAlignment w:val="baseline"/>
              <w:rPr>
                <w:rFonts w:hint="eastAsia" w:ascii="仿宋" w:hAnsi="仿宋" w:eastAsia="仿宋" w:cs="仿宋"/>
                <w:i w:val="0"/>
                <w:iCs w:val="0"/>
                <w:color w:val="auto"/>
                <w:sz w:val="24"/>
                <w:highlight w:val="none"/>
                <w:lang w:val="en-US" w:eastAsia="zh-CN"/>
              </w:rPr>
            </w:pPr>
            <w:r>
              <w:rPr>
                <w:rFonts w:hint="eastAsia" w:ascii="仿宋" w:hAnsi="仿宋" w:eastAsia="仿宋" w:cs="仿宋"/>
                <w:i w:val="0"/>
                <w:iCs w:val="0"/>
                <w:color w:val="auto"/>
                <w:sz w:val="24"/>
                <w:highlight w:val="none"/>
                <w:lang w:val="en-US" w:eastAsia="zh-CN"/>
              </w:rPr>
              <w:t>项目团队（不含项目负责人）人员学历专业、工作经验、执业资格等情况，进行打分，最高得2分。</w:t>
            </w:r>
          </w:p>
          <w:p>
            <w:pPr>
              <w:pageBreakBefore w:val="0"/>
              <w:widowControl/>
              <w:kinsoku/>
              <w:wordWrap/>
              <w:overflowPunct/>
              <w:topLinePunct w:val="0"/>
              <w:autoSpaceDE/>
              <w:autoSpaceDN/>
              <w:bidi w:val="0"/>
              <w:snapToGrid w:val="0"/>
              <w:spacing w:line="240" w:lineRule="auto"/>
              <w:jc w:val="both"/>
              <w:textAlignment w:val="baseline"/>
              <w:rPr>
                <w:rFonts w:hint="default" w:ascii="仿宋" w:hAnsi="仿宋" w:eastAsia="仿宋" w:cs="仿宋"/>
                <w:i w:val="0"/>
                <w:iCs w:val="0"/>
                <w:color w:val="auto"/>
                <w:kern w:val="2"/>
                <w:sz w:val="24"/>
                <w:szCs w:val="24"/>
                <w:highlight w:val="none"/>
                <w:lang w:val="en-US" w:eastAsia="zh-CN" w:bidi="ar-SA"/>
              </w:rPr>
            </w:pPr>
            <w:r>
              <w:rPr>
                <w:rFonts w:hint="eastAsia" w:ascii="仿宋" w:hAnsi="仿宋" w:eastAsia="仿宋" w:cs="仿宋"/>
                <w:i w:val="0"/>
                <w:iCs w:val="0"/>
                <w:color w:val="auto"/>
                <w:sz w:val="24"/>
                <w:highlight w:val="none"/>
                <w:lang w:val="en-US" w:eastAsia="zh-CN"/>
              </w:rPr>
              <w:t>注：提供人员名单、相关学历证书、工作经验等证明材料及磋商截止日前三个月中任意一个月的社保缴纳证明材料扫描件进入响应文件并加盖供应商公章。</w:t>
            </w:r>
          </w:p>
        </w:tc>
        <w:tc>
          <w:tcPr>
            <w:tcW w:w="855"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24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2分</w:t>
            </w:r>
          </w:p>
        </w:tc>
      </w:tr>
      <w:tr>
        <w:tblPrEx>
          <w:tblCellMar>
            <w:top w:w="0" w:type="dxa"/>
            <w:left w:w="108" w:type="dxa"/>
            <w:bottom w:w="0" w:type="dxa"/>
            <w:right w:w="108" w:type="dxa"/>
          </w:tblCellMar>
        </w:tblPrEx>
        <w:trPr>
          <w:trHeight w:val="708" w:hRule="atLeast"/>
        </w:trPr>
        <w:tc>
          <w:tcPr>
            <w:tcW w:w="385" w:type="dxa"/>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780" w:type="dxa"/>
            <w:tcBorders>
              <w:left w:val="single" w:color="000000" w:sz="4" w:space="0"/>
              <w:right w:val="single" w:color="auto"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1290" w:type="dxa"/>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autoSpaceDE/>
              <w:autoSpaceDN/>
              <w:bidi w:val="0"/>
              <w:snapToGrid w:val="0"/>
              <w:spacing w:line="240" w:lineRule="auto"/>
              <w:jc w:val="center"/>
              <w:textAlignment w:val="baseline"/>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重点难点分析</w:t>
            </w:r>
            <w:r>
              <w:rPr>
                <w:rFonts w:hint="eastAsia" w:ascii="仿宋" w:hAnsi="仿宋" w:eastAsia="仿宋" w:cs="仿宋"/>
                <w:color w:val="auto"/>
                <w:sz w:val="24"/>
                <w:highlight w:val="none"/>
                <w:lang w:val="en-US" w:eastAsia="zh-CN"/>
              </w:rPr>
              <w:t>与理解</w:t>
            </w:r>
          </w:p>
        </w:tc>
        <w:tc>
          <w:tcPr>
            <w:tcW w:w="6574" w:type="dxa"/>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autoSpaceDE/>
              <w:autoSpaceDN/>
              <w:bidi w:val="0"/>
              <w:snapToGrid w:val="0"/>
              <w:spacing w:line="240" w:lineRule="auto"/>
              <w:jc w:val="left"/>
              <w:textAlignment w:val="baseline"/>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根据供应商针对</w:t>
            </w:r>
            <w:r>
              <w:rPr>
                <w:rFonts w:hint="eastAsia" w:ascii="仿宋" w:hAnsi="仿宋" w:eastAsia="仿宋" w:cs="仿宋"/>
                <w:color w:val="auto"/>
                <w:sz w:val="24"/>
                <w:highlight w:val="none"/>
              </w:rPr>
              <w:t>重点难点理解和分析</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以及服务难点分析</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分析</w:t>
            </w:r>
            <w:r>
              <w:rPr>
                <w:rFonts w:hint="eastAsia" w:ascii="仿宋" w:hAnsi="仿宋" w:eastAsia="仿宋" w:cs="仿宋"/>
                <w:color w:val="auto"/>
                <w:sz w:val="24"/>
                <w:highlight w:val="none"/>
              </w:rPr>
              <w:t>全面、完整、可行、能够确保项目高效实施的，最高得</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分。每有一项缺失或内容不切合本项目实际的该项不得分；每有一处内容无法满足本项目需求或有缺陷的扣0.5分。</w:t>
            </w:r>
          </w:p>
        </w:tc>
        <w:tc>
          <w:tcPr>
            <w:tcW w:w="855"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24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4分</w:t>
            </w:r>
          </w:p>
        </w:tc>
      </w:tr>
      <w:tr>
        <w:tblPrEx>
          <w:tblCellMar>
            <w:top w:w="0" w:type="dxa"/>
            <w:left w:w="108" w:type="dxa"/>
            <w:bottom w:w="0" w:type="dxa"/>
            <w:right w:w="108" w:type="dxa"/>
          </w:tblCellMar>
        </w:tblPrEx>
        <w:trPr>
          <w:trHeight w:val="708" w:hRule="atLeast"/>
        </w:trPr>
        <w:tc>
          <w:tcPr>
            <w:tcW w:w="385" w:type="dxa"/>
            <w:tcBorders>
              <w:left w:val="single" w:color="000000" w:sz="4" w:space="0"/>
              <w:right w:val="single" w:color="000000"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780" w:type="dxa"/>
            <w:tcBorders>
              <w:left w:val="single" w:color="000000" w:sz="4" w:space="0"/>
              <w:right w:val="single" w:color="auto" w:sz="4" w:space="0"/>
            </w:tcBorders>
            <w:vAlign w:val="center"/>
          </w:tcPr>
          <w:p>
            <w:pPr>
              <w:pStyle w:val="990"/>
              <w:pageBreakBefore w:val="0"/>
              <w:kinsoku/>
              <w:wordWrap/>
              <w:overflowPunct/>
              <w:topLinePunct w:val="0"/>
              <w:autoSpaceDE/>
              <w:autoSpaceDN/>
              <w:bidi w:val="0"/>
              <w:adjustRightInd/>
              <w:spacing w:line="240" w:lineRule="auto"/>
              <w:rPr>
                <w:rFonts w:ascii="仿宋" w:hAnsi="仿宋" w:eastAsia="仿宋" w:cs="仿宋"/>
                <w:color w:val="auto"/>
                <w:highlight w:val="none"/>
              </w:rPr>
            </w:pPr>
          </w:p>
        </w:tc>
        <w:tc>
          <w:tcPr>
            <w:tcW w:w="1290" w:type="dxa"/>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autoSpaceDE/>
              <w:autoSpaceDN/>
              <w:bidi w:val="0"/>
              <w:snapToGrid w:val="0"/>
              <w:spacing w:line="240" w:lineRule="auto"/>
              <w:jc w:val="center"/>
              <w:textAlignment w:val="baseline"/>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重点难点</w:t>
            </w:r>
            <w:r>
              <w:rPr>
                <w:rFonts w:hint="eastAsia" w:ascii="仿宋" w:hAnsi="仿宋" w:eastAsia="仿宋" w:cs="仿宋"/>
                <w:color w:val="auto"/>
                <w:sz w:val="24"/>
                <w:highlight w:val="none"/>
                <w:lang w:val="en-US" w:eastAsia="zh-CN"/>
              </w:rPr>
              <w:t>解决措施</w:t>
            </w:r>
          </w:p>
        </w:tc>
        <w:tc>
          <w:tcPr>
            <w:tcW w:w="6574" w:type="dxa"/>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autoSpaceDE/>
              <w:autoSpaceDN/>
              <w:bidi w:val="0"/>
              <w:snapToGrid w:val="0"/>
              <w:spacing w:line="240" w:lineRule="auto"/>
              <w:jc w:val="left"/>
              <w:textAlignment w:val="baseline"/>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根据供应商针对重点、难点所提出解决方案和措施的合理性、可行性进行打分，分析及措施</w:t>
            </w:r>
            <w:r>
              <w:rPr>
                <w:rFonts w:hint="eastAsia" w:ascii="仿宋" w:hAnsi="仿宋" w:eastAsia="仿宋" w:cs="仿宋"/>
                <w:color w:val="auto"/>
                <w:sz w:val="24"/>
                <w:highlight w:val="none"/>
              </w:rPr>
              <w:t>全面、完整、可行、能够确保项目高效实施的，最高得</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分。每有一项缺失或内容不切合本项目实际的该项不得分；每有一处内容无法满足本项目需求或有缺陷的扣0.5分。</w:t>
            </w:r>
          </w:p>
        </w:tc>
        <w:tc>
          <w:tcPr>
            <w:tcW w:w="855" w:type="dxa"/>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spacing w:line="24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4分</w:t>
            </w:r>
          </w:p>
        </w:tc>
      </w:tr>
    </w:tbl>
    <w:p>
      <w:pPr>
        <w:rPr>
          <w:rFonts w:ascii="仿宋" w:hAnsi="仿宋" w:eastAsia="仿宋" w:cs="仿宋"/>
          <w:color w:val="auto"/>
          <w:highlight w:val="none"/>
        </w:rPr>
      </w:pPr>
    </w:p>
    <w:p>
      <w:pPr>
        <w:bidi w:val="0"/>
        <w:rPr>
          <w:color w:val="auto"/>
        </w:rPr>
      </w:pPr>
    </w:p>
    <w:p>
      <w:pPr>
        <w:pStyle w:val="59"/>
        <w:widowControl w:val="0"/>
        <w:numPr>
          <w:ilvl w:val="0"/>
          <w:numId w:val="8"/>
        </w:numPr>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highlight w:val="none"/>
          <w:lang w:val="en-US"/>
        </w:rPr>
      </w:pPr>
      <w:bookmarkStart w:id="927" w:name="_Toc30172"/>
      <w:bookmarkStart w:id="928" w:name="_Toc139797646"/>
      <w:bookmarkStart w:id="929" w:name="_Toc7107"/>
      <w:r>
        <w:rPr>
          <w:rFonts w:hint="eastAsia" w:ascii="仿宋" w:hAnsi="仿宋" w:eastAsia="仿宋" w:cs="仿宋"/>
          <w:bCs/>
          <w:color w:val="auto"/>
          <w:kern w:val="2"/>
          <w:sz w:val="30"/>
          <w:szCs w:val="30"/>
          <w:highlight w:val="none"/>
          <w:lang w:val="en-US"/>
        </w:rPr>
        <w:t>评审程序</w:t>
      </w:r>
      <w:bookmarkEnd w:id="927"/>
      <w:bookmarkEnd w:id="928"/>
      <w:bookmarkEnd w:id="929"/>
    </w:p>
    <w:p>
      <w:pPr>
        <w:spacing w:line="360" w:lineRule="auto"/>
        <w:ind w:firstLine="472" w:firstLineChars="196"/>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磋商小组应当对符合资格的供应商的响应文件进行符合性审查，以确定其是否满足采购文件的实质性要求。</w:t>
      </w:r>
      <w:r>
        <w:rPr>
          <w:rFonts w:hint="eastAsia" w:ascii="仿宋" w:hAnsi="仿宋" w:eastAsia="仿宋" w:cs="仿宋"/>
          <w:b/>
          <w:bCs/>
          <w:color w:val="auto"/>
          <w:kern w:val="0"/>
          <w:sz w:val="24"/>
          <w:highlight w:val="none"/>
        </w:rPr>
        <w:t>不满足采购文件的实质性要求的，响应文件无效，并告知该供应商。</w:t>
      </w:r>
    </w:p>
    <w:p>
      <w:pPr>
        <w:spacing w:line="360" w:lineRule="auto"/>
        <w:ind w:firstLine="472" w:firstLineChars="196"/>
        <w:rPr>
          <w:rFonts w:ascii="仿宋" w:hAnsi="仿宋" w:eastAsia="仿宋" w:cs="仿宋"/>
          <w:color w:val="auto"/>
          <w:sz w:val="24"/>
          <w:highlight w:val="none"/>
        </w:rPr>
      </w:pPr>
      <w:r>
        <w:rPr>
          <w:rFonts w:hint="eastAsia" w:ascii="仿宋" w:hAnsi="仿宋" w:eastAsia="仿宋" w:cs="仿宋"/>
          <w:b/>
          <w:color w:val="auto"/>
          <w:kern w:val="0"/>
          <w:sz w:val="24"/>
          <w:highlight w:val="none"/>
        </w:rPr>
        <w:t>3.2 磋商。</w:t>
      </w:r>
      <w:r>
        <w:rPr>
          <w:rFonts w:hint="eastAsia" w:ascii="仿宋" w:hAnsi="仿宋" w:eastAsia="仿宋" w:cs="仿宋"/>
          <w:color w:val="auto"/>
          <w:sz w:val="24"/>
          <w:highlight w:val="none"/>
        </w:rPr>
        <w:t>磋商小组将对确定为实质性响应本采购文件的响应文件进行详细评价和比较，主要就资信、服务方案内容、服务承诺等磋商小组认为与本次采购有关的因素与</w:t>
      </w:r>
      <w:r>
        <w:rPr>
          <w:rFonts w:hint="eastAsia" w:ascii="仿宋" w:hAnsi="仿宋" w:eastAsia="仿宋" w:cs="仿宋"/>
          <w:color w:val="auto"/>
          <w:kern w:val="0"/>
          <w:sz w:val="24"/>
          <w:highlight w:val="none"/>
        </w:rPr>
        <w:t>符合性审查合格的</w:t>
      </w:r>
      <w:r>
        <w:rPr>
          <w:rFonts w:hint="eastAsia" w:ascii="仿宋" w:hAnsi="仿宋" w:eastAsia="仿宋" w:cs="仿宋"/>
          <w:color w:val="auto"/>
          <w:sz w:val="24"/>
          <w:highlight w:val="none"/>
        </w:rPr>
        <w:t>供应商逐一进行磋商。</w:t>
      </w:r>
    </w:p>
    <w:p>
      <w:pPr>
        <w:spacing w:line="360" w:lineRule="auto"/>
        <w:ind w:firstLine="470" w:firstLineChars="196"/>
        <w:rPr>
          <w:rFonts w:ascii="仿宋" w:hAnsi="仿宋" w:eastAsia="仿宋" w:cs="仿宋"/>
          <w:bCs/>
          <w:color w:val="auto"/>
          <w:sz w:val="24"/>
          <w:highlight w:val="none"/>
        </w:rPr>
      </w:pPr>
      <w:r>
        <w:rPr>
          <w:rFonts w:hint="eastAsia" w:ascii="仿宋" w:hAnsi="仿宋" w:eastAsia="仿宋" w:cs="仿宋"/>
          <w:bCs/>
          <w:color w:val="auto"/>
          <w:sz w:val="24"/>
          <w:highlight w:val="none"/>
        </w:rPr>
        <w:t>3.2.1 磋商小组与符合要求的供应商进行磋商。磋商小组所有成员按照响应文件解密次序集中与单一供应商分别进行磋商，并给予所有参加磋商的供应商平等的磋商机会。磋商过程中，磋商小组可以根据磋商情况调整轮次。磋商小组可通过三种方式与供应商进行磋商（A视频会议 B发送磋商问题函 C备注和附件），以视频会议方式的，供应商通过政采云“在线评审室”进行远程视频磋商。供应商使用CA数字证书登录政采云平台——收到视频评审邀请——点击“视频评审”进入“视频评审系统”——开始远程磋商活动;以发送磋商问题函磋商的，供应商只需在线对磋商问题函进行回复;以备注和附件形式磋商的，供应商可通过在线系统进行查看或确认。</w:t>
      </w:r>
    </w:p>
    <w:p>
      <w:pPr>
        <w:spacing w:line="360" w:lineRule="auto"/>
        <w:ind w:firstLine="470" w:firstLineChars="196"/>
        <w:rPr>
          <w:rFonts w:ascii="仿宋" w:hAnsi="仿宋" w:eastAsia="仿宋" w:cs="仿宋"/>
          <w:color w:val="auto"/>
          <w:sz w:val="24"/>
          <w:highlight w:val="none"/>
        </w:rPr>
      </w:pPr>
      <w:r>
        <w:rPr>
          <w:rFonts w:hint="eastAsia" w:ascii="仿宋" w:hAnsi="仿宋" w:eastAsia="仿宋" w:cs="仿宋"/>
          <w:color w:val="auto"/>
          <w:sz w:val="24"/>
          <w:highlight w:val="none"/>
        </w:rPr>
        <w:t>3.2.2经磋商确定磋商文件的变动情况。对磋商文件作出的实质性变动是磋商文件的有效组成部分，磋商小组应当及时以书面形式同时通知所有参加磋商的供应商。</w:t>
      </w:r>
    </w:p>
    <w:p>
      <w:pPr>
        <w:spacing w:line="360" w:lineRule="auto"/>
        <w:ind w:firstLine="470" w:firstLineChars="196"/>
        <w:rPr>
          <w:rFonts w:ascii="仿宋" w:hAnsi="仿宋" w:eastAsia="仿宋" w:cs="仿宋"/>
          <w:color w:val="auto"/>
          <w:sz w:val="24"/>
          <w:highlight w:val="none"/>
        </w:rPr>
      </w:pPr>
      <w:r>
        <w:rPr>
          <w:rFonts w:hint="eastAsia" w:ascii="仿宋" w:hAnsi="仿宋" w:eastAsia="仿宋" w:cs="仿宋"/>
          <w:color w:val="auto"/>
          <w:sz w:val="24"/>
          <w:highlight w:val="none"/>
        </w:rPr>
        <w:t>3.2.3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spacing w:line="360" w:lineRule="auto"/>
        <w:ind w:firstLine="472" w:firstLineChars="196"/>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3.3最后报价</w:t>
      </w:r>
    </w:p>
    <w:p>
      <w:pPr>
        <w:spacing w:line="360" w:lineRule="auto"/>
        <w:ind w:firstLine="470" w:firstLineChars="196"/>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3.3.1 磋商文件能够详细列明采购标的的技术、服务要求的，磋商结束后，磋商小组应当要求所有符合性审查合格的供应商在规定时间内提交最后报价，提交最后报价的供应商不得少于3家（符合《政府采购竞争性磋商采购方式管理暂行办法》的通知(财库〔2014〕214号)第二十一条第三款规定的情形的除外）。</w:t>
      </w:r>
    </w:p>
    <w:p>
      <w:pPr>
        <w:spacing w:line="360" w:lineRule="auto"/>
        <w:ind w:firstLine="470" w:firstLineChars="196"/>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3.3.2 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pPr>
        <w:spacing w:line="360" w:lineRule="auto"/>
        <w:ind w:firstLine="470" w:firstLineChars="196"/>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3.3.3 已提交响应文件的供应商，在提交最后报价之前，可以根据磋商情况退出磋商。</w:t>
      </w:r>
    </w:p>
    <w:p>
      <w:pPr>
        <w:spacing w:line="360" w:lineRule="auto"/>
        <w:ind w:firstLine="472" w:firstLineChars="196"/>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3.4 综合评分。</w:t>
      </w:r>
      <w:r>
        <w:rPr>
          <w:rFonts w:hint="eastAsia" w:ascii="仿宋" w:hAnsi="仿宋" w:eastAsia="仿宋" w:cs="仿宋"/>
          <w:bCs/>
          <w:color w:val="auto"/>
          <w:kern w:val="0"/>
          <w:sz w:val="24"/>
          <w:highlight w:val="none"/>
        </w:rPr>
        <w:t>经磋商确定最终采购需求和提交最后报价的供应商后，</w:t>
      </w:r>
      <w:r>
        <w:rPr>
          <w:rFonts w:hint="eastAsia" w:ascii="仿宋" w:hAnsi="仿宋" w:eastAsia="仿宋" w:cs="仿宋"/>
          <w:color w:val="auto"/>
          <w:kern w:val="0"/>
          <w:sz w:val="24"/>
          <w:highlight w:val="none"/>
        </w:rPr>
        <w:t>磋商小组应当按照采购文件中规定的评审标准，对符合性审查合格的响应文件进行综合评分。磋商文件中没有规定的评审标准不得作为评审依据。</w:t>
      </w:r>
    </w:p>
    <w:p>
      <w:pPr>
        <w:spacing w:line="360" w:lineRule="auto"/>
        <w:ind w:firstLine="472" w:firstLineChars="196"/>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3.5汇总商务技术得分。</w:t>
      </w:r>
      <w:r>
        <w:rPr>
          <w:rFonts w:hint="eastAsia" w:ascii="仿宋" w:hAnsi="仿宋" w:eastAsia="仿宋" w:cs="仿宋"/>
          <w:color w:val="auto"/>
          <w:kern w:val="0"/>
          <w:sz w:val="24"/>
          <w:highlight w:val="none"/>
        </w:rPr>
        <w:t>磋商小组各成员应当独立对每个供应商的商务和技术文件进行评价，并汇总商务技术得分情况。磋商小组成员总评分偏离平均分30%以上的，以及个人主观打分偏离所有磋商小组成员主观打分平均值30%以上的，由磋商小组启动评分畸高、畸低行为认定程序，磋商小组组长应提醒相关评审人员进行复核或书面说明理由，评审人员拒绝说明的，由现场监督员据实记录；评审人员的评审、修改记录应保留原件，随项目其他资料一并存档。</w:t>
      </w:r>
    </w:p>
    <w:p>
      <w:pPr>
        <w:spacing w:line="360" w:lineRule="auto"/>
        <w:ind w:firstLine="472" w:firstLineChars="196"/>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3.6报价评审。</w:t>
      </w:r>
    </w:p>
    <w:p>
      <w:pPr>
        <w:pStyle w:val="139"/>
        <w:spacing w:before="0"/>
        <w:ind w:firstLine="508" w:firstLineChars="212"/>
        <w:rPr>
          <w:rFonts w:ascii="仿宋" w:hAnsi="仿宋" w:eastAsia="仿宋" w:cs="仿宋"/>
          <w:color w:val="auto"/>
          <w:kern w:val="0"/>
          <w:highlight w:val="none"/>
        </w:rPr>
      </w:pPr>
      <w:r>
        <w:rPr>
          <w:rFonts w:hint="eastAsia" w:ascii="仿宋" w:hAnsi="仿宋" w:eastAsia="仿宋" w:cs="仿宋"/>
          <w:color w:val="auto"/>
          <w:kern w:val="0"/>
          <w:highlight w:val="none"/>
        </w:rPr>
        <w:t>3.6.1响应文件报价出现前后不一致的，按照下列规定修正：</w:t>
      </w:r>
    </w:p>
    <w:p>
      <w:pPr>
        <w:pStyle w:val="139"/>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3.6.1.1响应文件中已标价工程量清单内容与响应文件中相应内容不一致的，以已标价工程量清单为准;</w:t>
      </w:r>
    </w:p>
    <w:p>
      <w:pPr>
        <w:pStyle w:val="139"/>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3.6.1.2</w:t>
      </w:r>
      <w:r>
        <w:rPr>
          <w:rFonts w:hint="eastAsia" w:ascii="仿宋" w:hAnsi="仿宋" w:eastAsia="仿宋" w:cs="仿宋"/>
          <w:color w:val="auto"/>
          <w:kern w:val="0"/>
          <w:highlight w:val="none"/>
        </w:rPr>
        <w:t>报价文件</w:t>
      </w:r>
      <w:r>
        <w:rPr>
          <w:rFonts w:hint="eastAsia" w:ascii="仿宋" w:hAnsi="仿宋" w:eastAsia="仿宋" w:cs="仿宋"/>
          <w:color w:val="auto"/>
          <w:highlight w:val="none"/>
        </w:rPr>
        <w:t>中《报价一览表》内容与</w:t>
      </w:r>
      <w:r>
        <w:rPr>
          <w:rFonts w:hint="eastAsia" w:ascii="仿宋" w:hAnsi="仿宋" w:eastAsia="仿宋" w:cs="仿宋"/>
          <w:color w:val="auto"/>
          <w:kern w:val="0"/>
          <w:highlight w:val="none"/>
        </w:rPr>
        <w:t>报价</w:t>
      </w:r>
      <w:r>
        <w:rPr>
          <w:rFonts w:hint="eastAsia" w:ascii="仿宋" w:hAnsi="仿宋" w:eastAsia="仿宋" w:cs="仿宋"/>
          <w:color w:val="auto"/>
          <w:highlight w:val="none"/>
        </w:rPr>
        <w:t>明细表相应内容不一致的，以《报价一览表》为准；</w:t>
      </w:r>
    </w:p>
    <w:p>
      <w:pPr>
        <w:pStyle w:val="139"/>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3.6.1.3</w:t>
      </w:r>
      <w:r>
        <w:rPr>
          <w:rFonts w:hint="eastAsia" w:ascii="仿宋" w:hAnsi="仿宋" w:eastAsia="仿宋" w:cs="仿宋"/>
          <w:color w:val="auto"/>
          <w:kern w:val="0"/>
          <w:highlight w:val="none"/>
        </w:rPr>
        <w:t>报价文件</w:t>
      </w:r>
      <w:r>
        <w:rPr>
          <w:rFonts w:hint="eastAsia" w:ascii="仿宋" w:hAnsi="仿宋" w:eastAsia="仿宋" w:cs="仿宋"/>
          <w:color w:val="auto"/>
          <w:highlight w:val="none"/>
        </w:rPr>
        <w:t>中</w:t>
      </w:r>
      <w:r>
        <w:rPr>
          <w:rFonts w:hint="eastAsia" w:ascii="仿宋" w:hAnsi="仿宋" w:eastAsia="仿宋" w:cs="仿宋"/>
          <w:color w:val="auto"/>
          <w:kern w:val="0"/>
          <w:szCs w:val="24"/>
          <w:highlight w:val="none"/>
        </w:rPr>
        <w:t>大写金额和小写金额不一致的，以大写金额为准;</w:t>
      </w:r>
    </w:p>
    <w:p>
      <w:pPr>
        <w:pStyle w:val="139"/>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3.6.1.4单价金额小数点或者百分比有明显错位的，以</w:t>
      </w:r>
      <w:r>
        <w:rPr>
          <w:rFonts w:hint="eastAsia" w:ascii="仿宋" w:hAnsi="仿宋" w:eastAsia="仿宋" w:cs="仿宋"/>
          <w:color w:val="auto"/>
          <w:highlight w:val="none"/>
        </w:rPr>
        <w:t>《报价一览表》</w:t>
      </w:r>
      <w:r>
        <w:rPr>
          <w:rFonts w:hint="eastAsia" w:ascii="仿宋" w:hAnsi="仿宋" w:eastAsia="仿宋" w:cs="仿宋"/>
          <w:color w:val="auto"/>
          <w:kern w:val="0"/>
          <w:szCs w:val="24"/>
          <w:highlight w:val="none"/>
        </w:rPr>
        <w:t>的总价为准，并修改单价;</w:t>
      </w:r>
    </w:p>
    <w:p>
      <w:pPr>
        <w:pStyle w:val="139"/>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3.6.1.5总价金额与按单价汇总金额不一致的，以单价金额计算结果为准。</w:t>
      </w:r>
    </w:p>
    <w:p>
      <w:pPr>
        <w:pStyle w:val="139"/>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3.6.1.6同时出现两种以上不一致的，按照3.6.1规定的顺序修正。修正后的报价经供应商确认后产生约束力。</w:t>
      </w:r>
    </w:p>
    <w:p>
      <w:pPr>
        <w:snapToGrid w:val="0"/>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3.6.2响应文件出现不是唯一的、有选择性最后报价的，响应文件无效。</w:t>
      </w:r>
    </w:p>
    <w:p>
      <w:pPr>
        <w:snapToGrid w:val="0"/>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3.6.3最后报价超过采购文件中规定的预算金额或者最高限价的，响应文件无效。</w:t>
      </w:r>
    </w:p>
    <w:p>
      <w:pPr>
        <w:spacing w:line="360" w:lineRule="auto"/>
        <w:ind w:firstLine="482" w:firstLineChars="200"/>
        <w:rPr>
          <w:rFonts w:ascii="仿宋" w:hAnsi="仿宋" w:eastAsia="仿宋" w:cs="仿宋"/>
          <w:b/>
          <w:bCs/>
          <w:color w:val="auto"/>
          <w:sz w:val="24"/>
          <w:szCs w:val="32"/>
          <w:highlight w:val="none"/>
        </w:rPr>
      </w:pPr>
      <w:r>
        <w:rPr>
          <w:rFonts w:hint="eastAsia" w:ascii="仿宋" w:hAnsi="仿宋" w:eastAsia="仿宋" w:cs="仿宋"/>
          <w:b/>
          <w:bCs/>
          <w:color w:val="auto"/>
          <w:sz w:val="24"/>
          <w:szCs w:val="32"/>
          <w:highlight w:val="none"/>
        </w:rPr>
        <w:t>▲供应商对根据修正原则修正后的最后报价不确认的，响应无效。</w:t>
      </w:r>
    </w:p>
    <w:p>
      <w:pPr>
        <w:spacing w:line="360" w:lineRule="auto"/>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3.7排序与推荐。</w:t>
      </w:r>
      <w:r>
        <w:rPr>
          <w:rFonts w:hint="eastAsia" w:ascii="仿宋" w:hAnsi="仿宋" w:eastAsia="仿宋" w:cs="仿宋"/>
          <w:color w:val="auto"/>
          <w:kern w:val="0"/>
          <w:sz w:val="24"/>
          <w:highlight w:val="none"/>
        </w:rPr>
        <w:t>磋商小组应当根据综合评分情况，按照评审得分由高到低顺序推荐3名以上成交候选供应商，并编写评审报告。符合</w:t>
      </w:r>
      <w:r>
        <w:rPr>
          <w:rFonts w:hint="eastAsia" w:ascii="仿宋" w:hAnsi="仿宋" w:eastAsia="仿宋" w:cs="仿宋"/>
          <w:color w:val="auto"/>
          <w:sz w:val="24"/>
          <w:highlight w:val="none"/>
        </w:rPr>
        <w:t>财库〔2014〕214号</w:t>
      </w:r>
      <w:r>
        <w:rPr>
          <w:rFonts w:hint="eastAsia" w:ascii="仿宋" w:hAnsi="仿宋" w:eastAsia="仿宋" w:cs="仿宋"/>
          <w:color w:val="auto"/>
          <w:kern w:val="0"/>
          <w:sz w:val="24"/>
          <w:highlight w:val="none"/>
        </w:rPr>
        <w:t>第二十一条第三款情形的，可以推荐2家成交候选供应商。评审得分相同的，按照最后报价由低到高的顺序推荐。评审得分且最后报价相同的，按照技术指标优劣顺序推荐。</w:t>
      </w:r>
    </w:p>
    <w:p>
      <w:pPr>
        <w:spacing w:line="360" w:lineRule="auto"/>
        <w:ind w:firstLine="472" w:firstLineChars="196"/>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3.8编写评审报告。</w:t>
      </w:r>
      <w:r>
        <w:rPr>
          <w:rFonts w:hint="eastAsia" w:ascii="仿宋" w:hAnsi="仿宋" w:eastAsia="仿宋" w:cs="仿宋"/>
          <w:color w:val="auto"/>
          <w:kern w:val="0"/>
          <w:sz w:val="24"/>
          <w:highlight w:val="none"/>
        </w:rPr>
        <w:t>磋商小组根据全体评审成员签字的原始评审记录和评审结果编写评审报告。磋商小组成员对需要共同认定的事项存在争议的，应当按照少数服从多数的原则作出结论。持不同意见的磋商小组成员应当在评审报告上签署不同意见及理由，否则视为同意评审报告。</w:t>
      </w:r>
    </w:p>
    <w:p>
      <w:pPr>
        <w:pStyle w:val="59"/>
        <w:widowControl w:val="0"/>
        <w:numPr>
          <w:ilvl w:val="0"/>
          <w:numId w:val="8"/>
        </w:numPr>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highlight w:val="none"/>
          <w:lang w:val="en-US"/>
        </w:rPr>
      </w:pPr>
      <w:bookmarkStart w:id="930" w:name="_Toc139797647"/>
      <w:bookmarkStart w:id="931" w:name="_Toc12608"/>
      <w:bookmarkStart w:id="932" w:name="_Toc4961"/>
      <w:r>
        <w:rPr>
          <w:rFonts w:hint="eastAsia" w:ascii="仿宋" w:hAnsi="仿宋" w:eastAsia="仿宋" w:cs="仿宋"/>
          <w:bCs/>
          <w:color w:val="auto"/>
          <w:kern w:val="2"/>
          <w:sz w:val="30"/>
          <w:szCs w:val="30"/>
          <w:highlight w:val="none"/>
          <w:lang w:val="en-US"/>
        </w:rPr>
        <w:t>评审中的其他事项</w:t>
      </w:r>
      <w:bookmarkEnd w:id="930"/>
      <w:bookmarkEnd w:id="931"/>
      <w:bookmarkEnd w:id="932"/>
    </w:p>
    <w:p>
      <w:pPr>
        <w:pStyle w:val="139"/>
        <w:spacing w:before="0"/>
        <w:ind w:firstLine="472" w:firstLineChars="196"/>
        <w:rPr>
          <w:rFonts w:ascii="仿宋" w:hAnsi="仿宋" w:eastAsia="仿宋" w:cs="仿宋"/>
          <w:color w:val="auto"/>
          <w:kern w:val="0"/>
          <w:szCs w:val="24"/>
          <w:highlight w:val="none"/>
        </w:rPr>
      </w:pPr>
      <w:r>
        <w:rPr>
          <w:rFonts w:hint="eastAsia" w:ascii="仿宋" w:hAnsi="仿宋" w:eastAsia="仿宋" w:cs="仿宋"/>
          <w:b/>
          <w:color w:val="auto"/>
          <w:kern w:val="0"/>
          <w:szCs w:val="24"/>
          <w:highlight w:val="none"/>
        </w:rPr>
        <w:t>4.1供应商澄清、说明或者补正。</w:t>
      </w:r>
      <w:r>
        <w:rPr>
          <w:rFonts w:hint="eastAsia" w:ascii="仿宋" w:hAnsi="仿宋" w:eastAsia="仿宋" w:cs="仿宋"/>
          <w:color w:val="auto"/>
          <w:kern w:val="0"/>
          <w:szCs w:val="24"/>
          <w:highlight w:val="none"/>
        </w:rPr>
        <w:t>对于响应文件中含义不明确、同类问题表述不一致或者有明显文字和计算错误的内容需要供应商作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26"/>
        <w:spacing w:line="360" w:lineRule="auto"/>
        <w:ind w:left="954" w:leftChars="226" w:hanging="479" w:firstLineChars="0"/>
        <w:rPr>
          <w:rFonts w:ascii="仿宋" w:hAnsi="仿宋" w:eastAsia="仿宋" w:cs="仿宋"/>
          <w:color w:val="auto"/>
          <w:szCs w:val="21"/>
          <w:highlight w:val="none"/>
        </w:rPr>
      </w:pPr>
      <w:r>
        <w:rPr>
          <w:rFonts w:hint="eastAsia" w:ascii="仿宋" w:hAnsi="仿宋" w:eastAsia="仿宋" w:cs="仿宋"/>
          <w:b/>
          <w:color w:val="auto"/>
          <w:kern w:val="0"/>
          <w:highlight w:val="none"/>
        </w:rPr>
        <w:t>4.2响应文件无效。</w:t>
      </w:r>
    </w:p>
    <w:p>
      <w:pPr>
        <w:spacing w:line="360" w:lineRule="auto"/>
        <w:ind w:firstLine="482" w:firstLineChars="200"/>
        <w:rPr>
          <w:rFonts w:ascii="仿宋" w:hAnsi="仿宋" w:eastAsia="仿宋" w:cs="仿宋"/>
          <w:b/>
          <w:bCs/>
          <w:color w:val="auto"/>
          <w:sz w:val="24"/>
          <w:szCs w:val="32"/>
          <w:highlight w:val="none"/>
        </w:rPr>
      </w:pPr>
      <w:bookmarkStart w:id="933" w:name="_Toc13716"/>
      <w:r>
        <w:rPr>
          <w:rFonts w:hint="eastAsia" w:ascii="仿宋" w:hAnsi="仿宋" w:eastAsia="仿宋" w:cs="仿宋"/>
          <w:b/>
          <w:bCs/>
          <w:color w:val="auto"/>
          <w:sz w:val="24"/>
          <w:szCs w:val="32"/>
          <w:highlight w:val="none"/>
        </w:rPr>
        <w:t>4.2.1 在符合性审查时，如发现下列情形之一的，其响应无效</w:t>
      </w:r>
      <w:bookmarkEnd w:id="933"/>
    </w:p>
    <w:p>
      <w:pPr>
        <w:numPr>
          <w:ilvl w:val="0"/>
          <w:numId w:val="9"/>
        </w:numPr>
        <w:spacing w:line="360" w:lineRule="auto"/>
        <w:ind w:left="0" w:firstLine="420" w:firstLineChars="175"/>
        <w:rPr>
          <w:rFonts w:ascii="仿宋" w:hAnsi="仿宋" w:eastAsia="仿宋" w:cs="仿宋"/>
          <w:color w:val="auto"/>
          <w:sz w:val="24"/>
          <w:highlight w:val="none"/>
        </w:rPr>
      </w:pPr>
      <w:r>
        <w:rPr>
          <w:rFonts w:hint="eastAsia" w:ascii="仿宋" w:hAnsi="仿宋" w:eastAsia="仿宋" w:cs="仿宋"/>
          <w:color w:val="auto"/>
          <w:sz w:val="24"/>
          <w:highlight w:val="none"/>
        </w:rPr>
        <w:t>单位负责人为同一人或者存在直接控股、管理关系的不同供应商参加同一合同项下的政府采购活动的（均无效）；</w:t>
      </w:r>
    </w:p>
    <w:p>
      <w:pPr>
        <w:numPr>
          <w:ilvl w:val="0"/>
          <w:numId w:val="9"/>
        </w:numPr>
        <w:spacing w:line="360" w:lineRule="auto"/>
        <w:ind w:left="0" w:firstLine="420" w:firstLineChars="175"/>
        <w:rPr>
          <w:rFonts w:ascii="仿宋" w:hAnsi="仿宋" w:eastAsia="仿宋" w:cs="仿宋"/>
          <w:color w:val="auto"/>
          <w:sz w:val="24"/>
          <w:highlight w:val="none"/>
        </w:rPr>
      </w:pPr>
      <w:r>
        <w:rPr>
          <w:rFonts w:hint="eastAsia" w:ascii="仿宋" w:hAnsi="仿宋" w:eastAsia="仿宋" w:cs="仿宋"/>
          <w:color w:val="auto"/>
          <w:sz w:val="24"/>
          <w:highlight w:val="none"/>
        </w:rPr>
        <w:t xml:space="preserve">为采购项目提供整体设计、规范编制或者项目管理、监理、检测等服务的供应商再参加该采购项目的其他采购活动的； </w:t>
      </w:r>
    </w:p>
    <w:p>
      <w:pPr>
        <w:numPr>
          <w:ilvl w:val="0"/>
          <w:numId w:val="9"/>
        </w:numPr>
        <w:spacing w:line="360" w:lineRule="auto"/>
        <w:ind w:left="0" w:firstLine="420" w:firstLineChars="175"/>
        <w:rPr>
          <w:rFonts w:ascii="仿宋" w:hAnsi="仿宋" w:eastAsia="仿宋" w:cs="仿宋"/>
          <w:color w:val="auto"/>
          <w:sz w:val="24"/>
          <w:highlight w:val="none"/>
        </w:rPr>
      </w:pPr>
      <w:r>
        <w:rPr>
          <w:rFonts w:hint="eastAsia" w:ascii="仿宋" w:hAnsi="仿宋" w:eastAsia="仿宋" w:cs="仿宋"/>
          <w:color w:val="auto"/>
          <w:sz w:val="24"/>
          <w:highlight w:val="none"/>
        </w:rPr>
        <w:t>供应商不具备磋商文件中规定的资格要求的（供应商未提供有效的资格证明文件的，视为供应商不具备磋商文件中规定的资格要求）；</w:t>
      </w:r>
    </w:p>
    <w:p>
      <w:pPr>
        <w:numPr>
          <w:ilvl w:val="0"/>
          <w:numId w:val="9"/>
        </w:numPr>
        <w:spacing w:line="360" w:lineRule="auto"/>
        <w:ind w:left="0" w:firstLine="420" w:firstLineChars="175"/>
        <w:rPr>
          <w:rFonts w:ascii="仿宋" w:hAnsi="仿宋" w:eastAsia="仿宋" w:cs="仿宋"/>
          <w:color w:val="auto"/>
          <w:sz w:val="24"/>
          <w:highlight w:val="none"/>
        </w:rPr>
      </w:pPr>
      <w:r>
        <w:rPr>
          <w:rFonts w:hint="eastAsia" w:ascii="仿宋" w:hAnsi="仿宋" w:eastAsia="仿宋" w:cs="仿宋"/>
          <w:color w:val="auto"/>
          <w:sz w:val="24"/>
          <w:highlight w:val="none"/>
        </w:rPr>
        <w:t>如以联合体形式参加政府采购活动的，联合协议不符合磋商文件规定的联合协议要求的；</w:t>
      </w:r>
    </w:p>
    <w:p>
      <w:pPr>
        <w:numPr>
          <w:ilvl w:val="0"/>
          <w:numId w:val="9"/>
        </w:numPr>
        <w:spacing w:line="360" w:lineRule="auto"/>
        <w:ind w:left="0" w:firstLine="420" w:firstLineChars="175"/>
        <w:rPr>
          <w:rFonts w:ascii="仿宋" w:hAnsi="仿宋" w:eastAsia="仿宋" w:cs="仿宋"/>
          <w:color w:val="auto"/>
          <w:sz w:val="24"/>
          <w:highlight w:val="none"/>
        </w:rPr>
      </w:pPr>
      <w:r>
        <w:rPr>
          <w:rFonts w:hint="eastAsia" w:ascii="仿宋" w:hAnsi="仿宋" w:eastAsia="仿宋" w:cs="仿宋"/>
          <w:color w:val="auto"/>
          <w:sz w:val="24"/>
          <w:highlight w:val="none"/>
        </w:rPr>
        <w:t>响应文件未按磋商文件的澄清、修改的内容编制，又不符合实质性要求的；</w:t>
      </w:r>
    </w:p>
    <w:p>
      <w:pPr>
        <w:numPr>
          <w:ilvl w:val="0"/>
          <w:numId w:val="9"/>
        </w:numPr>
        <w:spacing w:line="360" w:lineRule="auto"/>
        <w:ind w:left="0" w:firstLine="420" w:firstLineChars="175"/>
        <w:rPr>
          <w:rFonts w:ascii="仿宋" w:hAnsi="仿宋" w:eastAsia="仿宋" w:cs="仿宋"/>
          <w:color w:val="auto"/>
          <w:sz w:val="24"/>
          <w:highlight w:val="none"/>
        </w:rPr>
      </w:pPr>
      <w:r>
        <w:rPr>
          <w:rFonts w:hint="eastAsia" w:ascii="仿宋" w:hAnsi="仿宋" w:eastAsia="仿宋" w:cs="仿宋"/>
          <w:color w:val="auto"/>
          <w:sz w:val="24"/>
          <w:highlight w:val="none"/>
        </w:rPr>
        <w:t>响应文件组成漏项，内容不全或内容字迹模糊辨认不清的；</w:t>
      </w:r>
    </w:p>
    <w:p>
      <w:pPr>
        <w:numPr>
          <w:ilvl w:val="0"/>
          <w:numId w:val="9"/>
        </w:numPr>
        <w:spacing w:line="360" w:lineRule="auto"/>
        <w:ind w:left="0" w:firstLine="420" w:firstLineChars="175"/>
        <w:rPr>
          <w:rFonts w:ascii="仿宋" w:hAnsi="仿宋" w:eastAsia="仿宋" w:cs="仿宋"/>
          <w:color w:val="auto"/>
          <w:sz w:val="24"/>
          <w:highlight w:val="none"/>
        </w:rPr>
      </w:pPr>
      <w:r>
        <w:rPr>
          <w:rFonts w:hint="eastAsia" w:ascii="仿宋" w:hAnsi="仿宋" w:eastAsia="仿宋" w:cs="仿宋"/>
          <w:color w:val="auto"/>
          <w:sz w:val="24"/>
          <w:highlight w:val="none"/>
        </w:rPr>
        <w:t>未按磋商文件规定进行盖章、签字的；</w:t>
      </w:r>
    </w:p>
    <w:p>
      <w:pPr>
        <w:numPr>
          <w:ilvl w:val="0"/>
          <w:numId w:val="9"/>
        </w:numPr>
        <w:spacing w:line="360" w:lineRule="auto"/>
        <w:ind w:left="0" w:firstLine="420" w:firstLineChars="175"/>
        <w:rPr>
          <w:rFonts w:ascii="仿宋" w:hAnsi="仿宋" w:eastAsia="仿宋" w:cs="仿宋"/>
          <w:color w:val="auto"/>
          <w:sz w:val="24"/>
          <w:highlight w:val="none"/>
        </w:rPr>
      </w:pPr>
      <w:r>
        <w:rPr>
          <w:rFonts w:hint="eastAsia" w:ascii="仿宋" w:hAnsi="仿宋" w:eastAsia="仿宋" w:cs="仿宋"/>
          <w:color w:val="auto"/>
          <w:sz w:val="24"/>
          <w:highlight w:val="none"/>
        </w:rPr>
        <w:t>未实质响应磋商文件中带“▲”条款要求的磋商响应文件；</w:t>
      </w:r>
    </w:p>
    <w:p>
      <w:pPr>
        <w:numPr>
          <w:ilvl w:val="0"/>
          <w:numId w:val="9"/>
        </w:numPr>
        <w:spacing w:line="360" w:lineRule="auto"/>
        <w:ind w:left="0" w:firstLine="420" w:firstLineChars="175"/>
        <w:rPr>
          <w:rFonts w:ascii="仿宋" w:hAnsi="仿宋" w:eastAsia="仿宋" w:cs="仿宋"/>
          <w:color w:val="auto"/>
          <w:sz w:val="24"/>
          <w:highlight w:val="none"/>
        </w:rPr>
      </w:pPr>
      <w:r>
        <w:rPr>
          <w:rFonts w:hint="eastAsia" w:ascii="仿宋" w:hAnsi="仿宋" w:eastAsia="仿宋" w:cs="仿宋"/>
          <w:color w:val="auto"/>
          <w:sz w:val="24"/>
          <w:highlight w:val="none"/>
        </w:rPr>
        <w:t>存在一个或一个以上备选（替代）响应方案的；</w:t>
      </w:r>
    </w:p>
    <w:p>
      <w:pPr>
        <w:spacing w:line="360" w:lineRule="auto"/>
        <w:ind w:left="368" w:leftChars="175"/>
        <w:rPr>
          <w:rFonts w:ascii="仿宋" w:hAnsi="仿宋" w:eastAsia="仿宋" w:cs="仿宋"/>
          <w:color w:val="auto"/>
          <w:sz w:val="24"/>
          <w:highlight w:val="none"/>
        </w:rPr>
      </w:pPr>
      <w:r>
        <w:rPr>
          <w:rFonts w:hint="eastAsia" w:ascii="仿宋" w:hAnsi="仿宋" w:eastAsia="仿宋" w:cs="仿宋"/>
          <w:color w:val="auto"/>
          <w:sz w:val="24"/>
          <w:highlight w:val="none"/>
        </w:rPr>
        <w:t>(10)供应商提交两份或两份以上内容不同的磋商响应文件，未声明哪一份有效的。</w:t>
      </w:r>
    </w:p>
    <w:p>
      <w:pPr>
        <w:spacing w:line="360" w:lineRule="auto"/>
        <w:ind w:left="368" w:leftChars="175"/>
        <w:rPr>
          <w:rFonts w:ascii="仿宋" w:hAnsi="仿宋" w:eastAsia="仿宋" w:cs="仿宋"/>
          <w:color w:val="auto"/>
          <w:sz w:val="24"/>
          <w:highlight w:val="none"/>
        </w:rPr>
      </w:pPr>
      <w:r>
        <w:rPr>
          <w:rFonts w:hint="eastAsia" w:ascii="仿宋" w:hAnsi="仿宋" w:eastAsia="仿宋" w:cs="仿宋"/>
          <w:color w:val="auto"/>
          <w:sz w:val="24"/>
          <w:highlight w:val="none"/>
        </w:rPr>
        <w:t>(11)采购人拟采购的产品属于政府强制采购的节能产品品目清单范围的，供应商未按采购文件要求提供国家确定的认证机构出具的、处于有效期之内的节能产品认证证书的；</w:t>
      </w:r>
    </w:p>
    <w:p>
      <w:pPr>
        <w:spacing w:line="360" w:lineRule="auto"/>
        <w:ind w:left="368" w:leftChars="175"/>
        <w:rPr>
          <w:rFonts w:ascii="仿宋" w:hAnsi="仿宋" w:eastAsia="仿宋" w:cs="仿宋"/>
          <w:color w:val="auto"/>
          <w:sz w:val="24"/>
          <w:highlight w:val="none"/>
        </w:rPr>
      </w:pPr>
      <w:r>
        <w:rPr>
          <w:rFonts w:hint="eastAsia" w:ascii="仿宋" w:hAnsi="仿宋" w:eastAsia="仿宋" w:cs="仿宋"/>
          <w:color w:val="auto"/>
          <w:sz w:val="24"/>
          <w:highlight w:val="none"/>
        </w:rPr>
        <w:t>(12)响应文件中承诺的响应文件有效期少于采购文件中载明的响应文件有效期的；</w:t>
      </w:r>
    </w:p>
    <w:p>
      <w:pPr>
        <w:spacing w:line="360" w:lineRule="auto"/>
        <w:ind w:firstLine="482" w:firstLineChars="200"/>
        <w:rPr>
          <w:rFonts w:ascii="仿宋" w:hAnsi="仿宋" w:eastAsia="仿宋" w:cs="仿宋"/>
          <w:b/>
          <w:bCs/>
          <w:color w:val="auto"/>
          <w:sz w:val="24"/>
          <w:szCs w:val="32"/>
          <w:highlight w:val="none"/>
        </w:rPr>
      </w:pPr>
      <w:bookmarkStart w:id="934" w:name="_Toc23358"/>
      <w:r>
        <w:rPr>
          <w:rFonts w:hint="eastAsia" w:ascii="仿宋" w:hAnsi="仿宋" w:eastAsia="仿宋" w:cs="仿宋"/>
          <w:b/>
          <w:bCs/>
          <w:color w:val="auto"/>
          <w:sz w:val="24"/>
          <w:szCs w:val="32"/>
          <w:highlight w:val="none"/>
        </w:rPr>
        <w:t>4.2.2 在资信商务技术评审时，如发现下列情形之一的，其响应无效</w:t>
      </w:r>
      <w:bookmarkEnd w:id="934"/>
    </w:p>
    <w:p>
      <w:pPr>
        <w:numPr>
          <w:ilvl w:val="0"/>
          <w:numId w:val="10"/>
        </w:numPr>
        <w:spacing w:line="360" w:lineRule="auto"/>
        <w:ind w:hanging="5"/>
        <w:rPr>
          <w:rFonts w:ascii="仿宋" w:hAnsi="仿宋" w:eastAsia="仿宋" w:cs="仿宋"/>
          <w:color w:val="auto"/>
          <w:sz w:val="24"/>
          <w:highlight w:val="none"/>
        </w:rPr>
      </w:pPr>
      <w:r>
        <w:rPr>
          <w:rFonts w:hint="eastAsia" w:ascii="仿宋" w:hAnsi="仿宋" w:eastAsia="仿宋" w:cs="仿宋"/>
          <w:color w:val="auto"/>
          <w:sz w:val="24"/>
          <w:highlight w:val="none"/>
        </w:rPr>
        <w:t>磋商响应文件含有采购人不能接受的附加条款的；</w:t>
      </w:r>
    </w:p>
    <w:p>
      <w:pPr>
        <w:numPr>
          <w:ilvl w:val="0"/>
          <w:numId w:val="10"/>
        </w:numPr>
        <w:spacing w:line="360" w:lineRule="auto"/>
        <w:ind w:hanging="5"/>
        <w:rPr>
          <w:rFonts w:ascii="仿宋" w:hAnsi="仿宋" w:eastAsia="仿宋" w:cs="仿宋"/>
          <w:color w:val="auto"/>
          <w:sz w:val="24"/>
          <w:highlight w:val="none"/>
        </w:rPr>
      </w:pPr>
      <w:r>
        <w:rPr>
          <w:rFonts w:hint="eastAsia" w:ascii="仿宋" w:hAnsi="仿宋" w:eastAsia="仿宋" w:cs="仿宋"/>
          <w:color w:val="auto"/>
          <w:sz w:val="24"/>
          <w:highlight w:val="none"/>
        </w:rPr>
        <w:t>磋商响应文件中提供赠品、回扣或者与采购无关的其他商品、服务的；</w:t>
      </w:r>
    </w:p>
    <w:p>
      <w:pPr>
        <w:numPr>
          <w:ilvl w:val="0"/>
          <w:numId w:val="10"/>
        </w:numPr>
        <w:spacing w:line="360" w:lineRule="auto"/>
        <w:ind w:hanging="5"/>
        <w:rPr>
          <w:rFonts w:ascii="仿宋" w:hAnsi="仿宋" w:eastAsia="仿宋" w:cs="仿宋"/>
          <w:color w:val="auto"/>
          <w:sz w:val="24"/>
          <w:highlight w:val="none"/>
        </w:rPr>
      </w:pPr>
      <w:r>
        <w:rPr>
          <w:rFonts w:hint="eastAsia" w:ascii="仿宋" w:hAnsi="仿宋" w:eastAsia="仿宋" w:cs="仿宋"/>
          <w:color w:val="auto"/>
          <w:sz w:val="24"/>
          <w:highlight w:val="none"/>
        </w:rPr>
        <w:t>磋商小组评定有非实质性条款负偏离超过磋商文件规定项数的，项数要</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求见供应商须知前附表（一）；</w:t>
      </w:r>
    </w:p>
    <w:p>
      <w:pPr>
        <w:numPr>
          <w:ilvl w:val="0"/>
          <w:numId w:val="10"/>
        </w:numPr>
        <w:spacing w:line="360" w:lineRule="auto"/>
        <w:ind w:hanging="5"/>
        <w:rPr>
          <w:rFonts w:ascii="仿宋" w:hAnsi="仿宋" w:eastAsia="仿宋" w:cs="仿宋"/>
          <w:color w:val="auto"/>
          <w:sz w:val="24"/>
          <w:highlight w:val="none"/>
        </w:rPr>
      </w:pPr>
      <w:r>
        <w:rPr>
          <w:rFonts w:hint="eastAsia" w:ascii="仿宋" w:hAnsi="仿宋" w:eastAsia="仿宋" w:cs="仿宋"/>
          <w:color w:val="auto"/>
          <w:sz w:val="24"/>
          <w:highlight w:val="none"/>
        </w:rPr>
        <w:t>供应商已明知采购期间或之后企业将发生兼并改制，或提供的产品将停</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产、淘汰，或必须有偿使用专供的备品备件和试剂耗材的，及其他应当告知采购人可能影响采购项目实施或损害采购人利益的信息，不在磋商响应文件中予以特别说明的；</w:t>
      </w:r>
    </w:p>
    <w:p>
      <w:pPr>
        <w:numPr>
          <w:ilvl w:val="0"/>
          <w:numId w:val="10"/>
        </w:numPr>
        <w:spacing w:line="360" w:lineRule="auto"/>
        <w:ind w:hanging="5"/>
        <w:rPr>
          <w:rFonts w:ascii="仿宋" w:hAnsi="仿宋" w:eastAsia="仿宋" w:cs="仿宋"/>
          <w:color w:val="auto"/>
          <w:sz w:val="24"/>
          <w:highlight w:val="none"/>
        </w:rPr>
      </w:pPr>
      <w:r>
        <w:rPr>
          <w:rFonts w:hint="eastAsia" w:ascii="仿宋" w:hAnsi="仿宋" w:eastAsia="仿宋" w:cs="仿宋"/>
          <w:color w:val="auto"/>
          <w:sz w:val="24"/>
          <w:highlight w:val="none"/>
        </w:rPr>
        <w:t>磋商响应文件内容不全或内容字迹模糊辨认不清的而导致评审无法正常</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进行（经磋商小组认定并允许其当场更正的笔误除外的）；</w:t>
      </w:r>
    </w:p>
    <w:p>
      <w:pPr>
        <w:numPr>
          <w:ilvl w:val="0"/>
          <w:numId w:val="10"/>
        </w:numPr>
        <w:spacing w:line="360" w:lineRule="auto"/>
        <w:ind w:hanging="5"/>
        <w:rPr>
          <w:rFonts w:ascii="仿宋" w:hAnsi="仿宋" w:eastAsia="仿宋" w:cs="仿宋"/>
          <w:color w:val="auto"/>
          <w:sz w:val="24"/>
          <w:highlight w:val="none"/>
        </w:rPr>
      </w:pPr>
      <w:r>
        <w:rPr>
          <w:rFonts w:hint="eastAsia" w:ascii="仿宋" w:hAnsi="仿宋" w:eastAsia="仿宋" w:cs="仿宋"/>
          <w:color w:val="auto"/>
          <w:sz w:val="24"/>
          <w:highlight w:val="none"/>
        </w:rPr>
        <w:t>违反国家及政府部门相关法律、法规、文件规定或经评审委员认定的其</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他属于重大偏离的。</w:t>
      </w:r>
    </w:p>
    <w:p>
      <w:pPr>
        <w:spacing w:line="360" w:lineRule="auto"/>
        <w:ind w:firstLine="482" w:firstLineChars="200"/>
        <w:rPr>
          <w:rFonts w:ascii="仿宋" w:hAnsi="仿宋" w:eastAsia="仿宋" w:cs="仿宋"/>
          <w:b/>
          <w:bCs/>
          <w:color w:val="auto"/>
          <w:sz w:val="24"/>
          <w:szCs w:val="32"/>
          <w:highlight w:val="none"/>
        </w:rPr>
      </w:pPr>
      <w:bookmarkStart w:id="935" w:name="_Toc26362"/>
      <w:r>
        <w:rPr>
          <w:rFonts w:hint="eastAsia" w:ascii="仿宋" w:hAnsi="仿宋" w:eastAsia="仿宋" w:cs="仿宋"/>
          <w:b/>
          <w:bCs/>
          <w:color w:val="auto"/>
          <w:sz w:val="24"/>
          <w:szCs w:val="32"/>
          <w:highlight w:val="none"/>
        </w:rPr>
        <w:t>4.3.3在报价评审时，如发现下列情形之一的，其响应无效</w:t>
      </w:r>
      <w:bookmarkEnd w:id="935"/>
    </w:p>
    <w:p>
      <w:pPr>
        <w:numPr>
          <w:ilvl w:val="0"/>
          <w:numId w:val="11"/>
        </w:numPr>
        <w:spacing w:line="360" w:lineRule="auto"/>
        <w:ind w:hanging="5"/>
        <w:rPr>
          <w:rFonts w:ascii="仿宋" w:hAnsi="仿宋" w:eastAsia="仿宋" w:cs="仿宋"/>
          <w:color w:val="auto"/>
          <w:sz w:val="24"/>
          <w:highlight w:val="none"/>
        </w:rPr>
      </w:pPr>
      <w:r>
        <w:rPr>
          <w:rFonts w:hint="eastAsia" w:ascii="仿宋" w:hAnsi="仿宋" w:eastAsia="仿宋" w:cs="仿宋"/>
          <w:color w:val="auto"/>
          <w:sz w:val="24"/>
          <w:highlight w:val="none"/>
        </w:rPr>
        <w:t>所提交的《最后报价一览表》中出现不是唯一的、有选择性的报价的；</w:t>
      </w:r>
    </w:p>
    <w:p>
      <w:pPr>
        <w:numPr>
          <w:ilvl w:val="0"/>
          <w:numId w:val="11"/>
        </w:numPr>
        <w:spacing w:line="360" w:lineRule="auto"/>
        <w:ind w:hanging="5"/>
        <w:rPr>
          <w:rFonts w:ascii="仿宋" w:hAnsi="仿宋" w:eastAsia="仿宋" w:cs="仿宋"/>
          <w:color w:val="auto"/>
          <w:sz w:val="24"/>
          <w:highlight w:val="none"/>
        </w:rPr>
      </w:pPr>
      <w:r>
        <w:rPr>
          <w:rFonts w:hint="eastAsia" w:ascii="仿宋" w:hAnsi="仿宋" w:eastAsia="仿宋" w:cs="仿宋"/>
          <w:color w:val="auto"/>
          <w:sz w:val="24"/>
          <w:highlight w:val="none"/>
        </w:rPr>
        <w:t>报价超过磋商文件中规定的</w:t>
      </w:r>
      <w:r>
        <w:rPr>
          <w:rFonts w:hint="eastAsia" w:ascii="仿宋" w:hAnsi="仿宋" w:eastAsia="仿宋" w:cs="仿宋"/>
          <w:color w:val="auto"/>
          <w:kern w:val="0"/>
          <w:sz w:val="24"/>
          <w:highlight w:val="none"/>
        </w:rPr>
        <w:t>预算金额或者最高限价</w:t>
      </w:r>
      <w:r>
        <w:rPr>
          <w:rFonts w:hint="eastAsia" w:ascii="仿宋" w:hAnsi="仿宋" w:eastAsia="仿宋" w:cs="仿宋"/>
          <w:color w:val="auto"/>
          <w:sz w:val="24"/>
          <w:highlight w:val="none"/>
        </w:rPr>
        <w:t>的；</w:t>
      </w:r>
    </w:p>
    <w:p>
      <w:pPr>
        <w:numPr>
          <w:ilvl w:val="0"/>
          <w:numId w:val="11"/>
        </w:numPr>
        <w:spacing w:line="360" w:lineRule="auto"/>
        <w:ind w:hanging="5"/>
        <w:rPr>
          <w:rFonts w:ascii="仿宋" w:hAnsi="仿宋" w:eastAsia="仿宋" w:cs="仿宋"/>
          <w:color w:val="auto"/>
          <w:sz w:val="24"/>
          <w:highlight w:val="none"/>
        </w:rPr>
      </w:pPr>
      <w:r>
        <w:rPr>
          <w:rFonts w:hint="eastAsia" w:ascii="仿宋" w:hAnsi="仿宋" w:eastAsia="仿宋" w:cs="仿宋"/>
          <w:color w:val="auto"/>
          <w:sz w:val="24"/>
          <w:highlight w:val="none"/>
        </w:rPr>
        <w:t>响应报价存在漏项或报价数量少于采购要求的，报价文件内容与对应资</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信商务及技术文件内容不一致的；</w:t>
      </w:r>
    </w:p>
    <w:p>
      <w:pPr>
        <w:numPr>
          <w:ilvl w:val="0"/>
          <w:numId w:val="11"/>
        </w:numPr>
        <w:spacing w:line="360" w:lineRule="auto"/>
        <w:ind w:hanging="5"/>
        <w:rPr>
          <w:rFonts w:ascii="仿宋" w:hAnsi="仿宋" w:eastAsia="仿宋" w:cs="仿宋"/>
          <w:color w:val="auto"/>
          <w:sz w:val="24"/>
          <w:highlight w:val="none"/>
        </w:rPr>
      </w:pPr>
      <w:r>
        <w:rPr>
          <w:rFonts w:hint="eastAsia" w:ascii="仿宋" w:hAnsi="仿宋" w:eastAsia="仿宋" w:cs="仿宋"/>
          <w:color w:val="auto"/>
          <w:sz w:val="24"/>
          <w:highlight w:val="none"/>
        </w:rPr>
        <w:t>磋商报价明显低于其他通过符合性审查供应商的报价，有可能影响产品</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质量或者不能诚信履约的，未能按要求提供书面说明或者提交相关证明材料，不能证明其报价合理性的；</w:t>
      </w:r>
    </w:p>
    <w:p>
      <w:pPr>
        <w:numPr>
          <w:ilvl w:val="0"/>
          <w:numId w:val="11"/>
        </w:numPr>
        <w:spacing w:line="360" w:lineRule="auto"/>
        <w:ind w:hanging="5"/>
        <w:rPr>
          <w:rFonts w:ascii="仿宋" w:hAnsi="仿宋" w:eastAsia="仿宋" w:cs="仿宋"/>
          <w:color w:val="auto"/>
          <w:sz w:val="24"/>
          <w:highlight w:val="none"/>
        </w:rPr>
      </w:pPr>
      <w:r>
        <w:rPr>
          <w:rFonts w:hint="eastAsia" w:ascii="仿宋" w:hAnsi="仿宋" w:eastAsia="仿宋" w:cs="仿宋"/>
          <w:color w:val="auto"/>
          <w:sz w:val="24"/>
          <w:highlight w:val="none"/>
        </w:rPr>
        <w:t>拒不接受报价错误修正或报价错误修正后不在线确认的。</w:t>
      </w:r>
    </w:p>
    <w:p>
      <w:pPr>
        <w:spacing w:line="360" w:lineRule="auto"/>
        <w:ind w:firstLine="482" w:firstLineChars="200"/>
        <w:rPr>
          <w:rFonts w:ascii="仿宋" w:hAnsi="仿宋" w:eastAsia="仿宋" w:cs="仿宋"/>
          <w:b/>
          <w:bCs/>
          <w:color w:val="auto"/>
          <w:sz w:val="24"/>
          <w:szCs w:val="32"/>
          <w:highlight w:val="none"/>
        </w:rPr>
      </w:pPr>
      <w:bookmarkStart w:id="936" w:name="_Toc330"/>
      <w:r>
        <w:rPr>
          <w:rFonts w:hint="eastAsia" w:ascii="仿宋" w:hAnsi="仿宋" w:eastAsia="仿宋" w:cs="仿宋"/>
          <w:b/>
          <w:bCs/>
          <w:color w:val="auto"/>
          <w:sz w:val="24"/>
          <w:szCs w:val="32"/>
          <w:highlight w:val="none"/>
        </w:rPr>
        <w:t>4.3.4如有下列情形之一的，其响应无效</w:t>
      </w:r>
      <w:bookmarkEnd w:id="936"/>
    </w:p>
    <w:p>
      <w:pPr>
        <w:numPr>
          <w:ilvl w:val="0"/>
          <w:numId w:val="12"/>
        </w:numPr>
        <w:spacing w:line="360" w:lineRule="auto"/>
        <w:ind w:leftChars="200" w:hanging="5"/>
        <w:rPr>
          <w:rFonts w:ascii="仿宋" w:hAnsi="仿宋" w:eastAsia="仿宋" w:cs="仿宋"/>
          <w:color w:val="auto"/>
          <w:sz w:val="24"/>
          <w:highlight w:val="none"/>
        </w:rPr>
      </w:pPr>
      <w:r>
        <w:rPr>
          <w:rFonts w:hint="eastAsia" w:ascii="仿宋" w:hAnsi="仿宋" w:eastAsia="仿宋" w:cs="仿宋"/>
          <w:color w:val="auto"/>
          <w:sz w:val="24"/>
          <w:highlight w:val="none"/>
        </w:rPr>
        <w:t>供应商直接或者间接从采购人或者采购代理机构处获得其他供应商的相</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关情况并修改其磋商响应文件；</w:t>
      </w:r>
    </w:p>
    <w:p>
      <w:pPr>
        <w:numPr>
          <w:ilvl w:val="0"/>
          <w:numId w:val="12"/>
        </w:numPr>
        <w:spacing w:line="360" w:lineRule="auto"/>
        <w:ind w:leftChars="200" w:hanging="5"/>
        <w:rPr>
          <w:rFonts w:ascii="仿宋" w:hAnsi="仿宋" w:eastAsia="仿宋" w:cs="仿宋"/>
          <w:color w:val="auto"/>
          <w:sz w:val="24"/>
          <w:highlight w:val="none"/>
        </w:rPr>
      </w:pPr>
      <w:r>
        <w:rPr>
          <w:rFonts w:hint="eastAsia" w:ascii="仿宋" w:hAnsi="仿宋" w:eastAsia="仿宋" w:cs="仿宋"/>
          <w:color w:val="auto"/>
          <w:sz w:val="24"/>
          <w:highlight w:val="none"/>
        </w:rPr>
        <w:t>供应商按照采购人或者采购代理机构的授意撤换、修改磋商响应文件；</w:t>
      </w:r>
    </w:p>
    <w:p>
      <w:pPr>
        <w:numPr>
          <w:ilvl w:val="0"/>
          <w:numId w:val="12"/>
        </w:numPr>
        <w:spacing w:line="360" w:lineRule="auto"/>
        <w:ind w:leftChars="200" w:hanging="5"/>
        <w:rPr>
          <w:rFonts w:ascii="仿宋" w:hAnsi="仿宋" w:eastAsia="仿宋" w:cs="仿宋"/>
          <w:color w:val="auto"/>
          <w:sz w:val="24"/>
          <w:highlight w:val="none"/>
        </w:rPr>
      </w:pPr>
      <w:r>
        <w:rPr>
          <w:rFonts w:hint="eastAsia" w:ascii="仿宋" w:hAnsi="仿宋" w:eastAsia="仿宋" w:cs="仿宋"/>
          <w:color w:val="auto"/>
          <w:sz w:val="24"/>
          <w:highlight w:val="none"/>
        </w:rPr>
        <w:t>供应商之间协商磋商响应文件的实质性内容；</w:t>
      </w:r>
    </w:p>
    <w:p>
      <w:pPr>
        <w:numPr>
          <w:ilvl w:val="0"/>
          <w:numId w:val="12"/>
        </w:numPr>
        <w:spacing w:line="360" w:lineRule="auto"/>
        <w:ind w:leftChars="200" w:hanging="5"/>
        <w:rPr>
          <w:rFonts w:ascii="仿宋" w:hAnsi="仿宋" w:eastAsia="仿宋" w:cs="仿宋"/>
          <w:color w:val="auto"/>
          <w:sz w:val="24"/>
          <w:highlight w:val="none"/>
        </w:rPr>
      </w:pPr>
      <w:r>
        <w:rPr>
          <w:rFonts w:hint="eastAsia" w:ascii="仿宋" w:hAnsi="仿宋" w:eastAsia="仿宋" w:cs="仿宋"/>
          <w:color w:val="auto"/>
          <w:sz w:val="24"/>
          <w:highlight w:val="none"/>
        </w:rPr>
        <w:t>属于同一集团、协会、商会等组织成员的供应商按照该组织要求协同参</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加政府采购活动；</w:t>
      </w:r>
    </w:p>
    <w:p>
      <w:pPr>
        <w:numPr>
          <w:ilvl w:val="0"/>
          <w:numId w:val="12"/>
        </w:numPr>
        <w:spacing w:line="360" w:lineRule="auto"/>
        <w:ind w:leftChars="200" w:hanging="5"/>
        <w:rPr>
          <w:rFonts w:ascii="仿宋" w:hAnsi="仿宋" w:eastAsia="仿宋" w:cs="仿宋"/>
          <w:color w:val="auto"/>
          <w:sz w:val="24"/>
          <w:highlight w:val="none"/>
        </w:rPr>
      </w:pPr>
      <w:r>
        <w:rPr>
          <w:rFonts w:hint="eastAsia" w:ascii="仿宋" w:hAnsi="仿宋" w:eastAsia="仿宋" w:cs="仿宋"/>
          <w:color w:val="auto"/>
          <w:sz w:val="24"/>
          <w:highlight w:val="none"/>
        </w:rPr>
        <w:t>供应商之间事先约定由某一特定供应商中标、成交；</w:t>
      </w:r>
    </w:p>
    <w:p>
      <w:pPr>
        <w:numPr>
          <w:ilvl w:val="0"/>
          <w:numId w:val="12"/>
        </w:numPr>
        <w:spacing w:line="360" w:lineRule="auto"/>
        <w:ind w:leftChars="200" w:hanging="5"/>
        <w:rPr>
          <w:rFonts w:ascii="仿宋" w:hAnsi="仿宋" w:eastAsia="仿宋" w:cs="仿宋"/>
          <w:color w:val="auto"/>
          <w:sz w:val="24"/>
          <w:highlight w:val="none"/>
        </w:rPr>
      </w:pPr>
      <w:r>
        <w:rPr>
          <w:rFonts w:hint="eastAsia" w:ascii="仿宋" w:hAnsi="仿宋" w:eastAsia="仿宋" w:cs="仿宋"/>
          <w:color w:val="auto"/>
          <w:sz w:val="24"/>
          <w:highlight w:val="none"/>
        </w:rPr>
        <w:t>供应商之间商定部分供应商放弃参加政府采购活动或者放弃中标、成交；</w:t>
      </w:r>
    </w:p>
    <w:p>
      <w:pPr>
        <w:numPr>
          <w:ilvl w:val="0"/>
          <w:numId w:val="12"/>
        </w:numPr>
        <w:spacing w:line="360" w:lineRule="auto"/>
        <w:ind w:leftChars="200" w:hanging="5"/>
        <w:rPr>
          <w:rFonts w:ascii="仿宋" w:hAnsi="仿宋" w:eastAsia="仿宋" w:cs="仿宋"/>
          <w:color w:val="auto"/>
          <w:sz w:val="24"/>
          <w:highlight w:val="none"/>
        </w:rPr>
      </w:pPr>
      <w:r>
        <w:rPr>
          <w:rFonts w:hint="eastAsia" w:ascii="仿宋" w:hAnsi="仿宋" w:eastAsia="仿宋" w:cs="仿宋"/>
          <w:color w:val="auto"/>
          <w:sz w:val="24"/>
          <w:highlight w:val="none"/>
        </w:rPr>
        <w:t>供应商与采购人或者采购代理机构之间、供应商相互之间，为谋求特定</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供应商中标、成交或者排斥其他供应商的其他串通行为；</w:t>
      </w:r>
    </w:p>
    <w:p>
      <w:pPr>
        <w:numPr>
          <w:ilvl w:val="0"/>
          <w:numId w:val="12"/>
        </w:numPr>
        <w:spacing w:line="360" w:lineRule="auto"/>
        <w:ind w:leftChars="200" w:hanging="5"/>
        <w:rPr>
          <w:rFonts w:ascii="仿宋" w:hAnsi="仿宋" w:eastAsia="仿宋" w:cs="仿宋"/>
          <w:color w:val="auto"/>
          <w:sz w:val="24"/>
          <w:highlight w:val="none"/>
        </w:rPr>
      </w:pPr>
      <w:r>
        <w:rPr>
          <w:rFonts w:hint="eastAsia" w:ascii="仿宋" w:hAnsi="仿宋" w:eastAsia="仿宋" w:cs="仿宋"/>
          <w:color w:val="auto"/>
          <w:sz w:val="24"/>
          <w:highlight w:val="none"/>
        </w:rPr>
        <w:t>不同供应商的磋商响应文件由同一单位或者个人编制；</w:t>
      </w:r>
    </w:p>
    <w:p>
      <w:pPr>
        <w:numPr>
          <w:ilvl w:val="0"/>
          <w:numId w:val="12"/>
        </w:numPr>
        <w:spacing w:line="360" w:lineRule="auto"/>
        <w:ind w:leftChars="200" w:hanging="5"/>
        <w:rPr>
          <w:rFonts w:ascii="仿宋" w:hAnsi="仿宋" w:eastAsia="仿宋" w:cs="仿宋"/>
          <w:color w:val="auto"/>
          <w:sz w:val="24"/>
          <w:highlight w:val="none"/>
        </w:rPr>
      </w:pPr>
      <w:r>
        <w:rPr>
          <w:rFonts w:hint="eastAsia" w:ascii="仿宋" w:hAnsi="仿宋" w:eastAsia="仿宋" w:cs="仿宋"/>
          <w:color w:val="auto"/>
          <w:sz w:val="24"/>
          <w:highlight w:val="none"/>
        </w:rPr>
        <w:t>不同供应商委托同一单位或者个人办理磋商事宜；</w:t>
      </w:r>
    </w:p>
    <w:p>
      <w:pPr>
        <w:spacing w:line="360" w:lineRule="auto"/>
        <w:ind w:left="368" w:leftChars="175"/>
        <w:rPr>
          <w:rFonts w:ascii="仿宋" w:hAnsi="仿宋" w:eastAsia="仿宋" w:cs="仿宋"/>
          <w:color w:val="auto"/>
          <w:sz w:val="24"/>
          <w:highlight w:val="none"/>
        </w:rPr>
      </w:pPr>
      <w:r>
        <w:rPr>
          <w:rFonts w:hint="eastAsia" w:ascii="仿宋" w:hAnsi="仿宋" w:eastAsia="仿宋" w:cs="仿宋"/>
          <w:color w:val="auto"/>
          <w:sz w:val="24"/>
          <w:highlight w:val="none"/>
        </w:rPr>
        <w:t>(10)不同供应商的磋商响应文件载明的项目管理成员或者联系人员为同</w:t>
      </w:r>
    </w:p>
    <w:p>
      <w:pPr>
        <w:spacing w:line="360" w:lineRule="auto"/>
        <w:ind w:firstLine="420" w:firstLineChars="175"/>
        <w:rPr>
          <w:rFonts w:ascii="仿宋" w:hAnsi="仿宋" w:eastAsia="仿宋" w:cs="仿宋"/>
          <w:color w:val="auto"/>
          <w:sz w:val="24"/>
          <w:highlight w:val="none"/>
        </w:rPr>
      </w:pPr>
      <w:r>
        <w:rPr>
          <w:rFonts w:hint="eastAsia" w:ascii="仿宋" w:hAnsi="仿宋" w:eastAsia="仿宋" w:cs="仿宋"/>
          <w:color w:val="auto"/>
          <w:sz w:val="24"/>
          <w:highlight w:val="none"/>
        </w:rPr>
        <w:t>一人；</w:t>
      </w:r>
    </w:p>
    <w:p>
      <w:pPr>
        <w:spacing w:line="360" w:lineRule="auto"/>
        <w:ind w:left="368" w:leftChars="175"/>
        <w:rPr>
          <w:rFonts w:ascii="仿宋" w:hAnsi="仿宋" w:eastAsia="仿宋" w:cs="仿宋"/>
          <w:color w:val="auto"/>
          <w:sz w:val="24"/>
          <w:highlight w:val="none"/>
        </w:rPr>
      </w:pPr>
      <w:r>
        <w:rPr>
          <w:rFonts w:hint="eastAsia" w:ascii="仿宋" w:hAnsi="仿宋" w:eastAsia="仿宋" w:cs="仿宋"/>
          <w:color w:val="auto"/>
          <w:sz w:val="24"/>
          <w:highlight w:val="none"/>
        </w:rPr>
        <w:t>(11)不同供应商的磋商响应文件异常一致或者响应报价呈规律性差异；</w:t>
      </w:r>
    </w:p>
    <w:p>
      <w:pPr>
        <w:spacing w:line="360" w:lineRule="auto"/>
        <w:ind w:left="368" w:leftChars="175"/>
        <w:rPr>
          <w:rFonts w:ascii="仿宋" w:hAnsi="仿宋" w:eastAsia="仿宋" w:cs="仿宋"/>
          <w:color w:val="auto"/>
          <w:sz w:val="24"/>
          <w:highlight w:val="none"/>
        </w:rPr>
      </w:pPr>
      <w:r>
        <w:rPr>
          <w:rFonts w:hint="eastAsia" w:ascii="仿宋" w:hAnsi="仿宋" w:eastAsia="仿宋" w:cs="仿宋"/>
          <w:color w:val="auto"/>
          <w:sz w:val="24"/>
          <w:highlight w:val="none"/>
        </w:rPr>
        <w:t>(12)提供虚假材料谋取成交的。</w:t>
      </w:r>
    </w:p>
    <w:p>
      <w:pPr>
        <w:spacing w:line="360" w:lineRule="auto"/>
        <w:ind w:left="368" w:leftChars="175"/>
        <w:rPr>
          <w:rFonts w:ascii="仿宋" w:hAnsi="仿宋" w:eastAsia="仿宋" w:cs="仿宋"/>
          <w:color w:val="auto"/>
          <w:sz w:val="24"/>
          <w:highlight w:val="none"/>
        </w:rPr>
      </w:pPr>
      <w:r>
        <w:rPr>
          <w:rFonts w:hint="eastAsia" w:ascii="仿宋" w:hAnsi="仿宋" w:eastAsia="仿宋" w:cs="仿宋"/>
          <w:color w:val="auto"/>
          <w:sz w:val="24"/>
          <w:highlight w:val="none"/>
        </w:rPr>
        <w:t>(13)供应商仅提交备份响应文件，未在电子交易平台传输递交响应文件的，响应文件无效；</w:t>
      </w:r>
    </w:p>
    <w:p>
      <w:pPr>
        <w:spacing w:line="360" w:lineRule="auto"/>
        <w:ind w:left="368" w:leftChars="175"/>
        <w:rPr>
          <w:rFonts w:ascii="仿宋" w:hAnsi="仿宋" w:eastAsia="仿宋" w:cs="仿宋"/>
          <w:color w:val="auto"/>
          <w:sz w:val="24"/>
          <w:highlight w:val="none"/>
        </w:rPr>
      </w:pPr>
      <w:r>
        <w:rPr>
          <w:rFonts w:hint="eastAsia" w:ascii="仿宋" w:hAnsi="仿宋" w:eastAsia="仿宋" w:cs="仿宋"/>
          <w:color w:val="auto"/>
          <w:sz w:val="24"/>
          <w:highlight w:val="none"/>
        </w:rPr>
        <w:t>(14)响应文件不满足采购文件的其它实质性要求的；</w:t>
      </w:r>
    </w:p>
    <w:p>
      <w:pPr>
        <w:spacing w:line="360" w:lineRule="auto"/>
        <w:ind w:left="368" w:leftChars="175"/>
        <w:rPr>
          <w:rFonts w:ascii="仿宋" w:hAnsi="仿宋" w:eastAsia="仿宋" w:cs="仿宋"/>
          <w:color w:val="auto"/>
          <w:sz w:val="24"/>
          <w:highlight w:val="none"/>
        </w:rPr>
      </w:pPr>
      <w:r>
        <w:rPr>
          <w:rFonts w:hint="eastAsia" w:ascii="仿宋" w:hAnsi="仿宋" w:eastAsia="仿宋" w:cs="仿宋"/>
          <w:color w:val="auto"/>
          <w:sz w:val="24"/>
          <w:highlight w:val="none"/>
        </w:rPr>
        <w:t>(15)法律、法规、规章及省级以上规范性文件规定的其他无效情形。</w:t>
      </w:r>
    </w:p>
    <w:p>
      <w:pPr>
        <w:pStyle w:val="26"/>
        <w:snapToGrid w:val="0"/>
        <w:spacing w:line="360" w:lineRule="auto"/>
        <w:ind w:firstLine="472" w:firstLineChars="196"/>
        <w:rPr>
          <w:rFonts w:ascii="仿宋" w:hAnsi="仿宋" w:eastAsia="仿宋" w:cs="仿宋"/>
          <w:color w:val="auto"/>
          <w:highlight w:val="none"/>
        </w:rPr>
      </w:pPr>
      <w:r>
        <w:rPr>
          <w:rFonts w:hint="eastAsia" w:ascii="仿宋" w:hAnsi="仿宋" w:eastAsia="仿宋" w:cs="仿宋"/>
          <w:b/>
          <w:color w:val="auto"/>
          <w:highlight w:val="none"/>
        </w:rPr>
        <w:t>5.终止竞争性磋商采购活动。</w:t>
      </w:r>
      <w:r>
        <w:rPr>
          <w:rFonts w:hint="eastAsia" w:ascii="仿宋" w:hAnsi="仿宋" w:eastAsia="仿宋" w:cs="仿宋"/>
          <w:color w:val="auto"/>
          <w:highlight w:val="none"/>
        </w:rPr>
        <w:t>出现下列情形之一的，采购人或者采购代理机构应当终止竞争性磋商采购活动，发布项目终止公告并说明原因，重新开展采购活动：</w:t>
      </w:r>
    </w:p>
    <w:p>
      <w:pPr>
        <w:pStyle w:val="26"/>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5.1因情况变化，不再符合规定的竞争性磋商采购方式适用情形的；</w:t>
      </w:r>
    </w:p>
    <w:p>
      <w:pPr>
        <w:pStyle w:val="26"/>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pPr>
        <w:pStyle w:val="26"/>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5.3除符合《政府采购竞争性磋商采购方式管理暂行办法》的通知(财库〔2014〕214号)第二十一条第三款规定的情形外，在采购过程中符合要求的供应商或者报价未超过采购预算的供应商不足3家的。</w:t>
      </w:r>
    </w:p>
    <w:p>
      <w:pPr>
        <w:pStyle w:val="26"/>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5.4在采购活动中因重大变故，采购任务取消的，采购人或者采购代理机构应当终止采购活动，通知所有参加采购活动的供应商，并将项目实施情况和采购任务取消原因报送本级财政部门。</w:t>
      </w:r>
    </w:p>
    <w:p>
      <w:pPr>
        <w:pStyle w:val="26"/>
        <w:snapToGrid w:val="0"/>
        <w:spacing w:line="360" w:lineRule="auto"/>
        <w:ind w:firstLine="482"/>
        <w:rPr>
          <w:rFonts w:ascii="仿宋" w:hAnsi="仿宋" w:eastAsia="仿宋" w:cs="仿宋"/>
          <w:color w:val="auto"/>
          <w:highlight w:val="none"/>
        </w:rPr>
      </w:pPr>
      <w:r>
        <w:rPr>
          <w:rFonts w:hint="eastAsia" w:ascii="仿宋" w:hAnsi="仿宋" w:eastAsia="仿宋" w:cs="仿宋"/>
          <w:b/>
          <w:color w:val="auto"/>
          <w:kern w:val="0"/>
          <w:highlight w:val="none"/>
        </w:rPr>
        <w:t>6.重新开展采购。</w:t>
      </w:r>
      <w:r>
        <w:rPr>
          <w:rFonts w:hint="eastAsia" w:ascii="仿宋" w:hAnsi="仿宋" w:eastAsia="仿宋" w:cs="仿宋"/>
          <w:color w:val="auto"/>
          <w:highlight w:val="none"/>
        </w:rPr>
        <w:t>有政府采购法第七十一条、第七十二条规定的违法行为之一，影响或者可能影响成交结果的，依照下列规定处理：</w:t>
      </w:r>
    </w:p>
    <w:p>
      <w:pPr>
        <w:pStyle w:val="26"/>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6.1未确定成交供应商的，终止本次政府采购活动，重新开展政府采购活动。</w:t>
      </w:r>
    </w:p>
    <w:p>
      <w:pPr>
        <w:pStyle w:val="26"/>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6.2已确定成交供应商但尚未签订政府采购合同的，成交结果无效，从合格的成交候选供应商中另行确定成交供应商；没有合格的成交候选供应商的，重新开展政府采购活动。</w:t>
      </w:r>
    </w:p>
    <w:p>
      <w:pPr>
        <w:pStyle w:val="26"/>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6.3政府采购合同已签订但尚未履行的，撤销合同，从合格的成交候选供应商中另行确定成交供应商；没有合格的成交候选供应商的，重新开展政府采购活动。</w:t>
      </w:r>
    </w:p>
    <w:p>
      <w:pPr>
        <w:pStyle w:val="26"/>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6.4政府采购合同已经履行，给采购人、供应商造成损失的，由责任人承担赔偿责任。</w:t>
      </w:r>
    </w:p>
    <w:p>
      <w:pPr>
        <w:pStyle w:val="26"/>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6.5政府采购当事人有其他违反政府采购法或者政府采购法实施条例等法律法规规定的行为，经改正后仍然影响或者可能影响成交结果或者依法被认定为成交无效的，依照6.1-6.4规定处理。</w:t>
      </w:r>
    </w:p>
    <w:p>
      <w:pPr>
        <w:pStyle w:val="59"/>
        <w:widowControl w:val="0"/>
        <w:numPr>
          <w:ilvl w:val="0"/>
          <w:numId w:val="8"/>
        </w:numPr>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highlight w:val="none"/>
          <w:lang w:val="en-US"/>
        </w:rPr>
      </w:pPr>
      <w:bookmarkStart w:id="937" w:name="_Toc20908"/>
      <w:bookmarkStart w:id="938" w:name="_Toc139797648"/>
      <w:bookmarkStart w:id="939" w:name="_Toc5894"/>
      <w:r>
        <w:rPr>
          <w:rFonts w:hint="eastAsia" w:ascii="仿宋" w:hAnsi="仿宋" w:eastAsia="仿宋" w:cs="仿宋"/>
          <w:bCs/>
          <w:color w:val="auto"/>
          <w:kern w:val="2"/>
          <w:sz w:val="30"/>
          <w:szCs w:val="30"/>
          <w:highlight w:val="none"/>
          <w:lang w:val="en-US"/>
        </w:rPr>
        <w:t>评审过程的保密与录像</w:t>
      </w:r>
      <w:bookmarkEnd w:id="937"/>
      <w:bookmarkEnd w:id="938"/>
      <w:bookmarkEnd w:id="939"/>
    </w:p>
    <w:p>
      <w:pPr>
        <w:widowControl/>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1.保密。</w:t>
      </w:r>
      <w:r>
        <w:rPr>
          <w:rFonts w:hint="eastAsia" w:ascii="仿宋" w:hAnsi="仿宋" w:eastAsia="仿宋" w:cs="仿宋"/>
          <w:color w:val="auto"/>
          <w:sz w:val="24"/>
          <w:highlight w:val="none"/>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pPr>
        <w:widowControl/>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2.录音录像。</w:t>
      </w:r>
      <w:r>
        <w:rPr>
          <w:rFonts w:hint="eastAsia" w:ascii="仿宋" w:hAnsi="仿宋" w:eastAsia="仿宋" w:cs="仿宋"/>
          <w:color w:val="auto"/>
          <w:sz w:val="24"/>
          <w:highlight w:val="none"/>
        </w:rPr>
        <w:t>采购代理机构对评审工作现场进行全过程录音录像，录音录像资料作为采购项目文件随其他文件一并存档。</w:t>
      </w:r>
    </w:p>
    <w:p>
      <w:pPr>
        <w:rPr>
          <w:rFonts w:ascii="仿宋" w:hAnsi="仿宋" w:eastAsia="仿宋" w:cs="仿宋"/>
          <w:color w:val="auto"/>
          <w:highlight w:val="none"/>
        </w:rPr>
        <w:sectPr>
          <w:pgSz w:w="11905" w:h="16838"/>
          <w:pgMar w:top="1440" w:right="1803" w:bottom="1440" w:left="1803" w:header="851" w:footer="992" w:gutter="0"/>
          <w:cols w:space="0" w:num="1"/>
          <w:rtlGutter w:val="0"/>
          <w:docGrid w:linePitch="0" w:charSpace="0"/>
        </w:sectPr>
      </w:pPr>
    </w:p>
    <w:p>
      <w:pPr>
        <w:pStyle w:val="4"/>
        <w:keepNext/>
        <w:keepLines/>
        <w:pageBreakBefore w:val="0"/>
        <w:widowControl w:val="0"/>
        <w:kinsoku/>
        <w:wordWrap/>
        <w:overflowPunct/>
        <w:topLinePunct w:val="0"/>
        <w:autoSpaceDE/>
        <w:autoSpaceDN/>
        <w:bidi w:val="0"/>
        <w:adjustRightInd w:val="0"/>
        <w:snapToGrid/>
        <w:spacing w:before="0" w:after="0" w:line="416" w:lineRule="auto"/>
        <w:ind w:left="901"/>
        <w:textAlignment w:val="auto"/>
        <w:rPr>
          <w:rFonts w:hint="eastAsia" w:ascii="仿宋" w:hAnsi="仿宋" w:eastAsia="仿宋" w:cs="仿宋"/>
          <w:color w:val="auto"/>
          <w:sz w:val="28"/>
          <w:szCs w:val="28"/>
        </w:rPr>
      </w:pPr>
      <w:bookmarkStart w:id="940" w:name="_Toc7596"/>
      <w:r>
        <w:rPr>
          <w:rFonts w:hint="eastAsia" w:ascii="仿宋" w:hAnsi="仿宋" w:eastAsia="仿宋" w:cs="仿宋"/>
          <w:color w:val="auto"/>
          <w:sz w:val="28"/>
          <w:szCs w:val="28"/>
        </w:rPr>
        <w:t>附件1：质疑函范本及制作说明</w:t>
      </w:r>
      <w:bookmarkEnd w:id="940"/>
    </w:p>
    <w:p>
      <w:pPr>
        <w:spacing w:line="360" w:lineRule="auto"/>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pPr>
        <w:snapToGrid w:val="0"/>
        <w:spacing w:before="240" w:beforeLines="100"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w:t>
      </w:r>
    </w:p>
    <w:p>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pPr>
        <w:spacing w:line="360" w:lineRule="auto"/>
        <w:jc w:val="center"/>
        <w:rPr>
          <w:rFonts w:ascii="仿宋" w:hAnsi="仿宋" w:eastAsia="仿宋" w:cs="仿宋"/>
          <w:b/>
          <w:bCs/>
          <w:color w:val="auto"/>
          <w:sz w:val="24"/>
          <w:highlight w:val="none"/>
        </w:rPr>
      </w:pPr>
    </w:p>
    <w:p>
      <w:pPr>
        <w:spacing w:line="360" w:lineRule="auto"/>
        <w:rPr>
          <w:rFonts w:ascii="仿宋" w:hAnsi="仿宋" w:eastAsia="仿宋" w:cs="仿宋"/>
          <w:b/>
          <w:color w:val="auto"/>
          <w:sz w:val="24"/>
          <w:highlight w:val="none"/>
        </w:rPr>
      </w:pP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 w:hAnsi="仿宋" w:eastAsia="仿宋" w:cs="仿宋"/>
          <w:color w:val="auto"/>
          <w:sz w:val="30"/>
          <w:szCs w:val="30"/>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center"/>
        <w:rPr>
          <w:rFonts w:ascii="仿宋" w:hAnsi="仿宋" w:eastAsia="仿宋" w:cs="仿宋"/>
          <w:b/>
          <w:color w:val="auto"/>
          <w:spacing w:val="6"/>
          <w:sz w:val="32"/>
          <w:szCs w:val="32"/>
          <w:highlight w:val="none"/>
        </w:rPr>
      </w:pPr>
    </w:p>
    <w:p>
      <w:pPr>
        <w:spacing w:line="360" w:lineRule="auto"/>
        <w:jc w:val="left"/>
        <w:rPr>
          <w:rFonts w:ascii="仿宋" w:hAnsi="仿宋" w:eastAsia="仿宋" w:cs="仿宋"/>
          <w:b/>
          <w:color w:val="auto"/>
          <w:spacing w:val="6"/>
          <w:sz w:val="32"/>
          <w:szCs w:val="32"/>
          <w:highlight w:val="none"/>
        </w:rPr>
      </w:pPr>
    </w:p>
    <w:p>
      <w:pPr>
        <w:pStyle w:val="4"/>
        <w:keepNext/>
        <w:keepLines/>
        <w:pageBreakBefore w:val="0"/>
        <w:widowControl w:val="0"/>
        <w:kinsoku/>
        <w:wordWrap/>
        <w:overflowPunct/>
        <w:topLinePunct w:val="0"/>
        <w:autoSpaceDE/>
        <w:autoSpaceDN/>
        <w:bidi w:val="0"/>
        <w:adjustRightInd w:val="0"/>
        <w:snapToGrid/>
        <w:spacing w:before="0" w:after="0" w:line="416" w:lineRule="auto"/>
        <w:ind w:left="901"/>
        <w:textAlignment w:val="auto"/>
        <w:rPr>
          <w:rFonts w:hint="eastAsia" w:ascii="仿宋" w:hAnsi="仿宋" w:eastAsia="仿宋" w:cs="仿宋"/>
          <w:color w:val="auto"/>
          <w:sz w:val="28"/>
          <w:szCs w:val="28"/>
        </w:rPr>
      </w:pPr>
      <w:bookmarkStart w:id="941" w:name="_Toc8811"/>
      <w:r>
        <w:rPr>
          <w:rFonts w:hint="eastAsia" w:ascii="仿宋" w:hAnsi="仿宋" w:eastAsia="仿宋" w:cs="仿宋"/>
          <w:color w:val="auto"/>
          <w:sz w:val="28"/>
          <w:szCs w:val="28"/>
        </w:rPr>
        <w:t>附件2：投诉书范本及制作说明</w:t>
      </w:r>
      <w:bookmarkEnd w:id="941"/>
    </w:p>
    <w:p>
      <w:pPr>
        <w:spacing w:line="360" w:lineRule="auto"/>
        <w:jc w:val="center"/>
        <w:rPr>
          <w:rFonts w:ascii="仿宋" w:hAnsi="仿宋" w:eastAsia="仿宋" w:cs="仿宋"/>
          <w:b/>
          <w:color w:val="auto"/>
          <w:sz w:val="24"/>
          <w:highlight w:val="none"/>
        </w:rPr>
      </w:pPr>
    </w:p>
    <w:p>
      <w:pPr>
        <w:spacing w:line="360" w:lineRule="auto"/>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keepNext w:val="0"/>
        <w:keepLines w:val="0"/>
        <w:pageBreakBefore w:val="0"/>
        <w:widowControl w:val="0"/>
        <w:tabs>
          <w:tab w:val="left" w:pos="6510"/>
        </w:tabs>
        <w:kinsoku/>
        <w:wordWrap/>
        <w:overflowPunct/>
        <w:topLinePunct w:val="0"/>
        <w:autoSpaceDE/>
        <w:autoSpaceDN/>
        <w:bidi w:val="0"/>
        <w:adjustRightInd w:val="0"/>
        <w:snapToGrid/>
        <w:spacing w:line="348" w:lineRule="auto"/>
        <w:jc w:val="left"/>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keepNext w:val="0"/>
        <w:keepLines w:val="0"/>
        <w:pageBreakBefore w:val="0"/>
        <w:widowControl w:val="0"/>
        <w:tabs>
          <w:tab w:val="left" w:pos="6510"/>
        </w:tabs>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被投诉人2</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dotted"/>
        </w:rPr>
      </w:pPr>
      <w:r>
        <w:rPr>
          <w:rFonts w:hint="eastAsia" w:ascii="仿宋" w:hAnsi="仿宋" w:eastAsia="仿宋" w:cs="仿宋"/>
          <w:color w:val="auto"/>
          <w:sz w:val="24"/>
          <w:highlight w:val="none"/>
        </w:rPr>
        <w:t>……</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pPr>
        <w:keepNext w:val="0"/>
        <w:keepLines w:val="0"/>
        <w:pageBreakBefore w:val="0"/>
        <w:widowControl w:val="0"/>
        <w:kinsoku/>
        <w:wordWrap/>
        <w:overflowPunct/>
        <w:topLinePunct w:val="0"/>
        <w:autoSpaceDE/>
        <w:autoSpaceDN/>
        <w:bidi w:val="0"/>
        <w:adjustRightInd w:val="0"/>
        <w:snapToGrid/>
        <w:spacing w:line="348" w:lineRule="auto"/>
        <w:ind w:firstLine="480" w:firstLineChars="200"/>
        <w:textAlignment w:val="auto"/>
        <w:rPr>
          <w:rFonts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keepNext w:val="0"/>
        <w:keepLines w:val="0"/>
        <w:pageBreakBefore w:val="0"/>
        <w:widowControl w:val="0"/>
        <w:kinsoku/>
        <w:wordWrap/>
        <w:overflowPunct/>
        <w:topLinePunct w:val="0"/>
        <w:autoSpaceDE/>
        <w:autoSpaceDN/>
        <w:bidi w:val="0"/>
        <w:adjustRightInd w:val="0"/>
        <w:snapToGrid/>
        <w:spacing w:line="348" w:lineRule="auto"/>
        <w:ind w:firstLine="360" w:firstLineChars="150"/>
        <w:textAlignment w:val="auto"/>
        <w:rPr>
          <w:rFonts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投诉事项2</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dotted"/>
        </w:rPr>
      </w:pPr>
      <w:r>
        <w:rPr>
          <w:rFonts w:hint="eastAsia" w:ascii="仿宋" w:hAnsi="仿宋" w:eastAsia="仿宋" w:cs="仿宋"/>
          <w:color w:val="auto"/>
          <w:sz w:val="24"/>
          <w:highlight w:val="none"/>
        </w:rPr>
        <w:t>……</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pPr>
        <w:keepNext w:val="0"/>
        <w:keepLines w:val="0"/>
        <w:pageBreakBefore w:val="0"/>
        <w:widowControl w:val="0"/>
        <w:kinsoku/>
        <w:wordWrap/>
        <w:overflowPunct/>
        <w:topLinePunct w:val="0"/>
        <w:autoSpaceDE/>
        <w:autoSpaceDN/>
        <w:bidi w:val="0"/>
        <w:adjustRightInd w:val="0"/>
        <w:snapToGrid/>
        <w:spacing w:line="348"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pPr>
        <w:bidi w:val="0"/>
      </w:pPr>
    </w:p>
    <w:p>
      <w:pPr>
        <w:bidi w:val="0"/>
      </w:pP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pPr>
        <w:widowControl/>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pPr>
        <w:pStyle w:val="4"/>
        <w:keepNext/>
        <w:keepLines/>
        <w:pageBreakBefore w:val="0"/>
        <w:widowControl w:val="0"/>
        <w:kinsoku/>
        <w:wordWrap/>
        <w:overflowPunct/>
        <w:topLinePunct w:val="0"/>
        <w:autoSpaceDE/>
        <w:autoSpaceDN/>
        <w:bidi w:val="0"/>
        <w:adjustRightInd w:val="0"/>
        <w:snapToGrid/>
        <w:spacing w:before="0" w:after="0" w:line="416" w:lineRule="auto"/>
        <w:ind w:left="901"/>
        <w:textAlignment w:val="auto"/>
        <w:rPr>
          <w:rFonts w:hint="default" w:ascii="仿宋" w:hAnsi="仿宋" w:eastAsia="仿宋" w:cs="仿宋"/>
          <w:color w:val="auto"/>
          <w:sz w:val="28"/>
          <w:szCs w:val="28"/>
          <w:lang w:val="en-US" w:eastAsia="zh-CN"/>
        </w:rPr>
      </w:pPr>
      <w:bookmarkStart w:id="942" w:name="_Toc20059"/>
      <w:bookmarkStart w:id="943" w:name="_Toc27580"/>
      <w:bookmarkStart w:id="944" w:name="_Toc8647"/>
      <w:r>
        <w:rPr>
          <w:rFonts w:hint="eastAsia" w:ascii="仿宋" w:hAnsi="仿宋" w:eastAsia="仿宋" w:cs="仿宋"/>
          <w:color w:val="auto"/>
          <w:sz w:val="28"/>
          <w:szCs w:val="28"/>
        </w:rPr>
        <w:t>附件</w:t>
      </w:r>
      <w:r>
        <w:rPr>
          <w:rFonts w:hint="eastAsia" w:ascii="仿宋" w:hAnsi="仿宋" w:eastAsia="仿宋" w:cs="仿宋"/>
          <w:color w:val="auto"/>
          <w:sz w:val="28"/>
          <w:szCs w:val="28"/>
          <w:lang w:val="en-US" w:eastAsia="zh-CN"/>
        </w:rPr>
        <w:t>3</w:t>
      </w:r>
      <w:r>
        <w:rPr>
          <w:rFonts w:hint="eastAsia" w:ascii="仿宋" w:hAnsi="仿宋" w:eastAsia="仿宋" w:cs="仿宋"/>
          <w:color w:val="auto"/>
          <w:sz w:val="28"/>
          <w:szCs w:val="28"/>
        </w:rPr>
        <w:t>:</w:t>
      </w:r>
      <w:bookmarkEnd w:id="942"/>
      <w:bookmarkEnd w:id="943"/>
      <w:r>
        <w:rPr>
          <w:rFonts w:hint="eastAsia" w:ascii="仿宋" w:hAnsi="仿宋" w:eastAsia="仿宋" w:cs="仿宋"/>
          <w:color w:val="auto"/>
          <w:sz w:val="28"/>
          <w:szCs w:val="28"/>
          <w:lang w:val="en-US" w:eastAsia="zh-CN"/>
        </w:rPr>
        <w:t xml:space="preserve"> 政府采购活动现场确认书</w:t>
      </w:r>
      <w:bookmarkEnd w:id="944"/>
    </w:p>
    <w:p>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政府采购活动现场确认声明书</w:t>
      </w:r>
    </w:p>
    <w:p>
      <w:pPr>
        <w:pStyle w:val="26"/>
        <w:rPr>
          <w:rFonts w:hint="eastAsia" w:ascii="仿宋" w:hAnsi="仿宋" w:eastAsia="仿宋" w:cs="仿宋"/>
          <w:color w:val="auto"/>
          <w:highlight w:val="none"/>
        </w:rPr>
      </w:pPr>
    </w:p>
    <w:p>
      <w:pPr>
        <w:spacing w:line="360" w:lineRule="auto"/>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（采购代理机构名称）：</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本人经由</w:t>
      </w:r>
      <w:r>
        <w:rPr>
          <w:rFonts w:hint="eastAsia" w:ascii="仿宋" w:hAnsi="仿宋" w:eastAsia="仿宋" w:cs="仿宋"/>
          <w:color w:val="auto"/>
          <w:sz w:val="24"/>
          <w:szCs w:val="24"/>
          <w:highlight w:val="none"/>
          <w:u w:val="single"/>
        </w:rPr>
        <w:t xml:space="preserve">   （公司名称）      </w:t>
      </w:r>
      <w:r>
        <w:rPr>
          <w:rFonts w:hint="eastAsia" w:ascii="仿宋" w:hAnsi="仿宋" w:eastAsia="仿宋" w:cs="仿宋"/>
          <w:color w:val="auto"/>
          <w:sz w:val="24"/>
          <w:szCs w:val="24"/>
          <w:highlight w:val="none"/>
        </w:rPr>
        <w:t>法定代表人（负责人）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，合法授权参加</w:t>
      </w:r>
      <w:r>
        <w:rPr>
          <w:rFonts w:hint="eastAsia" w:ascii="仿宋" w:hAnsi="仿宋" w:eastAsia="仿宋" w:cs="仿宋"/>
          <w:color w:val="auto"/>
          <w:sz w:val="24"/>
          <w:szCs w:val="24"/>
          <w:highlight w:val="none"/>
          <w:u w:val="single"/>
        </w:rPr>
        <w:t>（项目名称）（项目编号：XXXX） 政府</w:t>
      </w:r>
      <w:r>
        <w:rPr>
          <w:rFonts w:hint="eastAsia" w:ascii="仿宋" w:hAnsi="仿宋" w:eastAsia="仿宋" w:cs="仿宋"/>
          <w:color w:val="auto"/>
          <w:sz w:val="24"/>
          <w:szCs w:val="24"/>
          <w:highlight w:val="none"/>
        </w:rPr>
        <w:t>采购活动，经与本单位法人代表（负责人）联系确认，现就有关公平竞争事项郑重声明如下：</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一、本单位与采购人之间 □不存在利害关系 □存在下列利害关系</w:t>
      </w:r>
      <w:r>
        <w:rPr>
          <w:rFonts w:hint="eastAsia" w:ascii="仿宋" w:hAnsi="仿宋" w:eastAsia="仿宋" w:cs="仿宋"/>
          <w:color w:val="auto"/>
          <w:sz w:val="24"/>
          <w:szCs w:val="24"/>
          <w:highlight w:val="none"/>
          <w:u w:val="single"/>
        </w:rPr>
        <w:t xml:space="preserve">         ：</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A.投资关系    B.行政隶属关系    C.业务指导关系</w:t>
      </w:r>
    </w:p>
    <w:p>
      <w:pPr>
        <w:spacing w:line="360" w:lineRule="auto"/>
        <w:ind w:firstLine="48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D.其他可能影响采购公正的利害关系（如有，请如实说明）</w:t>
      </w:r>
      <w:r>
        <w:rPr>
          <w:rFonts w:hint="eastAsia" w:ascii="仿宋" w:hAnsi="仿宋" w:eastAsia="仿宋" w:cs="仿宋"/>
          <w:color w:val="auto"/>
          <w:sz w:val="24"/>
          <w:szCs w:val="24"/>
          <w:highlight w:val="none"/>
          <w:u w:val="single"/>
        </w:rPr>
        <w:t xml:space="preserve">         </w:t>
      </w:r>
    </w:p>
    <w:p>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二、现已清楚知道参加本项目采购活动的其他所有供应商名称，本单位</w:t>
      </w:r>
    </w:p>
    <w:p>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□与其他所有供应商之间均不存在利害关系  □与</w:t>
      </w:r>
      <w:r>
        <w:rPr>
          <w:rFonts w:hint="eastAsia" w:ascii="仿宋" w:hAnsi="仿宋" w:eastAsia="仿宋" w:cs="仿宋"/>
          <w:color w:val="auto"/>
          <w:sz w:val="24"/>
          <w:szCs w:val="24"/>
          <w:highlight w:val="none"/>
          <w:u w:val="single"/>
        </w:rPr>
        <w:t xml:space="preserve">（供应商名称）     </w:t>
      </w:r>
      <w:r>
        <w:rPr>
          <w:rFonts w:hint="eastAsia" w:ascii="仿宋" w:hAnsi="仿宋" w:eastAsia="仿宋" w:cs="仿宋"/>
          <w:color w:val="auto"/>
          <w:sz w:val="24"/>
          <w:szCs w:val="24"/>
          <w:highlight w:val="none"/>
        </w:rPr>
        <w:t>之间存在下列利害关系</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A.法定代表人或负责人或实际控制人是同一人</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B.法定代表人或负责人或实际控制人是夫妻关系</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C.法定代表人或负责人或实际控制人是直系血亲关系</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D.法定代表人或负责人或实际控制人存在三代以内旁系血亲关系</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E.法定代表人或负责人或实际控制人存在近姻亲关系</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F.法定代表人或负责人或实际控制人存在股份控制或实际控制关系</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G.存在共同直接或间接投资设立子公司、联营企业和合营企业情况</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H.存在分级代理或代销关系、同一生产制造商关系、管理关系、重要业务（占主营业务收入50%以上）或重要财务往来关系（如融资）等其他实质性控制关系</w:t>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I.其他利害关系情况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u w:val="single"/>
        </w:rPr>
        <w:tab/>
      </w:r>
    </w:p>
    <w:p>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三、现已清楚知道并严格遵守政府采购法律法规和现场纪律。</w:t>
      </w:r>
    </w:p>
    <w:p>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四、我发现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和</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供应商之间存在或可能存在上述第二条第</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项利害关系。 </w:t>
      </w:r>
    </w:p>
    <w:p>
      <w:pPr>
        <w:spacing w:line="360" w:lineRule="auto"/>
        <w:ind w:firstLine="480"/>
        <w:rPr>
          <w:rFonts w:hint="eastAsia" w:ascii="仿宋" w:hAnsi="仿宋" w:eastAsia="仿宋" w:cs="仿宋"/>
          <w:color w:val="auto"/>
          <w:sz w:val="24"/>
          <w:szCs w:val="24"/>
          <w:highlight w:val="none"/>
        </w:rPr>
      </w:pPr>
    </w:p>
    <w:p>
      <w:pPr>
        <w:spacing w:line="360" w:lineRule="auto"/>
        <w:ind w:firstLine="120" w:firstLineChars="5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（供应商代表签名）：                                             </w:t>
      </w:r>
    </w:p>
    <w:p>
      <w:pPr>
        <w:spacing w:line="360" w:lineRule="auto"/>
        <w:jc w:val="right"/>
        <w:rPr>
          <w:rFonts w:hint="eastAsia" w:ascii="仿宋" w:hAnsi="仿宋" w:eastAsia="仿宋" w:cs="仿宋"/>
          <w:color w:val="auto"/>
          <w:sz w:val="28"/>
          <w:szCs w:val="28"/>
          <w:highlight w:val="none"/>
        </w:rPr>
      </w:pPr>
      <w:r>
        <w:rPr>
          <w:rFonts w:hint="eastAsia" w:ascii="仿宋" w:hAnsi="仿宋" w:eastAsia="仿宋" w:cs="仿宋"/>
          <w:color w:val="auto"/>
          <w:sz w:val="24"/>
          <w:szCs w:val="24"/>
          <w:highlight w:val="none"/>
        </w:rPr>
        <w:t xml:space="preserve">        年   月   日</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8"/>
          <w:szCs w:val="28"/>
          <w:highlight w:val="none"/>
        </w:rPr>
        <w:t xml:space="preserve"> </w:t>
      </w:r>
      <w:r>
        <w:rPr>
          <w:rFonts w:hint="eastAsia" w:ascii="仿宋" w:hAnsi="仿宋" w:eastAsia="仿宋" w:cs="仿宋"/>
          <w:color w:val="auto"/>
          <w:sz w:val="28"/>
          <w:szCs w:val="28"/>
          <w:highlight w:val="none"/>
        </w:rPr>
        <w:tab/>
      </w:r>
    </w:p>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注：1、供应商认为有利害关系和需要回避的人员，应提供相关证明材料，与本声明书一同提交。由采购代理机构和财政监督部门负责询问核查；</w:t>
      </w:r>
    </w:p>
    <w:p>
      <w:pPr>
        <w:spacing w:line="360" w:lineRule="auto"/>
        <w:ind w:firstLine="48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rPr>
        <w:fldChar w:fldCharType="begin"/>
      </w:r>
      <w:r>
        <w:rPr>
          <w:rFonts w:hint="eastAsia" w:ascii="仿宋" w:hAnsi="仿宋" w:eastAsia="仿宋" w:cs="仿宋"/>
          <w:b/>
          <w:color w:val="auto"/>
          <w:sz w:val="24"/>
          <w:highlight w:val="none"/>
        </w:rPr>
        <w:instrText xml:space="preserve"> HYPERLINK "mailto:该声明书在投标文件解密后30分钟内以邮件方式发送至邮箱lssggzyjyzx@163.com" </w:instrText>
      </w:r>
      <w:r>
        <w:rPr>
          <w:rFonts w:hint="eastAsia" w:ascii="仿宋" w:hAnsi="仿宋" w:eastAsia="仿宋" w:cs="仿宋"/>
          <w:b/>
          <w:color w:val="auto"/>
          <w:sz w:val="24"/>
          <w:highlight w:val="none"/>
        </w:rPr>
        <w:fldChar w:fldCharType="separate"/>
      </w:r>
      <w:r>
        <w:rPr>
          <w:rStyle w:val="76"/>
          <w:rFonts w:hint="eastAsia" w:ascii="仿宋" w:hAnsi="仿宋" w:eastAsia="仿宋" w:cs="仿宋"/>
          <w:b/>
          <w:color w:val="auto"/>
          <w:sz w:val="24"/>
          <w:highlight w:val="none"/>
          <w:u w:val="none"/>
        </w:rPr>
        <w:t>该声明书在投标文件解密后30分钟内以邮件方式发送至邮箱596722349 @qq.com</w:t>
      </w:r>
      <w:r>
        <w:rPr>
          <w:rFonts w:hint="eastAsia" w:ascii="仿宋" w:hAnsi="仿宋" w:eastAsia="仿宋" w:cs="仿宋"/>
          <w:b/>
          <w:color w:val="auto"/>
          <w:sz w:val="24"/>
          <w:highlight w:val="none"/>
        </w:rPr>
        <w:fldChar w:fldCharType="end"/>
      </w:r>
      <w:r>
        <w:rPr>
          <w:rFonts w:hint="eastAsia" w:ascii="仿宋" w:hAnsi="仿宋" w:eastAsia="仿宋" w:cs="仿宋"/>
          <w:b/>
          <w:color w:val="auto"/>
          <w:sz w:val="24"/>
          <w:highlight w:val="none"/>
        </w:rPr>
        <w:t>；</w:t>
      </w:r>
    </w:p>
    <w:p>
      <w:pPr>
        <w:spacing w:line="360" w:lineRule="auto"/>
        <w:ind w:firstLine="482"/>
        <w:rPr>
          <w:rFonts w:hint="eastAsia" w:ascii="仿宋" w:hAnsi="仿宋" w:eastAsia="仿宋" w:cs="仿宋"/>
          <w:b/>
          <w:color w:val="auto"/>
          <w:highlight w:val="none"/>
        </w:rPr>
      </w:pPr>
      <w:r>
        <w:rPr>
          <w:rFonts w:hint="eastAsia" w:ascii="仿宋" w:hAnsi="仿宋" w:eastAsia="仿宋" w:cs="仿宋"/>
          <w:b/>
          <w:color w:val="auto"/>
          <w:sz w:val="24"/>
          <w:highlight w:val="none"/>
        </w:rPr>
        <w:t>3、该声明书请各供应商在开标前提前准备好。</w:t>
      </w:r>
    </w:p>
    <w:p>
      <w:pPr>
        <w:widowControl/>
        <w:spacing w:line="360" w:lineRule="auto"/>
        <w:ind w:firstLine="480" w:firstLineChars="200"/>
        <w:jc w:val="left"/>
        <w:rPr>
          <w:rFonts w:hint="eastAsia" w:ascii="仿宋" w:hAnsi="仿宋" w:eastAsia="仿宋" w:cs="仿宋"/>
          <w:color w:val="auto"/>
          <w:sz w:val="24"/>
          <w:highlight w:val="none"/>
        </w:rPr>
      </w:pPr>
    </w:p>
    <w:sectPr>
      <w:footerReference r:id="rId15" w:type="first"/>
      <w:headerReference r:id="rId14" w:type="default"/>
      <w:pgSz w:w="11905" w:h="16838"/>
      <w:pgMar w:top="1440" w:right="1803" w:bottom="1440" w:left="1803" w:header="851" w:footer="992" w:gutter="0"/>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等线 Light">
    <w:altName w:val="宋体"/>
    <w:panose1 w:val="02010600030101010101"/>
    <w:charset w:val="86"/>
    <w:family w:val="auto"/>
    <w:pitch w:val="default"/>
    <w:sig w:usb0="00000000" w:usb1="00000000" w:usb2="00000016" w:usb3="00000000" w:csb0="0004000F" w:csb1="00000000"/>
  </w:font>
  <w:font w:name="Futura Bk">
    <w:altName w:val="Arial"/>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altName w:val="Lucida Sans Unicode"/>
    <w:panose1 w:val="020B0602030504090204"/>
    <w:charset w:val="00"/>
    <w:family w:val="swiss"/>
    <w:pitch w:val="default"/>
    <w:sig w:usb0="00000000" w:usb1="00000000" w:usb2="00000000" w:usb3="00000000" w:csb0="20000001"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roman"/>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AmdtSymbols"/>
    <w:panose1 w:val="020B0502020202020204"/>
    <w:charset w:val="00"/>
    <w:family w:val="swiss"/>
    <w:pitch w:val="default"/>
    <w:sig w:usb0="00000000"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CS?o｡ﾀ?">
    <w:altName w:val="MS Mincho"/>
    <w:panose1 w:val="00000000000000000000"/>
    <w:charset w:val="80"/>
    <w:family w:val="modern"/>
    <w:pitch w:val="default"/>
    <w:sig w:usb0="00000000" w:usb1="00000000" w:usb2="00000010" w:usb3="00000000" w:csb0="00020000" w:csb1="00000000"/>
  </w:font>
  <w:font w:name="仿宋_GB2312;仿宋">
    <w:altName w:val="仿宋"/>
    <w:panose1 w:val="00000000000000000000"/>
    <w:charset w:val="00"/>
    <w:family w:val="auto"/>
    <w:pitch w:val="default"/>
    <w:sig w:usb0="00000000" w:usb1="00000000" w:usb2="00000000" w:usb3="00000000" w:csb0="00000000" w:csb1="00000000"/>
  </w:font>
  <w:font w:name="AmdtSymbols">
    <w:panose1 w:val="02000500000000020004"/>
    <w:charset w:val="00"/>
    <w:family w:val="auto"/>
    <w:pitch w:val="default"/>
    <w:sig w:usb0="00000001" w:usb1="00000000" w:usb2="00000000" w:usb3="00000000" w:csb0="00000001" w:csb1="00000000"/>
  </w:font>
  <w:font w:name="MS Mincho">
    <w:panose1 w:val="020206090402050803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rPr>
      <w:t>采购代理机：浙江建科工程项目管有限公司        联系电话：0</w:t>
    </w:r>
    <w:r>
      <w:rPr>
        <w:rFonts w:ascii="仿宋_GB2312" w:eastAsia="仿宋_GB2312"/>
      </w:rPr>
      <w:t>578-5083626</w:t>
    </w:r>
    <w:r>
      <w:rPr>
        <w:rFonts w:hint="eastAsia" w:ascii="仿宋_GB2312" w:eastAsia="仿宋_GB2312"/>
      </w:rPr>
      <w:t xml:space="preserve">       传真：0</w:t>
    </w:r>
    <w:r>
      <w:rPr>
        <w:rFonts w:ascii="仿宋_GB2312" w:eastAsia="仿宋_GB2312"/>
      </w:rPr>
      <w:t>578-5081333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rPr>
      <w:t>采购代理机：浙江建科工程项目管有限公司        联系电话：0</w:t>
    </w:r>
    <w:r>
      <w:rPr>
        <w:rFonts w:ascii="仿宋_GB2312" w:eastAsia="仿宋_GB2312"/>
      </w:rPr>
      <w:t>578-5083626</w:t>
    </w:r>
    <w:r>
      <w:rPr>
        <w:rFonts w:hint="eastAsia" w:ascii="仿宋_GB2312" w:eastAsia="仿宋_GB2312"/>
      </w:rPr>
      <w:t xml:space="preserve">       传真：0</w:t>
    </w:r>
    <w:r>
      <w:rPr>
        <w:rFonts w:ascii="仿宋_GB2312" w:eastAsia="仿宋_GB2312"/>
      </w:rPr>
      <w:t>578-5081333</w:t>
    </w:r>
  </w:p>
  <w:p>
    <w:pPr>
      <w:pStyle w:val="41"/>
      <w:jc w:val="cente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rPr>
      <w:t>采购代理机：浙江建科工程项目管有限公司        联系电话：0</w:t>
    </w:r>
    <w:r>
      <w:rPr>
        <w:rFonts w:ascii="仿宋_GB2312" w:eastAsia="仿宋_GB2312"/>
      </w:rPr>
      <w:t>578-5083626</w:t>
    </w:r>
    <w:r>
      <w:rPr>
        <w:rFonts w:hint="eastAsia" w:ascii="仿宋_GB2312" w:eastAsia="仿宋_GB2312"/>
      </w:rPr>
      <w:t xml:space="preserve">       传真：0</w:t>
    </w:r>
    <w:r>
      <w:rPr>
        <w:rFonts w:ascii="仿宋_GB2312" w:eastAsia="仿宋_GB2312"/>
      </w:rPr>
      <w:t>578-5081333</w:t>
    </w:r>
  </w:p>
  <w:p>
    <w:pPr>
      <w:pStyle w:val="41"/>
      <w:jc w:val="center"/>
      <w:rPr>
        <w:rFonts w:ascii="仿宋_GB2312" w:eastAsia="仿宋_GB2312"/>
      </w:rPr>
    </w:pP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p>
  <w:p>
    <w:pPr>
      <w:pStyle w:val="41"/>
      <w:jc w:val="center"/>
      <w:rPr>
        <w:rFonts w:ascii="仿宋_GB2312" w:eastAsia="仿宋_GB2312"/>
      </w:rPr>
    </w:pPr>
    <w:r>
      <w:rPr>
        <w:rFonts w:hint="eastAsia" w:ascii="仿宋_GB2312" w:eastAsia="仿宋_GB2312"/>
      </w:rPr>
      <w:t>采购代理机：浙江建科工程项目管有限公司        联系电话：0</w:t>
    </w:r>
    <w:r>
      <w:rPr>
        <w:rFonts w:ascii="仿宋_GB2312" w:eastAsia="仿宋_GB2312"/>
      </w:rPr>
      <w:t>578-5083626</w:t>
    </w:r>
    <w:r>
      <w:rPr>
        <w:rFonts w:hint="eastAsia" w:ascii="仿宋_GB2312" w:eastAsia="仿宋_GB2312"/>
      </w:rPr>
      <w:t xml:space="preserve">       传真：0</w:t>
    </w:r>
    <w:r>
      <w:rPr>
        <w:rFonts w:ascii="仿宋_GB2312" w:eastAsia="仿宋_GB2312"/>
      </w:rPr>
      <w:t>578-5081333</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rPr>
      <w:t>采购代理机：浙江建科工程项目管有限公司        联系电话：0</w:t>
    </w:r>
    <w:r>
      <w:rPr>
        <w:rFonts w:ascii="仿宋_GB2312" w:eastAsia="仿宋_GB2312"/>
      </w:rPr>
      <w:t>578-5083626</w:t>
    </w:r>
    <w:r>
      <w:rPr>
        <w:rFonts w:hint="eastAsia" w:ascii="仿宋_GB2312" w:eastAsia="仿宋_GB2312"/>
      </w:rPr>
      <w:t xml:space="preserve">       传真：0</w:t>
    </w:r>
    <w:r>
      <w:rPr>
        <w:rFonts w:ascii="仿宋_GB2312" w:eastAsia="仿宋_GB2312"/>
      </w:rPr>
      <w:t>578-5081333</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thinThickSmallGap" w:color="auto" w:sz="12" w:space="0"/>
      </w:pBdr>
      <w:jc w:val="left"/>
      <w:rPr>
        <w:rFonts w:ascii="仿宋_GB2312" w:eastAsia="仿宋_GB2312"/>
        <w:iCs/>
      </w:rPr>
    </w:pPr>
    <w:r>
      <w:rPr>
        <w:rFonts w:hint="eastAsia" w:ascii="仿宋_GB2312" w:eastAsia="仿宋_GB2312"/>
        <w:iCs/>
        <w:lang w:eastAsia="zh-CN"/>
      </w:rPr>
      <w:t>景宁畲族自治县经济商务科技局科技成果转移转化公共服务平台建设项目（景宁科技大市场）</w:t>
    </w:r>
    <w:r>
      <w:rPr>
        <w:rFonts w:hint="eastAsia" w:ascii="仿宋_GB2312" w:eastAsia="仿宋_GB2312"/>
        <w:iCs/>
      </w:rPr>
      <w:t>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tab/>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thinThickSmallGap" w:color="auto" w:sz="12" w:space="0"/>
      </w:pBdr>
      <w:tabs>
        <w:tab w:val="right" w:pos="8334"/>
        <w:tab w:val="clear" w:pos="4153"/>
      </w:tabs>
      <w:jc w:val="left"/>
      <w:rPr>
        <w:rFonts w:ascii="仿宋" w:hAnsi="仿宋" w:eastAsia="仿宋" w:cs="仿宋"/>
        <w:iCs/>
        <w:sz w:val="15"/>
        <w:szCs w:val="15"/>
      </w:rPr>
    </w:pPr>
    <w:r>
      <w:rPr>
        <w:sz w:val="15"/>
        <w:szCs w:val="15"/>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2"/>
                            <w:rPr>
                              <w:rFonts w:hint="eastAsia" w:ascii="仿宋" w:hAnsi="仿宋" w:eastAsia="仿宋" w:cs="仿宋"/>
                              <w:sz w:val="16"/>
                              <w:szCs w:val="16"/>
                            </w:rPr>
                          </w:pPr>
                          <w:r>
                            <w:rPr>
                              <w:rFonts w:hint="eastAsia" w:ascii="仿宋" w:hAnsi="仿宋" w:eastAsia="仿宋" w:cs="仿宋"/>
                              <w:sz w:val="16"/>
                              <w:szCs w:val="16"/>
                            </w:rPr>
                            <w:t xml:space="preserve">第 </w:t>
                          </w:r>
                          <w:r>
                            <w:rPr>
                              <w:rFonts w:hint="eastAsia" w:ascii="仿宋" w:hAnsi="仿宋" w:eastAsia="仿宋" w:cs="仿宋"/>
                              <w:sz w:val="16"/>
                              <w:szCs w:val="16"/>
                            </w:rPr>
                            <w:fldChar w:fldCharType="begin"/>
                          </w:r>
                          <w:r>
                            <w:rPr>
                              <w:rFonts w:hint="eastAsia" w:ascii="仿宋" w:hAnsi="仿宋" w:eastAsia="仿宋" w:cs="仿宋"/>
                              <w:sz w:val="16"/>
                              <w:szCs w:val="16"/>
                            </w:rPr>
                            <w:instrText xml:space="preserve"> PAGE  \* MERGEFORMAT </w:instrText>
                          </w:r>
                          <w:r>
                            <w:rPr>
                              <w:rFonts w:hint="eastAsia" w:ascii="仿宋" w:hAnsi="仿宋" w:eastAsia="仿宋" w:cs="仿宋"/>
                              <w:sz w:val="16"/>
                              <w:szCs w:val="16"/>
                            </w:rPr>
                            <w:fldChar w:fldCharType="separate"/>
                          </w:r>
                          <w:r>
                            <w:rPr>
                              <w:rFonts w:hint="eastAsia" w:ascii="仿宋" w:hAnsi="仿宋" w:eastAsia="仿宋" w:cs="仿宋"/>
                              <w:sz w:val="16"/>
                              <w:szCs w:val="16"/>
                            </w:rPr>
                            <w:t>81</w:t>
                          </w:r>
                          <w:r>
                            <w:rPr>
                              <w:rFonts w:hint="eastAsia" w:ascii="仿宋" w:hAnsi="仿宋" w:eastAsia="仿宋" w:cs="仿宋"/>
                              <w:sz w:val="16"/>
                              <w:szCs w:val="16"/>
                            </w:rPr>
                            <w:fldChar w:fldCharType="end"/>
                          </w:r>
                          <w:r>
                            <w:rPr>
                              <w:rFonts w:hint="eastAsia" w:ascii="仿宋" w:hAnsi="仿宋" w:eastAsia="仿宋" w:cs="仿宋"/>
                              <w:sz w:val="16"/>
                              <w:szCs w:val="16"/>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pPr>
                      <w:pStyle w:val="42"/>
                      <w:rPr>
                        <w:rFonts w:hint="eastAsia" w:ascii="仿宋" w:hAnsi="仿宋" w:eastAsia="仿宋" w:cs="仿宋"/>
                        <w:sz w:val="16"/>
                        <w:szCs w:val="16"/>
                      </w:rPr>
                    </w:pPr>
                    <w:r>
                      <w:rPr>
                        <w:rFonts w:hint="eastAsia" w:ascii="仿宋" w:hAnsi="仿宋" w:eastAsia="仿宋" w:cs="仿宋"/>
                        <w:sz w:val="16"/>
                        <w:szCs w:val="16"/>
                      </w:rPr>
                      <w:t xml:space="preserve">第 </w:t>
                    </w:r>
                    <w:r>
                      <w:rPr>
                        <w:rFonts w:hint="eastAsia" w:ascii="仿宋" w:hAnsi="仿宋" w:eastAsia="仿宋" w:cs="仿宋"/>
                        <w:sz w:val="16"/>
                        <w:szCs w:val="16"/>
                      </w:rPr>
                      <w:fldChar w:fldCharType="begin"/>
                    </w:r>
                    <w:r>
                      <w:rPr>
                        <w:rFonts w:hint="eastAsia" w:ascii="仿宋" w:hAnsi="仿宋" w:eastAsia="仿宋" w:cs="仿宋"/>
                        <w:sz w:val="16"/>
                        <w:szCs w:val="16"/>
                      </w:rPr>
                      <w:instrText xml:space="preserve"> PAGE  \* MERGEFORMAT </w:instrText>
                    </w:r>
                    <w:r>
                      <w:rPr>
                        <w:rFonts w:hint="eastAsia" w:ascii="仿宋" w:hAnsi="仿宋" w:eastAsia="仿宋" w:cs="仿宋"/>
                        <w:sz w:val="16"/>
                        <w:szCs w:val="16"/>
                      </w:rPr>
                      <w:fldChar w:fldCharType="separate"/>
                    </w:r>
                    <w:r>
                      <w:rPr>
                        <w:rFonts w:hint="eastAsia" w:ascii="仿宋" w:hAnsi="仿宋" w:eastAsia="仿宋" w:cs="仿宋"/>
                        <w:sz w:val="16"/>
                        <w:szCs w:val="16"/>
                      </w:rPr>
                      <w:t>81</w:t>
                    </w:r>
                    <w:r>
                      <w:rPr>
                        <w:rFonts w:hint="eastAsia" w:ascii="仿宋" w:hAnsi="仿宋" w:eastAsia="仿宋" w:cs="仿宋"/>
                        <w:sz w:val="16"/>
                        <w:szCs w:val="16"/>
                      </w:rPr>
                      <w:fldChar w:fldCharType="end"/>
                    </w:r>
                    <w:r>
                      <w:rPr>
                        <w:rFonts w:hint="eastAsia" w:ascii="仿宋" w:hAnsi="仿宋" w:eastAsia="仿宋" w:cs="仿宋"/>
                        <w:sz w:val="16"/>
                        <w:szCs w:val="16"/>
                      </w:rPr>
                      <w:t xml:space="preserve"> 页</w:t>
                    </w:r>
                  </w:p>
                </w:txbxContent>
              </v:textbox>
            </v:shape>
          </w:pict>
        </mc:Fallback>
      </mc:AlternateContent>
    </w:r>
    <w:r>
      <w:rPr>
        <w:rFonts w:hint="eastAsia" w:ascii="仿宋" w:hAnsi="仿宋" w:eastAsia="仿宋" w:cs="仿宋"/>
        <w:sz w:val="15"/>
        <w:szCs w:val="15"/>
        <w:lang w:eastAsia="zh-CN"/>
      </w:rPr>
      <w:t>景宁畲族自治县经济商务科技局科技成果转移转化公共服务平台建设项目（景宁科技大市场）</w:t>
    </w:r>
    <w:r>
      <w:rPr>
        <w:rFonts w:hint="eastAsia" w:ascii="仿宋" w:hAnsi="仿宋" w:eastAsia="仿宋" w:cs="仿宋"/>
        <w:sz w:val="15"/>
        <w:szCs w:val="15"/>
      </w:rPr>
      <w:t>竞</w:t>
    </w:r>
    <w:r>
      <w:rPr>
        <w:rFonts w:hint="eastAsia" w:ascii="仿宋" w:hAnsi="仿宋" w:eastAsia="仿宋" w:cs="仿宋"/>
        <w:iCs/>
        <w:sz w:val="15"/>
        <w:szCs w:val="15"/>
      </w:rPr>
      <w:t>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rFonts w:hint="eastAsia" w:ascii="仿宋" w:hAnsi="仿宋" w:eastAsia="仿宋" w:cs="仿宋"/>
        <w:sz w:val="15"/>
        <w:szCs w:val="18"/>
        <w:lang w:eastAsia="zh-CN"/>
      </w:rPr>
      <w:t>景宁畲族自治县经济商务科技局科技成果转移转化公共服务平台建设项目（景宁科技大市场）</w:t>
    </w:r>
    <w:r>
      <w:rPr>
        <w:rFonts w:hint="eastAsia" w:ascii="仿宋" w:hAnsi="仿宋" w:eastAsia="仿宋" w:cs="仿宋"/>
        <w:sz w:val="15"/>
        <w:szCs w:val="18"/>
      </w:rPr>
      <w:t>竞</w:t>
    </w:r>
    <w:r>
      <w:rPr>
        <w:rFonts w:hint="eastAsia" w:ascii="仿宋" w:hAnsi="仿宋" w:eastAsia="仿宋" w:cs="仿宋"/>
        <w:iCs/>
        <w:sz w:val="15"/>
        <w:szCs w:val="18"/>
      </w:rPr>
      <w:t>争性磋商文件</w:t>
    </w: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2"/>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2TVYr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7dk1WKwIAAFcEAAAOAAAAAAAAAAEAIAAAAB8BAABkcnMvZTJvRG9jLnhtbFBLBQYAAAAABgAG&#10;AFkBAAC8BQAAAAA=&#10;">
              <v:fill on="f" focussize="0,0"/>
              <v:stroke on="f" weight="0.5pt"/>
              <v:imagedata o:title=""/>
              <o:lock v:ext="edit" aspectratio="f"/>
              <v:textbox inset="0mm,0mm,0mm,0mm" style="mso-fit-shape-to-text:t;">
                <w:txbxContent>
                  <w:p>
                    <w:pPr>
                      <w:pStyle w:val="42"/>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thinThickSmallGap" w:color="auto" w:sz="12" w:space="0"/>
      </w:pBdr>
      <w:tabs>
        <w:tab w:val="right" w:pos="8334"/>
        <w:tab w:val="clear" w:pos="4153"/>
      </w:tabs>
      <w:jc w:val="left"/>
    </w:pPr>
    <w: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2"/>
                            <w:jc w:val="both"/>
                          </w:pPr>
                          <w:r>
                            <w:t xml:space="preserve">第 </w:t>
                          </w:r>
                          <w:r>
                            <w:fldChar w:fldCharType="begin"/>
                          </w:r>
                          <w:r>
                            <w:instrText xml:space="preserve"> PAGE  \* MERGEFORMAT </w:instrText>
                          </w:r>
                          <w:r>
                            <w:fldChar w:fldCharType="separate"/>
                          </w:r>
                          <w:r>
                            <w:t>82</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pPr>
                      <w:pStyle w:val="42"/>
                      <w:jc w:val="both"/>
                    </w:pPr>
                    <w:r>
                      <w:t xml:space="preserve">第 </w:t>
                    </w:r>
                    <w:r>
                      <w:fldChar w:fldCharType="begin"/>
                    </w:r>
                    <w:r>
                      <w:instrText xml:space="preserve"> PAGE  \* MERGEFORMAT </w:instrText>
                    </w:r>
                    <w:r>
                      <w:fldChar w:fldCharType="separate"/>
                    </w:r>
                    <w:r>
                      <w:t>82</w:t>
                    </w:r>
                    <w:r>
                      <w:fldChar w:fldCharType="end"/>
                    </w:r>
                    <w:r>
                      <w:t xml:space="preserve"> 页</w:t>
                    </w:r>
                  </w:p>
                </w:txbxContent>
              </v:textbox>
            </v:shape>
          </w:pict>
        </mc:Fallback>
      </mc:AlternateContent>
    </w:r>
    <w:r>
      <w:rPr>
        <w:rFonts w:hint="eastAsia" w:ascii="仿宋" w:hAnsi="仿宋" w:eastAsia="仿宋" w:cs="仿宋"/>
        <w:lang w:eastAsia="zh-CN"/>
      </w:rPr>
      <w:t>景宁畲族自治县经济商务科技局科技成果转移转化公共服务平台建设项目（景宁科技大市场）</w:t>
    </w:r>
    <w:r>
      <w:rPr>
        <w:rFonts w:hint="eastAsia" w:ascii="仿宋" w:hAnsi="仿宋" w:eastAsia="仿宋" w:cs="仿宋"/>
      </w:rPr>
      <w:t>竞</w:t>
    </w:r>
    <w:r>
      <w:rPr>
        <w:rFonts w:hint="eastAsia" w:ascii="仿宋" w:hAnsi="仿宋" w:eastAsia="仿宋" w:cs="仿宋"/>
        <w:iCs/>
      </w:rPr>
      <w:t>争性磋商文件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thinThickSmallGap" w:color="auto" w:sz="12" w:space="0"/>
      </w:pBdr>
      <w:tabs>
        <w:tab w:val="right" w:pos="8334"/>
        <w:tab w:val="clear" w:pos="4153"/>
      </w:tabs>
      <w:jc w:val="left"/>
      <w:rPr>
        <w:rFonts w:ascii="仿宋_GB2312"/>
        <w:b/>
        <w:i/>
        <w:iCs/>
        <w:sz w:val="15"/>
        <w:szCs w:val="15"/>
        <w:u w:val="single"/>
      </w:rPr>
    </w:pPr>
    <w:r>
      <w:rPr>
        <w:sz w:val="15"/>
        <w:szCs w:val="15"/>
      </w:rPr>
      <mc:AlternateContent>
        <mc:Choice Requires="wps">
          <w:drawing>
            <wp:anchor distT="0" distB="0" distL="114300" distR="114300" simplePos="0" relativeHeight="251663360" behindDoc="0" locked="0" layoutInCell="1" allowOverlap="1">
              <wp:simplePos x="0" y="0"/>
              <wp:positionH relativeFrom="margin">
                <wp:align>right</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2"/>
                            <w:jc w:val="both"/>
                          </w:pPr>
                          <w:r>
                            <w:t xml:space="preserve">第 </w:t>
                          </w:r>
                          <w:r>
                            <w:fldChar w:fldCharType="begin"/>
                          </w:r>
                          <w:r>
                            <w:instrText xml:space="preserve"> PAGE  \* MERGEFORMAT </w:instrText>
                          </w:r>
                          <w:r>
                            <w:fldChar w:fldCharType="separate"/>
                          </w:r>
                          <w:r>
                            <w:t>84</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pPr>
                      <w:pStyle w:val="42"/>
                      <w:jc w:val="both"/>
                    </w:pPr>
                    <w:r>
                      <w:t xml:space="preserve">第 </w:t>
                    </w:r>
                    <w:r>
                      <w:fldChar w:fldCharType="begin"/>
                    </w:r>
                    <w:r>
                      <w:instrText xml:space="preserve"> PAGE  \* MERGEFORMAT </w:instrText>
                    </w:r>
                    <w:r>
                      <w:fldChar w:fldCharType="separate"/>
                    </w:r>
                    <w:r>
                      <w:t>84</w:t>
                    </w:r>
                    <w:r>
                      <w:fldChar w:fldCharType="end"/>
                    </w:r>
                    <w:r>
                      <w:t xml:space="preserve"> 页</w:t>
                    </w:r>
                  </w:p>
                </w:txbxContent>
              </v:textbox>
            </v:shape>
          </w:pict>
        </mc:Fallback>
      </mc:AlternateContent>
    </w:r>
    <w:r>
      <w:rPr>
        <w:rFonts w:hint="eastAsia" w:ascii="仿宋" w:hAnsi="仿宋" w:eastAsia="仿宋" w:cs="仿宋"/>
        <w:sz w:val="15"/>
        <w:szCs w:val="15"/>
        <w:lang w:eastAsia="zh-CN"/>
      </w:rPr>
      <w:t>景宁畲族自治县经济商务科技局科技成果转移转化公共服务平台建设项目（景宁科技大市场）</w:t>
    </w:r>
    <w:r>
      <w:rPr>
        <w:rFonts w:hint="eastAsia" w:ascii="仿宋" w:hAnsi="仿宋" w:eastAsia="仿宋" w:cs="仿宋"/>
        <w:sz w:val="15"/>
        <w:szCs w:val="15"/>
      </w:rPr>
      <w:t>竞</w:t>
    </w:r>
    <w:r>
      <w:rPr>
        <w:rFonts w:hint="eastAsia" w:ascii="仿宋" w:hAnsi="仿宋" w:eastAsia="仿宋" w:cs="仿宋"/>
        <w:iCs/>
        <w:sz w:val="15"/>
        <w:szCs w:val="15"/>
      </w:rPr>
      <w:t>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3DC750"/>
    <w:multiLevelType w:val="singleLevel"/>
    <w:tmpl w:val="903DC750"/>
    <w:lvl w:ilvl="0" w:tentative="0">
      <w:start w:val="1"/>
      <w:numFmt w:val="chineseCounting"/>
      <w:suff w:val="nothing"/>
      <w:lvlText w:val="%1、"/>
      <w:lvlJc w:val="left"/>
      <w:pPr>
        <w:ind w:left="142" w:firstLine="420"/>
      </w:pPr>
      <w:rPr>
        <w:rFonts w:hint="eastAsia"/>
      </w:rPr>
    </w:lvl>
  </w:abstractNum>
  <w:abstractNum w:abstractNumId="1">
    <w:nsid w:val="B2273F7F"/>
    <w:multiLevelType w:val="singleLevel"/>
    <w:tmpl w:val="B2273F7F"/>
    <w:lvl w:ilvl="0" w:tentative="0">
      <w:start w:val="1"/>
      <w:numFmt w:val="decimal"/>
      <w:lvlText w:val="(%1)"/>
      <w:lvlJc w:val="left"/>
      <w:pPr>
        <w:ind w:left="425" w:hanging="425"/>
      </w:pPr>
      <w:rPr>
        <w:rFonts w:hint="default"/>
      </w:rPr>
    </w:lvl>
  </w:abstractNum>
  <w:abstractNum w:abstractNumId="2">
    <w:nsid w:val="BB6E15C3"/>
    <w:multiLevelType w:val="singleLevel"/>
    <w:tmpl w:val="BB6E15C3"/>
    <w:lvl w:ilvl="0" w:tentative="0">
      <w:start w:val="4"/>
      <w:numFmt w:val="decimal"/>
      <w:lvlText w:val="%1."/>
      <w:lvlJc w:val="left"/>
      <w:pPr>
        <w:tabs>
          <w:tab w:val="left" w:pos="312"/>
        </w:tabs>
      </w:pPr>
    </w:lvl>
  </w:abstractNum>
  <w:abstractNum w:abstractNumId="3">
    <w:nsid w:val="BE157DAF"/>
    <w:multiLevelType w:val="singleLevel"/>
    <w:tmpl w:val="BE157DAF"/>
    <w:lvl w:ilvl="0" w:tentative="0">
      <w:start w:val="1"/>
      <w:numFmt w:val="decimal"/>
      <w:lvlText w:val="(%1)"/>
      <w:lvlJc w:val="left"/>
      <w:pPr>
        <w:ind w:left="425" w:hanging="425"/>
      </w:pPr>
      <w:rPr>
        <w:rFonts w:hint="default"/>
      </w:rPr>
    </w:lvl>
  </w:abstractNum>
  <w:abstractNum w:abstractNumId="4">
    <w:nsid w:val="C060F535"/>
    <w:multiLevelType w:val="singleLevel"/>
    <w:tmpl w:val="C060F535"/>
    <w:lvl w:ilvl="0" w:tentative="0">
      <w:start w:val="1"/>
      <w:numFmt w:val="chineseCounting"/>
      <w:suff w:val="nothing"/>
      <w:lvlText w:val="%1、"/>
      <w:lvlJc w:val="left"/>
      <w:pPr>
        <w:ind w:left="0" w:firstLine="420"/>
      </w:pPr>
      <w:rPr>
        <w:rFonts w:hint="eastAsia"/>
      </w:rPr>
    </w:lvl>
  </w:abstractNum>
  <w:abstractNum w:abstractNumId="5">
    <w:nsid w:val="C9753495"/>
    <w:multiLevelType w:val="singleLevel"/>
    <w:tmpl w:val="C9753495"/>
    <w:lvl w:ilvl="0" w:tentative="0">
      <w:start w:val="1"/>
      <w:numFmt w:val="decimal"/>
      <w:suff w:val="nothing"/>
      <w:lvlText w:val="（%1）"/>
      <w:lvlJc w:val="left"/>
    </w:lvl>
  </w:abstractNum>
  <w:abstractNum w:abstractNumId="6">
    <w:nsid w:val="E86C7D13"/>
    <w:multiLevelType w:val="singleLevel"/>
    <w:tmpl w:val="E86C7D13"/>
    <w:lvl w:ilvl="0" w:tentative="0">
      <w:start w:val="1"/>
      <w:numFmt w:val="chineseCounting"/>
      <w:suff w:val="nothing"/>
      <w:lvlText w:val="%1、"/>
      <w:lvlJc w:val="left"/>
      <w:pPr>
        <w:ind w:left="0" w:firstLine="420"/>
      </w:pPr>
      <w:rPr>
        <w:rFonts w:hint="eastAsia"/>
      </w:rPr>
    </w:lvl>
  </w:abstractNum>
  <w:abstractNum w:abstractNumId="7">
    <w:nsid w:val="15938F0E"/>
    <w:multiLevelType w:val="singleLevel"/>
    <w:tmpl w:val="15938F0E"/>
    <w:lvl w:ilvl="0" w:tentative="0">
      <w:start w:val="1"/>
      <w:numFmt w:val="decimal"/>
      <w:suff w:val="nothing"/>
      <w:lvlText w:val="（%1）"/>
      <w:lvlJc w:val="left"/>
    </w:lvl>
  </w:abstractNum>
  <w:abstractNum w:abstractNumId="8">
    <w:nsid w:val="1F45F06F"/>
    <w:multiLevelType w:val="singleLevel"/>
    <w:tmpl w:val="1F45F06F"/>
    <w:lvl w:ilvl="0" w:tentative="0">
      <w:start w:val="1"/>
      <w:numFmt w:val="decimal"/>
      <w:lvlText w:val="(%1)"/>
      <w:lvlJc w:val="left"/>
      <w:pPr>
        <w:ind w:left="425" w:hanging="425"/>
      </w:pPr>
      <w:rPr>
        <w:rFonts w:hint="default"/>
      </w:rPr>
    </w:lvl>
  </w:abstractNum>
  <w:abstractNum w:abstractNumId="9">
    <w:nsid w:val="21C47489"/>
    <w:multiLevelType w:val="singleLevel"/>
    <w:tmpl w:val="21C47489"/>
    <w:lvl w:ilvl="0" w:tentative="0">
      <w:start w:val="1"/>
      <w:numFmt w:val="decimal"/>
      <w:lvlText w:val="%1."/>
      <w:lvlJc w:val="left"/>
      <w:pPr>
        <w:ind w:left="425" w:hanging="425"/>
      </w:pPr>
      <w:rPr>
        <w:rFonts w:hint="default"/>
      </w:rPr>
    </w:lvl>
  </w:abstractNum>
  <w:abstractNum w:abstractNumId="10">
    <w:nsid w:val="619FE73C"/>
    <w:multiLevelType w:val="singleLevel"/>
    <w:tmpl w:val="619FE73C"/>
    <w:lvl w:ilvl="0" w:tentative="0">
      <w:start w:val="1"/>
      <w:numFmt w:val="decimal"/>
      <w:lvlText w:val="(%1)"/>
      <w:lvlJc w:val="left"/>
      <w:pPr>
        <w:ind w:left="425" w:hanging="425"/>
      </w:pPr>
      <w:rPr>
        <w:rFonts w:hint="default"/>
      </w:rPr>
    </w:lvl>
  </w:abstractNum>
  <w:abstractNum w:abstractNumId="11">
    <w:nsid w:val="669D30B4"/>
    <w:multiLevelType w:val="singleLevel"/>
    <w:tmpl w:val="669D30B4"/>
    <w:lvl w:ilvl="0" w:tentative="0">
      <w:start w:val="1"/>
      <w:numFmt w:val="decimal"/>
      <w:lvlText w:val="(%1)"/>
      <w:lvlJc w:val="left"/>
      <w:pPr>
        <w:ind w:left="425" w:hanging="425"/>
      </w:pPr>
      <w:rPr>
        <w:rFonts w:hint="default"/>
      </w:rPr>
    </w:lvl>
  </w:abstractNum>
  <w:num w:numId="1">
    <w:abstractNumId w:val="2"/>
  </w:num>
  <w:num w:numId="2">
    <w:abstractNumId w:val="7"/>
  </w:num>
  <w:num w:numId="3">
    <w:abstractNumId w:val="0"/>
  </w:num>
  <w:num w:numId="4">
    <w:abstractNumId w:val="5"/>
  </w:num>
  <w:num w:numId="5">
    <w:abstractNumId w:val="4"/>
  </w:num>
  <w:num w:numId="6">
    <w:abstractNumId w:val="9"/>
  </w:num>
  <w:num w:numId="7">
    <w:abstractNumId w:val="8"/>
  </w:num>
  <w:num w:numId="8">
    <w:abstractNumId w:val="6"/>
  </w:num>
  <w:num w:numId="9">
    <w:abstractNumId w:val="11"/>
  </w:num>
  <w:num w:numId="10">
    <w:abstractNumId w:val="10"/>
  </w:num>
  <w:num w:numId="11">
    <w:abstractNumId w:val="3"/>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hideSpellingErrors/>
  <w:documentProtection w:enforcement="0"/>
  <w:defaultTabStop w:val="419"/>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NkYmJmZGU0MjE2NDZhN2RlY2UzNGI4MWMxZmJlZWQifQ=="/>
  </w:docVars>
  <w:rsids>
    <w:rsidRoot w:val="00FF56B7"/>
    <w:rsid w:val="00040992"/>
    <w:rsid w:val="00066217"/>
    <w:rsid w:val="0008248C"/>
    <w:rsid w:val="00114BF2"/>
    <w:rsid w:val="0019769B"/>
    <w:rsid w:val="001D7DF6"/>
    <w:rsid w:val="001E0300"/>
    <w:rsid w:val="0024509D"/>
    <w:rsid w:val="002D592B"/>
    <w:rsid w:val="00351D69"/>
    <w:rsid w:val="0035697E"/>
    <w:rsid w:val="003E1E62"/>
    <w:rsid w:val="00403E05"/>
    <w:rsid w:val="00432EE2"/>
    <w:rsid w:val="00474444"/>
    <w:rsid w:val="0049574F"/>
    <w:rsid w:val="00507CC4"/>
    <w:rsid w:val="005532ED"/>
    <w:rsid w:val="005C39B5"/>
    <w:rsid w:val="00607384"/>
    <w:rsid w:val="00612A48"/>
    <w:rsid w:val="007E0F8B"/>
    <w:rsid w:val="008378C5"/>
    <w:rsid w:val="0089111C"/>
    <w:rsid w:val="008B4747"/>
    <w:rsid w:val="008D13DE"/>
    <w:rsid w:val="008D7073"/>
    <w:rsid w:val="009411F4"/>
    <w:rsid w:val="00981246"/>
    <w:rsid w:val="009A4F9F"/>
    <w:rsid w:val="009F02D8"/>
    <w:rsid w:val="00A027DD"/>
    <w:rsid w:val="00A22300"/>
    <w:rsid w:val="00A957B9"/>
    <w:rsid w:val="00BC757B"/>
    <w:rsid w:val="00BE749D"/>
    <w:rsid w:val="00C467A8"/>
    <w:rsid w:val="00C64D93"/>
    <w:rsid w:val="00D20B35"/>
    <w:rsid w:val="00D578A1"/>
    <w:rsid w:val="00D7241D"/>
    <w:rsid w:val="00D76180"/>
    <w:rsid w:val="00D94BAA"/>
    <w:rsid w:val="00DC0AB9"/>
    <w:rsid w:val="00E574B1"/>
    <w:rsid w:val="00F008A3"/>
    <w:rsid w:val="00F23218"/>
    <w:rsid w:val="00F7331B"/>
    <w:rsid w:val="00F910D4"/>
    <w:rsid w:val="00FF56B7"/>
    <w:rsid w:val="017A79F4"/>
    <w:rsid w:val="02046A9F"/>
    <w:rsid w:val="02403D91"/>
    <w:rsid w:val="02513505"/>
    <w:rsid w:val="0265015E"/>
    <w:rsid w:val="02D05560"/>
    <w:rsid w:val="03C82CA8"/>
    <w:rsid w:val="049C777A"/>
    <w:rsid w:val="06856661"/>
    <w:rsid w:val="06A44DE2"/>
    <w:rsid w:val="072A4877"/>
    <w:rsid w:val="077566D6"/>
    <w:rsid w:val="08D053F3"/>
    <w:rsid w:val="09951334"/>
    <w:rsid w:val="09A432A2"/>
    <w:rsid w:val="09EB0ED1"/>
    <w:rsid w:val="0A163734"/>
    <w:rsid w:val="0B7078E0"/>
    <w:rsid w:val="0BB30957"/>
    <w:rsid w:val="0D7C22B2"/>
    <w:rsid w:val="0E112240"/>
    <w:rsid w:val="0E5B7312"/>
    <w:rsid w:val="0F290405"/>
    <w:rsid w:val="0F8C78C2"/>
    <w:rsid w:val="0FEE34C9"/>
    <w:rsid w:val="10D7448E"/>
    <w:rsid w:val="114C6BFF"/>
    <w:rsid w:val="126E0A05"/>
    <w:rsid w:val="127B2E60"/>
    <w:rsid w:val="137D0DEC"/>
    <w:rsid w:val="152B7D4C"/>
    <w:rsid w:val="15E2762C"/>
    <w:rsid w:val="16BF025A"/>
    <w:rsid w:val="16D77B64"/>
    <w:rsid w:val="16F072C1"/>
    <w:rsid w:val="17B90507"/>
    <w:rsid w:val="18491BE4"/>
    <w:rsid w:val="185B476E"/>
    <w:rsid w:val="18870857"/>
    <w:rsid w:val="18D25C67"/>
    <w:rsid w:val="1AAA559A"/>
    <w:rsid w:val="1B593EEC"/>
    <w:rsid w:val="1B644E00"/>
    <w:rsid w:val="1BCB46BE"/>
    <w:rsid w:val="1C722E7D"/>
    <w:rsid w:val="1C9F1DD3"/>
    <w:rsid w:val="1CFC774C"/>
    <w:rsid w:val="1D377C49"/>
    <w:rsid w:val="1D7E7C3A"/>
    <w:rsid w:val="1D943902"/>
    <w:rsid w:val="1D9751A0"/>
    <w:rsid w:val="1EF26B32"/>
    <w:rsid w:val="1F612C69"/>
    <w:rsid w:val="2128213A"/>
    <w:rsid w:val="21624585"/>
    <w:rsid w:val="22FA55C2"/>
    <w:rsid w:val="237E4E58"/>
    <w:rsid w:val="239261C3"/>
    <w:rsid w:val="23C44B6A"/>
    <w:rsid w:val="240537E2"/>
    <w:rsid w:val="24DF57E1"/>
    <w:rsid w:val="25055A76"/>
    <w:rsid w:val="25B032A3"/>
    <w:rsid w:val="27233601"/>
    <w:rsid w:val="273B3040"/>
    <w:rsid w:val="281E2B95"/>
    <w:rsid w:val="28362939"/>
    <w:rsid w:val="28B04F27"/>
    <w:rsid w:val="292E37B9"/>
    <w:rsid w:val="29CD0232"/>
    <w:rsid w:val="2A24600D"/>
    <w:rsid w:val="2E496043"/>
    <w:rsid w:val="2F062F2C"/>
    <w:rsid w:val="307C26FF"/>
    <w:rsid w:val="311741D6"/>
    <w:rsid w:val="315D7394"/>
    <w:rsid w:val="31EF5153"/>
    <w:rsid w:val="31F04533"/>
    <w:rsid w:val="320676C1"/>
    <w:rsid w:val="320E382B"/>
    <w:rsid w:val="32694853"/>
    <w:rsid w:val="33BE302F"/>
    <w:rsid w:val="342E3961"/>
    <w:rsid w:val="3484747A"/>
    <w:rsid w:val="34B66A14"/>
    <w:rsid w:val="34E42621"/>
    <w:rsid w:val="350E6F0D"/>
    <w:rsid w:val="35F259C3"/>
    <w:rsid w:val="364B38A4"/>
    <w:rsid w:val="3654298C"/>
    <w:rsid w:val="370C2303"/>
    <w:rsid w:val="38716194"/>
    <w:rsid w:val="38A15859"/>
    <w:rsid w:val="39176E6F"/>
    <w:rsid w:val="39240522"/>
    <w:rsid w:val="3A2D05C6"/>
    <w:rsid w:val="3A3C7A91"/>
    <w:rsid w:val="3B1672AC"/>
    <w:rsid w:val="3BA24FE4"/>
    <w:rsid w:val="3C62545E"/>
    <w:rsid w:val="3CCD1D80"/>
    <w:rsid w:val="3E3208A1"/>
    <w:rsid w:val="3F3B591A"/>
    <w:rsid w:val="41262A90"/>
    <w:rsid w:val="422E6D64"/>
    <w:rsid w:val="42C95C2E"/>
    <w:rsid w:val="43824194"/>
    <w:rsid w:val="439C056B"/>
    <w:rsid w:val="43B43B06"/>
    <w:rsid w:val="43CD7CAA"/>
    <w:rsid w:val="442953C5"/>
    <w:rsid w:val="44D576D0"/>
    <w:rsid w:val="45D36D62"/>
    <w:rsid w:val="45D43763"/>
    <w:rsid w:val="45D87DB4"/>
    <w:rsid w:val="45F215A5"/>
    <w:rsid w:val="45FB7614"/>
    <w:rsid w:val="46210829"/>
    <w:rsid w:val="46AE74A4"/>
    <w:rsid w:val="47060B1D"/>
    <w:rsid w:val="47FA4784"/>
    <w:rsid w:val="487335E8"/>
    <w:rsid w:val="490051AC"/>
    <w:rsid w:val="493F3410"/>
    <w:rsid w:val="494F67AB"/>
    <w:rsid w:val="4A9F659E"/>
    <w:rsid w:val="4AD25E68"/>
    <w:rsid w:val="4AD85567"/>
    <w:rsid w:val="4B390D42"/>
    <w:rsid w:val="4B521A67"/>
    <w:rsid w:val="4C4E7B16"/>
    <w:rsid w:val="4D2E66D8"/>
    <w:rsid w:val="4D5967C7"/>
    <w:rsid w:val="4DAE4DE4"/>
    <w:rsid w:val="4E465927"/>
    <w:rsid w:val="4E516290"/>
    <w:rsid w:val="4EA55B38"/>
    <w:rsid w:val="4EC42F28"/>
    <w:rsid w:val="4F4915A7"/>
    <w:rsid w:val="4F8D77AB"/>
    <w:rsid w:val="507F724A"/>
    <w:rsid w:val="51866E79"/>
    <w:rsid w:val="51DA0BDC"/>
    <w:rsid w:val="5285323E"/>
    <w:rsid w:val="52CD24EF"/>
    <w:rsid w:val="532A1F6B"/>
    <w:rsid w:val="535B06BB"/>
    <w:rsid w:val="53CB1124"/>
    <w:rsid w:val="548B08B3"/>
    <w:rsid w:val="54D264E2"/>
    <w:rsid w:val="54D45666"/>
    <w:rsid w:val="562037F9"/>
    <w:rsid w:val="566E3FE9"/>
    <w:rsid w:val="577E2F7A"/>
    <w:rsid w:val="578F0490"/>
    <w:rsid w:val="57A67AD5"/>
    <w:rsid w:val="580A7D41"/>
    <w:rsid w:val="58CD4FF7"/>
    <w:rsid w:val="59367040"/>
    <w:rsid w:val="59AD549D"/>
    <w:rsid w:val="5A946B2A"/>
    <w:rsid w:val="5C7CBBA5"/>
    <w:rsid w:val="5C8B7C65"/>
    <w:rsid w:val="5C95407D"/>
    <w:rsid w:val="5CB94110"/>
    <w:rsid w:val="5CF05758"/>
    <w:rsid w:val="5D955C59"/>
    <w:rsid w:val="5DB12620"/>
    <w:rsid w:val="5E852D1B"/>
    <w:rsid w:val="5EA52572"/>
    <w:rsid w:val="5ECC5D50"/>
    <w:rsid w:val="5F463D55"/>
    <w:rsid w:val="5FDA1BBE"/>
    <w:rsid w:val="60884935"/>
    <w:rsid w:val="60984569"/>
    <w:rsid w:val="616B7A89"/>
    <w:rsid w:val="61922E92"/>
    <w:rsid w:val="62626C04"/>
    <w:rsid w:val="62BF3AC1"/>
    <w:rsid w:val="62CF5554"/>
    <w:rsid w:val="62F13632"/>
    <w:rsid w:val="63723CE7"/>
    <w:rsid w:val="640B71DB"/>
    <w:rsid w:val="645A0C80"/>
    <w:rsid w:val="649B500D"/>
    <w:rsid w:val="64C42464"/>
    <w:rsid w:val="65593C6A"/>
    <w:rsid w:val="655B1BDC"/>
    <w:rsid w:val="65BB414B"/>
    <w:rsid w:val="65CE6F06"/>
    <w:rsid w:val="65F81CA0"/>
    <w:rsid w:val="67185FD7"/>
    <w:rsid w:val="674A63AC"/>
    <w:rsid w:val="67E759A9"/>
    <w:rsid w:val="68BC5088"/>
    <w:rsid w:val="68D4719C"/>
    <w:rsid w:val="697119CE"/>
    <w:rsid w:val="69F04FE9"/>
    <w:rsid w:val="69F543AD"/>
    <w:rsid w:val="6A3A2708"/>
    <w:rsid w:val="6B3B2228"/>
    <w:rsid w:val="6BB34520"/>
    <w:rsid w:val="6BBA19C6"/>
    <w:rsid w:val="6C234457"/>
    <w:rsid w:val="6C5432D6"/>
    <w:rsid w:val="6C865790"/>
    <w:rsid w:val="6DEA7461"/>
    <w:rsid w:val="6E575B2F"/>
    <w:rsid w:val="6E6715F2"/>
    <w:rsid w:val="6F382CA3"/>
    <w:rsid w:val="6F821EB7"/>
    <w:rsid w:val="703B2D36"/>
    <w:rsid w:val="7051166C"/>
    <w:rsid w:val="712F289B"/>
    <w:rsid w:val="71306613"/>
    <w:rsid w:val="718B54AD"/>
    <w:rsid w:val="7265409A"/>
    <w:rsid w:val="73033418"/>
    <w:rsid w:val="746C45AA"/>
    <w:rsid w:val="75A9058C"/>
    <w:rsid w:val="762A3631"/>
    <w:rsid w:val="766E0C9F"/>
    <w:rsid w:val="7682346D"/>
    <w:rsid w:val="76D174CF"/>
    <w:rsid w:val="773A78A3"/>
    <w:rsid w:val="77420E4E"/>
    <w:rsid w:val="78450BF6"/>
    <w:rsid w:val="78467DA2"/>
    <w:rsid w:val="78A16FC8"/>
    <w:rsid w:val="78A81581"/>
    <w:rsid w:val="79EB30D7"/>
    <w:rsid w:val="7B5212AE"/>
    <w:rsid w:val="7BDA1FB4"/>
    <w:rsid w:val="7C297A15"/>
    <w:rsid w:val="7CCE0618"/>
    <w:rsid w:val="7D8E551D"/>
    <w:rsid w:val="7E8805DF"/>
    <w:rsid w:val="7FFB0761"/>
    <w:rsid w:val="F7FD812F"/>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qFormat="1" w:unhideWhenUsed="0" w:uiPriority="0" w:semiHidden="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8"/>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30"/>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81"/>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82"/>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86"/>
    <w:autoRedefine/>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87"/>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88"/>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semiHidden/>
    <w:unhideWhenUsed/>
    <w:qFormat/>
    <w:uiPriority w:val="1"/>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39"/>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198"/>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34"/>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7"/>
    <w:qFormat/>
    <w:uiPriority w:val="0"/>
    <w:pPr>
      <w:shd w:val="clear" w:color="auto" w:fill="000080"/>
    </w:pPr>
  </w:style>
  <w:style w:type="paragraph" w:styleId="19">
    <w:name w:val="annotation text"/>
    <w:basedOn w:val="1"/>
    <w:link w:val="347"/>
    <w:autoRedefine/>
    <w:qFormat/>
    <w:uiPriority w:val="99"/>
    <w:pPr>
      <w:jc w:val="left"/>
    </w:pPr>
  </w:style>
  <w:style w:type="paragraph" w:styleId="20">
    <w:name w:val="Salutation"/>
    <w:basedOn w:val="1"/>
    <w:next w:val="1"/>
    <w:link w:val="302"/>
    <w:autoRedefine/>
    <w:qFormat/>
    <w:uiPriority w:val="0"/>
    <w:rPr>
      <w:rFonts w:ascii="仿宋_GB2312" w:eastAsia="仿宋_GB2312"/>
      <w:sz w:val="28"/>
      <w:szCs w:val="20"/>
    </w:rPr>
  </w:style>
  <w:style w:type="paragraph" w:styleId="21">
    <w:name w:val="Body Text 3"/>
    <w:basedOn w:val="1"/>
    <w:link w:val="333"/>
    <w:autoRedefine/>
    <w:qFormat/>
    <w:uiPriority w:val="0"/>
    <w:pPr>
      <w:jc w:val="center"/>
    </w:pPr>
    <w:rPr>
      <w:szCs w:val="20"/>
    </w:rPr>
  </w:style>
  <w:style w:type="paragraph" w:styleId="22">
    <w:name w:val="List Bullet 3"/>
    <w:basedOn w:val="1"/>
    <w:autoRedefine/>
    <w:qFormat/>
    <w:uiPriority w:val="0"/>
    <w:pPr>
      <w:snapToGrid w:val="0"/>
      <w:spacing w:line="360" w:lineRule="auto"/>
      <w:ind w:left="360" w:right="238" w:hanging="360"/>
      <w:contextualSpacing/>
    </w:pPr>
    <w:rPr>
      <w:sz w:val="24"/>
    </w:rPr>
  </w:style>
  <w:style w:type="paragraph" w:styleId="23">
    <w:name w:val="Body Text"/>
    <w:basedOn w:val="1"/>
    <w:next w:val="24"/>
    <w:link w:val="431"/>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25"/>
    <w:link w:val="324"/>
    <w:autoRedefine/>
    <w:qFormat/>
    <w:uiPriority w:val="0"/>
    <w:pPr>
      <w:ind w:firstLine="420"/>
    </w:pPr>
    <w:rPr>
      <w:rFonts w:hAnsi="Calibri" w:cs="Times New Roman"/>
      <w:snapToGrid/>
      <w:szCs w:val="20"/>
    </w:rPr>
  </w:style>
  <w:style w:type="paragraph" w:styleId="25">
    <w:name w:val="toc 6"/>
    <w:basedOn w:val="1"/>
    <w:next w:val="1"/>
    <w:qFormat/>
    <w:uiPriority w:val="39"/>
    <w:pPr>
      <w:ind w:left="2100" w:leftChars="1000"/>
    </w:pPr>
  </w:style>
  <w:style w:type="paragraph" w:styleId="26">
    <w:name w:val="Body Text Indent"/>
    <w:basedOn w:val="1"/>
    <w:next w:val="1"/>
    <w:link w:val="270"/>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4"/>
    <w:autoRedefine/>
    <w:qFormat/>
    <w:uiPriority w:val="0"/>
    <w:pPr>
      <w:widowControl/>
      <w:adjustRightInd/>
      <w:ind w:firstLine="200" w:firstLineChars="200"/>
      <w:jc w:val="left"/>
    </w:pPr>
    <w:rPr>
      <w:rFonts w:ascii="宋体" w:hAnsi="宋体"/>
      <w:i/>
      <w:iCs/>
      <w:kern w:val="0"/>
      <w:sz w:val="24"/>
    </w:rPr>
  </w:style>
  <w:style w:type="paragraph" w:styleId="32">
    <w:name w:val="toc 5"/>
    <w:basedOn w:val="1"/>
    <w:next w:val="1"/>
    <w:autoRedefine/>
    <w:qFormat/>
    <w:uiPriority w:val="39"/>
    <w:pPr>
      <w:ind w:left="1680" w:leftChars="800"/>
    </w:pPr>
  </w:style>
  <w:style w:type="paragraph" w:styleId="33">
    <w:name w:val="toc 3"/>
    <w:basedOn w:val="1"/>
    <w:next w:val="1"/>
    <w:autoRedefine/>
    <w:qFormat/>
    <w:uiPriority w:val="39"/>
    <w:pPr>
      <w:tabs>
        <w:tab w:val="right" w:leader="dot" w:pos="8268"/>
      </w:tabs>
      <w:spacing w:line="460" w:lineRule="exact"/>
      <w:ind w:left="840" w:leftChars="400" w:firstLine="482"/>
    </w:pPr>
    <w:rPr>
      <w:rFonts w:ascii="宋体" w:hAnsi="宋体"/>
    </w:rPr>
  </w:style>
  <w:style w:type="paragraph" w:styleId="34">
    <w:name w:val="Plain Text"/>
    <w:basedOn w:val="1"/>
    <w:next w:val="1"/>
    <w:link w:val="133"/>
    <w:autoRedefine/>
    <w:qFormat/>
    <w:uiPriority w:val="0"/>
    <w:rPr>
      <w:rFonts w:ascii="宋体" w:hAnsi="Courier New" w:cs="Arial"/>
      <w:snapToGrid w:val="0"/>
      <w:szCs w:val="21"/>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39"/>
    <w:pPr>
      <w:ind w:left="2940" w:leftChars="1400"/>
    </w:pPr>
  </w:style>
  <w:style w:type="paragraph" w:styleId="37">
    <w:name w:val="Date"/>
    <w:basedOn w:val="1"/>
    <w:next w:val="1"/>
    <w:link w:val="187"/>
    <w:autoRedefine/>
    <w:qFormat/>
    <w:uiPriority w:val="0"/>
    <w:pPr>
      <w:ind w:left="100" w:leftChars="2500"/>
    </w:pPr>
    <w:rPr>
      <w:rFonts w:ascii="宋体"/>
      <w:sz w:val="24"/>
      <w:szCs w:val="21"/>
      <w:lang w:val="zh-CN"/>
    </w:rPr>
  </w:style>
  <w:style w:type="paragraph" w:styleId="38">
    <w:name w:val="Body Text Indent 2"/>
    <w:basedOn w:val="1"/>
    <w:link w:val="311"/>
    <w:autoRedefine/>
    <w:qFormat/>
    <w:uiPriority w:val="0"/>
    <w:pPr>
      <w:spacing w:line="360" w:lineRule="auto"/>
      <w:ind w:firstLine="601"/>
      <w:textAlignment w:val="baseline"/>
    </w:pPr>
    <w:rPr>
      <w:rFonts w:ascii="宋体"/>
      <w:kern w:val="0"/>
      <w:sz w:val="28"/>
      <w:szCs w:val="20"/>
    </w:rPr>
  </w:style>
  <w:style w:type="paragraph" w:styleId="39">
    <w:name w:val="endnote text"/>
    <w:basedOn w:val="1"/>
    <w:link w:val="931"/>
    <w:autoRedefine/>
    <w:qFormat/>
    <w:uiPriority w:val="0"/>
    <w:rPr>
      <w:lang w:val="zh-CN"/>
    </w:rPr>
  </w:style>
  <w:style w:type="paragraph" w:styleId="40">
    <w:name w:val="Balloon Text"/>
    <w:basedOn w:val="1"/>
    <w:link w:val="193"/>
    <w:autoRedefine/>
    <w:qFormat/>
    <w:uiPriority w:val="0"/>
    <w:rPr>
      <w:sz w:val="18"/>
      <w:szCs w:val="18"/>
    </w:rPr>
  </w:style>
  <w:style w:type="paragraph" w:styleId="41">
    <w:name w:val="footer"/>
    <w:basedOn w:val="1"/>
    <w:link w:val="384"/>
    <w:autoRedefine/>
    <w:qFormat/>
    <w:uiPriority w:val="99"/>
    <w:pPr>
      <w:tabs>
        <w:tab w:val="center" w:pos="4153"/>
        <w:tab w:val="right" w:pos="8306"/>
      </w:tabs>
      <w:snapToGrid w:val="0"/>
      <w:jc w:val="left"/>
    </w:pPr>
    <w:rPr>
      <w:sz w:val="18"/>
      <w:szCs w:val="18"/>
    </w:rPr>
  </w:style>
  <w:style w:type="paragraph" w:styleId="42">
    <w:name w:val="header"/>
    <w:basedOn w:val="1"/>
    <w:link w:val="393"/>
    <w:autoRedefine/>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8"/>
    <w:autoRedefine/>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autoRedefine/>
    <w:qFormat/>
    <w:uiPriority w:val="39"/>
  </w:style>
  <w:style w:type="paragraph" w:styleId="45">
    <w:name w:val="toc 4"/>
    <w:basedOn w:val="1"/>
    <w:next w:val="1"/>
    <w:autoRedefine/>
    <w:qFormat/>
    <w:uiPriority w:val="39"/>
    <w:pPr>
      <w:ind w:left="1260" w:leftChars="600"/>
    </w:pPr>
  </w:style>
  <w:style w:type="paragraph" w:styleId="46">
    <w:name w:val="index heading"/>
    <w:basedOn w:val="1"/>
    <w:next w:val="47"/>
    <w:autoRedefine/>
    <w:qFormat/>
    <w:uiPriority w:val="0"/>
    <w:pPr>
      <w:adjustRightInd/>
      <w:ind w:firstLine="200" w:firstLineChars="200"/>
    </w:pPr>
  </w:style>
  <w:style w:type="paragraph" w:styleId="47">
    <w:name w:val="index 1"/>
    <w:basedOn w:val="1"/>
    <w:next w:val="1"/>
    <w:autoRedefine/>
    <w:qFormat/>
    <w:uiPriority w:val="0"/>
    <w:pPr>
      <w:adjustRightInd/>
      <w:spacing w:line="360" w:lineRule="auto"/>
      <w:ind w:firstLine="200" w:firstLineChars="200"/>
      <w:jc w:val="center"/>
    </w:pPr>
    <w:rPr>
      <w:sz w:val="24"/>
      <w:szCs w:val="20"/>
    </w:rPr>
  </w:style>
  <w:style w:type="paragraph" w:styleId="48">
    <w:name w:val="Subtitle"/>
    <w:link w:val="141"/>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autoRedefine/>
    <w:qFormat/>
    <w:uiPriority w:val="0"/>
    <w:pPr>
      <w:tabs>
        <w:tab w:val="left" w:pos="902"/>
      </w:tabs>
      <w:adjustRightInd/>
      <w:spacing w:line="400" w:lineRule="exact"/>
      <w:ind w:left="902" w:hanging="420"/>
    </w:pPr>
    <w:rPr>
      <w:sz w:val="24"/>
      <w:szCs w:val="20"/>
    </w:rPr>
  </w:style>
  <w:style w:type="paragraph" w:styleId="50">
    <w:name w:val="List"/>
    <w:basedOn w:val="1"/>
    <w:autoRedefine/>
    <w:qFormat/>
    <w:uiPriority w:val="0"/>
    <w:pPr>
      <w:ind w:left="200" w:hanging="200" w:hangingChars="200"/>
    </w:pPr>
  </w:style>
  <w:style w:type="paragraph" w:styleId="51">
    <w:name w:val="footnote text"/>
    <w:basedOn w:val="15"/>
    <w:link w:val="313"/>
    <w:autoRedefine/>
    <w:qFormat/>
    <w:uiPriority w:val="0"/>
    <w:pPr>
      <w:adjustRightInd/>
      <w:snapToGrid/>
      <w:spacing w:before="60" w:after="60" w:line="300" w:lineRule="exact"/>
      <w:ind w:firstLine="0"/>
    </w:pPr>
    <w:rPr>
      <w:rFonts w:ascii="Calibri"/>
      <w:snapToGrid/>
      <w:color w:val="0000FF"/>
      <w:kern w:val="0"/>
      <w:sz w:val="21"/>
    </w:rPr>
  </w:style>
  <w:style w:type="paragraph" w:styleId="52">
    <w:name w:val="List 5"/>
    <w:basedOn w:val="1"/>
    <w:autoRedefine/>
    <w:qFormat/>
    <w:uiPriority w:val="0"/>
    <w:pPr>
      <w:adjustRightInd/>
      <w:ind w:left="100" w:leftChars="800" w:hanging="200" w:hangingChars="200"/>
    </w:pPr>
  </w:style>
  <w:style w:type="paragraph" w:styleId="53">
    <w:name w:val="Body Text Indent 3"/>
    <w:basedOn w:val="1"/>
    <w:link w:val="376"/>
    <w:autoRedefine/>
    <w:qFormat/>
    <w:uiPriority w:val="0"/>
    <w:pPr>
      <w:spacing w:line="360" w:lineRule="auto"/>
      <w:ind w:firstLine="420"/>
    </w:pPr>
    <w:rPr>
      <w:sz w:val="24"/>
      <w:szCs w:val="20"/>
    </w:rPr>
  </w:style>
  <w:style w:type="paragraph" w:styleId="54">
    <w:name w:val="toc 2"/>
    <w:basedOn w:val="1"/>
    <w:next w:val="1"/>
    <w:autoRedefine/>
    <w:qFormat/>
    <w:uiPriority w:val="39"/>
    <w:pPr>
      <w:ind w:left="420" w:leftChars="200"/>
    </w:pPr>
  </w:style>
  <w:style w:type="paragraph" w:styleId="55">
    <w:name w:val="toc 9"/>
    <w:basedOn w:val="1"/>
    <w:next w:val="1"/>
    <w:autoRedefine/>
    <w:qFormat/>
    <w:uiPriority w:val="39"/>
    <w:pPr>
      <w:ind w:left="3360" w:leftChars="1600"/>
    </w:pPr>
  </w:style>
  <w:style w:type="paragraph" w:styleId="56">
    <w:name w:val="Body Text 2"/>
    <w:basedOn w:val="1"/>
    <w:link w:val="306"/>
    <w:autoRedefine/>
    <w:qFormat/>
    <w:uiPriority w:val="0"/>
    <w:pPr>
      <w:spacing w:after="120" w:line="480" w:lineRule="auto"/>
    </w:pPr>
  </w:style>
  <w:style w:type="paragraph" w:styleId="57">
    <w:name w:val="HTML Preformatted"/>
    <w:basedOn w:val="1"/>
    <w:link w:val="305"/>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9">
    <w:name w:val="Title"/>
    <w:basedOn w:val="1"/>
    <w:next w:val="1"/>
    <w:link w:val="291"/>
    <w:autoRedefine/>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105"/>
    <w:qFormat/>
    <w:uiPriority w:val="0"/>
    <w:rPr>
      <w:b/>
      <w:bCs/>
    </w:rPr>
  </w:style>
  <w:style w:type="paragraph" w:styleId="61">
    <w:name w:val="Body Text First Indent 2"/>
    <w:basedOn w:val="26"/>
    <w:link w:val="129"/>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表格样式"/>
    <w:basedOn w:val="1"/>
    <w:qFormat/>
    <w:uiPriority w:val="0"/>
    <w:pPr>
      <w:jc w:val="center"/>
    </w:pPr>
    <w:rPr>
      <w:rFonts w:hint="eastAsia" w:eastAsia="仿宋_GB2312" w:cs="仿宋_GB2312"/>
      <w:sz w:val="24"/>
      <w:szCs w:val="21"/>
    </w:rPr>
  </w:style>
  <w:style w:type="character" w:customStyle="1" w:styleId="80">
    <w:name w:val="标题 2 字符"/>
    <w:qFormat/>
    <w:uiPriority w:val="1"/>
    <w:rPr>
      <w:rFonts w:ascii="仿宋_GB2312" w:hAnsi="Times New Roman" w:eastAsia="仿宋_GB2312" w:cs="Times New Roman"/>
      <w:b/>
      <w:kern w:val="2"/>
      <w:sz w:val="24"/>
      <w:lang w:val="zh-CN"/>
    </w:rPr>
  </w:style>
  <w:style w:type="character" w:customStyle="1" w:styleId="81">
    <w:name w:val="标题 5 字符"/>
    <w:link w:val="6"/>
    <w:qFormat/>
    <w:uiPriority w:val="9"/>
    <w:rPr>
      <w:b/>
      <w:bCs/>
      <w:kern w:val="2"/>
      <w:sz w:val="28"/>
      <w:szCs w:val="28"/>
    </w:rPr>
  </w:style>
  <w:style w:type="character" w:customStyle="1" w:styleId="82">
    <w:name w:val="标题 6 字符"/>
    <w:link w:val="7"/>
    <w:qFormat/>
    <w:uiPriority w:val="0"/>
    <w:rPr>
      <w:rFonts w:ascii="Arial" w:hAnsi="Arial" w:eastAsia="黑体"/>
      <w:b/>
      <w:bCs/>
      <w:kern w:val="2"/>
      <w:sz w:val="24"/>
      <w:szCs w:val="24"/>
    </w:rPr>
  </w:style>
  <w:style w:type="paragraph" w:customStyle="1" w:styleId="83">
    <w:name w:val="表格"/>
    <w:basedOn w:val="1"/>
    <w:qFormat/>
    <w:uiPriority w:val="0"/>
    <w:pPr>
      <w:snapToGrid w:val="0"/>
      <w:ind w:firstLine="42" w:firstLineChars="21"/>
    </w:pPr>
    <w:rPr>
      <w:rFonts w:ascii="宋体" w:hAnsi="宋体"/>
      <w:kern w:val="0"/>
      <w:sz w:val="20"/>
      <w:szCs w:val="20"/>
    </w:rPr>
  </w:style>
  <w:style w:type="character" w:customStyle="1" w:styleId="84">
    <w:name w:val="标题 3 字符"/>
    <w:qFormat/>
    <w:uiPriority w:val="9"/>
    <w:rPr>
      <w:b/>
      <w:bCs/>
      <w:kern w:val="2"/>
      <w:sz w:val="32"/>
      <w:szCs w:val="32"/>
    </w:rPr>
  </w:style>
  <w:style w:type="character" w:customStyle="1" w:styleId="85">
    <w:name w:val="标题 4 字符"/>
    <w:qFormat/>
    <w:uiPriority w:val="9"/>
    <w:rPr>
      <w:rFonts w:ascii="等线 Light" w:hAnsi="等线 Light" w:eastAsia="等线 Light" w:cs="Times New Roman"/>
      <w:b/>
      <w:bCs/>
      <w:snapToGrid w:val="0"/>
      <w:kern w:val="0"/>
      <w:sz w:val="28"/>
      <w:szCs w:val="28"/>
    </w:rPr>
  </w:style>
  <w:style w:type="character" w:customStyle="1" w:styleId="86">
    <w:name w:val="标题 7 字符"/>
    <w:link w:val="8"/>
    <w:qFormat/>
    <w:uiPriority w:val="0"/>
    <w:rPr>
      <w:b/>
      <w:bCs/>
      <w:kern w:val="2"/>
      <w:sz w:val="24"/>
      <w:szCs w:val="24"/>
    </w:rPr>
  </w:style>
  <w:style w:type="character" w:customStyle="1" w:styleId="87">
    <w:name w:val="标题 8 字符"/>
    <w:link w:val="9"/>
    <w:qFormat/>
    <w:uiPriority w:val="0"/>
    <w:rPr>
      <w:rFonts w:ascii="Arial" w:hAnsi="Arial" w:eastAsia="黑体"/>
      <w:kern w:val="2"/>
      <w:sz w:val="24"/>
      <w:szCs w:val="24"/>
    </w:rPr>
  </w:style>
  <w:style w:type="character" w:customStyle="1" w:styleId="88">
    <w:name w:val="标题 9 字符"/>
    <w:link w:val="10"/>
    <w:qFormat/>
    <w:uiPriority w:val="0"/>
    <w:rPr>
      <w:rFonts w:ascii="Arial" w:hAnsi="Arial" w:eastAsia="黑体"/>
      <w:kern w:val="2"/>
      <w:sz w:val="21"/>
      <w:szCs w:val="21"/>
    </w:rPr>
  </w:style>
  <w:style w:type="paragraph" w:customStyle="1" w:styleId="89">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90">
    <w:name w:val="**正文"/>
    <w:basedOn w:val="1"/>
    <w:qFormat/>
    <w:uiPriority w:val="99"/>
    <w:pPr>
      <w:ind w:firstLine="480" w:firstLineChars="200"/>
    </w:pPr>
    <w:rPr>
      <w:rFonts w:ascii="Calibri" w:hAnsi="Calibri" w:eastAsia="仿宋_GB2312"/>
      <w:kern w:val="0"/>
      <w:sz w:val="24"/>
      <w:szCs w:val="32"/>
    </w:rPr>
  </w:style>
  <w:style w:type="character" w:customStyle="1" w:styleId="91">
    <w:name w:val="表格非标题文字 Char"/>
    <w:link w:val="92"/>
    <w:qFormat/>
    <w:uiPriority w:val="0"/>
    <w:rPr>
      <w:rFonts w:ascii="Futura Bk" w:hAnsi="Futura Bk"/>
      <w:kern w:val="2"/>
      <w:sz w:val="18"/>
      <w:szCs w:val="21"/>
      <w:lang w:val="en-US" w:eastAsia="zh-CN" w:bidi="ar-SA"/>
    </w:rPr>
  </w:style>
  <w:style w:type="paragraph" w:customStyle="1" w:styleId="92">
    <w:name w:val="表格非标题文字"/>
    <w:link w:val="9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3">
    <w:name w:val="*正文 Char"/>
    <w:link w:val="94"/>
    <w:qFormat/>
    <w:uiPriority w:val="0"/>
    <w:rPr>
      <w:rFonts w:ascii="宋体" w:hAnsi="宋体"/>
      <w:sz w:val="24"/>
    </w:rPr>
  </w:style>
  <w:style w:type="paragraph" w:customStyle="1" w:styleId="94">
    <w:name w:val="*正文"/>
    <w:basedOn w:val="1"/>
    <w:link w:val="93"/>
    <w:qFormat/>
    <w:uiPriority w:val="0"/>
    <w:pPr>
      <w:snapToGrid w:val="0"/>
      <w:spacing w:line="360" w:lineRule="auto"/>
      <w:ind w:firstLine="482"/>
      <w:jc w:val="left"/>
    </w:pPr>
    <w:rPr>
      <w:rFonts w:ascii="宋体" w:hAnsi="宋体"/>
      <w:kern w:val="0"/>
      <w:sz w:val="24"/>
      <w:szCs w:val="20"/>
    </w:rPr>
  </w:style>
  <w:style w:type="character" w:customStyle="1" w:styleId="95">
    <w:name w:val="Char Char71"/>
    <w:qFormat/>
    <w:uiPriority w:val="0"/>
    <w:rPr>
      <w:rFonts w:eastAsia="宋体"/>
      <w:kern w:val="2"/>
      <w:sz w:val="21"/>
      <w:szCs w:val="24"/>
      <w:lang w:val="en-US" w:eastAsia="zh-CN" w:bidi="ar-SA"/>
    </w:rPr>
  </w:style>
  <w:style w:type="character" w:customStyle="1" w:styleId="96">
    <w:name w:val="Char Char6"/>
    <w:qFormat/>
    <w:uiPriority w:val="0"/>
    <w:rPr>
      <w:rFonts w:eastAsia="宋体"/>
      <w:kern w:val="2"/>
      <w:sz w:val="21"/>
      <w:szCs w:val="24"/>
      <w:lang w:val="en-US" w:eastAsia="zh-CN" w:bidi="ar-SA"/>
    </w:rPr>
  </w:style>
  <w:style w:type="character" w:customStyle="1" w:styleId="97">
    <w:name w:val="正文缩进 Char"/>
    <w:qFormat/>
    <w:uiPriority w:val="0"/>
    <w:rPr>
      <w:rFonts w:eastAsia="宋体"/>
      <w:kern w:val="2"/>
      <w:sz w:val="21"/>
      <w:lang w:val="en-US" w:eastAsia="zh-CN"/>
    </w:rPr>
  </w:style>
  <w:style w:type="character" w:customStyle="1" w:styleId="98">
    <w:name w:val="正文首行缩进 Char1"/>
    <w:qFormat/>
    <w:uiPriority w:val="0"/>
    <w:rPr>
      <w:rFonts w:ascii="宋体" w:hAnsi="Times New Roman" w:eastAsia="宋体" w:cs="Times New Roman"/>
      <w:snapToGrid w:val="0"/>
      <w:kern w:val="2"/>
      <w:sz w:val="24"/>
      <w:szCs w:val="21"/>
      <w:lang w:val="zh-CN"/>
    </w:rPr>
  </w:style>
  <w:style w:type="character" w:customStyle="1" w:styleId="99">
    <w:name w:val="Char Char28"/>
    <w:qFormat/>
    <w:uiPriority w:val="6"/>
    <w:rPr>
      <w:rFonts w:ascii="仿宋_GB2312" w:hAnsi="仿宋_GB2312" w:eastAsia="仿宋_GB2312"/>
      <w:kern w:val="1"/>
      <w:sz w:val="28"/>
    </w:rPr>
  </w:style>
  <w:style w:type="character" w:customStyle="1" w:styleId="10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01">
    <w:name w:val="Heading 1 Char_38d22601-c435-438d-9820-70916fd89f5b"/>
    <w:autoRedefine/>
    <w:qFormat/>
    <w:uiPriority w:val="6"/>
    <w:rPr>
      <w:rFonts w:ascii="Times New Roman" w:hAnsi="Times New Roman" w:eastAsia="黑体" w:cs="Times New Roman"/>
      <w:b/>
      <w:kern w:val="0"/>
      <w:sz w:val="24"/>
      <w:szCs w:val="24"/>
    </w:rPr>
  </w:style>
  <w:style w:type="character" w:customStyle="1" w:styleId="102">
    <w:name w:val="U_正文 Char"/>
    <w:link w:val="103"/>
    <w:autoRedefine/>
    <w:qFormat/>
    <w:uiPriority w:val="0"/>
    <w:rPr>
      <w:sz w:val="24"/>
      <w:szCs w:val="24"/>
    </w:rPr>
  </w:style>
  <w:style w:type="paragraph" w:customStyle="1" w:styleId="103">
    <w:name w:val="U_正文"/>
    <w:basedOn w:val="1"/>
    <w:link w:val="102"/>
    <w:autoRedefine/>
    <w:qFormat/>
    <w:uiPriority w:val="0"/>
    <w:pPr>
      <w:adjustRightInd/>
      <w:spacing w:beforeLines="20" w:afterLines="20" w:line="300" w:lineRule="auto"/>
      <w:ind w:firstLine="200" w:firstLineChars="200"/>
    </w:pPr>
    <w:rPr>
      <w:kern w:val="0"/>
      <w:sz w:val="24"/>
    </w:rPr>
  </w:style>
  <w:style w:type="character" w:customStyle="1" w:styleId="104">
    <w:name w:val="HTML 地址 Char1"/>
    <w:autoRedefine/>
    <w:qFormat/>
    <w:uiPriority w:val="0"/>
    <w:rPr>
      <w:rFonts w:ascii="Times New Roman" w:hAnsi="Times New Roman" w:eastAsia="宋体" w:cs="Times New Roman"/>
      <w:i/>
      <w:iCs/>
      <w:szCs w:val="24"/>
    </w:rPr>
  </w:style>
  <w:style w:type="character" w:customStyle="1" w:styleId="105">
    <w:name w:val="批注主题 字符"/>
    <w:link w:val="60"/>
    <w:autoRedefine/>
    <w:qFormat/>
    <w:uiPriority w:val="0"/>
    <w:rPr>
      <w:b/>
      <w:bCs/>
      <w:kern w:val="2"/>
      <w:sz w:val="21"/>
      <w:szCs w:val="24"/>
    </w:rPr>
  </w:style>
  <w:style w:type="character" w:customStyle="1" w:styleId="106">
    <w:name w:val="Char Char51"/>
    <w:autoRedefine/>
    <w:qFormat/>
    <w:uiPriority w:val="0"/>
    <w:rPr>
      <w:rFonts w:ascii="宋体" w:hAnsi="Courier New" w:eastAsia="宋体"/>
      <w:kern w:val="2"/>
      <w:sz w:val="21"/>
      <w:lang w:val="en-US" w:eastAsia="zh-CN"/>
    </w:rPr>
  </w:style>
  <w:style w:type="character" w:customStyle="1" w:styleId="107">
    <w:name w:val="表正文 Char"/>
    <w:autoRedefine/>
    <w:qFormat/>
    <w:uiPriority w:val="0"/>
    <w:rPr>
      <w:rFonts w:ascii="宋体" w:eastAsia="宋体"/>
      <w:snapToGrid w:val="0"/>
      <w:color w:val="000000"/>
      <w:kern w:val="28"/>
      <w:sz w:val="28"/>
      <w:lang w:val="en-US" w:eastAsia="zh-CN" w:bidi="ar-SA"/>
    </w:rPr>
  </w:style>
  <w:style w:type="character" w:customStyle="1" w:styleId="108">
    <w:name w:val="Char Char34"/>
    <w:autoRedefine/>
    <w:qFormat/>
    <w:uiPriority w:val="6"/>
    <w:rPr>
      <w:b/>
      <w:kern w:val="1"/>
      <w:sz w:val="28"/>
      <w:szCs w:val="28"/>
    </w:rPr>
  </w:style>
  <w:style w:type="character" w:customStyle="1" w:styleId="109">
    <w:name w:val="Normal Indent Char"/>
    <w:autoRedefine/>
    <w:qFormat/>
    <w:uiPriority w:val="0"/>
    <w:rPr>
      <w:rFonts w:ascii="Calibri" w:hAnsi="Calibri" w:eastAsia="宋体" w:cs="黑体"/>
      <w:snapToGrid w:val="0"/>
      <w:kern w:val="2"/>
      <w:sz w:val="24"/>
      <w:szCs w:val="22"/>
      <w:lang w:val="en-US" w:eastAsia="zh-CN" w:bidi="ar-SA"/>
    </w:rPr>
  </w:style>
  <w:style w:type="character" w:customStyle="1" w:styleId="110">
    <w:name w:val="哈哈正文 Char"/>
    <w:link w:val="111"/>
    <w:autoRedefine/>
    <w:qFormat/>
    <w:uiPriority w:val="0"/>
    <w:rPr>
      <w:rFonts w:ascii="宋体" w:hAnsi="宋体" w:eastAsia="宋体"/>
      <w:kern w:val="2"/>
      <w:sz w:val="24"/>
      <w:lang w:bidi="ar-SA"/>
    </w:rPr>
  </w:style>
  <w:style w:type="paragraph" w:customStyle="1" w:styleId="111">
    <w:name w:val="哈哈正文"/>
    <w:basedOn w:val="1"/>
    <w:link w:val="110"/>
    <w:autoRedefine/>
    <w:qFormat/>
    <w:uiPriority w:val="0"/>
    <w:pPr>
      <w:adjustRightInd/>
      <w:spacing w:line="360" w:lineRule="auto"/>
      <w:ind w:firstLine="200" w:firstLineChars="200"/>
    </w:pPr>
    <w:rPr>
      <w:rFonts w:ascii="宋体" w:hAnsi="宋体"/>
      <w:sz w:val="24"/>
      <w:szCs w:val="20"/>
    </w:rPr>
  </w:style>
  <w:style w:type="character" w:customStyle="1" w:styleId="112">
    <w:name w:val="未处理的提及1"/>
    <w:autoRedefine/>
    <w:qFormat/>
    <w:uiPriority w:val="0"/>
    <w:rPr>
      <w:color w:val="808080"/>
      <w:shd w:val="clear" w:color="auto" w:fill="E6E6E6"/>
    </w:rPr>
  </w:style>
  <w:style w:type="character" w:customStyle="1" w:styleId="113">
    <w:name w:val="txt"/>
    <w:qFormat/>
    <w:uiPriority w:val="0"/>
    <w:rPr>
      <w:rFonts w:ascii="仿宋_GB2312" w:eastAsia="微软雅黑"/>
      <w:b/>
      <w:kern w:val="2"/>
      <w:sz w:val="32"/>
      <w:szCs w:val="32"/>
      <w:lang w:val="en-US" w:eastAsia="zh-CN" w:bidi="ar-SA"/>
    </w:rPr>
  </w:style>
  <w:style w:type="character" w:customStyle="1" w:styleId="114">
    <w:name w:val="二级标题 Char Char"/>
    <w:qFormat/>
    <w:uiPriority w:val="0"/>
    <w:rPr>
      <w:rFonts w:ascii="宋体" w:hAnsi="宋体" w:eastAsia="宋体"/>
      <w:b/>
      <w:snapToGrid w:val="0"/>
      <w:kern w:val="2"/>
      <w:sz w:val="24"/>
      <w:szCs w:val="24"/>
      <w:lang w:val="en-US" w:eastAsia="zh-CN" w:bidi="ar-SA"/>
    </w:rPr>
  </w:style>
  <w:style w:type="character" w:customStyle="1" w:styleId="115">
    <w:name w:val="Char Char32"/>
    <w:qFormat/>
    <w:uiPriority w:val="6"/>
    <w:rPr>
      <w:b/>
      <w:kern w:val="1"/>
      <w:sz w:val="24"/>
      <w:szCs w:val="24"/>
    </w:rPr>
  </w:style>
  <w:style w:type="character" w:customStyle="1" w:styleId="116">
    <w:name w:val="PI Char1"/>
    <w:qFormat/>
    <w:uiPriority w:val="0"/>
    <w:rPr>
      <w:rFonts w:ascii="宋体" w:hAnsi="宋体"/>
      <w:kern w:val="2"/>
      <w:sz w:val="24"/>
      <w:szCs w:val="24"/>
    </w:rPr>
  </w:style>
  <w:style w:type="character" w:customStyle="1" w:styleId="117">
    <w:name w:val="tw4winTerm"/>
    <w:qFormat/>
    <w:uiPriority w:val="0"/>
    <w:rPr>
      <w:color w:val="0000FF"/>
    </w:rPr>
  </w:style>
  <w:style w:type="character" w:customStyle="1" w:styleId="118">
    <w:name w:val="Footer Char_5d946b71-05ae-41bd-a073-2276af16cdb2"/>
    <w:qFormat/>
    <w:uiPriority w:val="0"/>
    <w:rPr>
      <w:rFonts w:eastAsia="宋体"/>
      <w:kern w:val="2"/>
      <w:sz w:val="18"/>
      <w:lang w:val="en-US" w:eastAsia="zh-CN" w:bidi="ar-SA"/>
    </w:rPr>
  </w:style>
  <w:style w:type="character" w:customStyle="1" w:styleId="119">
    <w:name w:val="普通文字 Char Char1"/>
    <w:qFormat/>
    <w:uiPriority w:val="0"/>
    <w:rPr>
      <w:rFonts w:ascii="宋体" w:hAnsi="Courier New"/>
      <w:kern w:val="2"/>
      <w:sz w:val="21"/>
    </w:rPr>
  </w:style>
  <w:style w:type="character" w:customStyle="1" w:styleId="120">
    <w:name w:val="Char Char101"/>
    <w:qFormat/>
    <w:uiPriority w:val="6"/>
    <w:rPr>
      <w:rFonts w:ascii="宋体" w:hAnsi="宋体"/>
      <w:kern w:val="2"/>
      <w:sz w:val="21"/>
      <w:szCs w:val="24"/>
      <w:lang w:val="en-US" w:eastAsia="zh-CN"/>
    </w:rPr>
  </w:style>
  <w:style w:type="character" w:customStyle="1" w:styleId="121">
    <w:name w:val="标题 4 Char"/>
    <w:qFormat/>
    <w:uiPriority w:val="0"/>
    <w:rPr>
      <w:rFonts w:ascii="Arial" w:hAnsi="Arial" w:eastAsia="黑体"/>
      <w:b/>
      <w:kern w:val="2"/>
      <w:sz w:val="28"/>
    </w:rPr>
  </w:style>
  <w:style w:type="character" w:customStyle="1" w:styleId="122">
    <w:name w:val="链接"/>
    <w:qFormat/>
    <w:uiPriority w:val="0"/>
    <w:rPr>
      <w:color w:val="0000FF"/>
      <w:sz w:val="21"/>
      <w:szCs w:val="21"/>
      <w:u w:val="single"/>
    </w:rPr>
  </w:style>
  <w:style w:type="character" w:customStyle="1" w:styleId="123">
    <w:name w:val="h4 Char"/>
    <w:qFormat/>
    <w:uiPriority w:val="0"/>
    <w:rPr>
      <w:rFonts w:ascii="Arial" w:hAnsi="Arial" w:eastAsia="黑体"/>
      <w:b/>
      <w:bCs/>
      <w:kern w:val="2"/>
      <w:sz w:val="28"/>
      <w:szCs w:val="28"/>
      <w:lang w:val="zh-CN" w:eastAsia="zh-CN" w:bidi="ar-SA"/>
    </w:rPr>
  </w:style>
  <w:style w:type="character" w:customStyle="1" w:styleId="124">
    <w:name w:val="5正文 Char"/>
    <w:link w:val="125"/>
    <w:qFormat/>
    <w:uiPriority w:val="0"/>
    <w:rPr>
      <w:rFonts w:ascii="仿宋_GB2312" w:hAnsi="微软雅黑" w:eastAsia="仿宋_GB2312"/>
      <w:sz w:val="28"/>
      <w:szCs w:val="21"/>
    </w:rPr>
  </w:style>
  <w:style w:type="paragraph" w:customStyle="1" w:styleId="125">
    <w:name w:val="5正文"/>
    <w:basedOn w:val="1"/>
    <w:link w:val="12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6">
    <w:name w:val="样式6 Char"/>
    <w:qFormat/>
    <w:uiPriority w:val="0"/>
    <w:rPr>
      <w:rFonts w:ascii="仿宋_GB2312" w:hAnsi="宋体" w:eastAsia="仿宋_GB2312"/>
      <w:b/>
      <w:bCs/>
      <w:kern w:val="2"/>
      <w:sz w:val="24"/>
      <w:szCs w:val="24"/>
      <w:lang w:val="en-US" w:eastAsia="zh-CN" w:bidi="ar-SA"/>
    </w:rPr>
  </w:style>
  <w:style w:type="character" w:customStyle="1" w:styleId="127">
    <w:name w:val="Char Char14"/>
    <w:qFormat/>
    <w:uiPriority w:val="6"/>
    <w:rPr>
      <w:rFonts w:ascii="黑体" w:hAnsi="黑体" w:eastAsia="黑体"/>
    </w:rPr>
  </w:style>
  <w:style w:type="character" w:customStyle="1" w:styleId="128">
    <w:name w:val="Heading 2 Hidden Char"/>
    <w:qFormat/>
    <w:uiPriority w:val="0"/>
    <w:rPr>
      <w:rFonts w:ascii="仿宋_GB2312" w:eastAsia="仿宋_GB2312"/>
      <w:b/>
      <w:bCs/>
      <w:kern w:val="2"/>
      <w:sz w:val="24"/>
      <w:szCs w:val="24"/>
      <w:lang w:val="zh-CN" w:eastAsia="zh-CN" w:bidi="ar-SA"/>
    </w:rPr>
  </w:style>
  <w:style w:type="character" w:customStyle="1" w:styleId="129">
    <w:name w:val="正文首行缩进 2 字符"/>
    <w:link w:val="61"/>
    <w:qFormat/>
    <w:uiPriority w:val="0"/>
    <w:rPr>
      <w:rFonts w:ascii="宋体" w:hAnsi="宋体"/>
      <w:kern w:val="2"/>
      <w:sz w:val="21"/>
      <w:szCs w:val="24"/>
    </w:rPr>
  </w:style>
  <w:style w:type="character" w:customStyle="1" w:styleId="130">
    <w:name w:val="font11"/>
    <w:qFormat/>
    <w:uiPriority w:val="0"/>
    <w:rPr>
      <w:rFonts w:hint="default" w:ascii="Times New Roman" w:hAnsi="Times New Roman" w:cs="Times New Roman"/>
      <w:color w:val="000000"/>
      <w:sz w:val="22"/>
      <w:szCs w:val="22"/>
      <w:u w:val="none"/>
    </w:rPr>
  </w:style>
  <w:style w:type="character" w:customStyle="1" w:styleId="131">
    <w:name w:val="表正文 Char1"/>
    <w:qFormat/>
    <w:uiPriority w:val="0"/>
    <w:rPr>
      <w:rFonts w:ascii="宋体" w:eastAsia="宋体"/>
      <w:snapToGrid w:val="0"/>
      <w:color w:val="000000"/>
      <w:kern w:val="28"/>
      <w:sz w:val="28"/>
    </w:rPr>
  </w:style>
  <w:style w:type="character" w:customStyle="1" w:styleId="132">
    <w:name w:val="blue1"/>
    <w:basedOn w:val="69"/>
    <w:qFormat/>
    <w:uiPriority w:val="0"/>
    <w:rPr>
      <w:rFonts w:ascii="Arial" w:hAnsi="Arial" w:eastAsia="黑体" w:cs="Arial"/>
      <w:snapToGrid w:val="0"/>
      <w:kern w:val="0"/>
      <w:szCs w:val="21"/>
    </w:rPr>
  </w:style>
  <w:style w:type="character" w:customStyle="1" w:styleId="133">
    <w:name w:val="纯文本 字符1"/>
    <w:link w:val="34"/>
    <w:qFormat/>
    <w:uiPriority w:val="0"/>
    <w:rPr>
      <w:rFonts w:ascii="宋体" w:hAnsi="Courier New" w:eastAsia="宋体" w:cs="Arial"/>
      <w:snapToGrid w:val="0"/>
      <w:kern w:val="2"/>
      <w:sz w:val="21"/>
      <w:szCs w:val="21"/>
      <w:lang w:val="en-US" w:eastAsia="zh-CN" w:bidi="ar-SA"/>
    </w:rPr>
  </w:style>
  <w:style w:type="character" w:customStyle="1" w:styleId="134">
    <w:name w:val="标书1 Char"/>
    <w:qFormat/>
    <w:uiPriority w:val="0"/>
    <w:rPr>
      <w:rFonts w:eastAsia="宋体"/>
      <w:b/>
      <w:bCs/>
      <w:kern w:val="44"/>
      <w:sz w:val="44"/>
      <w:szCs w:val="44"/>
      <w:lang w:val="en-US" w:eastAsia="zh-CN" w:bidi="ar-SA"/>
    </w:rPr>
  </w:style>
  <w:style w:type="character" w:customStyle="1" w:styleId="135">
    <w:name w:val="样式5 Char"/>
    <w:qFormat/>
    <w:uiPriority w:val="0"/>
    <w:rPr>
      <w:rFonts w:ascii="仿宋_GB2312" w:hAnsi="仿宋" w:eastAsia="仿宋_GB2312"/>
      <w:kern w:val="2"/>
      <w:sz w:val="24"/>
      <w:szCs w:val="24"/>
    </w:rPr>
  </w:style>
  <w:style w:type="character" w:customStyle="1" w:styleId="136">
    <w:name w:val="样式4 Char"/>
    <w:autoRedefine/>
    <w:qFormat/>
    <w:uiPriority w:val="0"/>
    <w:rPr>
      <w:rFonts w:ascii="仿宋_GB2312" w:hAnsi="仿宋" w:eastAsia="仿宋_GB2312"/>
      <w:b/>
      <w:kern w:val="2"/>
      <w:sz w:val="32"/>
      <w:szCs w:val="32"/>
      <w:lang w:bidi="ar-SA"/>
    </w:rPr>
  </w:style>
  <w:style w:type="character" w:customStyle="1" w:styleId="137">
    <w:name w:val="插图说明 Char"/>
    <w:autoRedefine/>
    <w:qFormat/>
    <w:uiPriority w:val="0"/>
    <w:rPr>
      <w:rFonts w:eastAsia="黑体"/>
      <w:sz w:val="24"/>
      <w:lang w:val="en-US" w:eastAsia="zh-CN"/>
    </w:rPr>
  </w:style>
  <w:style w:type="character" w:customStyle="1" w:styleId="138">
    <w:name w:val="正文2 Char Char"/>
    <w:link w:val="139"/>
    <w:autoRedefine/>
    <w:qFormat/>
    <w:uiPriority w:val="0"/>
    <w:rPr>
      <w:rFonts w:eastAsia="宋体"/>
      <w:kern w:val="2"/>
      <w:sz w:val="24"/>
      <w:lang w:val="en-US" w:eastAsia="zh-CN" w:bidi="ar-SA"/>
    </w:rPr>
  </w:style>
  <w:style w:type="paragraph" w:customStyle="1" w:styleId="139">
    <w:name w:val="正文2"/>
    <w:basedOn w:val="1"/>
    <w:link w:val="138"/>
    <w:qFormat/>
    <w:uiPriority w:val="0"/>
    <w:pPr>
      <w:spacing w:before="156" w:line="360" w:lineRule="auto"/>
      <w:ind w:firstLine="510" w:firstLineChars="200"/>
    </w:pPr>
    <w:rPr>
      <w:sz w:val="24"/>
      <w:szCs w:val="20"/>
    </w:rPr>
  </w:style>
  <w:style w:type="character" w:customStyle="1" w:styleId="140">
    <w:name w:val="Char Char24"/>
    <w:qFormat/>
    <w:uiPriority w:val="6"/>
    <w:rPr>
      <w:kern w:val="1"/>
      <w:sz w:val="21"/>
    </w:rPr>
  </w:style>
  <w:style w:type="character" w:customStyle="1" w:styleId="141">
    <w:name w:val="副标题 字符"/>
    <w:link w:val="48"/>
    <w:qFormat/>
    <w:uiPriority w:val="0"/>
    <w:rPr>
      <w:rFonts w:ascii="Arial" w:hAnsi="Arial" w:eastAsia="隶书"/>
      <w:b/>
      <w:bCs/>
      <w:kern w:val="28"/>
      <w:sz w:val="44"/>
      <w:szCs w:val="32"/>
      <w:lang w:val="en-US" w:eastAsia="zh-CN" w:bidi="ar-SA"/>
    </w:rPr>
  </w:style>
  <w:style w:type="character" w:customStyle="1" w:styleId="142">
    <w:name w:val="普通文字 Char1 Char"/>
    <w:autoRedefine/>
    <w:qFormat/>
    <w:uiPriority w:val="0"/>
    <w:rPr>
      <w:rFonts w:ascii="宋体" w:hAnsi="Courier New" w:eastAsia="宋体"/>
      <w:kern w:val="2"/>
      <w:sz w:val="21"/>
      <w:szCs w:val="24"/>
      <w:lang w:val="en-US" w:eastAsia="zh-CN" w:bidi="ar-SA"/>
    </w:rPr>
  </w:style>
  <w:style w:type="character" w:customStyle="1" w:styleId="143">
    <w:name w:val="h3 Char1"/>
    <w:qFormat/>
    <w:uiPriority w:val="0"/>
    <w:rPr>
      <w:rFonts w:eastAsia="宋体"/>
      <w:b/>
      <w:bCs/>
      <w:kern w:val="2"/>
      <w:sz w:val="32"/>
      <w:szCs w:val="32"/>
      <w:lang w:bidi="ar-SA"/>
    </w:rPr>
  </w:style>
  <w:style w:type="character" w:customStyle="1" w:styleId="144">
    <w:name w:val="标题 Char1"/>
    <w:qFormat/>
    <w:uiPriority w:val="0"/>
    <w:rPr>
      <w:rFonts w:ascii="Cambria" w:hAnsi="Cambria" w:eastAsia="宋体" w:cs="Times New Roman"/>
      <w:b/>
      <w:bCs/>
      <w:sz w:val="32"/>
      <w:szCs w:val="32"/>
      <w:lang w:bidi="ar-SA"/>
    </w:rPr>
  </w:style>
  <w:style w:type="character" w:customStyle="1" w:styleId="145">
    <w:name w:val="gf正文1 Char"/>
    <w:autoRedefine/>
    <w:qFormat/>
    <w:uiPriority w:val="0"/>
    <w:rPr>
      <w:rFonts w:ascii="宋体" w:hAnsi="宋体" w:eastAsia="宋体" w:cs="宋体"/>
      <w:kern w:val="2"/>
      <w:sz w:val="24"/>
      <w:szCs w:val="24"/>
      <w:lang w:val="en-US" w:eastAsia="zh-CN" w:bidi="ar-SA"/>
    </w:rPr>
  </w:style>
  <w:style w:type="character" w:customStyle="1" w:styleId="146">
    <w:name w:val="正文文本缩进 Char1"/>
    <w:autoRedefine/>
    <w:qFormat/>
    <w:uiPriority w:val="0"/>
    <w:rPr>
      <w:rFonts w:ascii="Calibri" w:hAnsi="Calibri"/>
      <w:sz w:val="28"/>
    </w:rPr>
  </w:style>
  <w:style w:type="character" w:customStyle="1" w:styleId="147">
    <w:name w:val="No Spacing Char"/>
    <w:link w:val="148"/>
    <w:autoRedefine/>
    <w:qFormat/>
    <w:uiPriority w:val="1"/>
    <w:rPr>
      <w:sz w:val="22"/>
      <w:szCs w:val="22"/>
      <w:lang w:val="en-US" w:eastAsia="zh-CN" w:bidi="ar-SA"/>
    </w:rPr>
  </w:style>
  <w:style w:type="paragraph" w:customStyle="1" w:styleId="148">
    <w:name w:val="无间隔1"/>
    <w:link w:val="147"/>
    <w:autoRedefine/>
    <w:qFormat/>
    <w:uiPriority w:val="1"/>
    <w:rPr>
      <w:rFonts w:ascii="Times New Roman" w:hAnsi="Times New Roman" w:eastAsia="宋体" w:cs="Times New Roman"/>
      <w:sz w:val="22"/>
      <w:szCs w:val="22"/>
      <w:lang w:val="en-US" w:eastAsia="zh-CN" w:bidi="ar-SA"/>
    </w:rPr>
  </w:style>
  <w:style w:type="character" w:customStyle="1" w:styleId="149">
    <w:name w:val="样式7 Char"/>
    <w:autoRedefine/>
    <w:qFormat/>
    <w:uiPriority w:val="0"/>
    <w:rPr>
      <w:rFonts w:ascii="仿宋_GB2312" w:hAnsi="仿宋" w:eastAsia="仿宋_GB2312"/>
      <w:b/>
      <w:kern w:val="2"/>
      <w:sz w:val="24"/>
      <w:szCs w:val="24"/>
    </w:rPr>
  </w:style>
  <w:style w:type="character" w:customStyle="1" w:styleId="150">
    <w:name w:val="font12gray1"/>
    <w:autoRedefine/>
    <w:qFormat/>
    <w:uiPriority w:val="0"/>
    <w:rPr>
      <w:rFonts w:ascii="仿宋_GB2312" w:eastAsia="微软雅黑"/>
      <w:b/>
      <w:spacing w:val="300"/>
      <w:kern w:val="2"/>
      <w:sz w:val="18"/>
      <w:szCs w:val="18"/>
      <w:lang w:val="en-US" w:eastAsia="zh-CN" w:bidi="ar-SA"/>
    </w:rPr>
  </w:style>
  <w:style w:type="character" w:customStyle="1" w:styleId="151">
    <w:name w:val="Char Char7"/>
    <w:autoRedefine/>
    <w:qFormat/>
    <w:uiPriority w:val="0"/>
    <w:rPr>
      <w:rFonts w:eastAsia="宋体"/>
      <w:kern w:val="2"/>
      <w:sz w:val="21"/>
      <w:szCs w:val="24"/>
      <w:lang w:val="en-US" w:eastAsia="zh-CN" w:bidi="ar-SA"/>
    </w:rPr>
  </w:style>
  <w:style w:type="character" w:customStyle="1" w:styleId="152">
    <w:name w:val="表名 Char"/>
    <w:autoRedefine/>
    <w:qFormat/>
    <w:uiPriority w:val="0"/>
    <w:rPr>
      <w:rFonts w:eastAsia="宋体"/>
      <w:b/>
      <w:bCs/>
      <w:kern w:val="2"/>
      <w:sz w:val="24"/>
      <w:szCs w:val="24"/>
      <w:lang w:val="en-US" w:eastAsia="zh-CN" w:bidi="ar-SA"/>
    </w:rPr>
  </w:style>
  <w:style w:type="character" w:customStyle="1" w:styleId="153">
    <w:name w:val="Document Map Char"/>
    <w:autoRedefine/>
    <w:qFormat/>
    <w:uiPriority w:val="0"/>
    <w:rPr>
      <w:rFonts w:eastAsia="宋体"/>
      <w:kern w:val="2"/>
      <w:sz w:val="21"/>
      <w:szCs w:val="24"/>
      <w:lang w:val="en-US" w:eastAsia="zh-CN" w:bidi="ar-SA"/>
    </w:rPr>
  </w:style>
  <w:style w:type="character" w:customStyle="1" w:styleId="154">
    <w:name w:val="font41"/>
    <w:autoRedefine/>
    <w:qFormat/>
    <w:uiPriority w:val="0"/>
    <w:rPr>
      <w:rFonts w:hint="eastAsia" w:ascii="仿宋_GB2312" w:eastAsia="仿宋_GB2312" w:cs="仿宋_GB2312"/>
      <w:color w:val="000000"/>
      <w:sz w:val="22"/>
      <w:szCs w:val="22"/>
      <w:u w:val="none"/>
    </w:rPr>
  </w:style>
  <w:style w:type="character" w:customStyle="1" w:styleId="155">
    <w:name w:val="纯文本 Char_0"/>
    <w:link w:val="156"/>
    <w:autoRedefine/>
    <w:qFormat/>
    <w:uiPriority w:val="0"/>
    <w:rPr>
      <w:rFonts w:ascii="宋体" w:hAnsi="Courier New"/>
      <w:kern w:val="2"/>
      <w:sz w:val="21"/>
      <w:szCs w:val="21"/>
      <w:lang w:val="en-US" w:eastAsia="zh-CN"/>
    </w:rPr>
  </w:style>
  <w:style w:type="paragraph" w:customStyle="1" w:styleId="156">
    <w:name w:val="纯文本_0_0"/>
    <w:basedOn w:val="157"/>
    <w:link w:val="155"/>
    <w:autoRedefine/>
    <w:qFormat/>
    <w:uiPriority w:val="0"/>
    <w:rPr>
      <w:rFonts w:ascii="宋体" w:hAnsi="Courier New"/>
      <w:szCs w:val="21"/>
    </w:rPr>
  </w:style>
  <w:style w:type="paragraph" w:customStyle="1" w:styleId="157">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8">
    <w:name w:val="Balloon Text Char"/>
    <w:autoRedefine/>
    <w:qFormat/>
    <w:uiPriority w:val="0"/>
    <w:rPr>
      <w:rFonts w:eastAsia="宋体"/>
      <w:kern w:val="2"/>
      <w:sz w:val="18"/>
      <w:szCs w:val="18"/>
      <w:lang w:val="en-US" w:eastAsia="zh-CN" w:bidi="ar-SA"/>
    </w:rPr>
  </w:style>
  <w:style w:type="character" w:customStyle="1" w:styleId="159">
    <w:name w:val="正文 项目2 Char"/>
    <w:basedOn w:val="160"/>
    <w:autoRedefine/>
    <w:qFormat/>
    <w:uiPriority w:val="0"/>
    <w:rPr>
      <w:rFonts w:ascii="仿宋_GB2312" w:hAnsi="仿宋_GB2312" w:eastAsia="仿宋_GB2312"/>
      <w:kern w:val="2"/>
      <w:sz w:val="24"/>
      <w:lang w:bidi="ar-SA"/>
    </w:rPr>
  </w:style>
  <w:style w:type="character" w:customStyle="1" w:styleId="160">
    <w:name w:val="正文 项目 Char"/>
    <w:autoRedefine/>
    <w:qFormat/>
    <w:uiPriority w:val="0"/>
    <w:rPr>
      <w:rFonts w:ascii="仿宋_GB2312" w:hAnsi="仿宋_GB2312" w:eastAsia="仿宋_GB2312"/>
      <w:kern w:val="2"/>
      <w:sz w:val="24"/>
      <w:lang w:bidi="ar-SA"/>
    </w:rPr>
  </w:style>
  <w:style w:type="character" w:customStyle="1" w:styleId="161">
    <w:name w:val="h Char Char1"/>
    <w:autoRedefine/>
    <w:qFormat/>
    <w:uiPriority w:val="0"/>
    <w:rPr>
      <w:rFonts w:eastAsia="宋体"/>
      <w:kern w:val="2"/>
      <w:sz w:val="18"/>
      <w:szCs w:val="18"/>
      <w:lang w:val="en-US" w:eastAsia="zh-CN" w:bidi="ar-SA"/>
    </w:rPr>
  </w:style>
  <w:style w:type="character" w:customStyle="1" w:styleId="162">
    <w:name w:val="Char Char27"/>
    <w:autoRedefine/>
    <w:qFormat/>
    <w:uiPriority w:val="6"/>
    <w:rPr>
      <w:rFonts w:ascii="宋体" w:hAnsi="宋体" w:eastAsia="宋体"/>
      <w:color w:val="000000"/>
      <w:kern w:val="1"/>
      <w:sz w:val="28"/>
      <w:lang w:val="en-US" w:eastAsia="zh-CN" w:bidi="ar-SA"/>
    </w:rPr>
  </w:style>
  <w:style w:type="character" w:customStyle="1" w:styleId="163">
    <w:name w:val="px14"/>
    <w:autoRedefine/>
    <w:qFormat/>
    <w:uiPriority w:val="0"/>
    <w:rPr>
      <w:rFonts w:ascii="仿宋_GB2312" w:eastAsia="微软雅黑" w:cs="Times New Roman"/>
      <w:b/>
      <w:kern w:val="2"/>
      <w:sz w:val="32"/>
      <w:szCs w:val="32"/>
      <w:lang w:val="en-US" w:eastAsia="zh-CN" w:bidi="ar-SA"/>
    </w:rPr>
  </w:style>
  <w:style w:type="character" w:customStyle="1" w:styleId="164">
    <w:name w:val="HTML 预设格式 Char1"/>
    <w:autoRedefine/>
    <w:qFormat/>
    <w:uiPriority w:val="0"/>
    <w:rPr>
      <w:rFonts w:ascii="Courier New" w:hAnsi="Courier New" w:eastAsia="宋体" w:cs="Courier New"/>
      <w:sz w:val="20"/>
      <w:szCs w:val="20"/>
    </w:rPr>
  </w:style>
  <w:style w:type="character" w:customStyle="1" w:styleId="165">
    <w:name w:val="普通文字 Char1"/>
    <w:autoRedefine/>
    <w:qFormat/>
    <w:uiPriority w:val="0"/>
    <w:rPr>
      <w:rFonts w:ascii="宋体" w:hAnsi="Courier New" w:eastAsia="宋体"/>
      <w:kern w:val="2"/>
      <w:sz w:val="21"/>
      <w:lang w:val="en-US" w:eastAsia="zh-CN"/>
    </w:rPr>
  </w:style>
  <w:style w:type="character" w:customStyle="1" w:styleId="166">
    <w:name w:val="hei16b1"/>
    <w:autoRedefine/>
    <w:qFormat/>
    <w:uiPriority w:val="0"/>
    <w:rPr>
      <w:rFonts w:hint="default" w:ascii="Arial" w:hAnsi="Arial" w:cs="Arial"/>
      <w:b/>
      <w:bCs/>
      <w:color w:val="000000"/>
      <w:sz w:val="24"/>
      <w:szCs w:val="24"/>
    </w:rPr>
  </w:style>
  <w:style w:type="character" w:customStyle="1" w:styleId="167">
    <w:name w:val="正文（绿盟科技） Char"/>
    <w:link w:val="168"/>
    <w:qFormat/>
    <w:uiPriority w:val="0"/>
    <w:rPr>
      <w:rFonts w:ascii="Arial" w:hAnsi="Arial"/>
      <w:sz w:val="21"/>
      <w:szCs w:val="21"/>
    </w:rPr>
  </w:style>
  <w:style w:type="paragraph" w:customStyle="1" w:styleId="168">
    <w:name w:val="正文（绿盟科技）"/>
    <w:link w:val="167"/>
    <w:qFormat/>
    <w:uiPriority w:val="0"/>
    <w:pPr>
      <w:spacing w:line="300" w:lineRule="auto"/>
    </w:pPr>
    <w:rPr>
      <w:rFonts w:ascii="Arial" w:hAnsi="Arial" w:eastAsia="宋体" w:cs="Times New Roman"/>
      <w:sz w:val="21"/>
      <w:szCs w:val="21"/>
      <w:lang w:val="en-US" w:eastAsia="zh-CN" w:bidi="ar-SA"/>
    </w:rPr>
  </w:style>
  <w:style w:type="character" w:customStyle="1" w:styleId="169">
    <w:name w:val="Char Char19"/>
    <w:qFormat/>
    <w:uiPriority w:val="6"/>
    <w:rPr>
      <w:rFonts w:ascii="宋体" w:hAnsi="宋体"/>
      <w:i/>
      <w:sz w:val="24"/>
      <w:szCs w:val="24"/>
    </w:rPr>
  </w:style>
  <w:style w:type="character" w:customStyle="1" w:styleId="170">
    <w:name w:val="页脚 Char"/>
    <w:qFormat/>
    <w:uiPriority w:val="0"/>
    <w:rPr>
      <w:rFonts w:eastAsia="仿宋_GB2312"/>
      <w:kern w:val="2"/>
      <w:sz w:val="18"/>
      <w:lang w:val="en-US" w:eastAsia="zh-CN"/>
    </w:rPr>
  </w:style>
  <w:style w:type="character" w:customStyle="1" w:styleId="171">
    <w:name w:val="批注主题 Char"/>
    <w:qFormat/>
    <w:uiPriority w:val="0"/>
    <w:rPr>
      <w:rFonts w:eastAsia="宋体"/>
      <w:b/>
      <w:bCs/>
      <w:kern w:val="2"/>
      <w:sz w:val="21"/>
      <w:szCs w:val="24"/>
      <w:lang w:val="en-US" w:eastAsia="zh-CN" w:bidi="ar-SA"/>
    </w:rPr>
  </w:style>
  <w:style w:type="character" w:customStyle="1" w:styleId="172">
    <w:name w:val="Comment Text Char"/>
    <w:qFormat/>
    <w:uiPriority w:val="0"/>
    <w:rPr>
      <w:rFonts w:ascii="宋体" w:hAnsi="宋体" w:eastAsia="宋体"/>
      <w:kern w:val="2"/>
      <w:sz w:val="24"/>
      <w:lang w:val="en-US" w:eastAsia="zh-CN" w:bidi="ar-SA"/>
    </w:rPr>
  </w:style>
  <w:style w:type="character" w:customStyle="1" w:styleId="173">
    <w:name w:val="Char Char72"/>
    <w:qFormat/>
    <w:uiPriority w:val="0"/>
    <w:rPr>
      <w:rFonts w:eastAsia="宋体"/>
      <w:kern w:val="2"/>
      <w:sz w:val="21"/>
      <w:szCs w:val="24"/>
      <w:lang w:val="en-US" w:eastAsia="zh-CN" w:bidi="ar-SA"/>
    </w:rPr>
  </w:style>
  <w:style w:type="character" w:customStyle="1" w:styleId="174">
    <w:name w:val="正文文本缩进 Char2"/>
    <w:qFormat/>
    <w:uiPriority w:val="0"/>
    <w:rPr>
      <w:rFonts w:ascii="Times New Roman" w:hAnsi="Times New Roman" w:eastAsia="宋体" w:cs="Times New Roman"/>
      <w:snapToGrid w:val="0"/>
      <w:kern w:val="0"/>
      <w:szCs w:val="24"/>
    </w:rPr>
  </w:style>
  <w:style w:type="character" w:customStyle="1" w:styleId="175">
    <w:name w:val="样式2 Char"/>
    <w:qFormat/>
    <w:uiPriority w:val="0"/>
    <w:rPr>
      <w:rFonts w:ascii="仿宋_GB2312" w:hAnsi="仿宋" w:eastAsia="仿宋_GB2312" w:cs="仿宋_GB2312"/>
      <w:b/>
      <w:bCs/>
      <w:sz w:val="32"/>
      <w:szCs w:val="30"/>
      <w:lang w:val="zh-CN"/>
    </w:rPr>
  </w:style>
  <w:style w:type="character" w:customStyle="1" w:styleId="176">
    <w:name w:val="表格名称[858D7CFB-ED40-4347-BF05-701D383B685F]"/>
    <w:link w:val="177"/>
    <w:qFormat/>
    <w:uiPriority w:val="0"/>
    <w:rPr>
      <w:sz w:val="32"/>
    </w:rPr>
  </w:style>
  <w:style w:type="paragraph" w:customStyle="1" w:styleId="177">
    <w:name w:val="表格名称"/>
    <w:basedOn w:val="2"/>
    <w:link w:val="176"/>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8">
    <w:name w:val="Char Char4"/>
    <w:qFormat/>
    <w:uiPriority w:val="0"/>
    <w:rPr>
      <w:rFonts w:eastAsia="宋体"/>
      <w:b/>
      <w:sz w:val="24"/>
      <w:lang w:val="en-GB" w:eastAsia="zh-CN" w:bidi="ar-SA"/>
    </w:rPr>
  </w:style>
  <w:style w:type="character" w:customStyle="1" w:styleId="179">
    <w:name w:val="c7 style3"/>
    <w:qFormat/>
    <w:uiPriority w:val="0"/>
  </w:style>
  <w:style w:type="character" w:customStyle="1" w:styleId="180">
    <w:name w:val="正文文本 3 Char1"/>
    <w:qFormat/>
    <w:uiPriority w:val="99"/>
    <w:rPr>
      <w:rFonts w:ascii="Times New Roman" w:hAnsi="Times New Roman" w:eastAsia="宋体" w:cs="Times New Roman"/>
      <w:sz w:val="16"/>
      <w:szCs w:val="16"/>
    </w:rPr>
  </w:style>
  <w:style w:type="character" w:customStyle="1" w:styleId="181">
    <w:name w:val="tw4winInternal"/>
    <w:qFormat/>
    <w:uiPriority w:val="0"/>
    <w:rPr>
      <w:rFonts w:ascii="Courier New" w:hAnsi="Courier New" w:cs="Courier New"/>
      <w:color w:val="FF0000"/>
      <w:lang w:val="en-US" w:eastAsia="zh-CN"/>
    </w:rPr>
  </w:style>
  <w:style w:type="character" w:customStyle="1" w:styleId="182">
    <w:name w:val="Char Char10"/>
    <w:qFormat/>
    <w:uiPriority w:val="0"/>
    <w:rPr>
      <w:rFonts w:ascii="宋体" w:hAnsi="宋体"/>
      <w:kern w:val="2"/>
      <w:sz w:val="21"/>
      <w:szCs w:val="24"/>
      <w:lang w:val="en-US" w:eastAsia="zh-CN"/>
    </w:rPr>
  </w:style>
  <w:style w:type="character" w:customStyle="1" w:styleId="183">
    <w:name w:val="shadow11"/>
    <w:qFormat/>
    <w:uiPriority w:val="0"/>
    <w:rPr>
      <w:color w:val="000000"/>
      <w:sz w:val="21"/>
    </w:rPr>
  </w:style>
  <w:style w:type="character" w:customStyle="1" w:styleId="184">
    <w:name w:val="正文非缩进 Char3"/>
    <w:qFormat/>
    <w:uiPriority w:val="0"/>
    <w:rPr>
      <w:rFonts w:ascii="宋体" w:eastAsia="宋体"/>
      <w:snapToGrid w:val="0"/>
      <w:color w:val="000000"/>
      <w:kern w:val="28"/>
      <w:sz w:val="28"/>
      <w:lang w:val="en-US" w:eastAsia="zh-CN" w:bidi="ar-SA"/>
    </w:rPr>
  </w:style>
  <w:style w:type="character" w:customStyle="1" w:styleId="185">
    <w:name w:val="Char Char"/>
    <w:qFormat/>
    <w:uiPriority w:val="0"/>
    <w:rPr>
      <w:rFonts w:ascii="宋体" w:hAnsi="Courier New" w:eastAsia="宋体"/>
      <w:kern w:val="2"/>
      <w:sz w:val="21"/>
      <w:lang w:val="en-US" w:eastAsia="zh-CN" w:bidi="ar-SA"/>
    </w:rPr>
  </w:style>
  <w:style w:type="character" w:customStyle="1" w:styleId="186">
    <w:name w:val="签名 Char1"/>
    <w:qFormat/>
    <w:uiPriority w:val="0"/>
    <w:rPr>
      <w:rFonts w:ascii="Times New Roman" w:hAnsi="Times New Roman" w:eastAsia="宋体" w:cs="Times New Roman"/>
      <w:szCs w:val="24"/>
    </w:rPr>
  </w:style>
  <w:style w:type="character" w:customStyle="1" w:styleId="187">
    <w:name w:val="日期 字符"/>
    <w:link w:val="37"/>
    <w:qFormat/>
    <w:uiPriority w:val="0"/>
    <w:rPr>
      <w:rFonts w:ascii="宋体"/>
      <w:kern w:val="2"/>
      <w:sz w:val="24"/>
      <w:szCs w:val="21"/>
      <w:lang w:val="zh-CN"/>
    </w:rPr>
  </w:style>
  <w:style w:type="character" w:customStyle="1" w:styleId="188">
    <w:name w:val="Char Char18"/>
    <w:qFormat/>
    <w:uiPriority w:val="6"/>
    <w:rPr>
      <w:rFonts w:ascii="宋体" w:hAnsi="宋体"/>
      <w:sz w:val="28"/>
    </w:rPr>
  </w:style>
  <w:style w:type="character" w:customStyle="1" w:styleId="189">
    <w:name w:val="批注文字 Char"/>
    <w:qFormat/>
    <w:uiPriority w:val="99"/>
    <w:rPr>
      <w:kern w:val="2"/>
      <w:sz w:val="21"/>
      <w:szCs w:val="24"/>
    </w:rPr>
  </w:style>
  <w:style w:type="character" w:customStyle="1" w:styleId="190">
    <w:name w:val="Char Char22"/>
    <w:qFormat/>
    <w:uiPriority w:val="6"/>
    <w:rPr>
      <w:rFonts w:ascii="宋体" w:hAnsi="宋体"/>
      <w:kern w:val="1"/>
      <w:sz w:val="24"/>
      <w:szCs w:val="24"/>
    </w:rPr>
  </w:style>
  <w:style w:type="character" w:customStyle="1" w:styleId="191">
    <w:name w:val="pt141"/>
    <w:qFormat/>
    <w:uiPriority w:val="0"/>
    <w:rPr>
      <w:color w:val="330066"/>
      <w:sz w:val="22"/>
      <w:szCs w:val="22"/>
    </w:rPr>
  </w:style>
  <w:style w:type="character" w:customStyle="1" w:styleId="192">
    <w:name w:val="正文文本缩进 2 Char1"/>
    <w:qFormat/>
    <w:uiPriority w:val="99"/>
    <w:rPr>
      <w:rFonts w:ascii="Times New Roman" w:hAnsi="Times New Roman" w:eastAsia="宋体" w:cs="Times New Roman"/>
      <w:szCs w:val="24"/>
    </w:rPr>
  </w:style>
  <w:style w:type="character" w:customStyle="1" w:styleId="193">
    <w:name w:val="批注框文本 字符1"/>
    <w:link w:val="40"/>
    <w:qFormat/>
    <w:uiPriority w:val="0"/>
    <w:rPr>
      <w:kern w:val="2"/>
      <w:sz w:val="18"/>
      <w:szCs w:val="18"/>
    </w:rPr>
  </w:style>
  <w:style w:type="character" w:customStyle="1" w:styleId="194">
    <w:name w:val="Char Char611"/>
    <w:qFormat/>
    <w:uiPriority w:val="0"/>
    <w:rPr>
      <w:rFonts w:eastAsia="宋体"/>
      <w:kern w:val="2"/>
      <w:sz w:val="21"/>
      <w:szCs w:val="24"/>
      <w:lang w:val="en-US" w:eastAsia="zh-CN" w:bidi="ar-SA"/>
    </w:rPr>
  </w:style>
  <w:style w:type="character" w:customStyle="1" w:styleId="195">
    <w:name w:val="highlight1"/>
    <w:qFormat/>
    <w:uiPriority w:val="0"/>
    <w:rPr>
      <w:rFonts w:ascii="仿宋_GB2312" w:eastAsia="微软雅黑"/>
      <w:b/>
      <w:kern w:val="2"/>
      <w:sz w:val="23"/>
      <w:szCs w:val="23"/>
      <w:lang w:val="en-US" w:eastAsia="zh-CN" w:bidi="ar-SA"/>
    </w:rPr>
  </w:style>
  <w:style w:type="character" w:customStyle="1" w:styleId="196">
    <w:name w:val="my正文 Char"/>
    <w:link w:val="197"/>
    <w:qFormat/>
    <w:uiPriority w:val="0"/>
    <w:rPr>
      <w:rFonts w:ascii="Tahoma" w:hAnsi="Tahoma"/>
      <w:sz w:val="24"/>
      <w:szCs w:val="24"/>
    </w:rPr>
  </w:style>
  <w:style w:type="paragraph" w:customStyle="1" w:styleId="197">
    <w:name w:val="my正文"/>
    <w:basedOn w:val="1"/>
    <w:link w:val="196"/>
    <w:qFormat/>
    <w:uiPriority w:val="0"/>
    <w:pPr>
      <w:adjustRightInd/>
      <w:spacing w:line="360" w:lineRule="auto"/>
      <w:ind w:firstLine="480" w:firstLineChars="200"/>
    </w:pPr>
    <w:rPr>
      <w:rFonts w:ascii="Tahoma" w:hAnsi="Tahoma"/>
      <w:kern w:val="0"/>
      <w:sz w:val="24"/>
    </w:rPr>
  </w:style>
  <w:style w:type="character" w:customStyle="1" w:styleId="198">
    <w:name w:val="正文缩进 字符2"/>
    <w:link w:val="15"/>
    <w:qFormat/>
    <w:uiPriority w:val="0"/>
    <w:rPr>
      <w:rFonts w:ascii="宋体" w:eastAsia="宋体"/>
      <w:snapToGrid w:val="0"/>
      <w:color w:val="000000"/>
      <w:kern w:val="28"/>
      <w:sz w:val="28"/>
      <w:lang w:val="en-US" w:eastAsia="zh-CN" w:bidi="ar-SA"/>
    </w:rPr>
  </w:style>
  <w:style w:type="character" w:customStyle="1" w:styleId="199">
    <w:name w:val="Used by Word for text of Help footnotes Char Char1"/>
    <w:qFormat/>
    <w:uiPriority w:val="0"/>
    <w:rPr>
      <w:color w:val="0000FF"/>
      <w:sz w:val="21"/>
    </w:rPr>
  </w:style>
  <w:style w:type="character" w:customStyle="1" w:styleId="200">
    <w:name w:val="页眉 Char"/>
    <w:qFormat/>
    <w:uiPriority w:val="0"/>
    <w:rPr>
      <w:rFonts w:eastAsia="仿宋_GB2312"/>
      <w:kern w:val="2"/>
      <w:sz w:val="18"/>
      <w:lang w:val="en-US" w:eastAsia="zh-CN"/>
    </w:rPr>
  </w:style>
  <w:style w:type="character" w:customStyle="1" w:styleId="201">
    <w:name w:val="FA正文 Char Char"/>
    <w:qFormat/>
    <w:uiPriority w:val="0"/>
    <w:rPr>
      <w:rFonts w:hAnsi="宋体"/>
      <w:kern w:val="2"/>
      <w:sz w:val="24"/>
      <w:lang w:bidi="ar-SA"/>
    </w:rPr>
  </w:style>
  <w:style w:type="character" w:customStyle="1" w:styleId="202">
    <w:name w:val="纯文本 字符"/>
    <w:qFormat/>
    <w:uiPriority w:val="0"/>
    <w:rPr>
      <w:rFonts w:ascii="宋体" w:hAnsi="Courier New" w:eastAsia="宋体" w:cs="Arial"/>
      <w:snapToGrid w:val="0"/>
      <w:kern w:val="2"/>
      <w:sz w:val="21"/>
      <w:szCs w:val="21"/>
      <w:lang w:val="en-US" w:eastAsia="zh-CN" w:bidi="ar-SA"/>
    </w:rPr>
  </w:style>
  <w:style w:type="character" w:customStyle="1" w:styleId="203">
    <w:name w:val="3级 Char"/>
    <w:link w:val="204"/>
    <w:qFormat/>
    <w:uiPriority w:val="0"/>
    <w:rPr>
      <w:rFonts w:ascii="宋体" w:hAnsi="宋体"/>
      <w:b/>
      <w:bCs/>
      <w:snapToGrid/>
      <w:sz w:val="28"/>
    </w:rPr>
  </w:style>
  <w:style w:type="paragraph" w:customStyle="1" w:styleId="204">
    <w:name w:val="3级"/>
    <w:basedOn w:val="205"/>
    <w:link w:val="203"/>
    <w:qFormat/>
    <w:uiPriority w:val="0"/>
    <w:pPr>
      <w:ind w:left="0" w:right="466" w:firstLine="288"/>
    </w:pPr>
    <w:rPr>
      <w:rFonts w:hAnsi="宋体"/>
      <w:snapToGrid/>
    </w:rPr>
  </w:style>
  <w:style w:type="paragraph" w:customStyle="1" w:styleId="205">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6">
    <w:name w:val="myp11"/>
    <w:qFormat/>
    <w:uiPriority w:val="0"/>
    <w:rPr>
      <w:rFonts w:ascii="仿宋_GB2312" w:eastAsia="微软雅黑"/>
      <w:b/>
      <w:kern w:val="2"/>
      <w:sz w:val="32"/>
      <w:szCs w:val="32"/>
      <w:lang w:val="en-US" w:eastAsia="zh-CN" w:bidi="ar-SA"/>
    </w:rPr>
  </w:style>
  <w:style w:type="character" w:customStyle="1" w:styleId="207">
    <w:name w:val="文档结构图 字符"/>
    <w:link w:val="18"/>
    <w:qFormat/>
    <w:uiPriority w:val="0"/>
    <w:rPr>
      <w:kern w:val="2"/>
      <w:sz w:val="21"/>
      <w:szCs w:val="24"/>
      <w:shd w:val="clear" w:color="auto" w:fill="000080"/>
    </w:rPr>
  </w:style>
  <w:style w:type="character" w:customStyle="1" w:styleId="208">
    <w:name w:val="H6 Char"/>
    <w:qFormat/>
    <w:uiPriority w:val="0"/>
    <w:rPr>
      <w:rFonts w:ascii="Arial" w:hAnsi="Arial" w:eastAsia="黑体"/>
      <w:b/>
      <w:bCs/>
      <w:kern w:val="2"/>
      <w:sz w:val="24"/>
      <w:szCs w:val="24"/>
    </w:rPr>
  </w:style>
  <w:style w:type="character" w:customStyle="1" w:styleId="209">
    <w:name w:val="Char Char91"/>
    <w:autoRedefine/>
    <w:qFormat/>
    <w:uiPriority w:val="0"/>
    <w:rPr>
      <w:rFonts w:eastAsia="宋体"/>
      <w:kern w:val="2"/>
      <w:sz w:val="18"/>
      <w:szCs w:val="18"/>
      <w:lang w:val="en-US" w:eastAsia="zh-CN" w:bidi="ar-SA"/>
    </w:rPr>
  </w:style>
  <w:style w:type="character" w:customStyle="1" w:styleId="210">
    <w:name w:val="副标题 Char1"/>
    <w:qFormat/>
    <w:uiPriority w:val="0"/>
    <w:rPr>
      <w:rFonts w:ascii="Cambria" w:hAnsi="Cambria" w:eastAsia="宋体" w:cs="Times New Roman"/>
      <w:b/>
      <w:bCs/>
      <w:snapToGrid w:val="0"/>
      <w:kern w:val="28"/>
      <w:sz w:val="32"/>
      <w:szCs w:val="32"/>
    </w:rPr>
  </w:style>
  <w:style w:type="character" w:customStyle="1" w:styleId="211">
    <w:name w:val="font61"/>
    <w:qFormat/>
    <w:uiPriority w:val="0"/>
    <w:rPr>
      <w:rFonts w:hint="eastAsia" w:ascii="仿宋" w:hAnsi="仿宋" w:eastAsia="仿宋" w:cs="仿宋"/>
      <w:color w:val="000000"/>
      <w:sz w:val="20"/>
      <w:szCs w:val="20"/>
      <w:u w:val="none"/>
    </w:rPr>
  </w:style>
  <w:style w:type="character" w:customStyle="1" w:styleId="212">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3">
    <w:name w:val="Char Char211"/>
    <w:qFormat/>
    <w:uiPriority w:val="0"/>
    <w:rPr>
      <w:rFonts w:eastAsia="宋体"/>
      <w:b/>
      <w:bCs/>
      <w:kern w:val="2"/>
      <w:sz w:val="21"/>
      <w:szCs w:val="24"/>
      <w:lang w:val="en-US" w:eastAsia="zh-CN" w:bidi="ar-SA"/>
    </w:rPr>
  </w:style>
  <w:style w:type="character" w:customStyle="1" w:styleId="214">
    <w:name w:val="标题 2 Char"/>
    <w:qFormat/>
    <w:uiPriority w:val="0"/>
    <w:rPr>
      <w:rFonts w:ascii="Arial" w:hAnsi="Arial" w:eastAsia="黑体"/>
      <w:b/>
      <w:kern w:val="2"/>
      <w:sz w:val="32"/>
      <w:lang w:val="en-US" w:eastAsia="zh-CN"/>
    </w:rPr>
  </w:style>
  <w:style w:type="character" w:customStyle="1" w:styleId="215">
    <w:name w:val="maywed421"/>
    <w:qFormat/>
    <w:uiPriority w:val="0"/>
    <w:rPr>
      <w:color w:val="366FB6"/>
      <w:u w:val="none"/>
    </w:rPr>
  </w:style>
  <w:style w:type="character" w:customStyle="1" w:styleId="216">
    <w:name w:val="正文文本缩进 Char"/>
    <w:qFormat/>
    <w:uiPriority w:val="0"/>
    <w:rPr>
      <w:rFonts w:ascii="宋体" w:hAnsi="宋体"/>
      <w:kern w:val="2"/>
      <w:sz w:val="24"/>
      <w:szCs w:val="24"/>
    </w:rPr>
  </w:style>
  <w:style w:type="character" w:customStyle="1" w:styleId="217">
    <w:name w:val="Char Char102"/>
    <w:qFormat/>
    <w:uiPriority w:val="0"/>
    <w:rPr>
      <w:rFonts w:ascii="宋体" w:hAnsi="宋体"/>
      <w:kern w:val="2"/>
      <w:sz w:val="21"/>
      <w:szCs w:val="24"/>
      <w:lang w:val="en-US" w:eastAsia="zh-CN"/>
    </w:rPr>
  </w:style>
  <w:style w:type="character" w:customStyle="1" w:styleId="218">
    <w:name w:val="页眉 Char1"/>
    <w:qFormat/>
    <w:uiPriority w:val="0"/>
    <w:rPr>
      <w:rFonts w:eastAsia="宋体"/>
      <w:kern w:val="2"/>
      <w:sz w:val="18"/>
      <w:szCs w:val="18"/>
      <w:lang w:val="en-US" w:eastAsia="zh-CN" w:bidi="ar-SA"/>
    </w:rPr>
  </w:style>
  <w:style w:type="character" w:customStyle="1" w:styleId="219">
    <w:name w:val="md"/>
    <w:basedOn w:val="69"/>
    <w:qFormat/>
    <w:uiPriority w:val="0"/>
    <w:rPr>
      <w:rFonts w:ascii="Arial" w:hAnsi="Arial" w:eastAsia="黑体" w:cs="Arial"/>
      <w:snapToGrid w:val="0"/>
      <w:kern w:val="0"/>
      <w:szCs w:val="21"/>
    </w:rPr>
  </w:style>
  <w:style w:type="character" w:customStyle="1" w:styleId="220">
    <w:name w:val="big1"/>
    <w:qFormat/>
    <w:uiPriority w:val="0"/>
    <w:rPr>
      <w:rFonts w:hint="eastAsia" w:ascii="宋体" w:hAnsi="宋体" w:eastAsia="宋体"/>
      <w:color w:val="333333"/>
      <w:sz w:val="22"/>
      <w:szCs w:val="22"/>
    </w:rPr>
  </w:style>
  <w:style w:type="character" w:customStyle="1" w:styleId="221">
    <w:name w:val="Char Char311"/>
    <w:qFormat/>
    <w:uiPriority w:val="0"/>
    <w:rPr>
      <w:rFonts w:eastAsia="宋体"/>
      <w:kern w:val="2"/>
      <w:sz w:val="21"/>
      <w:szCs w:val="24"/>
      <w:lang w:val="en-US" w:eastAsia="zh-CN" w:bidi="ar-SA"/>
    </w:rPr>
  </w:style>
  <w:style w:type="character" w:customStyle="1" w:styleId="222">
    <w:name w:val="Char Char81"/>
    <w:qFormat/>
    <w:uiPriority w:val="6"/>
    <w:rPr>
      <w:rFonts w:eastAsia="宋体"/>
      <w:b/>
      <w:sz w:val="24"/>
      <w:lang w:val="en-GB" w:eastAsia="zh-CN"/>
    </w:rPr>
  </w:style>
  <w:style w:type="character" w:customStyle="1" w:styleId="223">
    <w:name w:val="样式3 Char"/>
    <w:basedOn w:val="175"/>
    <w:qFormat/>
    <w:uiPriority w:val="0"/>
    <w:rPr>
      <w:rFonts w:ascii="仿宋_GB2312" w:hAnsi="仿宋" w:eastAsia="仿宋_GB2312" w:cs="仿宋_GB2312"/>
      <w:sz w:val="32"/>
      <w:szCs w:val="30"/>
      <w:lang w:val="zh-CN"/>
    </w:rPr>
  </w:style>
  <w:style w:type="character" w:customStyle="1" w:styleId="224">
    <w:name w:val="HTML 地址 字符"/>
    <w:link w:val="31"/>
    <w:qFormat/>
    <w:uiPriority w:val="0"/>
    <w:rPr>
      <w:rFonts w:ascii="宋体" w:hAnsi="宋体"/>
      <w:i/>
      <w:iCs/>
      <w:sz w:val="24"/>
      <w:szCs w:val="24"/>
    </w:rPr>
  </w:style>
  <w:style w:type="character" w:customStyle="1" w:styleId="225">
    <w:name w:val="正文首行缩进 2 Char1"/>
    <w:qFormat/>
    <w:uiPriority w:val="0"/>
    <w:rPr>
      <w:rFonts w:ascii="Times New Roman" w:hAnsi="Times New Roman" w:eastAsia="宋体" w:cs="Times New Roman"/>
      <w:kern w:val="2"/>
      <w:sz w:val="24"/>
      <w:szCs w:val="24"/>
    </w:rPr>
  </w:style>
  <w:style w:type="character" w:customStyle="1" w:styleId="226">
    <w:name w:val="副标题 Char2"/>
    <w:qFormat/>
    <w:uiPriority w:val="0"/>
    <w:rPr>
      <w:rFonts w:ascii="Cambria" w:hAnsi="Cambria" w:eastAsia="宋体" w:cs="Times New Roman"/>
      <w:b/>
      <w:bCs/>
      <w:snapToGrid w:val="0"/>
      <w:kern w:val="28"/>
      <w:sz w:val="32"/>
      <w:szCs w:val="32"/>
    </w:rPr>
  </w:style>
  <w:style w:type="character" w:customStyle="1" w:styleId="227">
    <w:name w:val="标题4-dyf Char"/>
    <w:link w:val="228"/>
    <w:autoRedefine/>
    <w:qFormat/>
    <w:uiPriority w:val="0"/>
    <w:rPr>
      <w:rFonts w:ascii="Cambria" w:hAnsi="Cambria"/>
      <w:b/>
      <w:bCs/>
      <w:color w:val="000000"/>
      <w:kern w:val="2"/>
      <w:sz w:val="21"/>
      <w:szCs w:val="21"/>
    </w:rPr>
  </w:style>
  <w:style w:type="paragraph" w:customStyle="1" w:styleId="228">
    <w:name w:val="标题4-dyf"/>
    <w:basedOn w:val="5"/>
    <w:link w:val="227"/>
    <w:autoRedefine/>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9">
    <w:name w:val="dectext1"/>
    <w:autoRedefine/>
    <w:qFormat/>
    <w:uiPriority w:val="0"/>
    <w:rPr>
      <w:rFonts w:ascii="宋体" w:hAnsi="宋体" w:eastAsia="宋体"/>
      <w:color w:val="333333"/>
      <w:sz w:val="21"/>
      <w:szCs w:val="21"/>
      <w:u w:val="none"/>
    </w:rPr>
  </w:style>
  <w:style w:type="character" w:customStyle="1" w:styleId="230">
    <w:name w:val="冯 Char"/>
    <w:link w:val="231"/>
    <w:autoRedefine/>
    <w:qFormat/>
    <w:uiPriority w:val="0"/>
    <w:rPr>
      <w:rFonts w:ascii="宋体" w:hAnsi="宋体"/>
      <w:color w:val="000000"/>
      <w:sz w:val="24"/>
      <w:szCs w:val="24"/>
    </w:rPr>
  </w:style>
  <w:style w:type="paragraph" w:customStyle="1" w:styleId="231">
    <w:name w:val="冯"/>
    <w:basedOn w:val="1"/>
    <w:link w:val="230"/>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32">
    <w:name w:val="Header Char_f8b0c4a8-3a36-4237-9383-1fb955de0bb8"/>
    <w:autoRedefine/>
    <w:qFormat/>
    <w:uiPriority w:val="0"/>
    <w:rPr>
      <w:rFonts w:eastAsia="宋体"/>
      <w:kern w:val="2"/>
      <w:sz w:val="18"/>
      <w:szCs w:val="18"/>
      <w:lang w:val="en-US" w:eastAsia="zh-CN" w:bidi="ar-SA"/>
    </w:rPr>
  </w:style>
  <w:style w:type="character" w:customStyle="1" w:styleId="233">
    <w:name w:val="Char Char12"/>
    <w:autoRedefine/>
    <w:qFormat/>
    <w:uiPriority w:val="0"/>
    <w:rPr>
      <w:rFonts w:ascii="仿宋_GB2312" w:eastAsia="仿宋_GB2312"/>
      <w:b/>
      <w:bCs/>
      <w:kern w:val="2"/>
      <w:sz w:val="24"/>
      <w:szCs w:val="24"/>
      <w:lang w:val="zh-CN" w:eastAsia="zh-CN" w:bidi="ar-SA"/>
    </w:rPr>
  </w:style>
  <w:style w:type="character" w:customStyle="1" w:styleId="234">
    <w:name w:val="题注 字符"/>
    <w:link w:val="16"/>
    <w:autoRedefine/>
    <w:qFormat/>
    <w:uiPriority w:val="0"/>
    <w:rPr>
      <w:b/>
      <w:kern w:val="2"/>
      <w:sz w:val="28"/>
    </w:rPr>
  </w:style>
  <w:style w:type="character" w:customStyle="1" w:styleId="235">
    <w:name w:val="普通文字 Char3"/>
    <w:qFormat/>
    <w:uiPriority w:val="0"/>
    <w:rPr>
      <w:rFonts w:ascii="宋体" w:hAnsi="Courier New" w:eastAsia="宋体"/>
      <w:kern w:val="2"/>
      <w:sz w:val="21"/>
      <w:lang w:val="en-US" w:eastAsia="zh-CN" w:bidi="ar-SA"/>
    </w:rPr>
  </w:style>
  <w:style w:type="character" w:customStyle="1" w:styleId="236">
    <w:name w:val="公文正文 Char"/>
    <w:qFormat/>
    <w:uiPriority w:val="0"/>
    <w:rPr>
      <w:rFonts w:ascii="仿宋_GB2312" w:eastAsia="仿宋_GB2312"/>
      <w:kern w:val="2"/>
      <w:sz w:val="24"/>
      <w:szCs w:val="24"/>
      <w:lang w:val="en-US" w:eastAsia="zh-CN" w:bidi="ar-SA"/>
    </w:rPr>
  </w:style>
  <w:style w:type="character" w:customStyle="1" w:styleId="237">
    <w:name w:val="正文首行缩进 Char Char Char Char Char"/>
    <w:qFormat/>
    <w:uiPriority w:val="0"/>
    <w:rPr>
      <w:rFonts w:ascii="宋体"/>
      <w:kern w:val="2"/>
      <w:sz w:val="24"/>
      <w:lang w:val="zh-CN"/>
    </w:rPr>
  </w:style>
  <w:style w:type="character" w:customStyle="1" w:styleId="238">
    <w:name w:val="PI Char"/>
    <w:autoRedefine/>
    <w:qFormat/>
    <w:uiPriority w:val="0"/>
    <w:rPr>
      <w:rFonts w:ascii="宋体" w:hAnsi="宋体" w:eastAsia="宋体"/>
      <w:kern w:val="2"/>
      <w:sz w:val="24"/>
      <w:szCs w:val="24"/>
      <w:lang w:val="en-US" w:eastAsia="zh-CN" w:bidi="ar-SA"/>
    </w:rPr>
  </w:style>
  <w:style w:type="character" w:customStyle="1" w:styleId="239">
    <w:name w:val="Default Char"/>
    <w:link w:val="240"/>
    <w:qFormat/>
    <w:uiPriority w:val="0"/>
    <w:rPr>
      <w:rFonts w:ascii="仿宋_GB2312" w:eastAsia="仿宋_GB2312" w:cs="仿宋_GB2312"/>
      <w:color w:val="000000"/>
      <w:sz w:val="24"/>
      <w:szCs w:val="24"/>
      <w:lang w:val="en-US" w:eastAsia="zh-CN" w:bidi="ar-SA"/>
    </w:rPr>
  </w:style>
  <w:style w:type="paragraph" w:customStyle="1" w:styleId="240">
    <w:name w:val="Default"/>
    <w:link w:val="239"/>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41">
    <w:name w:val="style91"/>
    <w:autoRedefine/>
    <w:qFormat/>
    <w:uiPriority w:val="0"/>
    <w:rPr>
      <w:color w:val="333333"/>
    </w:rPr>
  </w:style>
  <w:style w:type="character" w:customStyle="1" w:styleId="242">
    <w:name w:val="列出段落 Char2"/>
    <w:qFormat/>
    <w:uiPriority w:val="34"/>
    <w:rPr>
      <w:rFonts w:ascii="Calibri" w:hAnsi="Calibri"/>
      <w:kern w:val="2"/>
      <w:sz w:val="28"/>
    </w:rPr>
  </w:style>
  <w:style w:type="character" w:customStyle="1" w:styleId="243">
    <w:name w:val="mdeck"/>
    <w:qFormat/>
    <w:uiPriority w:val="0"/>
    <w:rPr>
      <w:rFonts w:ascii="仿宋_GB2312" w:eastAsia="微软雅黑"/>
      <w:b/>
      <w:kern w:val="2"/>
      <w:sz w:val="32"/>
      <w:szCs w:val="32"/>
      <w:lang w:val="en-US" w:eastAsia="zh-CN" w:bidi="ar-SA"/>
    </w:rPr>
  </w:style>
  <w:style w:type="character" w:customStyle="1" w:styleId="244">
    <w:name w:val="unnamed11"/>
    <w:qFormat/>
    <w:uiPriority w:val="0"/>
    <w:rPr>
      <w:sz w:val="20"/>
      <w:szCs w:val="20"/>
    </w:rPr>
  </w:style>
  <w:style w:type="character" w:customStyle="1" w:styleId="245">
    <w:name w:val="正文文本 Char2"/>
    <w:autoRedefine/>
    <w:qFormat/>
    <w:uiPriority w:val="99"/>
    <w:rPr>
      <w:rFonts w:ascii="Times New Roman" w:hAnsi="Times New Roman" w:eastAsia="宋体" w:cs="Times New Roman"/>
      <w:snapToGrid w:val="0"/>
      <w:kern w:val="0"/>
      <w:szCs w:val="24"/>
    </w:rPr>
  </w:style>
  <w:style w:type="character" w:customStyle="1" w:styleId="246">
    <w:name w:val="标书正文格式 Char"/>
    <w:autoRedefine/>
    <w:qFormat/>
    <w:uiPriority w:val="0"/>
    <w:rPr>
      <w:rFonts w:eastAsia="楷体_GB2312"/>
      <w:kern w:val="2"/>
      <w:sz w:val="24"/>
      <w:szCs w:val="24"/>
      <w:lang w:bidi="ar-SA"/>
    </w:rPr>
  </w:style>
  <w:style w:type="character" w:customStyle="1" w:styleId="247">
    <w:name w:val="Char Char11"/>
    <w:qFormat/>
    <w:uiPriority w:val="0"/>
    <w:rPr>
      <w:rFonts w:ascii="宋体" w:hAnsi="宋体" w:eastAsia="宋体"/>
      <w:b/>
      <w:kern w:val="2"/>
      <w:sz w:val="24"/>
      <w:szCs w:val="24"/>
      <w:lang w:val="en-US" w:eastAsia="zh-CN" w:bidi="ar-SA"/>
    </w:rPr>
  </w:style>
  <w:style w:type="character" w:customStyle="1" w:styleId="248">
    <w:name w:val="ca-131"/>
    <w:qFormat/>
    <w:uiPriority w:val="0"/>
    <w:rPr>
      <w:rFonts w:hint="eastAsia" w:ascii="仿宋_GB2312" w:eastAsia="仿宋_GB2312"/>
      <w:b/>
      <w:bCs/>
      <w:color w:val="000000"/>
      <w:spacing w:val="-20"/>
      <w:sz w:val="24"/>
      <w:szCs w:val="24"/>
    </w:rPr>
  </w:style>
  <w:style w:type="character" w:customStyle="1" w:styleId="249">
    <w:name w:val="tw4winMark"/>
    <w:autoRedefine/>
    <w:qFormat/>
    <w:uiPriority w:val="0"/>
    <w:rPr>
      <w:rFonts w:ascii="Courier New" w:hAnsi="Courier New" w:cs="Courier New"/>
      <w:vanish/>
      <w:color w:val="800080"/>
      <w:sz w:val="24"/>
      <w:szCs w:val="24"/>
      <w:vertAlign w:val="subscript"/>
    </w:rPr>
  </w:style>
  <w:style w:type="character" w:customStyle="1" w:styleId="250">
    <w:name w:val="正文样式 Char"/>
    <w:link w:val="251"/>
    <w:qFormat/>
    <w:uiPriority w:val="0"/>
    <w:rPr>
      <w:rFonts w:ascii="Calibri" w:hAnsi="Calibri"/>
      <w:sz w:val="24"/>
      <w:szCs w:val="24"/>
    </w:rPr>
  </w:style>
  <w:style w:type="paragraph" w:customStyle="1" w:styleId="251">
    <w:name w:val="正文样式"/>
    <w:basedOn w:val="1"/>
    <w:link w:val="250"/>
    <w:qFormat/>
    <w:uiPriority w:val="0"/>
    <w:pPr>
      <w:adjustRightInd/>
      <w:spacing w:line="360" w:lineRule="auto"/>
      <w:ind w:firstLine="480" w:firstLineChars="200"/>
    </w:pPr>
    <w:rPr>
      <w:kern w:val="0"/>
      <w:sz w:val="24"/>
    </w:rPr>
  </w:style>
  <w:style w:type="character" w:customStyle="1" w:styleId="252">
    <w:name w:val="表正文 Char3"/>
    <w:qFormat/>
    <w:uiPriority w:val="0"/>
    <w:rPr>
      <w:rFonts w:eastAsia="宋体"/>
    </w:rPr>
  </w:style>
  <w:style w:type="character" w:customStyle="1" w:styleId="253">
    <w:name w:val="H5 Char"/>
    <w:autoRedefine/>
    <w:qFormat/>
    <w:uiPriority w:val="0"/>
    <w:rPr>
      <w:b/>
      <w:bCs/>
      <w:kern w:val="2"/>
      <w:sz w:val="28"/>
      <w:szCs w:val="28"/>
    </w:rPr>
  </w:style>
  <w:style w:type="character" w:customStyle="1" w:styleId="254">
    <w:name w:val="Char Char3"/>
    <w:autoRedefine/>
    <w:qFormat/>
    <w:uiPriority w:val="0"/>
    <w:rPr>
      <w:rFonts w:eastAsia="宋体"/>
      <w:kern w:val="2"/>
      <w:sz w:val="21"/>
      <w:szCs w:val="24"/>
      <w:lang w:val="en-US" w:eastAsia="zh-CN" w:bidi="ar-SA"/>
    </w:rPr>
  </w:style>
  <w:style w:type="character" w:customStyle="1" w:styleId="255">
    <w:name w:val="正文 编号 Char"/>
    <w:autoRedefine/>
    <w:qFormat/>
    <w:uiPriority w:val="0"/>
    <w:rPr>
      <w:rFonts w:ascii="仿宋_GB2312" w:hAnsi="仿宋_GB2312" w:eastAsia="仿宋_GB2312"/>
      <w:kern w:val="2"/>
      <w:sz w:val="24"/>
      <w:lang w:bidi="ar-SA"/>
    </w:rPr>
  </w:style>
  <w:style w:type="character" w:customStyle="1" w:styleId="256">
    <w:name w:val="question-title2"/>
    <w:autoRedefine/>
    <w:qFormat/>
    <w:uiPriority w:val="6"/>
    <w:rPr>
      <w:rFonts w:ascii="Arial" w:hAnsi="Arial" w:eastAsia="黑体" w:cs="Arial"/>
      <w:snapToGrid w:val="0"/>
      <w:kern w:val="0"/>
      <w:szCs w:val="21"/>
    </w:rPr>
  </w:style>
  <w:style w:type="character" w:customStyle="1" w:styleId="257">
    <w:name w:val="gf正文1 Char Char"/>
    <w:link w:val="258"/>
    <w:autoRedefine/>
    <w:qFormat/>
    <w:uiPriority w:val="0"/>
    <w:rPr>
      <w:rFonts w:ascii="宋体" w:hAnsi="宋体" w:cs="宋体"/>
      <w:kern w:val="2"/>
      <w:sz w:val="24"/>
      <w:szCs w:val="24"/>
    </w:rPr>
  </w:style>
  <w:style w:type="paragraph" w:customStyle="1" w:styleId="258">
    <w:name w:val="gf正文1"/>
    <w:basedOn w:val="1"/>
    <w:link w:val="257"/>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9">
    <w:name w:val="Char Char15"/>
    <w:qFormat/>
    <w:uiPriority w:val="6"/>
    <w:rPr>
      <w:rFonts w:ascii="宋体" w:hAnsi="宋体"/>
      <w:kern w:val="1"/>
      <w:sz w:val="21"/>
    </w:rPr>
  </w:style>
  <w:style w:type="character" w:customStyle="1" w:styleId="260">
    <w:name w:val="正文缩进 Char3"/>
    <w:autoRedefine/>
    <w:qFormat/>
    <w:uiPriority w:val="0"/>
    <w:rPr>
      <w:rFonts w:ascii="宋体" w:eastAsia="宋体"/>
      <w:snapToGrid w:val="0"/>
      <w:color w:val="000000"/>
      <w:kern w:val="28"/>
      <w:sz w:val="28"/>
      <w:lang w:val="en-US" w:eastAsia="zh-CN" w:bidi="ar-SA"/>
    </w:rPr>
  </w:style>
  <w:style w:type="character" w:customStyle="1" w:styleId="261">
    <w:name w:val="列出段落 Char1"/>
    <w:link w:val="262"/>
    <w:autoRedefine/>
    <w:qFormat/>
    <w:uiPriority w:val="0"/>
    <w:rPr>
      <w:rFonts w:ascii="Calibri" w:hAnsi="Calibri"/>
      <w:sz w:val="24"/>
      <w:lang w:eastAsia="en-US"/>
    </w:rPr>
  </w:style>
  <w:style w:type="paragraph" w:customStyle="1" w:styleId="262">
    <w:name w:val="列表1"/>
    <w:basedOn w:val="1"/>
    <w:next w:val="263"/>
    <w:link w:val="261"/>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63">
    <w:name w:val="列出段落1"/>
    <w:basedOn w:val="1"/>
    <w:qFormat/>
    <w:uiPriority w:val="34"/>
    <w:pPr>
      <w:spacing w:line="360" w:lineRule="auto"/>
      <w:ind w:firstLine="200" w:firstLineChars="200"/>
    </w:pPr>
    <w:rPr>
      <w:rFonts w:eastAsia="楷体_GB2312" w:cs="Lucida Sans"/>
      <w:sz w:val="24"/>
    </w:rPr>
  </w:style>
  <w:style w:type="character" w:customStyle="1" w:styleId="264">
    <w:name w:val="Char Char8"/>
    <w:autoRedefine/>
    <w:qFormat/>
    <w:uiPriority w:val="0"/>
    <w:rPr>
      <w:rFonts w:eastAsia="宋体"/>
      <w:b/>
      <w:sz w:val="24"/>
      <w:lang w:val="en-GB" w:eastAsia="zh-CN"/>
    </w:rPr>
  </w:style>
  <w:style w:type="character" w:customStyle="1" w:styleId="265">
    <w:name w:val="Normal Indent Char Char"/>
    <w:qFormat/>
    <w:uiPriority w:val="0"/>
    <w:rPr>
      <w:rFonts w:eastAsia="宋体"/>
      <w:kern w:val="2"/>
      <w:sz w:val="21"/>
      <w:lang w:val="en-US" w:eastAsia="zh-CN" w:bidi="ar-SA"/>
    </w:rPr>
  </w:style>
  <w:style w:type="character" w:customStyle="1" w:styleId="266">
    <w:name w:val="列表段落 字符"/>
    <w:qFormat/>
    <w:uiPriority w:val="99"/>
  </w:style>
  <w:style w:type="character" w:customStyle="1" w:styleId="267">
    <w:name w:val="Ò³Ã¼ Char Char1"/>
    <w:qFormat/>
    <w:uiPriority w:val="0"/>
    <w:rPr>
      <w:rFonts w:eastAsia="宋体"/>
      <w:kern w:val="2"/>
      <w:sz w:val="18"/>
      <w:szCs w:val="18"/>
      <w:lang w:val="en-US" w:eastAsia="zh-CN" w:bidi="ar-SA"/>
    </w:rPr>
  </w:style>
  <w:style w:type="character" w:customStyle="1" w:styleId="268">
    <w:name w:val="方案正文 Char"/>
    <w:autoRedefine/>
    <w:qFormat/>
    <w:uiPriority w:val="0"/>
    <w:rPr>
      <w:rFonts w:ascii="仿宋_GB2312" w:eastAsia="仿宋_GB2312"/>
      <w:b/>
      <w:color w:val="000000"/>
      <w:kern w:val="2"/>
      <w:sz w:val="24"/>
      <w:lang w:val="en-US" w:eastAsia="zh-CN" w:bidi="ar-SA"/>
    </w:rPr>
  </w:style>
  <w:style w:type="character" w:customStyle="1" w:styleId="269">
    <w:name w:val="Char Char30"/>
    <w:qFormat/>
    <w:uiPriority w:val="6"/>
    <w:rPr>
      <w:rFonts w:ascii="Arial" w:hAnsi="Arial" w:eastAsia="黑体"/>
      <w:kern w:val="1"/>
      <w:sz w:val="21"/>
      <w:szCs w:val="21"/>
    </w:rPr>
  </w:style>
  <w:style w:type="character" w:customStyle="1" w:styleId="270">
    <w:name w:val="正文文本缩进 字符1"/>
    <w:link w:val="26"/>
    <w:qFormat/>
    <w:uiPriority w:val="0"/>
    <w:rPr>
      <w:rFonts w:ascii="宋体" w:hAnsi="宋体"/>
      <w:kern w:val="2"/>
      <w:sz w:val="24"/>
      <w:szCs w:val="24"/>
    </w:rPr>
  </w:style>
  <w:style w:type="character" w:customStyle="1" w:styleId="271">
    <w:name w:val="font01"/>
    <w:qFormat/>
    <w:uiPriority w:val="0"/>
    <w:rPr>
      <w:rFonts w:hint="eastAsia" w:ascii="微软雅黑" w:hAnsi="微软雅黑" w:eastAsia="微软雅黑" w:cs="微软雅黑"/>
      <w:color w:val="000000"/>
      <w:sz w:val="20"/>
      <w:szCs w:val="20"/>
      <w:u w:val="none"/>
    </w:rPr>
  </w:style>
  <w:style w:type="character" w:customStyle="1" w:styleId="272">
    <w:name w:val="Char Char20"/>
    <w:qFormat/>
    <w:uiPriority w:val="6"/>
    <w:rPr>
      <w:kern w:val="1"/>
      <w:sz w:val="24"/>
    </w:rPr>
  </w:style>
  <w:style w:type="character" w:customStyle="1" w:styleId="273">
    <w:name w:val="tw4winExternal"/>
    <w:autoRedefine/>
    <w:qFormat/>
    <w:uiPriority w:val="0"/>
    <w:rPr>
      <w:rFonts w:ascii="Courier New" w:hAnsi="Courier New" w:cs="Courier New"/>
      <w:color w:val="808080"/>
      <w:lang w:val="en-US" w:eastAsia="zh-CN"/>
    </w:rPr>
  </w:style>
  <w:style w:type="character" w:customStyle="1" w:styleId="274">
    <w:name w:val="标题 4 Char1"/>
    <w:qFormat/>
    <w:uiPriority w:val="9"/>
    <w:rPr>
      <w:rFonts w:ascii="Cambria" w:hAnsi="Cambria" w:eastAsia="宋体" w:cs="Times New Roman"/>
      <w:b/>
      <w:bCs/>
      <w:kern w:val="2"/>
      <w:sz w:val="28"/>
      <w:szCs w:val="28"/>
    </w:rPr>
  </w:style>
  <w:style w:type="character" w:customStyle="1" w:styleId="275">
    <w:name w:val="批注文字 Char2"/>
    <w:autoRedefine/>
    <w:qFormat/>
    <w:uiPriority w:val="99"/>
    <w:rPr>
      <w:rFonts w:ascii="Times New Roman" w:hAnsi="Times New Roman" w:eastAsia="宋体" w:cs="Times New Roman"/>
      <w:snapToGrid w:val="0"/>
      <w:kern w:val="0"/>
      <w:szCs w:val="24"/>
    </w:rPr>
  </w:style>
  <w:style w:type="character" w:customStyle="1" w:styleId="276">
    <w:name w:val="正文文本 2 Char"/>
    <w:autoRedefine/>
    <w:qFormat/>
    <w:uiPriority w:val="0"/>
    <w:rPr>
      <w:rFonts w:eastAsia="宋体"/>
      <w:kern w:val="2"/>
      <w:sz w:val="21"/>
      <w:szCs w:val="24"/>
      <w:lang w:val="en-US" w:eastAsia="zh-CN" w:bidi="ar-SA"/>
    </w:rPr>
  </w:style>
  <w:style w:type="character" w:customStyle="1" w:styleId="277">
    <w:name w:val="Ò³Ã¼ Char Char"/>
    <w:qFormat/>
    <w:uiPriority w:val="0"/>
    <w:rPr>
      <w:rFonts w:eastAsia="宋体"/>
      <w:kern w:val="2"/>
      <w:sz w:val="18"/>
      <w:lang w:val="en-US" w:eastAsia="zh-CN" w:bidi="ar-SA"/>
    </w:rPr>
  </w:style>
  <w:style w:type="character" w:customStyle="1" w:styleId="278">
    <w:name w:val="message1"/>
    <w:qFormat/>
    <w:uiPriority w:val="0"/>
    <w:rPr>
      <w:rFonts w:hint="default" w:ascii="Tahoma" w:hAnsi="Tahoma" w:cs="Tahoma"/>
      <w:sz w:val="18"/>
      <w:szCs w:val="18"/>
    </w:rPr>
  </w:style>
  <w:style w:type="character" w:customStyle="1" w:styleId="279">
    <w:name w:val="Char Char23"/>
    <w:autoRedefine/>
    <w:qFormat/>
    <w:uiPriority w:val="6"/>
    <w:rPr>
      <w:color w:val="0000FF"/>
      <w:sz w:val="21"/>
    </w:rPr>
  </w:style>
  <w:style w:type="character" w:customStyle="1" w:styleId="280">
    <w:name w:val="批注框文本 字符"/>
    <w:autoRedefine/>
    <w:qFormat/>
    <w:uiPriority w:val="0"/>
    <w:rPr>
      <w:rFonts w:ascii="Arial" w:hAnsi="Arial" w:eastAsia="黑体" w:cs="Arial"/>
      <w:snapToGrid w:val="0"/>
      <w:kern w:val="0"/>
      <w:sz w:val="18"/>
      <w:szCs w:val="18"/>
    </w:rPr>
  </w:style>
  <w:style w:type="character" w:customStyle="1" w:styleId="281">
    <w:name w:val="纯文本 Char2"/>
    <w:qFormat/>
    <w:uiPriority w:val="99"/>
    <w:rPr>
      <w:rFonts w:ascii="宋体" w:hAnsi="Courier New" w:eastAsia="宋体" w:cs="Courier New"/>
    </w:rPr>
  </w:style>
  <w:style w:type="character" w:customStyle="1" w:styleId="282">
    <w:name w:val="Char Char25"/>
    <w:qFormat/>
    <w:uiPriority w:val="6"/>
    <w:rPr>
      <w:rFonts w:ascii="宋体" w:hAnsi="宋体"/>
      <w:kern w:val="1"/>
      <w:sz w:val="24"/>
      <w:lang w:val="zh-CN"/>
    </w:rPr>
  </w:style>
  <w:style w:type="character" w:customStyle="1" w:styleId="283">
    <w:name w:val="Char Char411"/>
    <w:autoRedefine/>
    <w:qFormat/>
    <w:uiPriority w:val="0"/>
    <w:rPr>
      <w:rFonts w:eastAsia="宋体"/>
      <w:b/>
      <w:sz w:val="24"/>
      <w:lang w:val="en-GB" w:eastAsia="zh-CN" w:bidi="ar-SA"/>
    </w:rPr>
  </w:style>
  <w:style w:type="character" w:customStyle="1" w:styleId="284">
    <w:name w:val="Heading 7 Char_7a51d9d0-0967-4a0b-9f36-466b70e8ade9"/>
    <w:qFormat/>
    <w:uiPriority w:val="0"/>
    <w:rPr>
      <w:rFonts w:ascii="宋体" w:hAnsi="宋体" w:eastAsia="宋体"/>
      <w:b/>
      <w:bCs/>
      <w:kern w:val="2"/>
      <w:sz w:val="24"/>
      <w:szCs w:val="24"/>
      <w:lang w:val="en-US" w:eastAsia="zh-CN" w:bidi="ar-SA"/>
    </w:rPr>
  </w:style>
  <w:style w:type="character" w:customStyle="1" w:styleId="285">
    <w:name w:val="此正文 Char"/>
    <w:link w:val="286"/>
    <w:qFormat/>
    <w:uiPriority w:val="0"/>
    <w:rPr>
      <w:kern w:val="2"/>
      <w:sz w:val="24"/>
      <w:szCs w:val="24"/>
    </w:rPr>
  </w:style>
  <w:style w:type="paragraph" w:customStyle="1" w:styleId="286">
    <w:name w:val="此正文"/>
    <w:basedOn w:val="1"/>
    <w:link w:val="285"/>
    <w:qFormat/>
    <w:uiPriority w:val="0"/>
    <w:pPr>
      <w:adjustRightInd/>
      <w:spacing w:line="360" w:lineRule="auto"/>
      <w:ind w:firstLine="200" w:firstLineChars="200"/>
    </w:pPr>
    <w:rPr>
      <w:sz w:val="24"/>
    </w:rPr>
  </w:style>
  <w:style w:type="character" w:customStyle="1" w:styleId="287">
    <w:name w:val="Char Char2"/>
    <w:autoRedefine/>
    <w:qFormat/>
    <w:uiPriority w:val="0"/>
    <w:rPr>
      <w:rFonts w:eastAsia="宋体"/>
      <w:b/>
      <w:bCs/>
      <w:kern w:val="2"/>
      <w:sz w:val="21"/>
      <w:szCs w:val="24"/>
      <w:lang w:val="en-US" w:eastAsia="zh-CN" w:bidi="ar-SA"/>
    </w:rPr>
  </w:style>
  <w:style w:type="character" w:customStyle="1" w:styleId="288">
    <w:name w:val="标题 1 字符1"/>
    <w:link w:val="3"/>
    <w:qFormat/>
    <w:uiPriority w:val="9"/>
    <w:rPr>
      <w:b/>
      <w:bCs/>
      <w:kern w:val="44"/>
      <w:sz w:val="44"/>
      <w:szCs w:val="44"/>
    </w:rPr>
  </w:style>
  <w:style w:type="character" w:customStyle="1" w:styleId="289">
    <w:name w:val="Footer-Even Char1"/>
    <w:qFormat/>
    <w:uiPriority w:val="0"/>
    <w:rPr>
      <w:rFonts w:eastAsia="宋体"/>
      <w:kern w:val="2"/>
      <w:sz w:val="18"/>
      <w:szCs w:val="18"/>
      <w:lang w:val="en-US" w:eastAsia="zh-CN" w:bidi="ar-SA"/>
    </w:rPr>
  </w:style>
  <w:style w:type="character" w:customStyle="1" w:styleId="290">
    <w:name w:val="Char Char29"/>
    <w:qFormat/>
    <w:uiPriority w:val="6"/>
    <w:rPr>
      <w:rFonts w:ascii="Arial" w:hAnsi="Arial" w:eastAsia="微软雅黑"/>
      <w:b/>
      <w:kern w:val="1"/>
      <w:sz w:val="44"/>
      <w:szCs w:val="32"/>
      <w:lang w:val="en-US" w:eastAsia="zh-CN" w:bidi="ar-SA"/>
    </w:rPr>
  </w:style>
  <w:style w:type="character" w:customStyle="1" w:styleId="291">
    <w:name w:val="标题 字符"/>
    <w:link w:val="59"/>
    <w:qFormat/>
    <w:uiPriority w:val="10"/>
    <w:rPr>
      <w:b/>
      <w:sz w:val="24"/>
      <w:lang w:val="en-GB"/>
    </w:rPr>
  </w:style>
  <w:style w:type="character" w:customStyle="1" w:styleId="292">
    <w:name w:val="font81"/>
    <w:qFormat/>
    <w:uiPriority w:val="0"/>
    <w:rPr>
      <w:rFonts w:ascii="微软雅黑" w:hAnsi="微软雅黑" w:eastAsia="微软雅黑" w:cs="微软雅黑"/>
      <w:color w:val="000000"/>
      <w:sz w:val="20"/>
      <w:szCs w:val="20"/>
      <w:u w:val="none"/>
    </w:rPr>
  </w:style>
  <w:style w:type="character" w:customStyle="1" w:styleId="293">
    <w:name w:val="Char Char312"/>
    <w:qFormat/>
    <w:uiPriority w:val="0"/>
    <w:rPr>
      <w:rFonts w:ascii="Times New Roman" w:hAnsi="Times New Roman" w:eastAsia="宋体" w:cs="Times New Roman"/>
      <w:b/>
      <w:kern w:val="2"/>
      <w:sz w:val="32"/>
      <w:szCs w:val="24"/>
      <w:lang w:val="en-US" w:eastAsia="zh-CN" w:bidi="ar-SA"/>
    </w:rPr>
  </w:style>
  <w:style w:type="character" w:customStyle="1" w:styleId="294">
    <w:name w:val="t21"/>
    <w:qFormat/>
    <w:uiPriority w:val="0"/>
    <w:rPr>
      <w:rFonts w:ascii="仿宋_GB2312" w:eastAsia="微软雅黑"/>
      <w:b/>
      <w:kern w:val="2"/>
      <w:sz w:val="23"/>
      <w:szCs w:val="23"/>
      <w:lang w:val="en-US" w:eastAsia="zh-CN" w:bidi="ar-SA"/>
    </w:rPr>
  </w:style>
  <w:style w:type="character" w:customStyle="1" w:styleId="295">
    <w:name w:val="样式8 Char"/>
    <w:qFormat/>
    <w:uiPriority w:val="0"/>
    <w:rPr>
      <w:rFonts w:ascii="仿宋_GB2312" w:hAnsi="宋体" w:eastAsia="仿宋_GB2312"/>
      <w:b/>
      <w:bCs/>
      <w:kern w:val="2"/>
      <w:sz w:val="24"/>
      <w:szCs w:val="24"/>
    </w:rPr>
  </w:style>
  <w:style w:type="character" w:customStyle="1" w:styleId="296">
    <w:name w:val="表格 Char Char"/>
    <w:qFormat/>
    <w:uiPriority w:val="0"/>
    <w:rPr>
      <w:rFonts w:ascii="宋体" w:hAnsi="宋体" w:eastAsia="宋体"/>
      <w:lang w:bidi="ar-SA"/>
    </w:rPr>
  </w:style>
  <w:style w:type="character" w:customStyle="1" w:styleId="297">
    <w:name w:val="正文文本 字符1"/>
    <w:qFormat/>
    <w:uiPriority w:val="0"/>
    <w:rPr>
      <w:rFonts w:ascii="Calibri" w:hAnsi="Calibri" w:eastAsia="黑体" w:cs="Arial"/>
      <w:snapToGrid w:val="0"/>
      <w:kern w:val="2"/>
      <w:sz w:val="28"/>
      <w:szCs w:val="21"/>
    </w:rPr>
  </w:style>
  <w:style w:type="character" w:customStyle="1" w:styleId="298">
    <w:name w:val="标题 6 Char1"/>
    <w:qFormat/>
    <w:uiPriority w:val="0"/>
    <w:rPr>
      <w:rFonts w:ascii="Arial" w:hAnsi="Arial" w:eastAsia="黑体" w:cs="Times New Roman"/>
      <w:b/>
      <w:sz w:val="24"/>
      <w:szCs w:val="20"/>
      <w:lang w:bidi="ar-SA"/>
    </w:rPr>
  </w:style>
  <w:style w:type="character" w:customStyle="1" w:styleId="299">
    <w:name w:val="带编号样式 Char"/>
    <w:qFormat/>
    <w:uiPriority w:val="0"/>
    <w:rPr>
      <w:rFonts w:ascii="仿宋_GB2312" w:eastAsia="仿宋_GB2312"/>
      <w:color w:val="000000"/>
      <w:sz w:val="24"/>
      <w:lang w:bidi="ar-SA"/>
    </w:rPr>
  </w:style>
  <w:style w:type="character" w:customStyle="1" w:styleId="300">
    <w:name w:val="unnamed31"/>
    <w:qFormat/>
    <w:uiPriority w:val="0"/>
    <w:rPr>
      <w:rFonts w:ascii="Tahoma" w:hAnsi="Tahoma" w:eastAsia="宋体"/>
      <w:b/>
      <w:kern w:val="2"/>
      <w:sz w:val="24"/>
      <w:szCs w:val="32"/>
      <w:u w:val="none"/>
      <w:lang w:val="en-US" w:eastAsia="zh-CN" w:bidi="ar-SA"/>
    </w:rPr>
  </w:style>
  <w:style w:type="character" w:customStyle="1" w:styleId="301">
    <w:name w:val="正文首行缩进 Char Char Char Char Char Char1"/>
    <w:qFormat/>
    <w:uiPriority w:val="0"/>
    <w:rPr>
      <w:rFonts w:ascii="宋体" w:eastAsia="宋体"/>
      <w:kern w:val="2"/>
      <w:sz w:val="24"/>
      <w:szCs w:val="24"/>
      <w:lang w:val="zh-CN" w:bidi="ar-SA"/>
    </w:rPr>
  </w:style>
  <w:style w:type="character" w:customStyle="1" w:styleId="302">
    <w:name w:val="称呼 字符"/>
    <w:link w:val="20"/>
    <w:qFormat/>
    <w:uiPriority w:val="0"/>
    <w:rPr>
      <w:rFonts w:ascii="仿宋_GB2312" w:eastAsia="仿宋_GB2312"/>
      <w:kern w:val="2"/>
      <w:sz w:val="28"/>
    </w:rPr>
  </w:style>
  <w:style w:type="character" w:customStyle="1" w:styleId="303">
    <w:name w:val="文本正文 Char Char"/>
    <w:qFormat/>
    <w:uiPriority w:val="0"/>
    <w:rPr>
      <w:sz w:val="24"/>
      <w:lang w:bidi="ar-SA"/>
    </w:rPr>
  </w:style>
  <w:style w:type="character" w:customStyle="1" w:styleId="304">
    <w:name w:val="正文缩进 字符"/>
    <w:qFormat/>
    <w:uiPriority w:val="0"/>
    <w:rPr>
      <w:rFonts w:ascii="宋体" w:eastAsia="宋体"/>
      <w:snapToGrid w:val="0"/>
      <w:color w:val="000000"/>
      <w:kern w:val="28"/>
      <w:sz w:val="28"/>
      <w:lang w:val="en-US" w:eastAsia="zh-CN" w:bidi="ar-SA"/>
    </w:rPr>
  </w:style>
  <w:style w:type="character" w:customStyle="1" w:styleId="305">
    <w:name w:val="HTML 预设格式 字符"/>
    <w:link w:val="57"/>
    <w:qFormat/>
    <w:uiPriority w:val="0"/>
    <w:rPr>
      <w:rFonts w:ascii="黑体" w:hAnsi="Courier New" w:eastAsia="黑体"/>
    </w:rPr>
  </w:style>
  <w:style w:type="character" w:customStyle="1" w:styleId="306">
    <w:name w:val="正文文本 2 字符1"/>
    <w:link w:val="56"/>
    <w:qFormat/>
    <w:uiPriority w:val="0"/>
    <w:rPr>
      <w:kern w:val="2"/>
      <w:sz w:val="21"/>
      <w:szCs w:val="24"/>
    </w:rPr>
  </w:style>
  <w:style w:type="character" w:customStyle="1" w:styleId="307">
    <w:name w:val="样式 样式 标题 4h4H4Fab-4T5Ref Heading 1rh1Heading sqlsect 1.2.3.... +... Char"/>
    <w:link w:val="308"/>
    <w:autoRedefine/>
    <w:qFormat/>
    <w:uiPriority w:val="0"/>
    <w:rPr>
      <w:rFonts w:ascii="微软雅黑" w:hAnsi="微软雅黑" w:eastAsia="微软雅黑"/>
      <w:b/>
      <w:bCs/>
      <w:kern w:val="2"/>
      <w:sz w:val="24"/>
      <w:szCs w:val="28"/>
    </w:rPr>
  </w:style>
  <w:style w:type="paragraph" w:customStyle="1" w:styleId="308">
    <w:name w:val="样式 样式 标题 4h4H4Fab-4T5Ref Heading 1rh1Heading sqlsect 1.2.3.... +..."/>
    <w:basedOn w:val="309"/>
    <w:link w:val="307"/>
    <w:qFormat/>
    <w:uiPriority w:val="0"/>
    <w:pPr>
      <w:tabs>
        <w:tab w:val="left" w:pos="2356"/>
      </w:tabs>
    </w:pPr>
  </w:style>
  <w:style w:type="paragraph" w:customStyle="1" w:styleId="309">
    <w:name w:val="样式 标题 4h4H4Fab-4T5Ref Heading 1rh1Heading sqlsect 1.2.3...."/>
    <w:basedOn w:val="5"/>
    <w:link w:val="414"/>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0">
    <w:name w:val="正文非缩进 Char"/>
    <w:autoRedefine/>
    <w:qFormat/>
    <w:uiPriority w:val="0"/>
    <w:rPr>
      <w:rFonts w:ascii="宋体" w:eastAsia="宋体"/>
      <w:snapToGrid w:val="0"/>
      <w:color w:val="000000"/>
      <w:kern w:val="28"/>
      <w:sz w:val="28"/>
      <w:lang w:val="en-US" w:eastAsia="zh-CN" w:bidi="ar-SA"/>
    </w:rPr>
  </w:style>
  <w:style w:type="character" w:customStyle="1" w:styleId="311">
    <w:name w:val="正文文本缩进 2 字符"/>
    <w:link w:val="38"/>
    <w:qFormat/>
    <w:uiPriority w:val="0"/>
    <w:rPr>
      <w:rFonts w:ascii="宋体"/>
      <w:sz w:val="28"/>
    </w:rPr>
  </w:style>
  <w:style w:type="character" w:customStyle="1" w:styleId="312">
    <w:name w:val="Char Char5"/>
    <w:qFormat/>
    <w:uiPriority w:val="0"/>
    <w:rPr>
      <w:rFonts w:ascii="宋体" w:hAnsi="Courier New" w:eastAsia="宋体"/>
      <w:kern w:val="2"/>
      <w:sz w:val="21"/>
      <w:lang w:val="en-US" w:eastAsia="zh-CN"/>
    </w:rPr>
  </w:style>
  <w:style w:type="character" w:customStyle="1" w:styleId="313">
    <w:name w:val="脚注文本 字符"/>
    <w:link w:val="51"/>
    <w:qFormat/>
    <w:uiPriority w:val="0"/>
    <w:rPr>
      <w:color w:val="0000FF"/>
      <w:sz w:val="21"/>
    </w:rPr>
  </w:style>
  <w:style w:type="character" w:customStyle="1" w:styleId="314">
    <w:name w:val="称呼 Char1"/>
    <w:qFormat/>
    <w:uiPriority w:val="0"/>
    <w:rPr>
      <w:rFonts w:ascii="Times New Roman" w:hAnsi="Times New Roman" w:eastAsia="宋体" w:cs="Times New Roman"/>
      <w:szCs w:val="24"/>
    </w:rPr>
  </w:style>
  <w:style w:type="character" w:customStyle="1" w:styleId="315">
    <w:name w:val="正文1 Char"/>
    <w:qFormat/>
    <w:uiPriority w:val="0"/>
    <w:rPr>
      <w:rFonts w:ascii="宋体" w:eastAsia="宋体"/>
      <w:snapToGrid w:val="0"/>
      <w:color w:val="000000"/>
      <w:kern w:val="28"/>
      <w:sz w:val="28"/>
      <w:lang w:val="en-US" w:eastAsia="zh-CN" w:bidi="ar-SA"/>
    </w:rPr>
  </w:style>
  <w:style w:type="character" w:customStyle="1" w:styleId="316">
    <w:name w:val="正文缩进 Char1"/>
    <w:qFormat/>
    <w:uiPriority w:val="0"/>
    <w:rPr>
      <w:rFonts w:ascii="宋体" w:eastAsia="宋体"/>
      <w:snapToGrid w:val="0"/>
      <w:color w:val="000000"/>
      <w:kern w:val="28"/>
      <w:sz w:val="28"/>
      <w:lang w:val="en-US" w:eastAsia="zh-CN" w:bidi="ar-SA"/>
    </w:rPr>
  </w:style>
  <w:style w:type="character" w:customStyle="1" w:styleId="317">
    <w:name w:val="font21"/>
    <w:qFormat/>
    <w:uiPriority w:val="0"/>
    <w:rPr>
      <w:rFonts w:hint="eastAsia" w:ascii="宋体" w:hAnsi="宋体" w:eastAsia="宋体"/>
      <w:kern w:val="2"/>
      <w:sz w:val="28"/>
      <w:szCs w:val="28"/>
      <w:lang w:val="en-US" w:eastAsia="zh-CN" w:bidi="ar-SA"/>
    </w:rPr>
  </w:style>
  <w:style w:type="character" w:customStyle="1" w:styleId="318">
    <w:name w:val="Char Char26"/>
    <w:qFormat/>
    <w:uiPriority w:val="6"/>
    <w:rPr>
      <w:kern w:val="1"/>
      <w:sz w:val="21"/>
      <w:szCs w:val="24"/>
    </w:rPr>
  </w:style>
  <w:style w:type="character" w:customStyle="1" w:styleId="319">
    <w:name w:val="Item List Char"/>
    <w:link w:val="320"/>
    <w:qFormat/>
    <w:uiPriority w:val="0"/>
    <w:rPr>
      <w:rFonts w:ascii="Arial"/>
      <w:bCs/>
      <w:sz w:val="21"/>
      <w:szCs w:val="21"/>
      <w:lang w:val="en-US" w:eastAsia="zh-CN" w:bidi="ar-SA"/>
    </w:rPr>
  </w:style>
  <w:style w:type="paragraph" w:customStyle="1" w:styleId="320">
    <w:name w:val="Item List"/>
    <w:link w:val="31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1">
    <w:name w:val="批注框文本 Char1"/>
    <w:qFormat/>
    <w:uiPriority w:val="0"/>
    <w:rPr>
      <w:rFonts w:ascii="Times New Roman" w:hAnsi="Times New Roman" w:eastAsia="宋体" w:cs="Times New Roman"/>
      <w:sz w:val="18"/>
      <w:szCs w:val="18"/>
    </w:rPr>
  </w:style>
  <w:style w:type="character" w:customStyle="1" w:styleId="322">
    <w:name w:val="纯文本 Char1"/>
    <w:link w:val="323"/>
    <w:qFormat/>
    <w:uiPriority w:val="0"/>
    <w:rPr>
      <w:rFonts w:ascii="宋体" w:hAnsi="Courier New"/>
    </w:rPr>
  </w:style>
  <w:style w:type="paragraph" w:customStyle="1" w:styleId="323">
    <w:name w:val="纯文本1"/>
    <w:basedOn w:val="1"/>
    <w:link w:val="322"/>
    <w:qFormat/>
    <w:uiPriority w:val="0"/>
    <w:pPr>
      <w:adjustRightInd/>
    </w:pPr>
    <w:rPr>
      <w:rFonts w:ascii="宋体" w:hAnsi="Courier New"/>
      <w:kern w:val="0"/>
      <w:sz w:val="20"/>
      <w:szCs w:val="20"/>
    </w:rPr>
  </w:style>
  <w:style w:type="character" w:customStyle="1" w:styleId="324">
    <w:name w:val="正文首行缩进 字符"/>
    <w:link w:val="24"/>
    <w:qFormat/>
    <w:uiPriority w:val="0"/>
    <w:rPr>
      <w:rFonts w:ascii="宋体"/>
      <w:kern w:val="2"/>
      <w:sz w:val="24"/>
      <w:lang w:val="zh-CN"/>
    </w:rPr>
  </w:style>
  <w:style w:type="character" w:customStyle="1" w:styleId="325">
    <w:name w:val="h3 Char"/>
    <w:qFormat/>
    <w:uiPriority w:val="0"/>
    <w:rPr>
      <w:rFonts w:eastAsia="宋体"/>
      <w:b/>
      <w:kern w:val="2"/>
      <w:sz w:val="32"/>
      <w:lang w:val="en-US" w:eastAsia="zh-CN" w:bidi="ar-SA"/>
    </w:rPr>
  </w:style>
  <w:style w:type="character" w:customStyle="1" w:styleId="326">
    <w:name w:val="dandyren_title1"/>
    <w:qFormat/>
    <w:uiPriority w:val="0"/>
    <w:rPr>
      <w:b/>
      <w:bCs/>
      <w:color w:val="FF6633"/>
      <w:sz w:val="18"/>
      <w:szCs w:val="18"/>
    </w:rPr>
  </w:style>
  <w:style w:type="character" w:customStyle="1" w:styleId="327">
    <w:name w:val="Char Char31"/>
    <w:qFormat/>
    <w:uiPriority w:val="6"/>
    <w:rPr>
      <w:rFonts w:ascii="Arial" w:hAnsi="Arial" w:eastAsia="黑体"/>
      <w:kern w:val="1"/>
      <w:sz w:val="24"/>
      <w:szCs w:val="24"/>
    </w:rPr>
  </w:style>
  <w:style w:type="character" w:customStyle="1" w:styleId="328">
    <w:name w:val="h Char1"/>
    <w:qFormat/>
    <w:uiPriority w:val="0"/>
    <w:rPr>
      <w:sz w:val="18"/>
      <w:szCs w:val="18"/>
    </w:rPr>
  </w:style>
  <w:style w:type="character" w:customStyle="1" w:styleId="329">
    <w:name w:val="solutionfonts"/>
    <w:qFormat/>
    <w:uiPriority w:val="0"/>
  </w:style>
  <w:style w:type="character" w:customStyle="1" w:styleId="330">
    <w:name w:val="标题 4 字符1"/>
    <w:link w:val="5"/>
    <w:qFormat/>
    <w:uiPriority w:val="9"/>
    <w:rPr>
      <w:rFonts w:ascii="Arial" w:hAnsi="Arial" w:eastAsia="黑体"/>
      <w:b/>
      <w:bCs/>
      <w:kern w:val="2"/>
      <w:sz w:val="28"/>
      <w:szCs w:val="28"/>
      <w:lang w:val="zh-CN"/>
    </w:rPr>
  </w:style>
  <w:style w:type="character" w:customStyle="1" w:styleId="331">
    <w:name w:val="首行缩进 Char"/>
    <w:qFormat/>
    <w:uiPriority w:val="0"/>
    <w:rPr>
      <w:rFonts w:ascii="宋体" w:eastAsia="宋体"/>
      <w:kern w:val="2"/>
      <w:sz w:val="24"/>
      <w:lang w:val="en-US" w:eastAsia="zh-CN" w:bidi="ar-SA"/>
    </w:rPr>
  </w:style>
  <w:style w:type="character" w:customStyle="1" w:styleId="332">
    <w:name w:val="Char Char52"/>
    <w:qFormat/>
    <w:uiPriority w:val="0"/>
    <w:rPr>
      <w:rFonts w:ascii="宋体" w:hAnsi="Courier New" w:eastAsia="宋体"/>
      <w:kern w:val="2"/>
      <w:sz w:val="21"/>
      <w:lang w:val="en-US" w:eastAsia="zh-CN"/>
    </w:rPr>
  </w:style>
  <w:style w:type="character" w:customStyle="1" w:styleId="333">
    <w:name w:val="正文文本 3 字符"/>
    <w:link w:val="21"/>
    <w:qFormat/>
    <w:uiPriority w:val="0"/>
    <w:rPr>
      <w:kern w:val="2"/>
      <w:sz w:val="21"/>
    </w:rPr>
  </w:style>
  <w:style w:type="character" w:customStyle="1" w:styleId="334">
    <w:name w:val="font31"/>
    <w:qFormat/>
    <w:uiPriority w:val="0"/>
    <w:rPr>
      <w:rFonts w:hint="eastAsia" w:ascii="仿宋" w:hAnsi="仿宋" w:eastAsia="仿宋" w:cs="仿宋"/>
      <w:color w:val="000000"/>
      <w:sz w:val="20"/>
      <w:szCs w:val="20"/>
      <w:u w:val="none"/>
    </w:rPr>
  </w:style>
  <w:style w:type="character" w:customStyle="1" w:styleId="335">
    <w:name w:val="正文说明 Char"/>
    <w:link w:val="336"/>
    <w:qFormat/>
    <w:uiPriority w:val="0"/>
    <w:rPr>
      <w:sz w:val="24"/>
      <w:szCs w:val="24"/>
    </w:rPr>
  </w:style>
  <w:style w:type="paragraph" w:customStyle="1" w:styleId="336">
    <w:name w:val="正文说明"/>
    <w:basedOn w:val="1"/>
    <w:link w:val="335"/>
    <w:qFormat/>
    <w:uiPriority w:val="0"/>
    <w:pPr>
      <w:adjustRightInd/>
      <w:spacing w:line="360" w:lineRule="auto"/>
    </w:pPr>
    <w:rPr>
      <w:kern w:val="0"/>
      <w:sz w:val="24"/>
    </w:rPr>
  </w:style>
  <w:style w:type="character" w:customStyle="1" w:styleId="337">
    <w:name w:val="脚注文本 Char1"/>
    <w:qFormat/>
    <w:uiPriority w:val="0"/>
    <w:rPr>
      <w:rFonts w:ascii="Times New Roman" w:hAnsi="Times New Roman" w:eastAsia="宋体" w:cs="Times New Roman"/>
      <w:sz w:val="18"/>
      <w:szCs w:val="18"/>
    </w:rPr>
  </w:style>
  <w:style w:type="character" w:customStyle="1" w:styleId="338">
    <w:name w:val="Char Char1211"/>
    <w:qFormat/>
    <w:uiPriority w:val="0"/>
    <w:rPr>
      <w:rFonts w:ascii="仿宋_GB2312" w:eastAsia="仿宋_GB2312"/>
      <w:b/>
      <w:bCs/>
      <w:kern w:val="2"/>
      <w:sz w:val="24"/>
      <w:szCs w:val="24"/>
      <w:lang w:val="zh-CN" w:eastAsia="zh-CN" w:bidi="ar-SA"/>
    </w:rPr>
  </w:style>
  <w:style w:type="character" w:customStyle="1" w:styleId="339">
    <w:name w:val="标题 Char"/>
    <w:qFormat/>
    <w:uiPriority w:val="0"/>
    <w:rPr>
      <w:rFonts w:eastAsia="宋体"/>
      <w:b/>
      <w:sz w:val="24"/>
      <w:lang w:val="en-GB" w:eastAsia="zh-CN" w:bidi="ar-SA"/>
    </w:rPr>
  </w:style>
  <w:style w:type="character" w:customStyle="1" w:styleId="340">
    <w:name w:val="Char Char35"/>
    <w:qFormat/>
    <w:uiPriority w:val="6"/>
    <w:rPr>
      <w:rFonts w:ascii="Arial" w:hAnsi="Arial" w:eastAsia="黑体"/>
      <w:b/>
      <w:kern w:val="1"/>
      <w:sz w:val="28"/>
      <w:szCs w:val="28"/>
      <w:lang w:val="zh-CN"/>
    </w:rPr>
  </w:style>
  <w:style w:type="character" w:customStyle="1" w:styleId="341">
    <w:name w:val="纯文本 Char Char Char"/>
    <w:qFormat/>
    <w:uiPriority w:val="0"/>
    <w:rPr>
      <w:rFonts w:ascii="宋体" w:hAnsi="Courier New" w:eastAsia="宋体"/>
      <w:kern w:val="2"/>
      <w:sz w:val="21"/>
      <w:lang w:val="en-US" w:eastAsia="zh-CN" w:bidi="ar-SA"/>
    </w:rPr>
  </w:style>
  <w:style w:type="character" w:customStyle="1" w:styleId="342">
    <w:name w:val="Table Text Char"/>
    <w:link w:val="343"/>
    <w:qFormat/>
    <w:uiPriority w:val="0"/>
    <w:rPr>
      <w:sz w:val="24"/>
      <w:szCs w:val="24"/>
    </w:rPr>
  </w:style>
  <w:style w:type="paragraph" w:customStyle="1" w:styleId="343">
    <w:name w:val="Table Text"/>
    <w:basedOn w:val="1"/>
    <w:link w:val="342"/>
    <w:qFormat/>
    <w:uiPriority w:val="0"/>
    <w:pPr>
      <w:widowControl/>
      <w:spacing w:before="60" w:after="60"/>
      <w:jc w:val="left"/>
    </w:pPr>
    <w:rPr>
      <w:kern w:val="0"/>
      <w:sz w:val="24"/>
    </w:rPr>
  </w:style>
  <w:style w:type="character" w:customStyle="1" w:styleId="344">
    <w:name w:val="正文1 Char1"/>
    <w:qFormat/>
    <w:uiPriority w:val="0"/>
    <w:rPr>
      <w:rFonts w:ascii="仿宋_GB2312" w:hAnsi="Courier New" w:eastAsia="仿宋_GB2312"/>
      <w:kern w:val="28"/>
      <w:sz w:val="24"/>
      <w:szCs w:val="24"/>
      <w:lang w:val="en-US" w:eastAsia="zh-CN"/>
    </w:rPr>
  </w:style>
  <w:style w:type="character" w:customStyle="1" w:styleId="345">
    <w:name w:val="页脚 Char1"/>
    <w:qFormat/>
    <w:uiPriority w:val="0"/>
    <w:rPr>
      <w:rFonts w:eastAsia="宋体"/>
      <w:kern w:val="2"/>
      <w:sz w:val="18"/>
      <w:szCs w:val="18"/>
      <w:lang w:val="en-US" w:eastAsia="zh-CN" w:bidi="ar-SA"/>
    </w:rPr>
  </w:style>
  <w:style w:type="character" w:customStyle="1" w:styleId="346">
    <w:name w:val="Bold"/>
    <w:qFormat/>
    <w:uiPriority w:val="0"/>
    <w:rPr>
      <w:rFonts w:ascii="Arial" w:hAnsi="Arial" w:eastAsia="黑体" w:cs="Times New Roman"/>
      <w:b/>
      <w:kern w:val="2"/>
      <w:sz w:val="32"/>
      <w:szCs w:val="32"/>
      <w:lang w:val="en-US" w:eastAsia="zh-CN" w:bidi="ar-SA"/>
    </w:rPr>
  </w:style>
  <w:style w:type="character" w:customStyle="1" w:styleId="347">
    <w:name w:val="批注文字 字符1"/>
    <w:link w:val="19"/>
    <w:qFormat/>
    <w:uiPriority w:val="99"/>
    <w:rPr>
      <w:kern w:val="2"/>
      <w:sz w:val="21"/>
      <w:szCs w:val="24"/>
    </w:rPr>
  </w:style>
  <w:style w:type="character" w:customStyle="1" w:styleId="348">
    <w:name w:val="签名 字符"/>
    <w:link w:val="43"/>
    <w:qFormat/>
    <w:uiPriority w:val="0"/>
    <w:rPr>
      <w:rFonts w:eastAsia="仿宋_GB2312"/>
      <w:sz w:val="24"/>
    </w:rPr>
  </w:style>
  <w:style w:type="character" w:customStyle="1" w:styleId="349">
    <w:name w:val="hui3"/>
    <w:qFormat/>
    <w:uiPriority w:val="0"/>
    <w:rPr>
      <w:color w:val="333333"/>
    </w:rPr>
  </w:style>
  <w:style w:type="character" w:customStyle="1" w:styleId="350">
    <w:name w:val="Char Char17"/>
    <w:qFormat/>
    <w:uiPriority w:val="6"/>
    <w:rPr>
      <w:rFonts w:eastAsia="仿宋_GB2312"/>
      <w:sz w:val="24"/>
    </w:rPr>
  </w:style>
  <w:style w:type="character" w:customStyle="1" w:styleId="351">
    <w:name w:val="Char Char37"/>
    <w:qFormat/>
    <w:uiPriority w:val="6"/>
    <w:rPr>
      <w:b/>
      <w:kern w:val="1"/>
      <w:sz w:val="44"/>
      <w:szCs w:val="44"/>
    </w:rPr>
  </w:style>
  <w:style w:type="character" w:customStyle="1" w:styleId="352">
    <w:name w:val="列出段落 Char"/>
    <w:qFormat/>
    <w:uiPriority w:val="0"/>
    <w:rPr>
      <w:rFonts w:eastAsia="楷体_GB2312" w:cs="Lucida Sans"/>
      <w:kern w:val="2"/>
      <w:sz w:val="24"/>
      <w:szCs w:val="24"/>
      <w:lang w:val="en-US" w:eastAsia="zh-CN" w:bidi="ar-SA"/>
    </w:rPr>
  </w:style>
  <w:style w:type="character" w:customStyle="1" w:styleId="353">
    <w:name w:val="正文文本缩进 3 Char1"/>
    <w:qFormat/>
    <w:uiPriority w:val="99"/>
    <w:rPr>
      <w:rFonts w:ascii="Times New Roman" w:hAnsi="Times New Roman" w:eastAsia="宋体" w:cs="Times New Roman"/>
      <w:sz w:val="16"/>
      <w:szCs w:val="16"/>
    </w:rPr>
  </w:style>
  <w:style w:type="character" w:customStyle="1" w:styleId="354">
    <w:name w:val="公文正文 Char Char"/>
    <w:link w:val="355"/>
    <w:qFormat/>
    <w:uiPriority w:val="0"/>
    <w:rPr>
      <w:rFonts w:ascii="仿宋_GB2312" w:eastAsia="仿宋_GB2312"/>
      <w:kern w:val="2"/>
      <w:sz w:val="24"/>
      <w:szCs w:val="24"/>
    </w:rPr>
  </w:style>
  <w:style w:type="paragraph" w:customStyle="1" w:styleId="355">
    <w:name w:val="公文正文"/>
    <w:basedOn w:val="1"/>
    <w:link w:val="354"/>
    <w:qFormat/>
    <w:uiPriority w:val="0"/>
    <w:pPr>
      <w:adjustRightInd/>
      <w:spacing w:before="156" w:line="360" w:lineRule="auto"/>
      <w:ind w:firstLine="360" w:firstLineChars="200"/>
    </w:pPr>
    <w:rPr>
      <w:rFonts w:ascii="仿宋_GB2312" w:eastAsia="仿宋_GB2312"/>
      <w:sz w:val="24"/>
    </w:rPr>
  </w:style>
  <w:style w:type="character" w:customStyle="1" w:styleId="356">
    <w:name w:val="Table Text Char1"/>
    <w:qFormat/>
    <w:uiPriority w:val="0"/>
    <w:rPr>
      <w:rFonts w:eastAsia="宋体"/>
      <w:sz w:val="24"/>
      <w:szCs w:val="24"/>
      <w:lang w:val="en-US" w:eastAsia="zh-CN" w:bidi="ar-SA"/>
    </w:rPr>
  </w:style>
  <w:style w:type="character" w:customStyle="1" w:styleId="357">
    <w:name w:val="标题 1 Char Char"/>
    <w:qFormat/>
    <w:uiPriority w:val="0"/>
    <w:rPr>
      <w:rFonts w:hint="eastAsia" w:ascii="宋体" w:hAnsi="宋体" w:eastAsia="宋体"/>
      <w:b/>
      <w:spacing w:val="-2"/>
      <w:sz w:val="24"/>
      <w:lang w:val="en-US" w:eastAsia="zh-CN" w:bidi="ar-SA"/>
    </w:rPr>
  </w:style>
  <w:style w:type="character" w:customStyle="1" w:styleId="358">
    <w:name w:val="正文（缩进2汉字） Char"/>
    <w:link w:val="359"/>
    <w:qFormat/>
    <w:uiPriority w:val="0"/>
    <w:rPr>
      <w:rFonts w:ascii="宋体"/>
    </w:rPr>
  </w:style>
  <w:style w:type="paragraph" w:customStyle="1" w:styleId="359">
    <w:name w:val="正文（缩进2汉字）"/>
    <w:basedOn w:val="1"/>
    <w:link w:val="35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字符"/>
    <w:link w:val="53"/>
    <w:qFormat/>
    <w:uiPriority w:val="0"/>
    <w:rPr>
      <w:kern w:val="2"/>
      <w:sz w:val="24"/>
    </w:rPr>
  </w:style>
  <w:style w:type="character" w:customStyle="1" w:styleId="377">
    <w:name w:val="日期 Char1"/>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字符2"/>
    <w:link w:val="41"/>
    <w:qFormat/>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autoRedefine/>
    <w:qFormat/>
    <w:uiPriority w:val="0"/>
  </w:style>
  <w:style w:type="character" w:customStyle="1" w:styleId="393">
    <w:name w:val="页眉 字符2"/>
    <w:link w:val="42"/>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9"/>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69"/>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15"/>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32">
    <w:name w:val="gray6"/>
    <w:basedOn w:val="69"/>
    <w:qFormat/>
    <w:uiPriority w:val="0"/>
    <w:rPr>
      <w:rFonts w:ascii="Arial" w:hAnsi="Arial" w:eastAsia="黑体" w:cs="Arial"/>
      <w:snapToGrid w:val="0"/>
      <w:kern w:val="0"/>
      <w:szCs w:val="21"/>
    </w:rPr>
  </w:style>
  <w:style w:type="character" w:customStyle="1" w:styleId="433">
    <w:name w:val="hui"/>
    <w:basedOn w:val="69"/>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5"/>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2"/>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63"/>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4">
    <w:name w:val="无间隔2"/>
    <w:basedOn w:val="1"/>
    <w:link w:val="932"/>
    <w:autoRedefine/>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2"/>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4"/>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6"/>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9"/>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4"/>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23"/>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5"/>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2"/>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40"/>
    <w:next w:val="240"/>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40"/>
    <w:next w:val="240"/>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2"/>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6"/>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3"/>
    <w:qFormat/>
    <w:uiPriority w:val="0"/>
    <w:pPr>
      <w:tabs>
        <w:tab w:val="left" w:pos="840"/>
      </w:tabs>
      <w:adjustRightInd/>
      <w:ind w:left="840" w:hanging="420"/>
    </w:pPr>
  </w:style>
  <w:style w:type="paragraph" w:customStyle="1" w:styleId="627">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after="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5"/>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8"/>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40"/>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5"/>
    <w:next w:val="640"/>
    <w:qFormat/>
    <w:uiPriority w:val="0"/>
    <w:pPr>
      <w:tabs>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5"/>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5"/>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50"/>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8"/>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63"/>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2"/>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9"/>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9"/>
    <w:qFormat/>
    <w:uiPriority w:val="0"/>
    <w:rPr>
      <w:b w:val="0"/>
      <w:sz w:val="20"/>
    </w:rPr>
  </w:style>
  <w:style w:type="paragraph" w:customStyle="1" w:styleId="893">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6"/>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4"/>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3"/>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字符"/>
    <w:link w:val="39"/>
    <w:qFormat/>
    <w:uiPriority w:val="0"/>
    <w:rPr>
      <w:kern w:val="2"/>
      <w:sz w:val="21"/>
      <w:szCs w:val="24"/>
      <w:lang w:val="zh-CN"/>
    </w:rPr>
  </w:style>
  <w:style w:type="character" w:customStyle="1" w:styleId="932">
    <w:name w:val="无间隔 字符"/>
    <w:link w:val="484"/>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63"/>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9"/>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样式 标题 2 + Times New Roman 四号 非加粗 段前: 5 磅 段后: 0 磅 行距: 固定值 20..."/>
    <w:basedOn w:val="2"/>
    <w:qFormat/>
    <w:uiPriority w:val="0"/>
    <w:pPr>
      <w:tabs>
        <w:tab w:val="clear" w:pos="432"/>
      </w:tabs>
      <w:spacing w:before="100" w:line="400" w:lineRule="exact"/>
    </w:pPr>
    <w:rPr>
      <w:rFonts w:ascii="Times New Roman" w:hAnsi="Times New Roman" w:eastAsia="黑体" w:cs="宋体"/>
      <w:b w:val="0"/>
      <w:sz w:val="28"/>
      <w:szCs w:val="20"/>
    </w:rPr>
  </w:style>
  <w:style w:type="paragraph" w:customStyle="1" w:styleId="964">
    <w:name w:val="p16"/>
    <w:basedOn w:val="1"/>
    <w:qFormat/>
    <w:uiPriority w:val="0"/>
    <w:pPr>
      <w:widowControl/>
      <w:spacing w:before="100" w:after="100"/>
      <w:jc w:val="left"/>
    </w:pPr>
    <w:rPr>
      <w:rFonts w:ascii="宋体" w:hAnsi="宋体" w:cs="宋体"/>
      <w:color w:val="000000"/>
      <w:kern w:val="0"/>
      <w:sz w:val="24"/>
    </w:rPr>
  </w:style>
  <w:style w:type="paragraph" w:customStyle="1" w:styleId="965">
    <w:name w:val="修订4"/>
    <w:qFormat/>
    <w:uiPriority w:val="99"/>
    <w:rPr>
      <w:rFonts w:ascii="Times New Roman" w:hAnsi="Times New Roman" w:eastAsia="宋体" w:cs="Times New Roman"/>
      <w:kern w:val="2"/>
      <w:sz w:val="21"/>
      <w:szCs w:val="24"/>
      <w:lang w:val="en-US" w:eastAsia="zh-CN" w:bidi="ar-SA"/>
    </w:rPr>
  </w:style>
  <w:style w:type="paragraph" w:customStyle="1" w:styleId="966">
    <w:name w:val="样式 标题 31.1.1标题 333rd levelBOD 0Bold HeadCTH3H31Heading ...1"/>
    <w:basedOn w:val="4"/>
    <w:qFormat/>
    <w:uiPriority w:val="0"/>
    <w:pPr>
      <w:spacing w:before="0" w:after="0"/>
      <w:ind w:firstLine="0"/>
    </w:pPr>
    <w:rPr>
      <w:rFonts w:hAnsi="宋体" w:cs="宋体"/>
      <w:sz w:val="24"/>
    </w:rPr>
  </w:style>
  <w:style w:type="paragraph" w:customStyle="1" w:styleId="967">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68">
    <w:name w:val="正文_8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69">
    <w:name w:val="纯文本_3"/>
    <w:basedOn w:val="967"/>
    <w:qFormat/>
    <w:uiPriority w:val="0"/>
    <w:rPr>
      <w:rFonts w:ascii="宋体" w:hAnsi="Courier New"/>
      <w:szCs w:val="20"/>
    </w:rPr>
  </w:style>
  <w:style w:type="paragraph" w:customStyle="1" w:styleId="970">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1">
    <w:name w:val="纯文本_0"/>
    <w:basedOn w:val="972"/>
    <w:qFormat/>
    <w:uiPriority w:val="0"/>
    <w:rPr>
      <w:rFonts w:ascii="宋体" w:hAnsi="Courier New"/>
      <w:kern w:val="0"/>
      <w:sz w:val="20"/>
      <w:szCs w:val="20"/>
    </w:rPr>
  </w:style>
  <w:style w:type="paragraph" w:customStyle="1" w:styleId="972">
    <w:name w:val="正文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3">
    <w:name w:val="正文_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4">
    <w:name w:val="纯文本_1"/>
    <w:basedOn w:val="975"/>
    <w:qFormat/>
    <w:uiPriority w:val="0"/>
    <w:rPr>
      <w:rFonts w:ascii="宋体" w:hAnsi="Courier New"/>
      <w:szCs w:val="20"/>
    </w:rPr>
  </w:style>
  <w:style w:type="paragraph" w:customStyle="1" w:styleId="975">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6">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7">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8">
    <w:name w:val="正文_1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9">
    <w:name w:val="正文_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80">
    <w:name w:val="纯文本_4_0"/>
    <w:basedOn w:val="981"/>
    <w:qFormat/>
    <w:uiPriority w:val="0"/>
    <w:rPr>
      <w:rFonts w:ascii="宋体" w:hAnsi="Courier New"/>
      <w:szCs w:val="20"/>
    </w:rPr>
  </w:style>
  <w:style w:type="paragraph" w:customStyle="1" w:styleId="981">
    <w:name w:val="正文_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82">
    <w:name w:val="正文_18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83">
    <w:name w:val="NormalCharacter"/>
    <w:qFormat/>
    <w:uiPriority w:val="0"/>
    <w:rPr>
      <w:kern w:val="2"/>
      <w:sz w:val="21"/>
      <w:szCs w:val="22"/>
      <w:lang w:val="en-US" w:eastAsia="zh-CN" w:bidi="ar-SA"/>
    </w:rPr>
  </w:style>
  <w:style w:type="paragraph" w:customStyle="1" w:styleId="98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985">
    <w:name w:val="普通(网站)_0"/>
    <w:basedOn w:val="986"/>
    <w:autoRedefine/>
    <w:qFormat/>
    <w:uiPriority w:val="0"/>
    <w:pPr>
      <w:widowControl/>
      <w:spacing w:before="100" w:beforeAutospacing="1" w:after="100" w:afterAutospacing="1"/>
      <w:jc w:val="left"/>
    </w:pPr>
    <w:rPr>
      <w:rFonts w:ascii="宋体" w:hAnsi="宋体"/>
      <w:kern w:val="0"/>
      <w:sz w:val="24"/>
      <w:szCs w:val="22"/>
    </w:rPr>
  </w:style>
  <w:style w:type="paragraph" w:customStyle="1" w:styleId="986">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987">
    <w:name w:val="List Paragraph"/>
    <w:basedOn w:val="1"/>
    <w:unhideWhenUsed/>
    <w:qFormat/>
    <w:uiPriority w:val="99"/>
    <w:pPr>
      <w:ind w:firstLine="420" w:firstLineChars="200"/>
    </w:pPr>
  </w:style>
  <w:style w:type="character" w:customStyle="1" w:styleId="988">
    <w:name w:val="未处理的提及2"/>
    <w:basedOn w:val="69"/>
    <w:semiHidden/>
    <w:unhideWhenUsed/>
    <w:qFormat/>
    <w:uiPriority w:val="99"/>
    <w:rPr>
      <w:color w:val="605E5C"/>
      <w:shd w:val="clear" w:color="auto" w:fill="E1DFDD"/>
    </w:rPr>
  </w:style>
  <w:style w:type="paragraph" w:customStyle="1" w:styleId="989">
    <w:name w:val="修订5"/>
    <w:hidden/>
    <w:unhideWhenUsed/>
    <w:qFormat/>
    <w:uiPriority w:val="99"/>
    <w:rPr>
      <w:rFonts w:ascii="Times New Roman" w:hAnsi="Times New Roman" w:eastAsia="宋体" w:cs="Times New Roman"/>
      <w:kern w:val="2"/>
      <w:sz w:val="21"/>
      <w:szCs w:val="24"/>
      <w:lang w:val="en-US" w:eastAsia="zh-CN" w:bidi="ar-SA"/>
    </w:rPr>
  </w:style>
  <w:style w:type="paragraph" w:customStyle="1" w:styleId="990">
    <w:name w:val="正文文本缩进 21"/>
    <w:basedOn w:val="1"/>
    <w:qFormat/>
    <w:uiPriority w:val="0"/>
    <w:pPr>
      <w:snapToGrid w:val="0"/>
      <w:spacing w:line="400" w:lineRule="exact"/>
    </w:pPr>
    <w:rPr>
      <w:rFonts w:eastAsia="仿宋_GB2312;仿宋"/>
      <w:sz w:val="24"/>
    </w:rPr>
  </w:style>
  <w:style w:type="character" w:customStyle="1" w:styleId="991">
    <w:name w:val="10"/>
    <w:basedOn w:val="69"/>
    <w:qFormat/>
    <w:uiPriority w:val="0"/>
    <w:rPr>
      <w:rFonts w:hint="default" w:ascii="Times New Roman" w:hAnsi="Times New Roman" w:cs="Times New Roman"/>
    </w:rPr>
  </w:style>
  <w:style w:type="paragraph" w:customStyle="1" w:styleId="992">
    <w:name w:val="0- 正文"/>
    <w:basedOn w:val="1"/>
    <w:qFormat/>
    <w:uiPriority w:val="0"/>
    <w:pPr>
      <w:widowControl/>
      <w:spacing w:line="360" w:lineRule="auto"/>
      <w:ind w:firstLine="482"/>
      <w:jc w:val="left"/>
    </w:pPr>
    <w:rPr>
      <w:sz w:val="24"/>
    </w:rPr>
  </w:style>
  <w:style w:type="paragraph" w:customStyle="1" w:styleId="993">
    <w:name w:val="修订6"/>
    <w:hidden/>
    <w:semiHidden/>
    <w:qFormat/>
    <w:uiPriority w:val="99"/>
    <w:rPr>
      <w:rFonts w:ascii="Times New Roman" w:hAnsi="Times New Roman" w:eastAsia="宋体" w:cs="Times New Roman"/>
      <w:kern w:val="2"/>
      <w:sz w:val="21"/>
      <w:szCs w:val="24"/>
      <w:lang w:val="en-US" w:eastAsia="zh-CN" w:bidi="ar-SA"/>
    </w:rPr>
  </w:style>
  <w:style w:type="paragraph" w:customStyle="1" w:styleId="994">
    <w:name w:val="修订7"/>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1.png"/><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86</Pages>
  <Words>42051</Words>
  <Characters>44523</Characters>
  <Lines>408</Lines>
  <Paragraphs>115</Paragraphs>
  <TotalTime>2</TotalTime>
  <ScaleCrop>false</ScaleCrop>
  <LinksUpToDate>false</LinksUpToDate>
  <CharactersWithSpaces>53186</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2023-12-13T17:15:00Z</dcterms:created>
  <dc:creator>玥</dc:creator>
  <cp:lastModifiedBy>A不二</cp:lastModifiedBy>
  <cp:lastPrinted>2024-01-24T06:14:00Z</cp:lastPrinted>
  <dcterms:modified xsi:type="dcterms:W3CDTF">2024-03-15T09:11:46Z</dcterms:modified>
  <dc:title>杭州市市民卡扩大发卡工程</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A8FFEAC434E6402F918AEE607F49C36E_13</vt:lpwstr>
  </property>
  <property fmtid="{D5CDD505-2E9C-101B-9397-08002B2CF9AE}" pid="5" name="commondata">
    <vt:lpwstr>eyJoZGlkIjoiNGNlMmFkMDQ1NDY0ZmRiM2Q0NjY4NTFjN2IwMTllYjMifQ==</vt:lpwstr>
  </property>
</Properties>
</file>