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8B3DD">
      <w:pPr>
        <w:jc w:val="left"/>
        <w:rPr>
          <w:rFonts w:hint="eastAsia" w:ascii="新宋体" w:hAnsi="新宋体" w:eastAsia="新宋体" w:cs="新宋体"/>
          <w:b/>
          <w:bCs/>
          <w:color w:val="auto"/>
          <w:sz w:val="96"/>
          <w:szCs w:val="96"/>
          <w:highlight w:val="none"/>
        </w:rPr>
      </w:pPr>
    </w:p>
    <w:p w14:paraId="238C1678">
      <w:pPr>
        <w:rPr>
          <w:rFonts w:hint="eastAsia" w:ascii="新宋体" w:hAnsi="新宋体" w:eastAsia="新宋体" w:cs="新宋体"/>
          <w:b/>
          <w:bCs/>
          <w:color w:val="auto"/>
          <w:sz w:val="52"/>
          <w:szCs w:val="52"/>
          <w:highlight w:val="none"/>
        </w:rPr>
      </w:pPr>
      <w:r>
        <w:rPr>
          <w:rFonts w:hint="eastAsia" w:ascii="新宋体" w:hAnsi="新宋体" w:eastAsia="新宋体" w:cs="新宋体"/>
          <w:color w:val="auto"/>
          <w:spacing w:val="20"/>
          <w:sz w:val="84"/>
          <w:highlight w:val="none"/>
        </w:rPr>
        <w:t>温州市政府（分散）采购</w:t>
      </w:r>
    </w:p>
    <w:p w14:paraId="472D1FC2">
      <w:pPr>
        <w:rPr>
          <w:rFonts w:hint="eastAsia" w:ascii="新宋体" w:hAnsi="新宋体" w:eastAsia="新宋体" w:cs="新宋体"/>
          <w:b/>
          <w:bCs/>
          <w:color w:val="auto"/>
          <w:spacing w:val="140"/>
          <w:sz w:val="72"/>
          <w:highlight w:val="none"/>
        </w:rPr>
      </w:pPr>
    </w:p>
    <w:p w14:paraId="118FF522">
      <w:pPr>
        <w:rPr>
          <w:rFonts w:hint="eastAsia" w:ascii="新宋体" w:hAnsi="新宋体" w:eastAsia="新宋体" w:cs="新宋体"/>
          <w:color w:val="auto"/>
          <w:highlight w:val="none"/>
        </w:rPr>
      </w:pPr>
    </w:p>
    <w:p w14:paraId="1E3FFBF6">
      <w:pPr>
        <w:rPr>
          <w:rFonts w:hint="eastAsia" w:ascii="新宋体" w:hAnsi="新宋体" w:eastAsia="新宋体" w:cs="新宋体"/>
          <w:color w:val="auto"/>
          <w:highlight w:val="none"/>
        </w:rPr>
      </w:pPr>
    </w:p>
    <w:p w14:paraId="68A85802">
      <w:pPr>
        <w:rPr>
          <w:rFonts w:hint="eastAsia" w:ascii="新宋体" w:hAnsi="新宋体" w:eastAsia="新宋体" w:cs="新宋体"/>
          <w:color w:val="auto"/>
          <w:highlight w:val="none"/>
        </w:rPr>
      </w:pPr>
    </w:p>
    <w:p w14:paraId="75F95843">
      <w:pPr>
        <w:adjustRightInd w:val="0"/>
        <w:snapToGrid w:val="0"/>
        <w:spacing w:line="480" w:lineRule="auto"/>
        <w:ind w:right="361"/>
        <w:jc w:val="center"/>
        <w:rPr>
          <w:rFonts w:hint="eastAsia" w:ascii="新宋体" w:hAnsi="新宋体" w:eastAsia="新宋体" w:cs="新宋体"/>
          <w:color w:val="auto"/>
          <w:sz w:val="84"/>
          <w:szCs w:val="84"/>
          <w:highlight w:val="none"/>
        </w:rPr>
      </w:pPr>
      <w:r>
        <w:rPr>
          <w:rFonts w:hint="eastAsia" w:ascii="新宋体" w:hAnsi="新宋体" w:eastAsia="新宋体" w:cs="新宋体"/>
          <w:b/>
          <w:bCs/>
          <w:color w:val="auto"/>
          <w:sz w:val="84"/>
          <w:szCs w:val="84"/>
          <w:highlight w:val="none"/>
          <w:lang w:val="en-US" w:eastAsia="zh-CN"/>
        </w:rPr>
        <w:t>采 购</w:t>
      </w:r>
      <w:r>
        <w:rPr>
          <w:rFonts w:hint="eastAsia" w:ascii="新宋体" w:hAnsi="新宋体" w:eastAsia="新宋体" w:cs="新宋体"/>
          <w:b/>
          <w:bCs/>
          <w:color w:val="auto"/>
          <w:sz w:val="84"/>
          <w:szCs w:val="84"/>
          <w:highlight w:val="none"/>
        </w:rPr>
        <w:t xml:space="preserve"> 文 件</w:t>
      </w:r>
    </w:p>
    <w:p w14:paraId="560AFA3D">
      <w:pPr>
        <w:keepNext w:val="0"/>
        <w:keepLines w:val="0"/>
        <w:pageBreakBefore w:val="0"/>
        <w:widowControl w:val="0"/>
        <w:kinsoku/>
        <w:wordWrap/>
        <w:overflowPunct/>
        <w:topLinePunct w:val="0"/>
        <w:autoSpaceDE/>
        <w:autoSpaceDN/>
        <w:bidi w:val="0"/>
        <w:adjustRightInd/>
        <w:snapToGrid/>
        <w:spacing w:line="800" w:lineRule="exact"/>
        <w:ind w:firstLine="1200" w:firstLineChars="400"/>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rPr>
        <w:t>项目编号：</w:t>
      </w:r>
      <w:r>
        <w:rPr>
          <w:rFonts w:hint="eastAsia" w:ascii="新宋体" w:hAnsi="新宋体" w:eastAsia="新宋体" w:cs="新宋体"/>
          <w:b/>
          <w:bCs/>
          <w:color w:val="auto"/>
          <w:sz w:val="30"/>
          <w:szCs w:val="30"/>
          <w:highlight w:val="none"/>
          <w:lang w:eastAsia="zh-CN"/>
        </w:rPr>
        <w:t>WZLCZB（L）-2025-07008</w:t>
      </w:r>
    </w:p>
    <w:p w14:paraId="3A80F3FF">
      <w:pPr>
        <w:spacing w:line="800" w:lineRule="exact"/>
        <w:ind w:firstLine="1200" w:firstLineChars="400"/>
        <w:rPr>
          <w:rFonts w:hint="eastAsia" w:ascii="新宋体" w:hAnsi="新宋体" w:eastAsia="新宋体" w:cs="新宋体"/>
          <w:b/>
          <w:bCs/>
          <w:color w:val="auto"/>
          <w:sz w:val="30"/>
          <w:szCs w:val="30"/>
          <w:highlight w:val="none"/>
          <w:lang w:eastAsia="zh-CN"/>
        </w:rPr>
      </w:pPr>
      <w:r>
        <w:rPr>
          <w:rFonts w:hint="eastAsia" w:ascii="新宋体" w:hAnsi="新宋体" w:eastAsia="新宋体" w:cs="新宋体"/>
          <w:color w:val="auto"/>
          <w:sz w:val="30"/>
          <w:szCs w:val="30"/>
          <w:highlight w:val="none"/>
        </w:rPr>
        <w:t>项目名称：</w:t>
      </w:r>
      <w:r>
        <w:rPr>
          <w:rFonts w:hint="eastAsia" w:ascii="新宋体" w:hAnsi="新宋体" w:eastAsia="新宋体" w:cs="新宋体"/>
          <w:b/>
          <w:bCs/>
          <w:color w:val="auto"/>
          <w:sz w:val="30"/>
          <w:szCs w:val="30"/>
          <w:highlight w:val="none"/>
          <w:lang w:eastAsia="zh-CN"/>
        </w:rPr>
        <w:t>GE 1.5T 磁共振维保</w:t>
      </w:r>
    </w:p>
    <w:p w14:paraId="20F9E744">
      <w:pPr>
        <w:spacing w:line="800" w:lineRule="exact"/>
        <w:ind w:firstLine="1200" w:firstLineChars="400"/>
        <w:rPr>
          <w:rFonts w:hint="eastAsia" w:ascii="新宋体" w:hAnsi="新宋体" w:eastAsia="新宋体" w:cs="新宋体"/>
          <w:b/>
          <w:bCs/>
          <w:color w:val="auto"/>
          <w:sz w:val="30"/>
          <w:szCs w:val="30"/>
          <w:highlight w:val="none"/>
        </w:rPr>
      </w:pPr>
      <w:r>
        <w:rPr>
          <w:rFonts w:hint="eastAsia" w:ascii="新宋体" w:hAnsi="新宋体" w:eastAsia="新宋体" w:cs="新宋体"/>
          <w:color w:val="auto"/>
          <w:sz w:val="30"/>
          <w:szCs w:val="30"/>
          <w:highlight w:val="none"/>
        </w:rPr>
        <w:t>采购方式：</w:t>
      </w:r>
      <w:r>
        <w:rPr>
          <w:rFonts w:hint="eastAsia" w:ascii="新宋体" w:hAnsi="新宋体" w:eastAsia="新宋体" w:cs="新宋体"/>
          <w:b/>
          <w:bCs/>
          <w:color w:val="auto"/>
          <w:sz w:val="30"/>
          <w:szCs w:val="30"/>
          <w:highlight w:val="none"/>
        </w:rPr>
        <w:t>公开招标</w:t>
      </w:r>
    </w:p>
    <w:p w14:paraId="790D4DB7">
      <w:pPr>
        <w:spacing w:line="800" w:lineRule="exact"/>
        <w:ind w:firstLine="1200" w:firstLineChars="400"/>
        <w:rPr>
          <w:rFonts w:hint="eastAsia" w:ascii="新宋体" w:hAnsi="新宋体" w:eastAsia="新宋体" w:cs="新宋体"/>
          <w:b/>
          <w:bCs/>
          <w:color w:val="auto"/>
          <w:sz w:val="30"/>
          <w:szCs w:val="30"/>
          <w:highlight w:val="none"/>
        </w:rPr>
      </w:pPr>
      <w:r>
        <w:rPr>
          <w:rFonts w:hint="eastAsia" w:ascii="新宋体" w:hAnsi="新宋体" w:eastAsia="新宋体" w:cs="新宋体"/>
          <w:color w:val="auto"/>
          <w:sz w:val="30"/>
          <w:szCs w:val="30"/>
          <w:highlight w:val="none"/>
        </w:rPr>
        <w:t>评审方式：</w:t>
      </w:r>
      <w:r>
        <w:rPr>
          <w:rFonts w:hint="eastAsia" w:ascii="新宋体" w:hAnsi="新宋体" w:eastAsia="新宋体" w:cs="新宋体"/>
          <w:b/>
          <w:bCs/>
          <w:color w:val="auto"/>
          <w:sz w:val="30"/>
          <w:szCs w:val="30"/>
          <w:highlight w:val="none"/>
        </w:rPr>
        <w:t>线上电子招投标</w:t>
      </w:r>
    </w:p>
    <w:p w14:paraId="4E39DD6E">
      <w:pPr>
        <w:bidi w:val="0"/>
        <w:rPr>
          <w:rFonts w:hint="eastAsia" w:ascii="新宋体" w:hAnsi="新宋体" w:eastAsia="新宋体" w:cs="新宋体"/>
          <w:color w:val="auto"/>
          <w:highlight w:val="none"/>
        </w:rPr>
      </w:pPr>
    </w:p>
    <w:p w14:paraId="52722B30">
      <w:pPr>
        <w:bidi w:val="0"/>
        <w:rPr>
          <w:rFonts w:hint="eastAsia" w:ascii="新宋体" w:hAnsi="新宋体" w:eastAsia="新宋体" w:cs="新宋体"/>
          <w:color w:val="auto"/>
          <w:highlight w:val="none"/>
        </w:rPr>
      </w:pPr>
    </w:p>
    <w:p w14:paraId="7B1C01D1">
      <w:pPr>
        <w:bidi w:val="0"/>
        <w:rPr>
          <w:rFonts w:hint="eastAsia" w:ascii="新宋体" w:hAnsi="新宋体" w:eastAsia="新宋体" w:cs="新宋体"/>
          <w:color w:val="auto"/>
          <w:highlight w:val="none"/>
        </w:rPr>
      </w:pPr>
    </w:p>
    <w:p w14:paraId="0B4C4A91">
      <w:pPr>
        <w:rPr>
          <w:rFonts w:hint="eastAsia" w:ascii="新宋体" w:hAnsi="新宋体" w:eastAsia="新宋体" w:cs="新宋体"/>
          <w:color w:val="auto"/>
          <w:highlight w:val="none"/>
        </w:rPr>
      </w:pPr>
    </w:p>
    <w:p w14:paraId="58B4CE5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lang w:eastAsia="zh-CN"/>
        </w:rPr>
        <w:t>采购人</w:t>
      </w:r>
      <w:r>
        <w:rPr>
          <w:rFonts w:hint="eastAsia" w:ascii="新宋体" w:hAnsi="新宋体" w:eastAsia="新宋体" w:cs="新宋体"/>
          <w:color w:val="auto"/>
          <w:sz w:val="30"/>
          <w:szCs w:val="30"/>
          <w:highlight w:val="none"/>
        </w:rPr>
        <w:t>：</w:t>
      </w:r>
      <w:r>
        <w:rPr>
          <w:rFonts w:hint="eastAsia" w:ascii="新宋体" w:hAnsi="新宋体" w:eastAsia="新宋体" w:cs="新宋体"/>
          <w:color w:val="auto"/>
          <w:sz w:val="30"/>
          <w:szCs w:val="30"/>
          <w:highlight w:val="none"/>
          <w:lang w:eastAsia="zh-CN"/>
        </w:rPr>
        <w:t>温州市中医院</w:t>
      </w:r>
    </w:p>
    <w:p w14:paraId="1C79499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新宋体" w:hAnsi="新宋体" w:eastAsia="新宋体" w:cs="新宋体"/>
          <w:color w:val="auto"/>
          <w:sz w:val="30"/>
          <w:szCs w:val="30"/>
          <w:highlight w:val="none"/>
        </w:rPr>
      </w:pPr>
      <w:r>
        <w:rPr>
          <w:rFonts w:hint="eastAsia" w:ascii="新宋体" w:hAnsi="新宋体" w:eastAsia="新宋体" w:cs="新宋体"/>
          <w:color w:val="auto"/>
          <w:sz w:val="30"/>
          <w:szCs w:val="30"/>
          <w:highlight w:val="none"/>
          <w:lang w:eastAsia="zh-CN"/>
        </w:rPr>
        <w:t>采购代理机构</w:t>
      </w:r>
      <w:r>
        <w:rPr>
          <w:rFonts w:hint="eastAsia" w:ascii="新宋体" w:hAnsi="新宋体" w:eastAsia="新宋体" w:cs="新宋体"/>
          <w:color w:val="auto"/>
          <w:sz w:val="30"/>
          <w:szCs w:val="30"/>
          <w:highlight w:val="none"/>
        </w:rPr>
        <w:t>：温州历程招标有限公司</w:t>
      </w:r>
    </w:p>
    <w:p w14:paraId="426EC34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新宋体" w:hAnsi="新宋体" w:eastAsia="新宋体" w:cs="新宋体"/>
          <w:color w:val="auto"/>
          <w:spacing w:val="30"/>
          <w:sz w:val="30"/>
          <w:highlight w:val="none"/>
        </w:rPr>
      </w:pPr>
      <w:r>
        <w:rPr>
          <w:rFonts w:hint="eastAsia" w:ascii="新宋体" w:hAnsi="新宋体" w:eastAsia="新宋体" w:cs="新宋体"/>
          <w:color w:val="auto"/>
          <w:sz w:val="30"/>
          <w:szCs w:val="30"/>
          <w:highlight w:val="none"/>
        </w:rPr>
        <w:t>二〇二</w:t>
      </w:r>
      <w:r>
        <w:rPr>
          <w:rFonts w:hint="eastAsia" w:ascii="新宋体" w:hAnsi="新宋体" w:eastAsia="新宋体" w:cs="新宋体"/>
          <w:color w:val="auto"/>
          <w:sz w:val="30"/>
          <w:szCs w:val="30"/>
          <w:highlight w:val="none"/>
          <w:lang w:val="en-US" w:eastAsia="zh-CN"/>
        </w:rPr>
        <w:t>五</w:t>
      </w:r>
      <w:r>
        <w:rPr>
          <w:rFonts w:hint="eastAsia" w:ascii="新宋体" w:hAnsi="新宋体" w:eastAsia="新宋体" w:cs="新宋体"/>
          <w:color w:val="auto"/>
          <w:sz w:val="30"/>
          <w:szCs w:val="30"/>
          <w:highlight w:val="none"/>
        </w:rPr>
        <w:t>年</w:t>
      </w:r>
    </w:p>
    <w:p w14:paraId="5E101736">
      <w:pPr>
        <w:pStyle w:val="24"/>
        <w:ind w:left="0" w:leftChars="0"/>
        <w:rPr>
          <w:rFonts w:hint="eastAsia" w:ascii="新宋体" w:hAnsi="新宋体" w:eastAsia="新宋体" w:cs="新宋体"/>
          <w:color w:val="auto"/>
          <w:highlight w:val="none"/>
        </w:rPr>
      </w:pPr>
    </w:p>
    <w:p w14:paraId="5071D4D9">
      <w:pPr>
        <w:spacing w:before="100" w:beforeAutospacing="1" w:after="100" w:afterAutospacing="1" w:line="440" w:lineRule="exact"/>
        <w:jc w:val="center"/>
        <w:outlineLvl w:val="0"/>
        <w:rPr>
          <w:rFonts w:hint="eastAsia" w:ascii="新宋体" w:hAnsi="新宋体" w:eastAsia="新宋体" w:cs="新宋体"/>
          <w:b/>
          <w:bCs/>
          <w:color w:val="auto"/>
          <w:sz w:val="32"/>
          <w:szCs w:val="32"/>
          <w:highlight w:val="none"/>
        </w:rPr>
        <w:sectPr>
          <w:headerReference r:id="rId4" w:type="first"/>
          <w:headerReference r:id="rId3" w:type="default"/>
          <w:footerReference r:id="rId5" w:type="default"/>
          <w:pgSz w:w="11907" w:h="16840"/>
          <w:pgMar w:top="1134" w:right="1134" w:bottom="1134" w:left="1134" w:header="851" w:footer="992" w:gutter="0"/>
          <w:pgBorders>
            <w:top w:val="none" w:sz="0" w:space="0"/>
            <w:left w:val="none" w:sz="0" w:space="0"/>
            <w:bottom w:val="none" w:sz="0" w:space="0"/>
            <w:right w:val="none" w:sz="0" w:space="0"/>
          </w:pgBorders>
          <w:pgNumType w:start="1"/>
          <w:cols w:space="720" w:num="1"/>
          <w:titlePg/>
          <w:docGrid w:linePitch="312" w:charSpace="0"/>
        </w:sectPr>
      </w:pPr>
    </w:p>
    <w:p w14:paraId="14C9BD7C">
      <w:pPr>
        <w:spacing w:before="100" w:beforeAutospacing="1" w:after="100" w:afterAutospacing="1" w:line="440" w:lineRule="exact"/>
        <w:jc w:val="center"/>
        <w:outlineLvl w:val="0"/>
        <w:rPr>
          <w:rFonts w:hint="eastAsia" w:ascii="新宋体" w:hAnsi="新宋体" w:eastAsia="新宋体" w:cs="新宋体"/>
          <w:b/>
          <w:bCs/>
          <w:color w:val="auto"/>
          <w:sz w:val="32"/>
          <w:szCs w:val="32"/>
          <w:highlight w:val="none"/>
        </w:rPr>
      </w:pPr>
      <w:bookmarkStart w:id="0" w:name="_Toc31491"/>
      <w:r>
        <w:rPr>
          <w:rFonts w:hint="eastAsia" w:ascii="新宋体" w:hAnsi="新宋体" w:eastAsia="新宋体" w:cs="新宋体"/>
          <w:b/>
          <w:bCs/>
          <w:color w:val="auto"/>
          <w:sz w:val="32"/>
          <w:szCs w:val="32"/>
          <w:highlight w:val="none"/>
        </w:rPr>
        <w:t>目    录</w:t>
      </w:r>
      <w:bookmarkEnd w:id="0"/>
    </w:p>
    <w:p w14:paraId="55B03DA7">
      <w:pPr>
        <w:pStyle w:val="41"/>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TOC \o "1-3" \h \u \* MERGEFORMAT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_Toc31491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目    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_Toc31491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128D023">
      <w:pPr>
        <w:pStyle w:val="41"/>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_Toc3353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招标公告</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_Toc3353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31F2C01">
      <w:pPr>
        <w:pStyle w:val="41"/>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_Toc11986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第一部分    投标人须知</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_Toc11986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2751D57">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_Toc26087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前 附 表</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_Toc26087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CEB2874">
      <w:pPr>
        <w:pStyle w:val="3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_Toc16222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一、 说   明</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_Toc16222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8455161">
      <w:pPr>
        <w:pStyle w:val="3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_Toc31880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 xml:space="preserve">二、 </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_Toc31880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6666940">
      <w:pPr>
        <w:pStyle w:val="3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_Toc22347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三、 投标文件的编制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_Toc22347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1F191E8">
      <w:pPr>
        <w:pStyle w:val="3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_Toc874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四、 投标文件的递交</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_Toc874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72639D1">
      <w:pPr>
        <w:pStyle w:val="3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_Toc12362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五、 开标和评标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_Toc12362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8FCA587">
      <w:pPr>
        <w:pStyle w:val="3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_Toc8871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六、 授予合同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_Toc8871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8E3DC6A">
      <w:pPr>
        <w:pStyle w:val="41"/>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_Toc31367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第二部分    合同主要条款</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_Toc31367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3CB0AA7">
      <w:pPr>
        <w:pStyle w:val="41"/>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_Toc22578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第三部分    附件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_Toc22578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CBC627B">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_Toc30911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附件一</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_Toc30911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C8BCD0B">
      <w:pPr>
        <w:pStyle w:val="3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_Toc28193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资格证明文件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_Toc28193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F5ACF49">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_Toc15825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附件二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_Toc15825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1D15714">
      <w:pPr>
        <w:pStyle w:val="3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_Toc24684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报价文件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_Toc24684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F0C7B69">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_Toc8198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附件三</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_Toc8198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64B82B2">
      <w:pPr>
        <w:pStyle w:val="3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_Toc5544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商务技术文件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_Toc5544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B3DE784">
      <w:pPr>
        <w:pStyle w:val="41"/>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_Toc22370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第四部分   项目技术规范和服务要求</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_Toc22370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44</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CEA29D6">
      <w:pPr>
        <w:pStyle w:val="41"/>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_Toc23704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第五部分   评标原则及方法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_Toc23704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46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9AE607A">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_Toc19243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一、总 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_Toc19243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46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AE068F4">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_Toc7106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二、</w:t>
      </w:r>
      <w:r>
        <w:rPr>
          <w:rFonts w:hint="eastAsia" w:ascii="新宋体" w:hAnsi="新宋体" w:eastAsia="新宋体" w:cs="新宋体"/>
          <w:bCs/>
          <w:color w:val="auto"/>
          <w:sz w:val="22"/>
          <w:szCs w:val="22"/>
          <w:highlight w:val="none"/>
        </w:rPr>
        <w:t>评标</w:t>
      </w:r>
      <w:r>
        <w:rPr>
          <w:rFonts w:hint="eastAsia" w:ascii="新宋体" w:hAnsi="新宋体" w:eastAsia="新宋体" w:cs="新宋体"/>
          <w:color w:val="auto"/>
          <w:sz w:val="22"/>
          <w:szCs w:val="22"/>
          <w:highlight w:val="none"/>
        </w:rPr>
        <w:t>组织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_Toc7106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46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EDABE26">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_Toc31481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三、</w:t>
      </w:r>
      <w:r>
        <w:rPr>
          <w:rFonts w:hint="eastAsia" w:ascii="新宋体" w:hAnsi="新宋体" w:eastAsia="新宋体" w:cs="新宋体"/>
          <w:bCs/>
          <w:color w:val="auto"/>
          <w:sz w:val="22"/>
          <w:szCs w:val="22"/>
          <w:highlight w:val="none"/>
        </w:rPr>
        <w:t>评标</w:t>
      </w:r>
      <w:r>
        <w:rPr>
          <w:rFonts w:hint="eastAsia" w:ascii="新宋体" w:hAnsi="新宋体" w:eastAsia="新宋体" w:cs="新宋体"/>
          <w:color w:val="auto"/>
          <w:sz w:val="22"/>
          <w:szCs w:val="22"/>
          <w:highlight w:val="none"/>
        </w:rPr>
        <w:t>程序</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_Toc31481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46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3F9AA43">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_Toc14475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四、评标办法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_Toc14475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46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6AFECE2">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_Toc17313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五、</w:t>
      </w:r>
      <w:r>
        <w:rPr>
          <w:rFonts w:hint="eastAsia" w:ascii="新宋体" w:hAnsi="新宋体" w:eastAsia="新宋体" w:cs="新宋体"/>
          <w:bCs/>
          <w:color w:val="auto"/>
          <w:sz w:val="22"/>
          <w:szCs w:val="22"/>
          <w:highlight w:val="none"/>
        </w:rPr>
        <w:t>评分</w:t>
      </w:r>
      <w:r>
        <w:rPr>
          <w:rFonts w:hint="eastAsia" w:ascii="新宋体" w:hAnsi="新宋体" w:eastAsia="新宋体" w:cs="新宋体"/>
          <w:color w:val="auto"/>
          <w:sz w:val="22"/>
          <w:szCs w:val="22"/>
          <w:highlight w:val="none"/>
        </w:rPr>
        <w:t>细则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_Toc17313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46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D60B022">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_Toc5804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六、定标办法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_Toc5804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48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279EF9D">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_Toc16791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七、投标人义务</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_Toc16791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48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25F7C5B">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hint="eastAsia" w:ascii="新宋体" w:hAnsi="新宋体" w:eastAsia="新宋体" w:cs="新宋体"/>
          <w:b/>
          <w:bCs/>
          <w:color w:val="auto"/>
          <w:sz w:val="36"/>
          <w:szCs w:val="36"/>
          <w:highlight w:val="none"/>
        </w:rPr>
      </w:pPr>
      <w:r>
        <w:rPr>
          <w:rFonts w:hint="eastAsia" w:ascii="新宋体" w:hAnsi="新宋体" w:eastAsia="新宋体" w:cs="新宋体"/>
          <w:color w:val="auto"/>
          <w:sz w:val="22"/>
          <w:szCs w:val="22"/>
          <w:highlight w:val="none"/>
        </w:rPr>
        <w:fldChar w:fldCharType="end"/>
      </w:r>
      <w:bookmarkStart w:id="1" w:name="_Toc3353"/>
      <w:r>
        <w:rPr>
          <w:rFonts w:hint="eastAsia" w:ascii="新宋体" w:hAnsi="新宋体" w:eastAsia="新宋体" w:cs="新宋体"/>
          <w:b/>
          <w:color w:val="auto"/>
          <w:sz w:val="30"/>
          <w:highlight w:val="none"/>
        </w:rPr>
        <w:br w:type="page"/>
      </w:r>
      <w:bookmarkStart w:id="2" w:name="_Toc18348"/>
      <w:bookmarkStart w:id="3" w:name="_Toc32186"/>
      <w:bookmarkStart w:id="4" w:name="_Toc12859"/>
      <w:r>
        <w:rPr>
          <w:rFonts w:hint="eastAsia" w:ascii="新宋体" w:hAnsi="新宋体" w:eastAsia="新宋体" w:cs="新宋体"/>
          <w:b/>
          <w:bCs/>
          <w:color w:val="auto"/>
          <w:sz w:val="36"/>
          <w:szCs w:val="36"/>
          <w:highlight w:val="none"/>
        </w:rPr>
        <w:t>温州历程招标有限公司关于</w:t>
      </w:r>
      <w:r>
        <w:rPr>
          <w:rFonts w:hint="eastAsia" w:ascii="新宋体" w:hAnsi="新宋体" w:eastAsia="新宋体" w:cs="新宋体"/>
          <w:b/>
          <w:bCs/>
          <w:color w:val="auto"/>
          <w:sz w:val="36"/>
          <w:szCs w:val="36"/>
          <w:highlight w:val="none"/>
          <w:lang w:eastAsia="zh-CN"/>
        </w:rPr>
        <w:t>温州市中医院GE 1.5T 磁共振维保</w:t>
      </w:r>
      <w:r>
        <w:rPr>
          <w:rFonts w:hint="eastAsia" w:ascii="新宋体" w:hAnsi="新宋体" w:eastAsia="新宋体" w:cs="新宋体"/>
          <w:b/>
          <w:bCs/>
          <w:color w:val="auto"/>
          <w:sz w:val="36"/>
          <w:szCs w:val="36"/>
          <w:highlight w:val="none"/>
        </w:rPr>
        <w:t>的公开招标公告</w:t>
      </w:r>
      <w:bookmarkEnd w:id="1"/>
      <w:bookmarkEnd w:id="2"/>
      <w:bookmarkEnd w:id="3"/>
      <w:bookmarkEnd w:id="4"/>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6D00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855" w:type="dxa"/>
          </w:tcPr>
          <w:p w14:paraId="6A918B3E">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项目概况</w:t>
            </w:r>
          </w:p>
          <w:p w14:paraId="0224EE8C">
            <w:pPr>
              <w:keepNext w:val="0"/>
              <w:keepLines w:val="0"/>
              <w:pageBreakBefore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eastAsia="zh-CN"/>
              </w:rPr>
              <w:t>GE 1.5T 磁共振维保</w:t>
            </w:r>
            <w:r>
              <w:rPr>
                <w:rFonts w:hint="eastAsia" w:ascii="新宋体" w:hAnsi="新宋体" w:eastAsia="新宋体" w:cs="新宋体"/>
                <w:b w:val="0"/>
                <w:bCs w:val="0"/>
                <w:color w:val="auto"/>
                <w:sz w:val="22"/>
                <w:szCs w:val="22"/>
                <w:highlight w:val="none"/>
              </w:rPr>
              <w:t>招标项目的潜在投标人应在</w:t>
            </w:r>
            <w:r>
              <w:rPr>
                <w:rFonts w:hint="eastAsia" w:ascii="新宋体" w:hAnsi="新宋体" w:eastAsia="新宋体" w:cs="新宋体"/>
                <w:b w:val="0"/>
                <w:bCs w:val="0"/>
                <w:color w:val="auto"/>
                <w:sz w:val="22"/>
                <w:szCs w:val="22"/>
                <w:highlight w:val="none"/>
                <w:lang w:eastAsia="zh-CN"/>
              </w:rPr>
              <w:t>政采云平台</w:t>
            </w:r>
            <w:r>
              <w:rPr>
                <w:rFonts w:hint="eastAsia" w:ascii="新宋体" w:hAnsi="新宋体" w:eastAsia="新宋体" w:cs="新宋体"/>
                <w:b w:val="0"/>
                <w:bCs w:val="0"/>
                <w:color w:val="auto"/>
                <w:sz w:val="22"/>
                <w:szCs w:val="22"/>
                <w:highlight w:val="none"/>
              </w:rPr>
              <w:t>(</w:t>
            </w:r>
            <w:r>
              <w:rPr>
                <w:rFonts w:hint="eastAsia" w:ascii="新宋体" w:hAnsi="新宋体" w:eastAsia="新宋体" w:cs="新宋体"/>
                <w:b w:val="0"/>
                <w:bCs w:val="0"/>
                <w:color w:val="auto"/>
                <w:sz w:val="22"/>
                <w:szCs w:val="22"/>
                <w:highlight w:val="none"/>
                <w:lang w:eastAsia="zh-CN"/>
              </w:rPr>
              <w:t>https://www.zcygov.cn/</w:t>
            </w:r>
            <w:r>
              <w:rPr>
                <w:rFonts w:hint="eastAsia" w:ascii="新宋体" w:hAnsi="新宋体" w:eastAsia="新宋体" w:cs="新宋体"/>
                <w:b w:val="0"/>
                <w:bCs w:val="0"/>
                <w:color w:val="auto"/>
                <w:sz w:val="22"/>
                <w:szCs w:val="22"/>
                <w:highlight w:val="none"/>
              </w:rPr>
              <w:t>)</w:t>
            </w:r>
            <w:r>
              <w:rPr>
                <w:rFonts w:hint="eastAsia" w:ascii="新宋体" w:hAnsi="新宋体" w:eastAsia="新宋体" w:cs="新宋体"/>
                <w:color w:val="auto"/>
                <w:sz w:val="22"/>
                <w:szCs w:val="22"/>
                <w:highlight w:val="none"/>
                <w:lang w:eastAsia="zh-CN"/>
              </w:rPr>
              <w:t>线上获取（下载）招标文件</w:t>
            </w:r>
            <w:r>
              <w:rPr>
                <w:rFonts w:hint="eastAsia" w:ascii="新宋体" w:hAnsi="新宋体" w:eastAsia="新宋体" w:cs="新宋体"/>
                <w:b w:val="0"/>
                <w:bCs w:val="0"/>
                <w:color w:val="auto"/>
                <w:sz w:val="22"/>
                <w:szCs w:val="22"/>
                <w:highlight w:val="none"/>
              </w:rPr>
              <w:t>，并于</w:t>
            </w:r>
            <w:r>
              <w:rPr>
                <w:rFonts w:hint="eastAsia" w:ascii="新宋体" w:hAnsi="新宋体" w:eastAsia="新宋体" w:cs="新宋体"/>
                <w:b w:val="0"/>
                <w:bCs w:val="0"/>
                <w:color w:val="auto"/>
                <w:sz w:val="22"/>
                <w:szCs w:val="22"/>
                <w:highlight w:val="none"/>
                <w:lang w:eastAsia="zh-CN"/>
              </w:rPr>
              <w:t>2025年07月22日</w:t>
            </w:r>
            <w:r>
              <w:rPr>
                <w:rFonts w:hint="eastAsia" w:ascii="新宋体" w:hAnsi="新宋体" w:eastAsia="新宋体" w:cs="新宋体"/>
                <w:b w:val="0"/>
                <w:bCs w:val="0"/>
                <w:color w:val="auto"/>
                <w:sz w:val="22"/>
                <w:szCs w:val="22"/>
                <w:highlight w:val="none"/>
                <w:lang w:val="en-US" w:eastAsia="zh-CN"/>
              </w:rPr>
              <w:t>09</w:t>
            </w:r>
            <w:r>
              <w:rPr>
                <w:rFonts w:hint="eastAsia" w:ascii="新宋体" w:hAnsi="新宋体" w:eastAsia="新宋体" w:cs="新宋体"/>
                <w:b w:val="0"/>
                <w:bCs w:val="0"/>
                <w:color w:val="auto"/>
                <w:sz w:val="22"/>
                <w:szCs w:val="22"/>
                <w:highlight w:val="none"/>
                <w:lang w:eastAsia="zh-CN"/>
              </w:rPr>
              <w:t>：30</w:t>
            </w:r>
            <w:r>
              <w:rPr>
                <w:rFonts w:hint="eastAsia" w:ascii="新宋体" w:hAnsi="新宋体" w:eastAsia="新宋体" w:cs="新宋体"/>
                <w:b w:val="0"/>
                <w:bCs w:val="0"/>
                <w:color w:val="auto"/>
                <w:sz w:val="22"/>
                <w:szCs w:val="22"/>
                <w:highlight w:val="none"/>
              </w:rPr>
              <w:t>（北京时间）前递交投标文件。</w:t>
            </w:r>
          </w:p>
        </w:tc>
      </w:tr>
    </w:tbl>
    <w:p w14:paraId="63E53F41">
      <w:pPr>
        <w:keepNext w:val="0"/>
        <w:keepLines w:val="0"/>
        <w:pageBreakBefore w:val="0"/>
        <w:widowControl w:val="0"/>
        <w:tabs>
          <w:tab w:val="left" w:pos="36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一、项目基本情况</w:t>
      </w:r>
    </w:p>
    <w:p w14:paraId="755B329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WZLCZB（L）-2025-07008</w:t>
      </w:r>
    </w:p>
    <w:p w14:paraId="40C84D5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GE 1.5T 磁共振维保</w:t>
      </w:r>
    </w:p>
    <w:p w14:paraId="501984E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default"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rPr>
        <w:t>预算金额（元）：</w:t>
      </w:r>
      <w:r>
        <w:rPr>
          <w:rFonts w:hint="eastAsia" w:ascii="新宋体" w:hAnsi="新宋体" w:eastAsia="新宋体" w:cs="新宋体"/>
          <w:b w:val="0"/>
          <w:bCs w:val="0"/>
          <w:color w:val="auto"/>
          <w:sz w:val="22"/>
          <w:szCs w:val="22"/>
          <w:highlight w:val="none"/>
          <w:lang w:val="en-US" w:eastAsia="zh-CN"/>
        </w:rPr>
        <w:t>650000</w:t>
      </w:r>
    </w:p>
    <w:p w14:paraId="531EEBE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最高限价（元）：</w:t>
      </w:r>
      <w:r>
        <w:rPr>
          <w:rFonts w:hint="eastAsia" w:ascii="新宋体" w:hAnsi="新宋体" w:eastAsia="新宋体" w:cs="新宋体"/>
          <w:b w:val="0"/>
          <w:bCs w:val="0"/>
          <w:color w:val="auto"/>
          <w:sz w:val="22"/>
          <w:szCs w:val="22"/>
          <w:highlight w:val="none"/>
          <w:lang w:val="en-US" w:eastAsia="zh-CN"/>
        </w:rPr>
        <w:t>650000</w:t>
      </w:r>
    </w:p>
    <w:p w14:paraId="4DE2F4B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采购需求：</w:t>
      </w:r>
    </w:p>
    <w:p w14:paraId="6ABAE3D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p>
    <w:p w14:paraId="7F8DE1D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标项名称</w:t>
      </w:r>
      <w:r>
        <w:rPr>
          <w:rFonts w:hint="eastAsia" w:ascii="新宋体" w:hAnsi="新宋体" w:eastAsia="新宋体" w:cs="新宋体"/>
          <w:b w:val="0"/>
          <w:bCs w:val="0"/>
          <w:color w:val="auto"/>
          <w:sz w:val="22"/>
          <w:szCs w:val="22"/>
          <w:highlight w:val="none"/>
          <w:lang w:eastAsia="zh-CN"/>
        </w:rPr>
        <w:t>：GE 1.5T 磁共振维保</w:t>
      </w:r>
    </w:p>
    <w:p w14:paraId="5D13FE5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default"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rPr>
        <w:t>数量</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lang w:val="en-US" w:eastAsia="zh-CN"/>
        </w:rPr>
        <w:t>1</w:t>
      </w:r>
    </w:p>
    <w:p w14:paraId="2715259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预算金额（元）：</w:t>
      </w:r>
      <w:r>
        <w:rPr>
          <w:rFonts w:hint="eastAsia" w:ascii="新宋体" w:hAnsi="新宋体" w:eastAsia="新宋体" w:cs="新宋体"/>
          <w:b w:val="0"/>
          <w:bCs w:val="0"/>
          <w:color w:val="auto"/>
          <w:sz w:val="22"/>
          <w:szCs w:val="22"/>
          <w:highlight w:val="none"/>
          <w:lang w:val="en-US" w:eastAsia="zh-CN"/>
        </w:rPr>
        <w:t>650000.00</w:t>
      </w:r>
    </w:p>
    <w:p w14:paraId="06D0B23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简要规格描述或项目基本概况介绍、用途：</w:t>
      </w:r>
      <w:r>
        <w:rPr>
          <w:rFonts w:hint="eastAsia" w:ascii="新宋体" w:hAnsi="新宋体" w:eastAsia="新宋体" w:cs="新宋体"/>
          <w:b w:val="0"/>
          <w:bCs w:val="0"/>
          <w:color w:val="auto"/>
          <w:sz w:val="22"/>
          <w:szCs w:val="22"/>
          <w:highlight w:val="none"/>
          <w:lang w:val="en-US" w:eastAsia="zh-CN"/>
        </w:rPr>
        <w:t>具体</w:t>
      </w:r>
      <w:r>
        <w:rPr>
          <w:rFonts w:hint="eastAsia" w:ascii="新宋体" w:hAnsi="新宋体" w:eastAsia="新宋体" w:cs="新宋体"/>
          <w:b w:val="0"/>
          <w:bCs w:val="0"/>
          <w:color w:val="auto"/>
          <w:sz w:val="22"/>
          <w:szCs w:val="22"/>
          <w:highlight w:val="none"/>
        </w:rPr>
        <w:t>详见</w:t>
      </w:r>
      <w:r>
        <w:rPr>
          <w:rFonts w:hint="eastAsia" w:ascii="新宋体" w:hAnsi="新宋体" w:eastAsia="新宋体" w:cs="新宋体"/>
          <w:b w:val="0"/>
          <w:bCs w:val="0"/>
          <w:color w:val="auto"/>
          <w:sz w:val="22"/>
          <w:szCs w:val="22"/>
          <w:highlight w:val="none"/>
          <w:lang w:val="en-US" w:eastAsia="zh-CN"/>
        </w:rPr>
        <w:t>采购</w:t>
      </w:r>
      <w:r>
        <w:rPr>
          <w:rFonts w:hint="eastAsia" w:ascii="新宋体" w:hAnsi="新宋体" w:eastAsia="新宋体" w:cs="新宋体"/>
          <w:b w:val="0"/>
          <w:bCs w:val="0"/>
          <w:color w:val="auto"/>
          <w:sz w:val="22"/>
          <w:szCs w:val="22"/>
          <w:highlight w:val="none"/>
        </w:rPr>
        <w:t>文件</w:t>
      </w:r>
    </w:p>
    <w:p w14:paraId="49E8C2B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default"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rPr>
        <w:t>备注：</w:t>
      </w:r>
    </w:p>
    <w:p w14:paraId="4047155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p>
    <w:p w14:paraId="39BD93D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合同履约期限：标项 1，详见</w:t>
      </w:r>
      <w:r>
        <w:rPr>
          <w:rFonts w:hint="eastAsia" w:ascii="新宋体" w:hAnsi="新宋体" w:eastAsia="新宋体" w:cs="新宋体"/>
          <w:b w:val="0"/>
          <w:bCs w:val="0"/>
          <w:color w:val="auto"/>
          <w:sz w:val="22"/>
          <w:szCs w:val="22"/>
          <w:highlight w:val="none"/>
          <w:lang w:val="en-US" w:eastAsia="zh-CN"/>
        </w:rPr>
        <w:t>采购</w:t>
      </w:r>
      <w:r>
        <w:rPr>
          <w:rFonts w:hint="eastAsia" w:ascii="新宋体" w:hAnsi="新宋体" w:eastAsia="新宋体" w:cs="新宋体"/>
          <w:b w:val="0"/>
          <w:bCs w:val="0"/>
          <w:color w:val="auto"/>
          <w:sz w:val="22"/>
          <w:szCs w:val="22"/>
          <w:highlight w:val="none"/>
        </w:rPr>
        <w:t>文件</w:t>
      </w:r>
    </w:p>
    <w:p w14:paraId="2A312D8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本项目（</w:t>
      </w:r>
      <w:r>
        <w:rPr>
          <w:rFonts w:hint="eastAsia" w:ascii="新宋体" w:hAnsi="新宋体" w:eastAsia="新宋体" w:cs="新宋体"/>
          <w:b w:val="0"/>
          <w:bCs w:val="0"/>
          <w:color w:val="auto"/>
          <w:sz w:val="22"/>
          <w:szCs w:val="22"/>
          <w:highlight w:val="none"/>
          <w:lang w:val="en-US" w:eastAsia="zh-CN"/>
        </w:rPr>
        <w:t>是</w:t>
      </w:r>
      <w:r>
        <w:rPr>
          <w:rFonts w:hint="eastAsia" w:ascii="新宋体" w:hAnsi="新宋体" w:eastAsia="新宋体" w:cs="新宋体"/>
          <w:b w:val="0"/>
          <w:bCs w:val="0"/>
          <w:color w:val="auto"/>
          <w:sz w:val="22"/>
          <w:szCs w:val="22"/>
          <w:highlight w:val="none"/>
        </w:rPr>
        <w:t>）接受联合体投标。</w:t>
      </w:r>
    </w:p>
    <w:p w14:paraId="21E4A5A0">
      <w:pPr>
        <w:keepNext w:val="0"/>
        <w:keepLines w:val="0"/>
        <w:pageBreakBefore w:val="0"/>
        <w:widowControl w:val="0"/>
        <w:tabs>
          <w:tab w:val="left" w:pos="36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二、申请人的资格要求</w:t>
      </w:r>
    </w:p>
    <w:p w14:paraId="2D7830B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987E2C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2.落实政府采购政策需满足的资格要求：标项1：</w:t>
      </w:r>
      <w:r>
        <w:rPr>
          <w:rFonts w:hint="eastAsia" w:ascii="新宋体" w:hAnsi="新宋体" w:eastAsia="新宋体" w:cs="新宋体"/>
          <w:b w:val="0"/>
          <w:bCs w:val="0"/>
          <w:color w:val="auto"/>
          <w:sz w:val="22"/>
          <w:szCs w:val="22"/>
          <w:highlight w:val="none"/>
          <w:lang w:val="en-US" w:eastAsia="zh-CN"/>
        </w:rPr>
        <w:t>无</w:t>
      </w:r>
    </w:p>
    <w:p w14:paraId="43BE2A5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default"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rPr>
        <w:t>3.本项目的特定资格要求：</w:t>
      </w:r>
      <w:r>
        <w:rPr>
          <w:rFonts w:hint="eastAsia" w:ascii="新宋体" w:hAnsi="新宋体" w:eastAsia="新宋体" w:cs="新宋体"/>
          <w:b w:val="0"/>
          <w:bCs w:val="0"/>
          <w:color w:val="auto"/>
          <w:sz w:val="22"/>
          <w:szCs w:val="22"/>
          <w:highlight w:val="none"/>
          <w:lang w:val="en-US" w:eastAsia="zh-CN"/>
        </w:rPr>
        <w:t>标项1：无</w:t>
      </w:r>
    </w:p>
    <w:p w14:paraId="6A58BD8F">
      <w:pPr>
        <w:keepNext w:val="0"/>
        <w:keepLines w:val="0"/>
        <w:pageBreakBefore w:val="0"/>
        <w:widowControl w:val="0"/>
        <w:tabs>
          <w:tab w:val="left" w:pos="36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三、获取</w:t>
      </w:r>
      <w:r>
        <w:rPr>
          <w:rFonts w:hint="eastAsia" w:ascii="新宋体" w:hAnsi="新宋体" w:eastAsia="新宋体" w:cs="新宋体"/>
          <w:b/>
          <w:bCs/>
          <w:color w:val="auto"/>
          <w:sz w:val="22"/>
          <w:szCs w:val="22"/>
          <w:highlight w:val="none"/>
          <w:lang w:eastAsia="zh-CN"/>
        </w:rPr>
        <w:t>采购文件</w:t>
      </w:r>
    </w:p>
    <w:p w14:paraId="7AC51F0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时间：</w:t>
      </w:r>
      <w:r>
        <w:rPr>
          <w:rFonts w:hint="eastAsia" w:ascii="新宋体" w:hAnsi="新宋体" w:eastAsia="新宋体" w:cs="新宋体"/>
          <w:b w:val="0"/>
          <w:bCs w:val="0"/>
          <w:color w:val="auto"/>
          <w:sz w:val="22"/>
          <w:szCs w:val="22"/>
          <w:highlight w:val="none"/>
          <w:lang w:val="en-US" w:eastAsia="zh-CN"/>
        </w:rPr>
        <w:t>/</w:t>
      </w:r>
      <w:r>
        <w:rPr>
          <w:rFonts w:hint="eastAsia" w:ascii="新宋体" w:hAnsi="新宋体" w:eastAsia="新宋体" w:cs="新宋体"/>
          <w:b w:val="0"/>
          <w:bCs w:val="0"/>
          <w:color w:val="auto"/>
          <w:sz w:val="22"/>
          <w:szCs w:val="22"/>
          <w:highlight w:val="none"/>
        </w:rPr>
        <w:t>至</w:t>
      </w:r>
      <w:r>
        <w:rPr>
          <w:rFonts w:hint="eastAsia" w:ascii="新宋体" w:hAnsi="新宋体" w:eastAsia="新宋体" w:cs="新宋体"/>
          <w:color w:val="auto"/>
          <w:sz w:val="22"/>
          <w:szCs w:val="22"/>
          <w:highlight w:val="none"/>
          <w:lang w:eastAsia="zh-CN"/>
        </w:rPr>
        <w:t>2025年07月22日</w:t>
      </w:r>
      <w:r>
        <w:rPr>
          <w:rFonts w:hint="eastAsia" w:ascii="新宋体" w:hAnsi="新宋体" w:eastAsia="新宋体" w:cs="新宋体"/>
          <w:b w:val="0"/>
          <w:bCs w:val="0"/>
          <w:color w:val="auto"/>
          <w:sz w:val="22"/>
          <w:szCs w:val="22"/>
          <w:highlight w:val="none"/>
        </w:rPr>
        <w:t>，每天上午00</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00至12</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00，下午12</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00至23</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59（北京时间，法定节假日除外）</w:t>
      </w:r>
    </w:p>
    <w:p w14:paraId="40C266C7">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地点（网址）：政采云平台（https://www.zcygov.cn/）线上获取</w:t>
      </w:r>
    </w:p>
    <w:p w14:paraId="7B1E3351">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方式：供应商登录政采云平台https</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//www.zcygov.cn/在线申请获取采购文件（进入“项目采购”应用，在获取采购文件菜单中选择项目，申请获取采购文件）</w:t>
      </w:r>
    </w:p>
    <w:p w14:paraId="1BB53C9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color w:val="auto"/>
          <w:sz w:val="22"/>
          <w:szCs w:val="22"/>
          <w:highlight w:val="none"/>
        </w:rPr>
        <w:t>售价（元）：0</w:t>
      </w:r>
    </w:p>
    <w:p w14:paraId="3E4716F1">
      <w:pPr>
        <w:keepNext w:val="0"/>
        <w:keepLines w:val="0"/>
        <w:pageBreakBefore w:val="0"/>
        <w:widowControl w:val="0"/>
        <w:tabs>
          <w:tab w:val="left" w:pos="36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四、提交投标文件截止时间、开标时间和地点</w:t>
      </w:r>
    </w:p>
    <w:p w14:paraId="2D9EC094">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提交投标文件截止时间：</w:t>
      </w:r>
      <w:r>
        <w:rPr>
          <w:rFonts w:hint="eastAsia" w:ascii="新宋体" w:hAnsi="新宋体" w:eastAsia="新宋体" w:cs="新宋体"/>
          <w:color w:val="auto"/>
          <w:sz w:val="22"/>
          <w:szCs w:val="22"/>
          <w:highlight w:val="none"/>
          <w:lang w:eastAsia="zh-CN"/>
        </w:rPr>
        <w:t>2025年07月22日</w:t>
      </w:r>
      <w:r>
        <w:rPr>
          <w:rFonts w:hint="eastAsia" w:ascii="新宋体" w:hAnsi="新宋体" w:eastAsia="新宋体" w:cs="新宋体"/>
          <w:color w:val="auto"/>
          <w:sz w:val="22"/>
          <w:szCs w:val="22"/>
          <w:highlight w:val="none"/>
          <w:lang w:val="en-US" w:eastAsia="zh-CN"/>
        </w:rPr>
        <w:t>09</w:t>
      </w:r>
      <w:r>
        <w:rPr>
          <w:rFonts w:hint="eastAsia" w:ascii="新宋体" w:hAnsi="新宋体" w:eastAsia="新宋体" w:cs="新宋体"/>
          <w:color w:val="auto"/>
          <w:sz w:val="22"/>
          <w:szCs w:val="22"/>
          <w:highlight w:val="none"/>
          <w:lang w:eastAsia="zh-CN"/>
        </w:rPr>
        <w:t>：30 </w:t>
      </w:r>
      <w:r>
        <w:rPr>
          <w:rFonts w:hint="eastAsia" w:ascii="新宋体" w:hAnsi="新宋体" w:eastAsia="新宋体" w:cs="新宋体"/>
          <w:color w:val="auto"/>
          <w:sz w:val="22"/>
          <w:szCs w:val="22"/>
          <w:highlight w:val="none"/>
        </w:rPr>
        <w:t>（北京时间）</w:t>
      </w:r>
    </w:p>
    <w:p w14:paraId="380202ED">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投标地点（网址）：请登录政采云投标客户端投标</w:t>
      </w:r>
    </w:p>
    <w:p w14:paraId="38A91305">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开标时间：</w:t>
      </w:r>
      <w:r>
        <w:rPr>
          <w:rFonts w:hint="eastAsia" w:ascii="新宋体" w:hAnsi="新宋体" w:eastAsia="新宋体" w:cs="新宋体"/>
          <w:color w:val="auto"/>
          <w:sz w:val="22"/>
          <w:szCs w:val="22"/>
          <w:highlight w:val="none"/>
          <w:lang w:eastAsia="zh-CN"/>
        </w:rPr>
        <w:t>2025年07月22日</w:t>
      </w:r>
      <w:r>
        <w:rPr>
          <w:rFonts w:hint="eastAsia" w:ascii="新宋体" w:hAnsi="新宋体" w:eastAsia="新宋体" w:cs="新宋体"/>
          <w:color w:val="auto"/>
          <w:sz w:val="22"/>
          <w:szCs w:val="22"/>
          <w:highlight w:val="none"/>
          <w:lang w:val="en-US" w:eastAsia="zh-CN"/>
        </w:rPr>
        <w:t>09</w:t>
      </w:r>
      <w:r>
        <w:rPr>
          <w:rFonts w:hint="eastAsia" w:ascii="新宋体" w:hAnsi="新宋体" w:eastAsia="新宋体" w:cs="新宋体"/>
          <w:color w:val="auto"/>
          <w:sz w:val="22"/>
          <w:szCs w:val="22"/>
          <w:highlight w:val="none"/>
          <w:lang w:eastAsia="zh-CN"/>
        </w:rPr>
        <w:t>：30</w:t>
      </w:r>
      <w:bookmarkStart w:id="41" w:name="_GoBack"/>
      <w:bookmarkEnd w:id="41"/>
    </w:p>
    <w:p w14:paraId="51A427D0">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color w:val="auto"/>
          <w:sz w:val="22"/>
          <w:szCs w:val="22"/>
          <w:highlight w:val="none"/>
        </w:rPr>
        <w:t>开标地点（网址）：政采云平台（https://www.zcygov.cn/）</w:t>
      </w:r>
    </w:p>
    <w:p w14:paraId="4CEF9FC7">
      <w:pPr>
        <w:keepNext w:val="0"/>
        <w:keepLines w:val="0"/>
        <w:pageBreakBefore w:val="0"/>
        <w:widowControl w:val="0"/>
        <w:tabs>
          <w:tab w:val="left" w:pos="36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五、公告期限</w:t>
      </w:r>
    </w:p>
    <w:p w14:paraId="4BB43FA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自本公告发布之日起5个工作日。</w:t>
      </w:r>
    </w:p>
    <w:p w14:paraId="66D9CF63">
      <w:pPr>
        <w:keepNext w:val="0"/>
        <w:keepLines w:val="0"/>
        <w:pageBreakBefore w:val="0"/>
        <w:widowControl w:val="0"/>
        <w:tabs>
          <w:tab w:val="left" w:pos="36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六、其他补充事宜</w:t>
      </w:r>
    </w:p>
    <w:p w14:paraId="08ACDBB8">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2F50854">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5D5A412">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93A4F10">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.其他事项：</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一</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的获取：使用账号登录或者使用CA登录政采云平台；进入“项目采购”应用，在获取采购文件菜单中选择项目，获取</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⑥投标文件的解密：投标人按照平台提示和</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规定在半小时内完成在线解密；⑦具体操作指南：详见政采云平台“服务中心-帮助文档-项目采购-操作流程-电子招投标-政府采购项目电子交易管理操作指南-供应商”：浙江省政府采购项目政采云平台学习专题https://edu.zcygov.cn/luban/e-biding。（</w:t>
      </w:r>
      <w:r>
        <w:rPr>
          <w:rFonts w:hint="eastAsia" w:ascii="新宋体" w:hAnsi="新宋体" w:eastAsia="新宋体" w:cs="新宋体"/>
          <w:color w:val="auto"/>
          <w:sz w:val="22"/>
          <w:szCs w:val="22"/>
          <w:highlight w:val="none"/>
          <w:lang w:val="en-US" w:eastAsia="zh-CN"/>
        </w:rPr>
        <w:t>二</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w:t>
      </w:r>
      <w:r>
        <w:rPr>
          <w:rFonts w:hint="eastAsia" w:ascii="新宋体" w:hAnsi="新宋体" w:eastAsia="新宋体" w:cs="新宋体"/>
          <w:color w:val="auto"/>
          <w:sz w:val="22"/>
          <w:szCs w:val="22"/>
          <w:highlight w:val="none"/>
        </w:rPr>
        <w:t>公告附件的采购文件仅供阅览使用，未按照本公告规定的方式获取采购文件的潜在供应商提起的质疑采购组织机构将不予受理、答复。</w:t>
      </w:r>
    </w:p>
    <w:p w14:paraId="1DD349A2">
      <w:pPr>
        <w:keepNext w:val="0"/>
        <w:keepLines w:val="0"/>
        <w:pageBreakBefore w:val="0"/>
        <w:widowControl w:val="0"/>
        <w:tabs>
          <w:tab w:val="left" w:pos="36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七、对本次采购提出询问，请按以下方式联系</w:t>
      </w:r>
    </w:p>
    <w:p w14:paraId="4BD5AF1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1.采购人信息</w:t>
      </w:r>
    </w:p>
    <w:p w14:paraId="713CC32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w:t>
      </w:r>
      <w:r>
        <w:rPr>
          <w:rFonts w:hint="eastAsia" w:ascii="新宋体" w:hAnsi="新宋体" w:eastAsia="新宋体" w:cs="新宋体"/>
          <w:color w:val="auto"/>
          <w:sz w:val="22"/>
          <w:szCs w:val="22"/>
          <w:highlight w:val="none"/>
          <w:lang w:eastAsia="zh-CN"/>
        </w:rPr>
        <w:t>温州市中医院</w:t>
      </w:r>
    </w:p>
    <w:p w14:paraId="6B0791A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址：温州市蛟尾路9号</w:t>
      </w:r>
    </w:p>
    <w:p w14:paraId="1077898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p w14:paraId="562222D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项目联系人（询问）：陈</w:t>
      </w:r>
      <w:r>
        <w:rPr>
          <w:rFonts w:hint="eastAsia" w:ascii="新宋体" w:hAnsi="新宋体" w:eastAsia="新宋体" w:cs="新宋体"/>
          <w:color w:val="auto"/>
          <w:sz w:val="22"/>
          <w:szCs w:val="22"/>
          <w:highlight w:val="none"/>
          <w:lang w:eastAsia="zh-CN"/>
        </w:rPr>
        <w:t>先生</w:t>
      </w:r>
    </w:p>
    <w:p w14:paraId="024E37E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项目联系方式（询问）：0577-56965638</w:t>
      </w:r>
    </w:p>
    <w:p w14:paraId="1A491C6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质疑联系人：陈</w:t>
      </w:r>
      <w:r>
        <w:rPr>
          <w:rFonts w:hint="eastAsia" w:ascii="新宋体" w:hAnsi="新宋体" w:eastAsia="新宋体" w:cs="新宋体"/>
          <w:color w:val="auto"/>
          <w:sz w:val="22"/>
          <w:szCs w:val="22"/>
          <w:highlight w:val="none"/>
          <w:lang w:eastAsia="zh-CN"/>
        </w:rPr>
        <w:t>先生</w:t>
      </w:r>
    </w:p>
    <w:p w14:paraId="621F103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质疑联系方式：0577-56965638</w:t>
      </w:r>
    </w:p>
    <w:p w14:paraId="506B3108">
      <w:pPr>
        <w:keepNext w:val="0"/>
        <w:keepLines w:val="0"/>
        <w:pageBreakBefore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p>
    <w:p w14:paraId="5C3457C1">
      <w:pPr>
        <w:keepNext w:val="0"/>
        <w:keepLines w:val="0"/>
        <w:pageBreakBefore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采购代理机构</w:t>
      </w:r>
      <w:r>
        <w:rPr>
          <w:rFonts w:hint="eastAsia" w:ascii="新宋体" w:hAnsi="新宋体" w:eastAsia="新宋体" w:cs="新宋体"/>
          <w:color w:val="auto"/>
          <w:sz w:val="22"/>
          <w:szCs w:val="22"/>
          <w:highlight w:val="none"/>
        </w:rPr>
        <w:t>信息</w:t>
      </w:r>
    </w:p>
    <w:p w14:paraId="6CE95F4B">
      <w:pPr>
        <w:keepNext w:val="0"/>
        <w:keepLines w:val="0"/>
        <w:pageBreakBefore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称：温州历程招标有限公司</w:t>
      </w:r>
    </w:p>
    <w:p w14:paraId="13118156">
      <w:pPr>
        <w:keepNext w:val="0"/>
        <w:keepLines w:val="0"/>
        <w:pageBreakBefore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w:t>
      </w:r>
      <w:r>
        <w:rPr>
          <w:rFonts w:hint="eastAsia" w:ascii="新宋体" w:hAnsi="新宋体" w:eastAsia="新宋体" w:cs="新宋体"/>
          <w:color w:val="auto"/>
          <w:sz w:val="22"/>
          <w:szCs w:val="22"/>
          <w:highlight w:val="none"/>
          <w:lang w:eastAsia="zh-CN"/>
        </w:rPr>
        <w:t>温州市鹿城区南汇街道勤民路鹿城壹号18幢803室</w:t>
      </w:r>
    </w:p>
    <w:p w14:paraId="30A4AD81">
      <w:pPr>
        <w:keepNext w:val="0"/>
        <w:keepLines w:val="0"/>
        <w:pageBreakBefore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p w14:paraId="76AD2A2A">
      <w:pPr>
        <w:keepNext w:val="0"/>
        <w:keepLines w:val="0"/>
        <w:pageBreakBefore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项目联系人（询问）：郑永强</w:t>
      </w:r>
    </w:p>
    <w:p w14:paraId="1A33CB11">
      <w:pPr>
        <w:keepNext w:val="0"/>
        <w:keepLines w:val="0"/>
        <w:pageBreakBefore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项目联系方式（询问）：</w:t>
      </w:r>
      <w:r>
        <w:rPr>
          <w:rFonts w:hint="eastAsia" w:ascii="新宋体" w:hAnsi="新宋体" w:eastAsia="新宋体" w:cs="新宋体"/>
          <w:color w:val="auto"/>
          <w:sz w:val="22"/>
          <w:szCs w:val="22"/>
          <w:highlight w:val="none"/>
          <w:u w:val="none"/>
        </w:rPr>
        <w:t>0577-89887322、13757727199</w:t>
      </w:r>
    </w:p>
    <w:p w14:paraId="28BDB25B">
      <w:pPr>
        <w:keepNext w:val="0"/>
        <w:keepLines w:val="0"/>
        <w:pageBreakBefore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质疑联系人：肖忠文</w:t>
      </w:r>
    </w:p>
    <w:p w14:paraId="5C5D6595">
      <w:pPr>
        <w:keepNext w:val="0"/>
        <w:keepLines w:val="0"/>
        <w:pageBreakBefore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质疑联系方式：13757727199</w:t>
      </w:r>
    </w:p>
    <w:p w14:paraId="0DD5EA90">
      <w:pPr>
        <w:keepNext w:val="0"/>
        <w:keepLines w:val="0"/>
        <w:pageBreakBefore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p>
    <w:p w14:paraId="66CF6888">
      <w:pPr>
        <w:keepNext w:val="0"/>
        <w:keepLines w:val="0"/>
        <w:pageBreakBefore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3.同级采购监督管理部门</w:t>
      </w:r>
    </w:p>
    <w:p w14:paraId="5E32589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名</w:t>
      </w:r>
      <w:r>
        <w:rPr>
          <w:rFonts w:hint="eastAsia" w:ascii="新宋体" w:hAnsi="新宋体" w:eastAsia="新宋体" w:cs="新宋体"/>
          <w:color w:val="auto"/>
          <w:sz w:val="22"/>
          <w:szCs w:val="22"/>
          <w:highlight w:val="none"/>
          <w:u w:val="none"/>
          <w:lang w:val="en-US" w:eastAsia="zh-CN"/>
        </w:rPr>
        <w:t xml:space="preserve">  </w:t>
      </w:r>
      <w:r>
        <w:rPr>
          <w:rFonts w:hint="eastAsia" w:ascii="新宋体" w:hAnsi="新宋体" w:eastAsia="新宋体" w:cs="新宋体"/>
          <w:color w:val="auto"/>
          <w:sz w:val="22"/>
          <w:szCs w:val="22"/>
          <w:highlight w:val="none"/>
          <w:u w:val="none"/>
        </w:rPr>
        <w:t>称：</w:t>
      </w:r>
      <w:r>
        <w:rPr>
          <w:rFonts w:hint="eastAsia" w:ascii="新宋体" w:hAnsi="新宋体" w:eastAsia="新宋体" w:cs="新宋体"/>
          <w:color w:val="auto"/>
          <w:sz w:val="22"/>
          <w:szCs w:val="22"/>
          <w:highlight w:val="none"/>
          <w:u w:val="none"/>
          <w:lang w:val="en-US" w:eastAsia="zh-CN"/>
        </w:rPr>
        <w:t>温州市</w:t>
      </w:r>
      <w:r>
        <w:rPr>
          <w:rFonts w:hint="eastAsia" w:ascii="新宋体" w:hAnsi="新宋体" w:eastAsia="新宋体" w:cs="新宋体"/>
          <w:color w:val="auto"/>
          <w:sz w:val="22"/>
          <w:szCs w:val="22"/>
          <w:highlight w:val="none"/>
          <w:u w:val="none"/>
        </w:rPr>
        <w:t>财政局（浙江省政府采购行政裁决服务中心（温州））</w:t>
      </w:r>
    </w:p>
    <w:p w14:paraId="696C0B6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地</w:t>
      </w:r>
      <w:r>
        <w:rPr>
          <w:rFonts w:hint="eastAsia" w:ascii="新宋体" w:hAnsi="新宋体" w:eastAsia="新宋体" w:cs="新宋体"/>
          <w:color w:val="auto"/>
          <w:sz w:val="22"/>
          <w:szCs w:val="22"/>
          <w:highlight w:val="none"/>
          <w:u w:val="none"/>
          <w:lang w:val="en-US" w:eastAsia="zh-CN"/>
        </w:rPr>
        <w:t xml:space="preserve">  </w:t>
      </w:r>
      <w:r>
        <w:rPr>
          <w:rFonts w:hint="eastAsia" w:ascii="新宋体" w:hAnsi="新宋体" w:eastAsia="新宋体" w:cs="新宋体"/>
          <w:color w:val="auto"/>
          <w:sz w:val="22"/>
          <w:szCs w:val="22"/>
          <w:highlight w:val="none"/>
          <w:u w:val="none"/>
        </w:rPr>
        <w:t>址：温州市鹿城区滨江街道瓯江路展银大厦1606室</w:t>
      </w:r>
    </w:p>
    <w:p w14:paraId="5234814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传</w:t>
      </w:r>
      <w:r>
        <w:rPr>
          <w:rFonts w:hint="eastAsia" w:ascii="新宋体" w:hAnsi="新宋体" w:eastAsia="新宋体" w:cs="新宋体"/>
          <w:color w:val="auto"/>
          <w:sz w:val="22"/>
          <w:szCs w:val="22"/>
          <w:highlight w:val="none"/>
          <w:u w:val="none"/>
          <w:lang w:val="en-US" w:eastAsia="zh-CN"/>
        </w:rPr>
        <w:t xml:space="preserve">  </w:t>
      </w:r>
      <w:r>
        <w:rPr>
          <w:rFonts w:hint="eastAsia" w:ascii="新宋体" w:hAnsi="新宋体" w:eastAsia="新宋体" w:cs="新宋体"/>
          <w:color w:val="auto"/>
          <w:sz w:val="22"/>
          <w:szCs w:val="22"/>
          <w:highlight w:val="none"/>
          <w:u w:val="none"/>
        </w:rPr>
        <w:t>真：/</w:t>
      </w:r>
    </w:p>
    <w:p w14:paraId="1EB3F42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联系人：李老师、王老师</w:t>
      </w:r>
    </w:p>
    <w:p w14:paraId="06C19A3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监督投诉电话：0577-88501561、0577-85501562</w:t>
      </w:r>
    </w:p>
    <w:p w14:paraId="3F3039D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p>
    <w:p w14:paraId="5609FED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p>
    <w:p w14:paraId="486D63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color w:val="auto"/>
          <w:sz w:val="21"/>
          <w:szCs w:val="21"/>
          <w:highlight w:val="none"/>
          <w:u w:val="none"/>
        </w:rPr>
      </w:pPr>
      <w:r>
        <w:rPr>
          <w:rFonts w:hint="eastAsia" w:ascii="新宋体" w:hAnsi="新宋体" w:eastAsia="新宋体" w:cs="新宋体"/>
          <w:color w:val="auto"/>
          <w:sz w:val="21"/>
          <w:szCs w:val="21"/>
          <w:highlight w:val="none"/>
          <w:u w:val="none"/>
        </w:rPr>
        <w:t>若对项目采购电子交易系统操作有疑问，可登录政采云（https://www.zcygov.cn/），点击右侧咨询小采，获取采小蜜智能服务管家帮助，或拨打政采云服务热线95763获取热线服务帮助。</w:t>
      </w:r>
    </w:p>
    <w:p w14:paraId="29C257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color w:val="auto"/>
          <w:sz w:val="21"/>
          <w:szCs w:val="21"/>
          <w:highlight w:val="none"/>
          <w:u w:val="none"/>
        </w:rPr>
      </w:pPr>
      <w:r>
        <w:rPr>
          <w:rFonts w:hint="eastAsia" w:ascii="新宋体" w:hAnsi="新宋体" w:eastAsia="新宋体" w:cs="新宋体"/>
          <w:color w:val="auto"/>
          <w:sz w:val="21"/>
          <w:szCs w:val="21"/>
          <w:highlight w:val="none"/>
          <w:u w:val="none"/>
        </w:rPr>
        <w:t>CA问题联系电话（人工）：汇信CA 400-888-4636；天谷CA 400-087-8198。</w:t>
      </w:r>
    </w:p>
    <w:p w14:paraId="575DB94C">
      <w:pPr>
        <w:keepNext w:val="0"/>
        <w:keepLines w:val="0"/>
        <w:pageBreakBefore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p>
    <w:p w14:paraId="061A9336">
      <w:pPr>
        <w:keepNext w:val="0"/>
        <w:keepLines w:val="0"/>
        <w:pageBreakBefore w:val="0"/>
        <w:tabs>
          <w:tab w:val="left" w:pos="360"/>
        </w:tabs>
        <w:kinsoku/>
        <w:wordWrap/>
        <w:overflowPunct/>
        <w:topLinePunct w:val="0"/>
        <w:autoSpaceDE/>
        <w:autoSpaceDN/>
        <w:bidi w:val="0"/>
        <w:adjustRightInd/>
        <w:spacing w:line="440" w:lineRule="exact"/>
        <w:textAlignment w:val="auto"/>
        <w:rPr>
          <w:rFonts w:hint="eastAsia" w:ascii="新宋体" w:hAnsi="新宋体" w:eastAsia="新宋体" w:cs="新宋体"/>
          <w:b/>
          <w:bCs/>
          <w:color w:val="auto"/>
          <w:sz w:val="22"/>
          <w:highlight w:val="none"/>
        </w:rPr>
      </w:pPr>
    </w:p>
    <w:p w14:paraId="1E478429">
      <w:pPr>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p>
    <w:p w14:paraId="460621F2">
      <w:pPr>
        <w:pStyle w:val="24"/>
        <w:spacing w:line="460" w:lineRule="exact"/>
        <w:ind w:left="0" w:leftChars="0"/>
        <w:jc w:val="center"/>
        <w:outlineLvl w:val="0"/>
        <w:rPr>
          <w:rFonts w:hint="eastAsia" w:ascii="新宋体" w:hAnsi="新宋体" w:eastAsia="新宋体" w:cs="新宋体"/>
          <w:b/>
          <w:color w:val="auto"/>
          <w:sz w:val="30"/>
          <w:highlight w:val="none"/>
        </w:rPr>
      </w:pPr>
      <w:bookmarkStart w:id="5" w:name="_Toc11986"/>
      <w:r>
        <w:rPr>
          <w:rFonts w:hint="eastAsia" w:ascii="新宋体" w:hAnsi="新宋体" w:eastAsia="新宋体" w:cs="新宋体"/>
          <w:b/>
          <w:color w:val="auto"/>
          <w:sz w:val="30"/>
          <w:highlight w:val="none"/>
        </w:rPr>
        <w:t>第一部分    投标人须知</w:t>
      </w:r>
      <w:bookmarkEnd w:id="5"/>
    </w:p>
    <w:p w14:paraId="6BAC3926">
      <w:pPr>
        <w:bidi w:val="0"/>
        <w:jc w:val="center"/>
        <w:outlineLvl w:val="1"/>
        <w:rPr>
          <w:rFonts w:hint="eastAsia" w:ascii="新宋体" w:hAnsi="新宋体" w:eastAsia="新宋体" w:cs="新宋体"/>
          <w:b/>
          <w:bCs/>
          <w:color w:val="auto"/>
          <w:sz w:val="24"/>
          <w:szCs w:val="24"/>
          <w:highlight w:val="none"/>
        </w:rPr>
      </w:pPr>
      <w:bookmarkStart w:id="6" w:name="_Toc26087"/>
      <w:bookmarkStart w:id="7" w:name="_Toc354996695"/>
      <w:bookmarkStart w:id="8" w:name="_Toc33194387"/>
      <w:bookmarkStart w:id="9" w:name="_Toc233618971"/>
      <w:r>
        <w:rPr>
          <w:rFonts w:hint="eastAsia" w:ascii="新宋体" w:hAnsi="新宋体" w:eastAsia="新宋体" w:cs="新宋体"/>
          <w:b/>
          <w:bCs/>
          <w:color w:val="auto"/>
          <w:sz w:val="24"/>
          <w:szCs w:val="24"/>
          <w:highlight w:val="none"/>
        </w:rPr>
        <w:t>前 附 表</w:t>
      </w:r>
      <w:bookmarkEnd w:id="6"/>
      <w:bookmarkEnd w:id="7"/>
      <w:bookmarkEnd w:id="8"/>
      <w:bookmarkEnd w:id="9"/>
    </w:p>
    <w:tbl>
      <w:tblPr>
        <w:tblStyle w:val="53"/>
        <w:tblW w:w="96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7"/>
        <w:gridCol w:w="9113"/>
      </w:tblGrid>
      <w:tr w14:paraId="2B887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7" w:type="dxa"/>
            <w:tcBorders>
              <w:top w:val="single" w:color="000000" w:sz="8" w:space="0"/>
              <w:left w:val="single" w:color="000000" w:sz="8" w:space="0"/>
              <w:bottom w:val="single" w:color="000000" w:sz="2" w:space="0"/>
              <w:right w:val="single" w:color="000000" w:sz="2" w:space="0"/>
            </w:tcBorders>
            <w:vAlign w:val="center"/>
          </w:tcPr>
          <w:p w14:paraId="21650605">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条款</w:t>
            </w:r>
          </w:p>
        </w:tc>
        <w:tc>
          <w:tcPr>
            <w:tcW w:w="9113" w:type="dxa"/>
            <w:tcBorders>
              <w:top w:val="single" w:color="000000" w:sz="8" w:space="0"/>
              <w:left w:val="single" w:color="000000" w:sz="2" w:space="0"/>
              <w:bottom w:val="single" w:color="000000" w:sz="2" w:space="0"/>
              <w:right w:val="single" w:color="000000" w:sz="8" w:space="0"/>
            </w:tcBorders>
            <w:vAlign w:val="center"/>
          </w:tcPr>
          <w:p w14:paraId="5C794482">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内容规定</w:t>
            </w:r>
          </w:p>
        </w:tc>
      </w:tr>
      <w:tr w14:paraId="0D5DF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55" w:hRule="atLeast"/>
          <w:jc w:val="center"/>
        </w:trPr>
        <w:tc>
          <w:tcPr>
            <w:tcW w:w="567" w:type="dxa"/>
            <w:tcBorders>
              <w:top w:val="single" w:color="000000" w:sz="2" w:space="0"/>
              <w:left w:val="single" w:color="000000" w:sz="8" w:space="0"/>
              <w:bottom w:val="single" w:color="000000" w:sz="2" w:space="0"/>
              <w:right w:val="single" w:color="000000" w:sz="2" w:space="0"/>
            </w:tcBorders>
            <w:vAlign w:val="center"/>
          </w:tcPr>
          <w:p w14:paraId="45136805">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w:t>
            </w:r>
          </w:p>
        </w:tc>
        <w:tc>
          <w:tcPr>
            <w:tcW w:w="9113" w:type="dxa"/>
            <w:tcBorders>
              <w:top w:val="single" w:color="000000" w:sz="2" w:space="0"/>
              <w:left w:val="single" w:color="000000" w:sz="2" w:space="0"/>
              <w:bottom w:val="single" w:color="000000" w:sz="2" w:space="0"/>
              <w:right w:val="single" w:color="000000" w:sz="8" w:space="0"/>
            </w:tcBorders>
          </w:tcPr>
          <w:p w14:paraId="50869050">
            <w:pPr>
              <w:tabs>
                <w:tab w:val="left" w:pos="360"/>
              </w:tabs>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一、项目名称：</w:t>
            </w:r>
            <w:r>
              <w:rPr>
                <w:rFonts w:hint="eastAsia" w:ascii="新宋体" w:hAnsi="新宋体" w:eastAsia="新宋体" w:cs="新宋体"/>
                <w:color w:val="auto"/>
                <w:sz w:val="22"/>
                <w:szCs w:val="22"/>
                <w:highlight w:val="none"/>
                <w:lang w:eastAsia="zh-CN"/>
              </w:rPr>
              <w:t>GE 1.5T 磁共振维保</w:t>
            </w:r>
          </w:p>
          <w:p w14:paraId="263CC86F">
            <w:pPr>
              <w:spacing w:line="460" w:lineRule="exact"/>
              <w:rPr>
                <w:rFonts w:hint="eastAsia" w:ascii="新宋体" w:hAnsi="新宋体" w:eastAsia="新宋体" w:cs="新宋体"/>
                <w:color w:val="auto"/>
                <w:sz w:val="22"/>
                <w:szCs w:val="22"/>
                <w:highlight w:val="none"/>
              </w:rPr>
            </w:pPr>
            <w:bookmarkStart w:id="10" w:name="_Hlt75139851"/>
            <w:bookmarkEnd w:id="10"/>
            <w:r>
              <w:rPr>
                <w:rFonts w:hint="eastAsia" w:ascii="新宋体" w:hAnsi="新宋体" w:eastAsia="新宋体" w:cs="新宋体"/>
                <w:color w:val="auto"/>
                <w:sz w:val="22"/>
                <w:szCs w:val="22"/>
                <w:highlight w:val="none"/>
              </w:rPr>
              <w:t>二、采购内容：</w:t>
            </w:r>
          </w:p>
          <w:tbl>
            <w:tblPr>
              <w:tblStyle w:val="53"/>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3082"/>
              <w:gridCol w:w="630"/>
              <w:gridCol w:w="1208"/>
              <w:gridCol w:w="2430"/>
              <w:gridCol w:w="1092"/>
            </w:tblGrid>
            <w:tr w14:paraId="1FC7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14:paraId="5374EB2B">
                  <w:pPr>
                    <w:widowControl/>
                    <w:snapToGrid w:val="0"/>
                    <w:spacing w:line="44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序号</w:t>
                  </w:r>
                </w:p>
              </w:tc>
              <w:tc>
                <w:tcPr>
                  <w:tcW w:w="3082" w:type="dxa"/>
                  <w:tcBorders>
                    <w:top w:val="single" w:color="auto" w:sz="4" w:space="0"/>
                    <w:left w:val="single" w:color="auto" w:sz="4" w:space="0"/>
                    <w:bottom w:val="single" w:color="auto" w:sz="4" w:space="0"/>
                    <w:right w:val="single" w:color="auto" w:sz="4" w:space="0"/>
                  </w:tcBorders>
                  <w:vAlign w:val="center"/>
                </w:tcPr>
                <w:p w14:paraId="2CE88484">
                  <w:pPr>
                    <w:widowControl/>
                    <w:snapToGrid w:val="0"/>
                    <w:spacing w:line="44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项目内容</w:t>
                  </w:r>
                </w:p>
              </w:tc>
              <w:tc>
                <w:tcPr>
                  <w:tcW w:w="630" w:type="dxa"/>
                  <w:tcBorders>
                    <w:top w:val="single" w:color="auto" w:sz="4" w:space="0"/>
                    <w:left w:val="single" w:color="auto" w:sz="4" w:space="0"/>
                    <w:bottom w:val="single" w:color="auto" w:sz="4" w:space="0"/>
                    <w:right w:val="single" w:color="auto" w:sz="4" w:space="0"/>
                  </w:tcBorders>
                  <w:vAlign w:val="center"/>
                </w:tcPr>
                <w:p w14:paraId="3157847C">
                  <w:pPr>
                    <w:widowControl/>
                    <w:snapToGrid w:val="0"/>
                    <w:spacing w:line="44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数量</w:t>
                  </w:r>
                </w:p>
              </w:tc>
              <w:tc>
                <w:tcPr>
                  <w:tcW w:w="1208" w:type="dxa"/>
                  <w:tcBorders>
                    <w:top w:val="single" w:color="auto" w:sz="4" w:space="0"/>
                    <w:left w:val="single" w:color="auto" w:sz="4" w:space="0"/>
                    <w:bottom w:val="single" w:color="auto" w:sz="4" w:space="0"/>
                    <w:right w:val="single" w:color="auto" w:sz="4" w:space="0"/>
                  </w:tcBorders>
                  <w:vAlign w:val="center"/>
                </w:tcPr>
                <w:p w14:paraId="0950E9A8">
                  <w:pPr>
                    <w:widowControl/>
                    <w:snapToGrid w:val="0"/>
                    <w:spacing w:line="44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rPr>
                    <w:t>预算金额</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元</w:t>
                  </w:r>
                  <w:r>
                    <w:rPr>
                      <w:rFonts w:hint="eastAsia" w:ascii="新宋体" w:hAnsi="新宋体" w:eastAsia="新宋体" w:cs="新宋体"/>
                      <w:color w:val="auto"/>
                      <w:kern w:val="0"/>
                      <w:sz w:val="22"/>
                      <w:szCs w:val="22"/>
                      <w:highlight w:val="none"/>
                      <w:lang w:eastAsia="zh-CN"/>
                    </w:rPr>
                    <w:t>）</w:t>
                  </w:r>
                </w:p>
              </w:tc>
              <w:tc>
                <w:tcPr>
                  <w:tcW w:w="2430" w:type="dxa"/>
                  <w:tcBorders>
                    <w:top w:val="single" w:color="auto" w:sz="4" w:space="0"/>
                    <w:left w:val="single" w:color="auto" w:sz="4" w:space="0"/>
                    <w:bottom w:val="single" w:color="auto" w:sz="4" w:space="0"/>
                    <w:right w:val="single" w:color="auto" w:sz="4" w:space="0"/>
                  </w:tcBorders>
                  <w:vAlign w:val="center"/>
                </w:tcPr>
                <w:p w14:paraId="7D4C3D94">
                  <w:pPr>
                    <w:widowControl/>
                    <w:snapToGrid w:val="0"/>
                    <w:spacing w:line="44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简要技术要求、用途</w:t>
                  </w:r>
                </w:p>
              </w:tc>
              <w:tc>
                <w:tcPr>
                  <w:tcW w:w="1092" w:type="dxa"/>
                  <w:tcBorders>
                    <w:top w:val="single" w:color="auto" w:sz="4" w:space="0"/>
                    <w:left w:val="single" w:color="auto" w:sz="4" w:space="0"/>
                    <w:bottom w:val="single" w:color="auto" w:sz="4" w:space="0"/>
                    <w:right w:val="single" w:color="auto" w:sz="4" w:space="0"/>
                  </w:tcBorders>
                  <w:vAlign w:val="center"/>
                </w:tcPr>
                <w:p w14:paraId="789E1534">
                  <w:pPr>
                    <w:widowControl/>
                    <w:snapToGrid w:val="0"/>
                    <w:spacing w:line="44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备注</w:t>
                  </w:r>
                </w:p>
              </w:tc>
            </w:tr>
            <w:tr w14:paraId="31F5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14:paraId="3704B174">
                  <w:pPr>
                    <w:widowControl/>
                    <w:snapToGrid w:val="0"/>
                    <w:spacing w:line="440" w:lineRule="exact"/>
                    <w:jc w:val="center"/>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1</w:t>
                  </w:r>
                </w:p>
              </w:tc>
              <w:tc>
                <w:tcPr>
                  <w:tcW w:w="3082" w:type="dxa"/>
                  <w:tcBorders>
                    <w:top w:val="single" w:color="auto" w:sz="4" w:space="0"/>
                    <w:left w:val="single" w:color="auto" w:sz="4" w:space="0"/>
                    <w:bottom w:val="single" w:color="auto" w:sz="4" w:space="0"/>
                    <w:right w:val="single" w:color="auto" w:sz="4" w:space="0"/>
                  </w:tcBorders>
                  <w:vAlign w:val="center"/>
                </w:tcPr>
                <w:p w14:paraId="0000E532">
                  <w:pPr>
                    <w:widowControl/>
                    <w:snapToGrid w:val="0"/>
                    <w:spacing w:line="440" w:lineRule="exact"/>
                    <w:jc w:val="left"/>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color w:val="auto"/>
                      <w:sz w:val="22"/>
                      <w:szCs w:val="22"/>
                      <w:highlight w:val="none"/>
                      <w:lang w:eastAsia="zh-CN"/>
                    </w:rPr>
                    <w:t>GE</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b w:val="0"/>
                      <w:bCs w:val="0"/>
                      <w:color w:val="auto"/>
                      <w:sz w:val="22"/>
                      <w:szCs w:val="22"/>
                      <w:highlight w:val="none"/>
                      <w:lang w:eastAsia="zh-CN"/>
                    </w:rPr>
                    <w:t>MR 1.5T Signa HDXT整机全保服务（第三方产品不包含）</w:t>
                  </w:r>
                </w:p>
              </w:tc>
              <w:tc>
                <w:tcPr>
                  <w:tcW w:w="630" w:type="dxa"/>
                  <w:tcBorders>
                    <w:top w:val="single" w:color="auto" w:sz="4" w:space="0"/>
                    <w:left w:val="single" w:color="auto" w:sz="4" w:space="0"/>
                    <w:bottom w:val="single" w:color="auto" w:sz="4" w:space="0"/>
                    <w:right w:val="single" w:color="auto" w:sz="4" w:space="0"/>
                  </w:tcBorders>
                  <w:vAlign w:val="center"/>
                </w:tcPr>
                <w:p w14:paraId="54728804">
                  <w:pPr>
                    <w:widowControl/>
                    <w:snapToGrid w:val="0"/>
                    <w:spacing w:line="44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1项</w:t>
                  </w:r>
                </w:p>
              </w:tc>
              <w:tc>
                <w:tcPr>
                  <w:tcW w:w="1208" w:type="dxa"/>
                  <w:tcBorders>
                    <w:top w:val="single" w:color="auto" w:sz="4" w:space="0"/>
                    <w:left w:val="single" w:color="auto" w:sz="4" w:space="0"/>
                    <w:bottom w:val="single" w:color="auto" w:sz="4" w:space="0"/>
                    <w:right w:val="single" w:color="auto" w:sz="4" w:space="0"/>
                  </w:tcBorders>
                  <w:vAlign w:val="center"/>
                </w:tcPr>
                <w:p w14:paraId="513F997A">
                  <w:pPr>
                    <w:widowControl/>
                    <w:snapToGrid w:val="0"/>
                    <w:spacing w:line="44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650000</w:t>
                  </w:r>
                </w:p>
              </w:tc>
              <w:tc>
                <w:tcPr>
                  <w:tcW w:w="2430" w:type="dxa"/>
                  <w:tcBorders>
                    <w:top w:val="single" w:color="auto" w:sz="4" w:space="0"/>
                    <w:left w:val="single" w:color="auto" w:sz="4" w:space="0"/>
                    <w:bottom w:val="single" w:color="auto" w:sz="4" w:space="0"/>
                    <w:right w:val="single" w:color="auto" w:sz="4" w:space="0"/>
                  </w:tcBorders>
                  <w:vAlign w:val="center"/>
                </w:tcPr>
                <w:p w14:paraId="4CC21C90">
                  <w:pPr>
                    <w:widowControl/>
                    <w:snapToGrid w:val="0"/>
                    <w:spacing w:line="44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详见招标文件“项目技术规范和服务要求”</w:t>
                  </w:r>
                </w:p>
              </w:tc>
              <w:tc>
                <w:tcPr>
                  <w:tcW w:w="1092" w:type="dxa"/>
                  <w:tcBorders>
                    <w:left w:val="single" w:color="auto" w:sz="4" w:space="0"/>
                    <w:right w:val="single" w:color="auto" w:sz="4" w:space="0"/>
                  </w:tcBorders>
                  <w:vAlign w:val="center"/>
                </w:tcPr>
                <w:p w14:paraId="7FF4EE4D">
                  <w:pPr>
                    <w:widowControl/>
                    <w:snapToGrid w:val="0"/>
                    <w:spacing w:line="440" w:lineRule="exact"/>
                    <w:jc w:val="center"/>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服务期：1年</w:t>
                  </w:r>
                </w:p>
              </w:tc>
            </w:tr>
          </w:tbl>
          <w:p w14:paraId="66571BBA">
            <w:pPr>
              <w:widowControl/>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b/>
                <w:bCs/>
                <w:color w:val="auto"/>
                <w:sz w:val="22"/>
                <w:szCs w:val="22"/>
                <w:highlight w:val="none"/>
                <w:shd w:val="clear" w:color="auto" w:fill="auto"/>
              </w:rPr>
              <w:t>如投标人报价超过预算金额按无效标处理</w:t>
            </w:r>
            <w:r>
              <w:rPr>
                <w:rFonts w:hint="eastAsia" w:ascii="新宋体" w:hAnsi="新宋体" w:eastAsia="新宋体" w:cs="新宋体"/>
                <w:b/>
                <w:color w:val="auto"/>
                <w:sz w:val="22"/>
                <w:szCs w:val="22"/>
                <w:highlight w:val="none"/>
              </w:rPr>
              <w:t>。</w:t>
            </w:r>
          </w:p>
          <w:p w14:paraId="44B1BD4C">
            <w:pPr>
              <w:widowControl/>
              <w:spacing w:line="460" w:lineRule="exact"/>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三、</w:t>
            </w:r>
            <w:r>
              <w:rPr>
                <w:rFonts w:hint="eastAsia" w:ascii="新宋体" w:hAnsi="新宋体" w:eastAsia="新宋体" w:cs="新宋体"/>
                <w:b/>
                <w:bCs/>
                <w:color w:val="auto"/>
                <w:sz w:val="22"/>
                <w:szCs w:val="22"/>
                <w:highlight w:val="none"/>
              </w:rPr>
              <w:t>本项目</w:t>
            </w:r>
            <w:r>
              <w:rPr>
                <w:rFonts w:hint="eastAsia" w:ascii="新宋体" w:hAnsi="新宋体" w:eastAsia="新宋体" w:cs="新宋体"/>
                <w:b/>
                <w:bCs/>
                <w:color w:val="auto"/>
                <w:sz w:val="22"/>
                <w:szCs w:val="22"/>
                <w:highlight w:val="none"/>
                <w:lang w:val="en-US" w:eastAsia="zh-CN"/>
              </w:rPr>
              <w:t>（是）</w:t>
            </w:r>
            <w:r>
              <w:rPr>
                <w:rFonts w:hint="eastAsia" w:ascii="新宋体" w:hAnsi="新宋体" w:eastAsia="新宋体" w:cs="新宋体"/>
                <w:b/>
                <w:bCs/>
                <w:color w:val="auto"/>
                <w:sz w:val="22"/>
                <w:szCs w:val="22"/>
                <w:highlight w:val="none"/>
              </w:rPr>
              <w:t>接受联合体投标</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组成的联合体须满足：①出具联合体共同投标协议书（须明确牵头人）；②以联合体形式参加采购活动的，联合体各方不得再单独参加或者与其他供应商另外组成联合体参加同一合同项下的采购活动</w:t>
            </w:r>
            <w:r>
              <w:rPr>
                <w:rFonts w:hint="eastAsia" w:ascii="新宋体" w:hAnsi="新宋体" w:eastAsia="新宋体" w:cs="新宋体"/>
                <w:b/>
                <w:bCs/>
                <w:color w:val="auto"/>
                <w:sz w:val="22"/>
                <w:szCs w:val="22"/>
                <w:highlight w:val="none"/>
                <w:lang w:eastAsia="zh-CN"/>
              </w:rPr>
              <w:t>；③</w:t>
            </w:r>
            <w:r>
              <w:rPr>
                <w:rFonts w:hint="eastAsia" w:ascii="新宋体" w:hAnsi="新宋体" w:eastAsia="新宋体" w:cs="新宋体"/>
                <w:b/>
                <w:bCs/>
                <w:color w:val="auto"/>
                <w:sz w:val="22"/>
                <w:szCs w:val="22"/>
                <w:highlight w:val="none"/>
                <w:lang w:val="en-US" w:eastAsia="zh-CN"/>
              </w:rPr>
              <w:t>联合体组成成员（含牵头人）不得超过2家。</w:t>
            </w:r>
          </w:p>
        </w:tc>
      </w:tr>
      <w:tr w14:paraId="62B4E4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7" w:type="dxa"/>
            <w:tcBorders>
              <w:top w:val="single" w:color="000000" w:sz="2" w:space="0"/>
              <w:left w:val="single" w:color="000000" w:sz="8" w:space="0"/>
              <w:bottom w:val="single" w:color="000000" w:sz="2" w:space="0"/>
              <w:right w:val="single" w:color="000000" w:sz="2" w:space="0"/>
            </w:tcBorders>
            <w:vAlign w:val="center"/>
          </w:tcPr>
          <w:p w14:paraId="11E321FF">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w:t>
            </w:r>
          </w:p>
        </w:tc>
        <w:tc>
          <w:tcPr>
            <w:tcW w:w="9113" w:type="dxa"/>
            <w:tcBorders>
              <w:top w:val="single" w:color="000000" w:sz="2" w:space="0"/>
              <w:left w:val="single" w:color="000000" w:sz="2" w:space="0"/>
              <w:bottom w:val="single" w:color="000000" w:sz="2" w:space="0"/>
              <w:right w:val="single" w:color="000000" w:sz="8" w:space="0"/>
            </w:tcBorders>
            <w:vAlign w:val="center"/>
          </w:tcPr>
          <w:p w14:paraId="18E9011B">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zh-CN"/>
              </w:rPr>
              <w:t>投标</w:t>
            </w:r>
            <w:r>
              <w:rPr>
                <w:rFonts w:hint="eastAsia" w:ascii="新宋体" w:hAnsi="新宋体" w:eastAsia="新宋体" w:cs="新宋体"/>
                <w:b/>
                <w:bCs/>
                <w:color w:val="auto"/>
                <w:sz w:val="22"/>
                <w:szCs w:val="22"/>
                <w:highlight w:val="none"/>
              </w:rPr>
              <w:t>有效期：</w:t>
            </w:r>
            <w:r>
              <w:rPr>
                <w:rFonts w:hint="eastAsia" w:ascii="新宋体" w:hAnsi="新宋体" w:eastAsia="新宋体" w:cs="新宋体"/>
                <w:color w:val="auto"/>
                <w:sz w:val="22"/>
                <w:szCs w:val="22"/>
                <w:highlight w:val="none"/>
              </w:rPr>
              <w:t>自投标截止日起</w:t>
            </w:r>
            <w:r>
              <w:rPr>
                <w:rFonts w:hint="eastAsia" w:ascii="新宋体" w:hAnsi="新宋体" w:eastAsia="新宋体" w:cs="新宋体"/>
                <w:color w:val="auto"/>
                <w:sz w:val="22"/>
                <w:szCs w:val="22"/>
                <w:highlight w:val="none"/>
                <w:lang w:val="en-US" w:eastAsia="zh-CN"/>
              </w:rPr>
              <w:t>90</w:t>
            </w:r>
            <w:r>
              <w:rPr>
                <w:rFonts w:hint="eastAsia" w:ascii="新宋体" w:hAnsi="新宋体" w:eastAsia="新宋体" w:cs="新宋体"/>
                <w:color w:val="auto"/>
                <w:sz w:val="22"/>
                <w:szCs w:val="22"/>
                <w:highlight w:val="none"/>
              </w:rPr>
              <w:t>天。</w:t>
            </w:r>
          </w:p>
        </w:tc>
      </w:tr>
      <w:tr w14:paraId="28EB8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67" w:type="dxa"/>
            <w:tcBorders>
              <w:top w:val="single" w:color="000000" w:sz="2" w:space="0"/>
              <w:left w:val="single" w:color="000000" w:sz="8" w:space="0"/>
              <w:bottom w:val="single" w:color="000000" w:sz="2" w:space="0"/>
              <w:right w:val="single" w:color="000000" w:sz="2" w:space="0"/>
            </w:tcBorders>
            <w:vAlign w:val="center"/>
          </w:tcPr>
          <w:p w14:paraId="2ADD519A">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p>
        </w:tc>
        <w:tc>
          <w:tcPr>
            <w:tcW w:w="9113" w:type="dxa"/>
            <w:tcBorders>
              <w:top w:val="single" w:color="000000" w:sz="2" w:space="0"/>
              <w:left w:val="single" w:color="000000" w:sz="2" w:space="0"/>
              <w:bottom w:val="single" w:color="000000" w:sz="2" w:space="0"/>
              <w:right w:val="single" w:color="000000" w:sz="8" w:space="0"/>
            </w:tcBorders>
            <w:vAlign w:val="center"/>
          </w:tcPr>
          <w:p w14:paraId="0326A17A">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投标保证金数额：无</w:t>
            </w:r>
            <w:r>
              <w:rPr>
                <w:rFonts w:hint="eastAsia" w:ascii="新宋体" w:hAnsi="新宋体" w:eastAsia="新宋体" w:cs="新宋体"/>
                <w:color w:val="auto"/>
                <w:sz w:val="22"/>
                <w:szCs w:val="22"/>
                <w:highlight w:val="none"/>
              </w:rPr>
              <w:t>。</w:t>
            </w:r>
          </w:p>
        </w:tc>
      </w:tr>
      <w:tr w14:paraId="31AAE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95" w:hRule="atLeast"/>
          <w:jc w:val="center"/>
        </w:trPr>
        <w:tc>
          <w:tcPr>
            <w:tcW w:w="567" w:type="dxa"/>
            <w:tcBorders>
              <w:top w:val="single" w:color="000000" w:sz="2" w:space="0"/>
              <w:left w:val="single" w:color="000000" w:sz="8" w:space="0"/>
              <w:bottom w:val="single" w:color="000000" w:sz="2" w:space="0"/>
              <w:right w:val="single" w:color="000000" w:sz="2" w:space="0"/>
            </w:tcBorders>
            <w:vAlign w:val="center"/>
          </w:tcPr>
          <w:p w14:paraId="68831B47">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lang w:val="en-US" w:eastAsia="zh-CN"/>
              </w:rPr>
              <w:t>4</w:t>
            </w:r>
          </w:p>
        </w:tc>
        <w:tc>
          <w:tcPr>
            <w:tcW w:w="9113" w:type="dxa"/>
            <w:tcBorders>
              <w:top w:val="single" w:color="000000" w:sz="2" w:space="0"/>
              <w:left w:val="single" w:color="000000" w:sz="2" w:space="0"/>
              <w:bottom w:val="single" w:color="000000" w:sz="2" w:space="0"/>
              <w:right w:val="single" w:color="000000" w:sz="8" w:space="0"/>
            </w:tcBorders>
            <w:vAlign w:val="center"/>
          </w:tcPr>
          <w:p w14:paraId="6FE1D19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招标服务费：根据国家计委计价格【2002】1980号《招标代理服务收费管理暂行办法》规定标准按中标价计算后下浮25%收取，由中标人在领取中标通知书时支付。</w:t>
            </w:r>
          </w:p>
          <w:p w14:paraId="43B1AFDD">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户  名：温州历程招标有限公司乐清分公司</w:t>
            </w:r>
          </w:p>
          <w:p w14:paraId="5FE90920">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账  号：33050162870400000619</w:t>
            </w:r>
          </w:p>
          <w:p w14:paraId="6F2143E9">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开户行：中国建设银行股份有限公司温州新城支行</w:t>
            </w:r>
          </w:p>
          <w:p w14:paraId="4D34D9E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行  号：105333000038</w:t>
            </w:r>
          </w:p>
        </w:tc>
      </w:tr>
      <w:tr w14:paraId="1656D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7" w:type="dxa"/>
            <w:tcBorders>
              <w:top w:val="single" w:color="000000" w:sz="2" w:space="0"/>
              <w:left w:val="single" w:color="000000" w:sz="8" w:space="0"/>
              <w:bottom w:val="single" w:color="000000" w:sz="2" w:space="0"/>
              <w:right w:val="single" w:color="000000" w:sz="2" w:space="0"/>
            </w:tcBorders>
            <w:vAlign w:val="center"/>
          </w:tcPr>
          <w:p w14:paraId="451DC227">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lang w:val="en-US" w:eastAsia="zh-CN"/>
              </w:rPr>
              <w:t>5</w:t>
            </w:r>
          </w:p>
        </w:tc>
        <w:tc>
          <w:tcPr>
            <w:tcW w:w="9113" w:type="dxa"/>
            <w:tcBorders>
              <w:top w:val="single" w:color="000000" w:sz="2" w:space="0"/>
              <w:left w:val="single" w:color="000000" w:sz="2" w:space="0"/>
              <w:bottom w:val="single" w:color="000000" w:sz="2" w:space="0"/>
              <w:right w:val="single" w:color="000000" w:sz="8" w:space="0"/>
            </w:tcBorders>
            <w:vAlign w:val="center"/>
          </w:tcPr>
          <w:p w14:paraId="5F459E2A">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投标文件的组成：</w:t>
            </w:r>
            <w:r>
              <w:rPr>
                <w:rFonts w:hint="eastAsia" w:ascii="新宋体" w:hAnsi="新宋体" w:eastAsia="新宋体" w:cs="新宋体"/>
                <w:color w:val="auto"/>
                <w:sz w:val="22"/>
                <w:szCs w:val="22"/>
                <w:highlight w:val="none"/>
              </w:rPr>
              <w:t>完整的《投标文件》由“资格文件”、“报价文件”和“商务技术文件”三个部分组成。</w:t>
            </w:r>
          </w:p>
        </w:tc>
      </w:tr>
      <w:tr w14:paraId="2D5610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7" w:type="dxa"/>
            <w:tcBorders>
              <w:top w:val="single" w:color="000000" w:sz="2" w:space="0"/>
              <w:left w:val="single" w:color="000000" w:sz="8" w:space="0"/>
              <w:bottom w:val="single" w:color="000000" w:sz="2" w:space="0"/>
              <w:right w:val="single" w:color="000000" w:sz="2" w:space="0"/>
            </w:tcBorders>
            <w:vAlign w:val="center"/>
          </w:tcPr>
          <w:p w14:paraId="1263C2AE">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lang w:val="en-US" w:eastAsia="zh-CN"/>
              </w:rPr>
              <w:t>6</w:t>
            </w:r>
          </w:p>
        </w:tc>
        <w:tc>
          <w:tcPr>
            <w:tcW w:w="9113" w:type="dxa"/>
            <w:tcBorders>
              <w:top w:val="single" w:color="000000" w:sz="2" w:space="0"/>
              <w:left w:val="single" w:color="000000" w:sz="2" w:space="0"/>
              <w:bottom w:val="single" w:color="000000" w:sz="2" w:space="0"/>
              <w:right w:val="single" w:color="000000" w:sz="8" w:space="0"/>
            </w:tcBorders>
            <w:vAlign w:val="center"/>
          </w:tcPr>
          <w:p w14:paraId="3195386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bidi="ar"/>
              </w:rPr>
              <w:t>投标文件的编制：</w:t>
            </w:r>
            <w:r>
              <w:rPr>
                <w:rFonts w:hint="eastAsia" w:ascii="新宋体" w:hAnsi="新宋体" w:eastAsia="新宋体" w:cs="新宋体"/>
                <w:color w:val="auto"/>
                <w:sz w:val="22"/>
                <w:szCs w:val="22"/>
                <w:highlight w:val="none"/>
              </w:rPr>
              <w:t>供应商应先安装“政采云电子交易客户端”，并按照本</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和“政府采购云平台”的要求，通过“政采云电子交易客户端”编制并加密投标文件。</w:t>
            </w:r>
          </w:p>
        </w:tc>
      </w:tr>
      <w:tr w14:paraId="70657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7" w:type="dxa"/>
            <w:tcBorders>
              <w:top w:val="single" w:color="000000" w:sz="2" w:space="0"/>
              <w:left w:val="single" w:color="000000" w:sz="8" w:space="0"/>
              <w:bottom w:val="single" w:color="000000" w:sz="2" w:space="0"/>
              <w:right w:val="single" w:color="000000" w:sz="2" w:space="0"/>
            </w:tcBorders>
            <w:vAlign w:val="center"/>
          </w:tcPr>
          <w:p w14:paraId="09C46D64">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lang w:val="en-US" w:eastAsia="zh-CN"/>
              </w:rPr>
              <w:t>7</w:t>
            </w:r>
          </w:p>
        </w:tc>
        <w:tc>
          <w:tcPr>
            <w:tcW w:w="9113" w:type="dxa"/>
            <w:tcBorders>
              <w:top w:val="single" w:color="000000" w:sz="2" w:space="0"/>
              <w:left w:val="single" w:color="000000" w:sz="2" w:space="0"/>
              <w:bottom w:val="single" w:color="000000" w:sz="2" w:space="0"/>
              <w:right w:val="single" w:color="000000" w:sz="8" w:space="0"/>
            </w:tcBorders>
            <w:vAlign w:val="center"/>
          </w:tcPr>
          <w:p w14:paraId="27846B1D">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投标文件的签章：</w:t>
            </w:r>
            <w:r>
              <w:rPr>
                <w:rFonts w:hint="eastAsia" w:ascii="新宋体" w:hAnsi="新宋体" w:eastAsia="新宋体" w:cs="新宋体"/>
                <w:color w:val="auto"/>
                <w:sz w:val="22"/>
                <w:szCs w:val="22"/>
                <w:highlight w:val="none"/>
              </w:rPr>
              <w:t>电子签章。</w:t>
            </w:r>
            <w:r>
              <w:rPr>
                <w:rFonts w:hint="eastAsia" w:ascii="新宋体" w:hAnsi="新宋体" w:eastAsia="新宋体" w:cs="新宋体"/>
                <w:b/>
                <w:color w:val="auto"/>
                <w:sz w:val="22"/>
                <w:szCs w:val="22"/>
                <w:highlight w:val="none"/>
                <w:lang w:val="en-US" w:eastAsia="zh-CN"/>
              </w:rPr>
              <w:t>如为联合体投标的，招标文件中需联合体所有成员分别填写的格式，联合体成员（除牵头人外）按招标文件格式分别进行编制（格式中要求提供相关证明材料的还需后附相关证明材料），并按格式要求在指定位置根据要求进行签字（或盖章）后将扫描件提交给牵头人（联合体共同投标协议书须签字或盖章的地方须由联合体双方均签字或盖章）。牵头人在完成投标文件编制后扫描上传加密电子投标文件，电子投标文件中所须加盖公章的地方均加盖牵头人的电子签章。</w:t>
            </w:r>
          </w:p>
        </w:tc>
      </w:tr>
      <w:tr w14:paraId="11464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7" w:type="dxa"/>
            <w:tcBorders>
              <w:top w:val="single" w:color="000000" w:sz="2" w:space="0"/>
              <w:left w:val="single" w:color="000000" w:sz="8" w:space="0"/>
              <w:bottom w:val="single" w:color="000000" w:sz="2" w:space="0"/>
              <w:right w:val="single" w:color="000000" w:sz="2" w:space="0"/>
            </w:tcBorders>
            <w:vAlign w:val="center"/>
          </w:tcPr>
          <w:p w14:paraId="662C9542">
            <w:pPr>
              <w:snapToGrid w:val="0"/>
              <w:spacing w:line="460" w:lineRule="exact"/>
              <w:jc w:val="center"/>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8</w:t>
            </w:r>
          </w:p>
        </w:tc>
        <w:tc>
          <w:tcPr>
            <w:tcW w:w="9113" w:type="dxa"/>
            <w:tcBorders>
              <w:top w:val="single" w:color="000000" w:sz="2" w:space="0"/>
              <w:left w:val="single" w:color="000000" w:sz="2" w:space="0"/>
              <w:bottom w:val="single" w:color="000000" w:sz="2" w:space="0"/>
              <w:right w:val="single" w:color="000000" w:sz="8" w:space="0"/>
            </w:tcBorders>
            <w:vAlign w:val="center"/>
          </w:tcPr>
          <w:p w14:paraId="3C89D2B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投标文件的形式：</w:t>
            </w:r>
            <w:r>
              <w:rPr>
                <w:rFonts w:hint="default" w:ascii="Times New Roman" w:hAnsi="Times New Roman" w:eastAsia="新宋体" w:cs="Times New Roman"/>
                <w:color w:val="auto"/>
                <w:sz w:val="22"/>
                <w:szCs w:val="22"/>
                <w:highlight w:val="none"/>
              </w:rPr>
              <w:t>☑电</w:t>
            </w:r>
            <w:r>
              <w:rPr>
                <w:rFonts w:hint="eastAsia" w:ascii="新宋体" w:hAnsi="新宋体" w:eastAsia="新宋体" w:cs="新宋体"/>
                <w:color w:val="auto"/>
                <w:sz w:val="22"/>
                <w:szCs w:val="22"/>
                <w:highlight w:val="none"/>
              </w:rPr>
              <w:t>子投标文件（包括“电子加密投标文件”和“备份投标文件”，在投标文件编制完成后同时生成）；</w:t>
            </w:r>
          </w:p>
          <w:p w14:paraId="152E966D">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（1）“电子加密投标文件”是指通过“</w:t>
            </w:r>
            <w:r>
              <w:rPr>
                <w:rFonts w:hint="eastAsia" w:ascii="新宋体" w:hAnsi="新宋体" w:eastAsia="新宋体" w:cs="新宋体"/>
                <w:color w:val="auto"/>
                <w:sz w:val="22"/>
                <w:szCs w:val="22"/>
                <w:highlight w:val="none"/>
                <w:lang w:eastAsia="zh-CN"/>
              </w:rPr>
              <w:t>政采云</w:t>
            </w:r>
            <w:r>
              <w:rPr>
                <w:rFonts w:hint="eastAsia" w:ascii="新宋体" w:hAnsi="新宋体" w:eastAsia="新宋体" w:cs="新宋体"/>
                <w:color w:val="auto"/>
                <w:sz w:val="22"/>
                <w:szCs w:val="22"/>
                <w:highlight w:val="none"/>
              </w:rPr>
              <w:t>电子交易客户端”完成投标文件编制后生成并加密的数据电文形式的投标文件。</w:t>
            </w:r>
          </w:p>
          <w:p w14:paraId="59B10EC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2D786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7" w:type="dxa"/>
            <w:tcBorders>
              <w:top w:val="single" w:color="000000" w:sz="2" w:space="0"/>
              <w:left w:val="single" w:color="000000" w:sz="8" w:space="0"/>
              <w:bottom w:val="single" w:color="000000" w:sz="2" w:space="0"/>
              <w:right w:val="single" w:color="000000" w:sz="2" w:space="0"/>
            </w:tcBorders>
            <w:vAlign w:val="center"/>
          </w:tcPr>
          <w:p w14:paraId="1D339FE1">
            <w:pPr>
              <w:snapToGrid w:val="0"/>
              <w:spacing w:line="460" w:lineRule="exact"/>
              <w:jc w:val="center"/>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9</w:t>
            </w:r>
          </w:p>
        </w:tc>
        <w:tc>
          <w:tcPr>
            <w:tcW w:w="9113" w:type="dxa"/>
            <w:tcBorders>
              <w:top w:val="single" w:color="000000" w:sz="2" w:space="0"/>
              <w:left w:val="single" w:color="000000" w:sz="2" w:space="0"/>
              <w:bottom w:val="single" w:color="000000" w:sz="2" w:space="0"/>
              <w:right w:val="single" w:color="000000" w:sz="8" w:space="0"/>
            </w:tcBorders>
            <w:vAlign w:val="center"/>
          </w:tcPr>
          <w:p w14:paraId="5332D443">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投标文件份数：</w:t>
            </w:r>
          </w:p>
          <w:p w14:paraId="136EDBDC">
            <w:pPr>
              <w:numPr>
                <w:ilvl w:val="0"/>
                <w:numId w:val="1"/>
              </w:num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“电子加密投标文件”：在线上传递交、一份。</w:t>
            </w:r>
          </w:p>
          <w:p w14:paraId="54CDDB9C">
            <w:pPr>
              <w:numPr>
                <w:ilvl w:val="0"/>
                <w:numId w:val="1"/>
              </w:num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“备份投标文件”：密封包装后投标截止时间前递交、一份</w:t>
            </w:r>
          </w:p>
          <w:p w14:paraId="77665FD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（若不提供备份文件，电子加密投标文件解密失败，投标人自行负责。）</w:t>
            </w:r>
          </w:p>
          <w:p w14:paraId="60F365BF">
            <w:pPr>
              <w:tabs>
                <w:tab w:val="left" w:pos="360"/>
              </w:tabs>
              <w:spacing w:line="460" w:lineRule="exact"/>
              <w:rPr>
                <w:rFonts w:hint="eastAsia" w:ascii="新宋体" w:hAnsi="新宋体" w:eastAsia="新宋体" w:cs="新宋体"/>
                <w:b/>
                <w:color w:val="auto"/>
                <w:sz w:val="22"/>
                <w:szCs w:val="22"/>
                <w:highlight w:val="none"/>
                <w:u w:val="single"/>
              </w:rPr>
            </w:pPr>
            <w:r>
              <w:rPr>
                <w:rFonts w:hint="eastAsia" w:ascii="新宋体" w:hAnsi="新宋体" w:eastAsia="新宋体" w:cs="新宋体"/>
                <w:b/>
                <w:bCs/>
                <w:color w:val="auto"/>
                <w:sz w:val="22"/>
                <w:szCs w:val="22"/>
                <w:highlight w:val="none"/>
              </w:rPr>
              <w:t>可以</w:t>
            </w:r>
            <w:r>
              <w:rPr>
                <w:rFonts w:hint="eastAsia" w:ascii="新宋体" w:hAnsi="新宋体" w:eastAsia="新宋体" w:cs="新宋体"/>
                <w:b/>
                <w:color w:val="auto"/>
                <w:sz w:val="22"/>
                <w:szCs w:val="22"/>
                <w:highlight w:val="none"/>
                <w:u w:val="single"/>
              </w:rPr>
              <w:t>（邮寄形式，建议顺丰）在投标截止时间前递交，并需</w:t>
            </w:r>
            <w:r>
              <w:rPr>
                <w:rFonts w:hint="eastAsia" w:ascii="新宋体" w:hAnsi="新宋体" w:eastAsia="新宋体" w:cs="新宋体"/>
                <w:b/>
                <w:color w:val="auto"/>
                <w:sz w:val="22"/>
                <w:szCs w:val="22"/>
                <w:highlight w:val="none"/>
                <w:u w:val="single"/>
                <w:lang w:eastAsia="zh-CN"/>
              </w:rPr>
              <w:t>采购代理机构</w:t>
            </w:r>
            <w:r>
              <w:rPr>
                <w:rFonts w:hint="eastAsia" w:ascii="新宋体" w:hAnsi="新宋体" w:eastAsia="新宋体" w:cs="新宋体"/>
                <w:b/>
                <w:color w:val="auto"/>
                <w:sz w:val="22"/>
                <w:szCs w:val="22"/>
                <w:highlight w:val="none"/>
                <w:u w:val="single"/>
              </w:rPr>
              <w:t>确认是否收到。</w:t>
            </w:r>
          </w:p>
          <w:p w14:paraId="75BDA6B3">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邮寄地址：</w:t>
            </w:r>
            <w:r>
              <w:rPr>
                <w:rFonts w:hint="eastAsia" w:ascii="新宋体" w:hAnsi="新宋体" w:eastAsia="新宋体" w:cs="新宋体"/>
                <w:color w:val="auto"/>
                <w:sz w:val="22"/>
                <w:szCs w:val="22"/>
                <w:highlight w:val="none"/>
                <w:lang w:eastAsia="zh-CN"/>
              </w:rPr>
              <w:t>温州市鹿城区南汇街道勤民路鹿城壹号18幢803室</w:t>
            </w:r>
            <w:r>
              <w:rPr>
                <w:rFonts w:hint="eastAsia" w:ascii="新宋体" w:hAnsi="新宋体" w:eastAsia="新宋体" w:cs="新宋体"/>
                <w:color w:val="auto"/>
                <w:sz w:val="22"/>
                <w:szCs w:val="22"/>
                <w:highlight w:val="none"/>
              </w:rPr>
              <w:t>。</w:t>
            </w:r>
          </w:p>
          <w:p w14:paraId="148F7068">
            <w:pPr>
              <w:tabs>
                <w:tab w:val="left" w:pos="360"/>
              </w:tabs>
              <w:spacing w:line="460" w:lineRule="exac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联系人：肖忠文，联系方式：13757727199</w:t>
            </w:r>
          </w:p>
          <w:p w14:paraId="3C8DEF2D">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lang w:val="en-US" w:eastAsia="zh-CN" w:bidi="ar"/>
              </w:rPr>
              <w:t>（项目开评标结束后，投标供应商须提供纸质投标文件并加盖单位公章一份，送至代理公司）</w:t>
            </w:r>
          </w:p>
        </w:tc>
      </w:tr>
      <w:tr w14:paraId="72FB0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7" w:type="dxa"/>
            <w:tcBorders>
              <w:top w:val="single" w:color="000000" w:sz="2" w:space="0"/>
              <w:left w:val="single" w:color="000000" w:sz="8" w:space="0"/>
              <w:bottom w:val="single" w:color="000000" w:sz="2" w:space="0"/>
              <w:right w:val="single" w:color="000000" w:sz="2" w:space="0"/>
            </w:tcBorders>
            <w:vAlign w:val="center"/>
          </w:tcPr>
          <w:p w14:paraId="435C6EE5">
            <w:pPr>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0</w:t>
            </w:r>
          </w:p>
        </w:tc>
        <w:tc>
          <w:tcPr>
            <w:tcW w:w="9113" w:type="dxa"/>
            <w:tcBorders>
              <w:top w:val="single" w:color="000000" w:sz="2" w:space="0"/>
              <w:left w:val="single" w:color="000000" w:sz="2" w:space="0"/>
              <w:bottom w:val="single" w:color="000000" w:sz="2" w:space="0"/>
              <w:right w:val="single" w:color="000000" w:sz="8" w:space="0"/>
            </w:tcBorders>
            <w:vAlign w:val="center"/>
          </w:tcPr>
          <w:p w14:paraId="2F912943">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投标文件的上传和递交：</w:t>
            </w:r>
          </w:p>
          <w:p w14:paraId="15BAF372">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（1）“电子加密投标文件”的上传、递交：</w:t>
            </w:r>
          </w:p>
          <w:p w14:paraId="62D576B9">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a.投标人应在投标截止时间前将“电子加密投标文件”成功上传递交至“</w:t>
            </w:r>
            <w:r>
              <w:rPr>
                <w:rFonts w:hint="eastAsia" w:ascii="新宋体" w:hAnsi="新宋体" w:eastAsia="新宋体" w:cs="新宋体"/>
                <w:color w:val="auto"/>
                <w:sz w:val="22"/>
                <w:szCs w:val="22"/>
                <w:highlight w:val="none"/>
                <w:lang w:eastAsia="zh-CN"/>
              </w:rPr>
              <w:t>政采云平台</w:t>
            </w:r>
            <w:r>
              <w:rPr>
                <w:rFonts w:hint="eastAsia" w:ascii="新宋体" w:hAnsi="新宋体" w:eastAsia="新宋体" w:cs="新宋体"/>
                <w:color w:val="auto"/>
                <w:sz w:val="22"/>
                <w:szCs w:val="22"/>
                <w:highlight w:val="none"/>
              </w:rPr>
              <w:t>”，否则投标无效。</w:t>
            </w:r>
          </w:p>
          <w:p w14:paraId="1BD31D2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b.“电子加密投标文件”成功上传递交后，投标人可自行打印投标文件接收回执。</w:t>
            </w:r>
          </w:p>
          <w:p w14:paraId="6E5D120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（2）“备份投标文件”的密封包装、递交：</w:t>
            </w:r>
          </w:p>
          <w:p w14:paraId="6F5F2932">
            <w:pPr>
              <w:tabs>
                <w:tab w:val="left" w:pos="36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a.投标人在“</w:t>
            </w:r>
            <w:r>
              <w:rPr>
                <w:rFonts w:hint="eastAsia" w:ascii="新宋体" w:hAnsi="新宋体" w:eastAsia="新宋体" w:cs="新宋体"/>
                <w:color w:val="auto"/>
                <w:sz w:val="22"/>
                <w:szCs w:val="22"/>
                <w:highlight w:val="none"/>
                <w:lang w:eastAsia="zh-CN"/>
              </w:rPr>
              <w:t>政采云平台</w:t>
            </w:r>
            <w:r>
              <w:rPr>
                <w:rFonts w:hint="eastAsia" w:ascii="新宋体" w:hAnsi="新宋体" w:eastAsia="新宋体" w:cs="新宋体"/>
                <w:color w:val="auto"/>
                <w:sz w:val="22"/>
                <w:szCs w:val="22"/>
                <w:highlight w:val="none"/>
              </w:rPr>
              <w:t>”完成“电子加密投标文件”的上传递交后，</w:t>
            </w:r>
            <w:r>
              <w:rPr>
                <w:rFonts w:hint="eastAsia" w:ascii="新宋体" w:hAnsi="新宋体" w:eastAsia="新宋体" w:cs="新宋体"/>
                <w:b/>
                <w:bCs/>
                <w:color w:val="auto"/>
                <w:sz w:val="22"/>
                <w:szCs w:val="22"/>
                <w:highlight w:val="none"/>
              </w:rPr>
              <w:t>还可以在投标截止时间前递交以介质（U盘）存储的数据电文形式的“备份投标文件”，（可以（邮寄形式，建议顺丰）在投标截止时间前递交，并需</w:t>
            </w:r>
            <w:r>
              <w:rPr>
                <w:rFonts w:hint="eastAsia" w:ascii="新宋体" w:hAnsi="新宋体" w:eastAsia="新宋体" w:cs="新宋体"/>
                <w:b/>
                <w:bCs/>
                <w:color w:val="auto"/>
                <w:sz w:val="22"/>
                <w:szCs w:val="22"/>
                <w:highlight w:val="none"/>
                <w:lang w:eastAsia="zh-CN"/>
              </w:rPr>
              <w:t>采购代理机构</w:t>
            </w:r>
            <w:r>
              <w:rPr>
                <w:rFonts w:hint="eastAsia" w:ascii="新宋体" w:hAnsi="新宋体" w:eastAsia="新宋体" w:cs="新宋体"/>
                <w:b/>
                <w:bCs/>
                <w:color w:val="auto"/>
                <w:sz w:val="22"/>
                <w:szCs w:val="22"/>
                <w:highlight w:val="none"/>
              </w:rPr>
              <w:t>确认是否收到）</w:t>
            </w:r>
          </w:p>
          <w:p w14:paraId="353A5484">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b.“备份投标文件”应当密封包装，并在包装上标注投标项目名称、投标单位名称并加盖公章。没有密封包装或者逾期（邮寄）送达至投标地点的“备份投标文件”将不予接收；</w:t>
            </w:r>
          </w:p>
          <w:p w14:paraId="517774FD">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c.通过“</w:t>
            </w:r>
            <w:r>
              <w:rPr>
                <w:rFonts w:hint="eastAsia" w:ascii="新宋体" w:hAnsi="新宋体" w:eastAsia="新宋体" w:cs="新宋体"/>
                <w:color w:val="auto"/>
                <w:sz w:val="22"/>
                <w:szCs w:val="22"/>
                <w:highlight w:val="none"/>
                <w:lang w:eastAsia="zh-CN"/>
              </w:rPr>
              <w:t>政采云平台</w:t>
            </w:r>
            <w:r>
              <w:rPr>
                <w:rFonts w:hint="eastAsia" w:ascii="新宋体" w:hAnsi="新宋体" w:eastAsia="新宋体" w:cs="新宋体"/>
                <w:color w:val="auto"/>
                <w:sz w:val="22"/>
                <w:szCs w:val="22"/>
                <w:highlight w:val="none"/>
              </w:rPr>
              <w:t>”成功上传递交的“电子加密投标文件”已按时解密的，“备份投标文件”自动失效。投标截止时间前，投标人仅递交了“备份投标文件”而未将“电子加密投标文件”成功上传至“</w:t>
            </w:r>
            <w:r>
              <w:rPr>
                <w:rFonts w:hint="eastAsia" w:ascii="新宋体" w:hAnsi="新宋体" w:eastAsia="新宋体" w:cs="新宋体"/>
                <w:color w:val="auto"/>
                <w:sz w:val="22"/>
                <w:szCs w:val="22"/>
                <w:highlight w:val="none"/>
                <w:lang w:eastAsia="zh-CN"/>
              </w:rPr>
              <w:t>政采云平台</w:t>
            </w:r>
            <w:r>
              <w:rPr>
                <w:rFonts w:hint="eastAsia" w:ascii="新宋体" w:hAnsi="新宋体" w:eastAsia="新宋体" w:cs="新宋体"/>
                <w:color w:val="auto"/>
                <w:sz w:val="22"/>
                <w:szCs w:val="22"/>
                <w:highlight w:val="none"/>
              </w:rPr>
              <w:t>”的，投标无效。</w:t>
            </w:r>
          </w:p>
          <w:p w14:paraId="431E176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d.供应商（联合体投标的，须由牵头人制作并递交电子加密投标文件）通过“政采云电子投标客户端”完成投标文</w:t>
            </w:r>
            <w:r>
              <w:rPr>
                <w:rFonts w:hint="eastAsia" w:ascii="新宋体" w:hAnsi="新宋体" w:eastAsia="新宋体" w:cs="新宋体"/>
                <w:color w:val="auto"/>
                <w:sz w:val="22"/>
                <w:szCs w:val="22"/>
                <w:highlight w:val="none"/>
              </w:rPr>
              <w:t>件编制</w:t>
            </w:r>
            <w:r>
              <w:rPr>
                <w:rFonts w:hint="eastAsia" w:ascii="新宋体" w:hAnsi="新宋体" w:eastAsia="新宋体" w:cs="新宋体"/>
                <w:color w:val="auto"/>
                <w:sz w:val="22"/>
                <w:szCs w:val="22"/>
                <w:highlight w:val="none"/>
                <w:lang w:val="en-US" w:eastAsia="zh-CN"/>
              </w:rPr>
              <w:t>。</w:t>
            </w:r>
          </w:p>
        </w:tc>
      </w:tr>
      <w:tr w14:paraId="760E3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7" w:type="dxa"/>
            <w:tcBorders>
              <w:top w:val="single" w:color="000000" w:sz="2" w:space="0"/>
              <w:left w:val="single" w:color="000000" w:sz="8" w:space="0"/>
              <w:bottom w:val="single" w:color="000000" w:sz="2" w:space="0"/>
              <w:right w:val="single" w:color="000000" w:sz="2" w:space="0"/>
            </w:tcBorders>
            <w:vAlign w:val="center"/>
          </w:tcPr>
          <w:p w14:paraId="690A47F7">
            <w:pPr>
              <w:snapToGrid w:val="0"/>
              <w:spacing w:line="460" w:lineRule="exact"/>
              <w:jc w:val="center"/>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11</w:t>
            </w:r>
          </w:p>
        </w:tc>
        <w:tc>
          <w:tcPr>
            <w:tcW w:w="9113" w:type="dxa"/>
            <w:tcBorders>
              <w:top w:val="single" w:color="000000" w:sz="2" w:space="0"/>
              <w:left w:val="single" w:color="000000" w:sz="2" w:space="0"/>
              <w:bottom w:val="single" w:color="000000" w:sz="2" w:space="0"/>
              <w:right w:val="single" w:color="000000" w:sz="8" w:space="0"/>
            </w:tcBorders>
            <w:vAlign w:val="center"/>
          </w:tcPr>
          <w:p w14:paraId="0093F22A">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电子加密投标文件的解密和异常情况处理：</w:t>
            </w:r>
          </w:p>
          <w:p w14:paraId="6C00DE0D">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（1）开标后，采购组织机构将向各投标人发出“电子加密投标文件”的解密通知，各投标人代表应当在接到解密通知后在系统规定时间内自行完成“电子加密投标文件”的在线解密。</w:t>
            </w:r>
          </w:p>
          <w:p w14:paraId="4179FD4A">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（2）通过“</w:t>
            </w:r>
            <w:r>
              <w:rPr>
                <w:rFonts w:hint="eastAsia" w:ascii="新宋体" w:hAnsi="新宋体" w:eastAsia="新宋体" w:cs="新宋体"/>
                <w:color w:val="auto"/>
                <w:sz w:val="22"/>
                <w:szCs w:val="22"/>
                <w:highlight w:val="none"/>
                <w:lang w:eastAsia="zh-CN"/>
              </w:rPr>
              <w:t>政采云平台</w:t>
            </w:r>
            <w:r>
              <w:rPr>
                <w:rFonts w:hint="eastAsia" w:ascii="新宋体" w:hAnsi="新宋体" w:eastAsia="新宋体" w:cs="新宋体"/>
                <w:color w:val="auto"/>
                <w:sz w:val="22"/>
                <w:szCs w:val="22"/>
                <w:highlight w:val="none"/>
              </w:rPr>
              <w:t>”成功上传递交的“电子加密投标文件”无法按时解密，投标人如按规定递交了“备份投标文件”的，以“备份投标文件”为依据（由采购组织机构按“</w:t>
            </w:r>
            <w:r>
              <w:rPr>
                <w:rFonts w:hint="eastAsia" w:ascii="新宋体" w:hAnsi="新宋体" w:eastAsia="新宋体" w:cs="新宋体"/>
                <w:color w:val="auto"/>
                <w:sz w:val="22"/>
                <w:szCs w:val="22"/>
                <w:highlight w:val="none"/>
                <w:lang w:eastAsia="zh-CN"/>
              </w:rPr>
              <w:t>政采云平台</w:t>
            </w:r>
            <w:r>
              <w:rPr>
                <w:rFonts w:hint="eastAsia" w:ascii="新宋体" w:hAnsi="新宋体" w:eastAsia="新宋体" w:cs="新宋体"/>
                <w:color w:val="auto"/>
                <w:sz w:val="22"/>
                <w:szCs w:val="22"/>
                <w:highlight w:val="none"/>
              </w:rPr>
              <w:t>”操作规范将“备份投标文件”上传至“</w:t>
            </w:r>
            <w:r>
              <w:rPr>
                <w:rFonts w:hint="eastAsia" w:ascii="新宋体" w:hAnsi="新宋体" w:eastAsia="新宋体" w:cs="新宋体"/>
                <w:color w:val="auto"/>
                <w:sz w:val="22"/>
                <w:szCs w:val="22"/>
                <w:highlight w:val="none"/>
                <w:lang w:eastAsia="zh-CN"/>
              </w:rPr>
              <w:t>政采云平台</w:t>
            </w:r>
            <w:r>
              <w:rPr>
                <w:rFonts w:hint="eastAsia" w:ascii="新宋体" w:hAnsi="新宋体" w:eastAsia="新宋体" w:cs="新宋体"/>
                <w:color w:val="auto"/>
                <w:sz w:val="22"/>
                <w:szCs w:val="22"/>
                <w:highlight w:val="none"/>
              </w:rPr>
              <w:t>”，上传成功后，“电子加密投标文件”自动失效），否则视为投标文件撤回。</w:t>
            </w:r>
          </w:p>
          <w:p w14:paraId="21155F0B">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（3）投标截止时间前，投标人仅递交了“备份投标文件”而未将电子加密投标文件上传至“</w:t>
            </w:r>
            <w:r>
              <w:rPr>
                <w:rFonts w:hint="eastAsia" w:ascii="新宋体" w:hAnsi="新宋体" w:eastAsia="新宋体" w:cs="新宋体"/>
                <w:color w:val="auto"/>
                <w:sz w:val="22"/>
                <w:szCs w:val="22"/>
                <w:highlight w:val="none"/>
                <w:lang w:eastAsia="zh-CN"/>
              </w:rPr>
              <w:t>政采云平台</w:t>
            </w:r>
            <w:r>
              <w:rPr>
                <w:rFonts w:hint="eastAsia" w:ascii="新宋体" w:hAnsi="新宋体" w:eastAsia="新宋体" w:cs="新宋体"/>
                <w:color w:val="auto"/>
                <w:sz w:val="22"/>
                <w:szCs w:val="22"/>
                <w:highlight w:val="none"/>
              </w:rPr>
              <w:t>”的，投标无效。</w:t>
            </w:r>
          </w:p>
        </w:tc>
      </w:tr>
      <w:tr w14:paraId="08E02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6" w:hRule="atLeast"/>
          <w:jc w:val="center"/>
        </w:trPr>
        <w:tc>
          <w:tcPr>
            <w:tcW w:w="567" w:type="dxa"/>
            <w:tcBorders>
              <w:top w:val="single" w:color="000000" w:sz="2" w:space="0"/>
              <w:left w:val="single" w:color="000000" w:sz="2" w:space="0"/>
              <w:bottom w:val="single" w:color="000000" w:sz="2" w:space="0"/>
              <w:right w:val="single" w:color="000000" w:sz="2" w:space="0"/>
            </w:tcBorders>
            <w:vAlign w:val="center"/>
          </w:tcPr>
          <w:p w14:paraId="6F1D8C20">
            <w:pPr>
              <w:snapToGrid w:val="0"/>
              <w:spacing w:line="460" w:lineRule="exact"/>
              <w:jc w:val="center"/>
              <w:rPr>
                <w:rFonts w:hint="default"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2"/>
                <w:sz w:val="22"/>
                <w:szCs w:val="22"/>
                <w:highlight w:val="none"/>
                <w:lang w:val="en-US" w:eastAsia="zh-CN" w:bidi="ar-SA"/>
              </w:rPr>
              <w:t>12</w:t>
            </w:r>
          </w:p>
        </w:tc>
        <w:tc>
          <w:tcPr>
            <w:tcW w:w="9113" w:type="dxa"/>
            <w:tcBorders>
              <w:top w:val="single" w:color="000000" w:sz="2" w:space="0"/>
              <w:left w:val="single" w:color="000000" w:sz="2" w:space="0"/>
              <w:bottom w:val="single" w:color="000000" w:sz="2" w:space="0"/>
              <w:right w:val="single" w:color="000000" w:sz="2" w:space="0"/>
            </w:tcBorders>
            <w:vAlign w:val="center"/>
          </w:tcPr>
          <w:p w14:paraId="45367AFE">
            <w:pPr>
              <w:snapToGrid w:val="0"/>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投标截止时间：</w:t>
            </w:r>
            <w:r>
              <w:rPr>
                <w:rFonts w:hint="eastAsia" w:ascii="新宋体" w:hAnsi="新宋体" w:eastAsia="新宋体" w:cs="新宋体"/>
                <w:b/>
                <w:bCs/>
                <w:color w:val="auto"/>
                <w:sz w:val="22"/>
                <w:szCs w:val="22"/>
                <w:highlight w:val="none"/>
                <w:lang w:val="en-US" w:eastAsia="zh-CN"/>
              </w:rPr>
              <w:t>详见招标公告。</w:t>
            </w:r>
          </w:p>
          <w:p w14:paraId="2874B003">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投标地点：</w:t>
            </w:r>
            <w:r>
              <w:rPr>
                <w:rFonts w:hint="eastAsia" w:ascii="新宋体" w:hAnsi="新宋体" w:eastAsia="新宋体" w:cs="新宋体"/>
                <w:b/>
                <w:bCs/>
                <w:color w:val="auto"/>
                <w:sz w:val="22"/>
                <w:szCs w:val="22"/>
                <w:highlight w:val="none"/>
                <w:lang w:val="en-US" w:eastAsia="zh-CN"/>
              </w:rPr>
              <w:t>详见招标公告。</w:t>
            </w:r>
          </w:p>
        </w:tc>
      </w:tr>
      <w:tr w14:paraId="74AB8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7" w:type="dxa"/>
            <w:tcBorders>
              <w:top w:val="single" w:color="000000" w:sz="2" w:space="0"/>
              <w:left w:val="single" w:color="000000" w:sz="8" w:space="0"/>
              <w:bottom w:val="single" w:color="auto" w:sz="4" w:space="0"/>
              <w:right w:val="single" w:color="000000" w:sz="2" w:space="0"/>
            </w:tcBorders>
            <w:vAlign w:val="center"/>
          </w:tcPr>
          <w:p w14:paraId="7B227EB4">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3</w:t>
            </w:r>
          </w:p>
        </w:tc>
        <w:tc>
          <w:tcPr>
            <w:tcW w:w="9113" w:type="dxa"/>
            <w:tcBorders>
              <w:top w:val="single" w:color="000000" w:sz="2" w:space="0"/>
              <w:left w:val="single" w:color="000000" w:sz="2" w:space="0"/>
              <w:bottom w:val="single" w:color="auto" w:sz="4" w:space="0"/>
              <w:right w:val="single" w:color="000000" w:sz="8" w:space="0"/>
            </w:tcBorders>
            <w:vAlign w:val="center"/>
          </w:tcPr>
          <w:p w14:paraId="7A5DA40B">
            <w:pPr>
              <w:widowControl/>
              <w:snapToGrid w:val="0"/>
              <w:spacing w:line="460" w:lineRule="exact"/>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开标时间：</w:t>
            </w:r>
            <w:r>
              <w:rPr>
                <w:rFonts w:hint="eastAsia" w:ascii="新宋体" w:hAnsi="新宋体" w:eastAsia="新宋体" w:cs="新宋体"/>
                <w:b/>
                <w:bCs/>
                <w:color w:val="auto"/>
                <w:sz w:val="22"/>
                <w:szCs w:val="22"/>
                <w:highlight w:val="none"/>
                <w:lang w:val="en-US" w:eastAsia="zh-CN"/>
              </w:rPr>
              <w:t>详见招标公告。</w:t>
            </w:r>
          </w:p>
          <w:p w14:paraId="3FEE3DCE">
            <w:pPr>
              <w:widowControl/>
              <w:snapToGrid w:val="0"/>
              <w:spacing w:line="460" w:lineRule="exact"/>
              <w:jc w:val="left"/>
              <w:rPr>
                <w:rFonts w:hint="eastAsia" w:ascii="新宋体" w:hAnsi="新宋体" w:eastAsia="新宋体" w:cs="新宋体"/>
                <w:color w:val="auto"/>
                <w:sz w:val="22"/>
                <w:szCs w:val="22"/>
                <w:highlight w:val="none"/>
                <w:lang w:eastAsia="zh-CN"/>
              </w:rPr>
            </w:pPr>
            <w:r>
              <w:rPr>
                <w:rFonts w:hint="eastAsia" w:ascii="新宋体" w:hAnsi="新宋体" w:eastAsia="新宋体" w:cs="新宋体"/>
                <w:b/>
                <w:bCs/>
                <w:color w:val="auto"/>
                <w:sz w:val="22"/>
                <w:szCs w:val="22"/>
                <w:highlight w:val="none"/>
              </w:rPr>
              <w:t>开标地点：</w:t>
            </w:r>
            <w:r>
              <w:rPr>
                <w:rFonts w:hint="eastAsia" w:ascii="新宋体" w:hAnsi="新宋体" w:eastAsia="新宋体" w:cs="新宋体"/>
                <w:b/>
                <w:bCs/>
                <w:color w:val="auto"/>
                <w:sz w:val="22"/>
                <w:szCs w:val="22"/>
                <w:highlight w:val="none"/>
                <w:lang w:val="en-US" w:eastAsia="zh-CN"/>
              </w:rPr>
              <w:t>详见招标公告。</w:t>
            </w:r>
          </w:p>
        </w:tc>
      </w:tr>
      <w:tr w14:paraId="7BA44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7" w:type="dxa"/>
            <w:tcBorders>
              <w:top w:val="single" w:color="000000" w:sz="2" w:space="0"/>
              <w:left w:val="single" w:color="000000" w:sz="8" w:space="0"/>
              <w:bottom w:val="single" w:color="auto" w:sz="4" w:space="0"/>
              <w:right w:val="single" w:color="000000" w:sz="2" w:space="0"/>
            </w:tcBorders>
            <w:vAlign w:val="center"/>
          </w:tcPr>
          <w:p w14:paraId="09E59E84">
            <w:pPr>
              <w:snapToGrid w:val="0"/>
              <w:spacing w:line="460" w:lineRule="exact"/>
              <w:jc w:val="center"/>
              <w:rPr>
                <w:rFonts w:hint="default"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14</w:t>
            </w:r>
          </w:p>
        </w:tc>
        <w:tc>
          <w:tcPr>
            <w:tcW w:w="9113" w:type="dxa"/>
            <w:tcBorders>
              <w:top w:val="single" w:color="000000" w:sz="2" w:space="0"/>
              <w:left w:val="single" w:color="000000" w:sz="2" w:space="0"/>
              <w:bottom w:val="single" w:color="auto" w:sz="4" w:space="0"/>
              <w:right w:val="single" w:color="000000" w:sz="8" w:space="0"/>
            </w:tcBorders>
            <w:vAlign w:val="center"/>
          </w:tcPr>
          <w:p w14:paraId="5D992B57">
            <w:pPr>
              <w:widowControl/>
              <w:snapToGrid w:val="0"/>
              <w:spacing w:line="460" w:lineRule="exact"/>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bidi="ar"/>
              </w:rPr>
              <w:t>评审地点：温州市鹿城区南汇街道勤民路鹿城壹号18幢803室</w:t>
            </w:r>
            <w:r>
              <w:rPr>
                <w:rFonts w:hint="eastAsia" w:ascii="新宋体" w:hAnsi="新宋体" w:eastAsia="新宋体" w:cs="新宋体"/>
                <w:b/>
                <w:bCs/>
                <w:color w:val="auto"/>
                <w:sz w:val="22"/>
                <w:szCs w:val="22"/>
                <w:highlight w:val="none"/>
              </w:rPr>
              <w:t>（政采云平台：http</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//zfcg.czt.zj.gov.cn）</w:t>
            </w:r>
          </w:p>
        </w:tc>
      </w:tr>
      <w:tr w14:paraId="2BBE8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7" w:type="dxa"/>
            <w:tcBorders>
              <w:top w:val="single" w:color="auto" w:sz="4" w:space="0"/>
              <w:left w:val="single" w:color="000000" w:sz="8" w:space="0"/>
              <w:bottom w:val="single" w:color="auto" w:sz="4" w:space="0"/>
              <w:right w:val="single" w:color="000000" w:sz="2" w:space="0"/>
            </w:tcBorders>
            <w:vAlign w:val="center"/>
          </w:tcPr>
          <w:p w14:paraId="1D3F617D">
            <w:pPr>
              <w:widowControl/>
              <w:snapToGrid w:val="0"/>
              <w:spacing w:line="460" w:lineRule="exact"/>
              <w:jc w:val="center"/>
              <w:textAlignment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0"/>
                <w:sz w:val="22"/>
                <w:szCs w:val="22"/>
                <w:highlight w:val="none"/>
              </w:rPr>
              <w:t>1</w:t>
            </w:r>
            <w:r>
              <w:rPr>
                <w:rFonts w:hint="eastAsia" w:ascii="新宋体" w:hAnsi="新宋体" w:eastAsia="新宋体" w:cs="新宋体"/>
                <w:b/>
                <w:bCs/>
                <w:color w:val="auto"/>
                <w:kern w:val="0"/>
                <w:sz w:val="22"/>
                <w:szCs w:val="22"/>
                <w:highlight w:val="none"/>
                <w:lang w:val="en-US" w:eastAsia="zh-CN"/>
              </w:rPr>
              <w:t>5</w:t>
            </w:r>
          </w:p>
        </w:tc>
        <w:tc>
          <w:tcPr>
            <w:tcW w:w="9113" w:type="dxa"/>
            <w:tcBorders>
              <w:top w:val="single" w:color="auto" w:sz="4" w:space="0"/>
              <w:left w:val="single" w:color="000000" w:sz="2" w:space="0"/>
              <w:bottom w:val="single" w:color="auto" w:sz="4" w:space="0"/>
              <w:right w:val="single" w:color="000000" w:sz="8" w:space="0"/>
            </w:tcBorders>
            <w:vAlign w:val="center"/>
          </w:tcPr>
          <w:p w14:paraId="6A037DF1">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带“▲”条款系指实质性要求条款</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“★”是关键技术参数及要求。</w:t>
            </w:r>
          </w:p>
        </w:tc>
      </w:tr>
      <w:tr w14:paraId="60424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7" w:type="dxa"/>
            <w:tcBorders>
              <w:top w:val="single" w:color="auto" w:sz="4" w:space="0"/>
              <w:left w:val="single" w:color="000000" w:sz="8" w:space="0"/>
              <w:bottom w:val="single" w:color="auto" w:sz="4" w:space="0"/>
              <w:right w:val="single" w:color="000000" w:sz="2" w:space="0"/>
            </w:tcBorders>
            <w:vAlign w:val="center"/>
          </w:tcPr>
          <w:p w14:paraId="21AC0CC4">
            <w:pPr>
              <w:widowControl/>
              <w:snapToGrid w:val="0"/>
              <w:spacing w:line="460" w:lineRule="exact"/>
              <w:jc w:val="center"/>
              <w:textAlignment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0"/>
                <w:sz w:val="22"/>
                <w:szCs w:val="22"/>
                <w:highlight w:val="none"/>
              </w:rPr>
              <w:t>1</w:t>
            </w:r>
            <w:r>
              <w:rPr>
                <w:rFonts w:hint="eastAsia" w:ascii="新宋体" w:hAnsi="新宋体" w:eastAsia="新宋体" w:cs="新宋体"/>
                <w:b/>
                <w:bCs/>
                <w:color w:val="auto"/>
                <w:kern w:val="0"/>
                <w:sz w:val="22"/>
                <w:szCs w:val="22"/>
                <w:highlight w:val="none"/>
                <w:lang w:val="en-US" w:eastAsia="zh-CN"/>
              </w:rPr>
              <w:t>6</w:t>
            </w:r>
          </w:p>
        </w:tc>
        <w:tc>
          <w:tcPr>
            <w:tcW w:w="9113" w:type="dxa"/>
            <w:tcBorders>
              <w:top w:val="single" w:color="auto" w:sz="4" w:space="0"/>
              <w:left w:val="single" w:color="000000" w:sz="2" w:space="0"/>
              <w:bottom w:val="single" w:color="auto" w:sz="4" w:space="0"/>
              <w:right w:val="single" w:color="000000" w:sz="8" w:space="0"/>
            </w:tcBorders>
            <w:vAlign w:val="center"/>
          </w:tcPr>
          <w:p w14:paraId="689CE44B">
            <w:pPr>
              <w:widowControl/>
              <w:snapToGrid w:val="0"/>
              <w:spacing w:line="460" w:lineRule="exact"/>
              <w:jc w:val="lef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//jinrong.zcygov.cn，查看信用融资政策文件及各相关银行服务方案，也可直接向各银行咨询相关业务。</w:t>
            </w:r>
          </w:p>
        </w:tc>
      </w:tr>
      <w:tr w14:paraId="05802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67" w:type="dxa"/>
            <w:tcBorders>
              <w:top w:val="single" w:color="000000" w:sz="2" w:space="0"/>
              <w:left w:val="single" w:color="000000" w:sz="8" w:space="0"/>
              <w:bottom w:val="single" w:color="000000" w:sz="2" w:space="0"/>
              <w:right w:val="single" w:color="000000" w:sz="2" w:space="0"/>
            </w:tcBorders>
            <w:vAlign w:val="center"/>
          </w:tcPr>
          <w:p w14:paraId="159375C3">
            <w:pPr>
              <w:widowControl/>
              <w:snapToGrid w:val="0"/>
              <w:spacing w:line="460" w:lineRule="exact"/>
              <w:jc w:val="center"/>
              <w:textAlignment w:val="center"/>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17</w:t>
            </w:r>
          </w:p>
        </w:tc>
        <w:tc>
          <w:tcPr>
            <w:tcW w:w="9113" w:type="dxa"/>
            <w:tcBorders>
              <w:top w:val="single" w:color="000000" w:sz="2" w:space="0"/>
              <w:left w:val="single" w:color="000000" w:sz="2" w:space="0"/>
              <w:bottom w:val="single" w:color="000000" w:sz="2" w:space="0"/>
              <w:right w:val="single" w:color="000000" w:sz="8" w:space="0"/>
            </w:tcBorders>
            <w:vAlign w:val="center"/>
          </w:tcPr>
          <w:p w14:paraId="22BAA9A4">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10"/>
                <w:sz w:val="22"/>
                <w:szCs w:val="22"/>
                <w:highlight w:val="none"/>
              </w:rPr>
              <w:t>潜在供应商需在浙江政府采购网http</w:t>
            </w:r>
            <w:r>
              <w:rPr>
                <w:rFonts w:hint="eastAsia" w:ascii="新宋体" w:hAnsi="新宋体" w:eastAsia="新宋体" w:cs="新宋体"/>
                <w:b/>
                <w:color w:val="auto"/>
                <w:kern w:val="10"/>
                <w:sz w:val="22"/>
                <w:szCs w:val="22"/>
                <w:highlight w:val="none"/>
                <w:lang w:eastAsia="zh-CN"/>
              </w:rPr>
              <w:t>：</w:t>
            </w:r>
            <w:r>
              <w:rPr>
                <w:rFonts w:hint="eastAsia" w:ascii="新宋体" w:hAnsi="新宋体" w:eastAsia="新宋体" w:cs="新宋体"/>
                <w:b/>
                <w:color w:val="auto"/>
                <w:kern w:val="10"/>
                <w:sz w:val="22"/>
                <w:szCs w:val="22"/>
                <w:highlight w:val="none"/>
              </w:rPr>
              <w:t>//zfcg.czt.zj.gov.cn/进行免费注册，具体详见浙江政府采购网供应商注册要求。</w:t>
            </w:r>
          </w:p>
        </w:tc>
      </w:tr>
      <w:tr w14:paraId="7245C1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7" w:type="dxa"/>
            <w:tcBorders>
              <w:top w:val="single" w:color="000000" w:sz="2" w:space="0"/>
              <w:left w:val="single" w:color="000000" w:sz="8" w:space="0"/>
              <w:bottom w:val="single" w:color="000000" w:sz="2" w:space="0"/>
              <w:right w:val="single" w:color="000000" w:sz="2" w:space="0"/>
            </w:tcBorders>
            <w:vAlign w:val="center"/>
          </w:tcPr>
          <w:p w14:paraId="53978DCF">
            <w:pPr>
              <w:widowControl/>
              <w:snapToGrid w:val="0"/>
              <w:spacing w:line="460" w:lineRule="exact"/>
              <w:jc w:val="center"/>
              <w:textAlignment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kern w:val="0"/>
                <w:sz w:val="22"/>
                <w:szCs w:val="22"/>
                <w:highlight w:val="none"/>
              </w:rPr>
              <w:t>1</w:t>
            </w:r>
            <w:r>
              <w:rPr>
                <w:rFonts w:hint="eastAsia" w:ascii="新宋体" w:hAnsi="新宋体" w:eastAsia="新宋体" w:cs="新宋体"/>
                <w:b/>
                <w:bCs/>
                <w:color w:val="auto"/>
                <w:kern w:val="0"/>
                <w:sz w:val="22"/>
                <w:szCs w:val="22"/>
                <w:highlight w:val="none"/>
                <w:lang w:val="en-US" w:eastAsia="zh-CN"/>
              </w:rPr>
              <w:t>8</w:t>
            </w:r>
          </w:p>
        </w:tc>
        <w:tc>
          <w:tcPr>
            <w:tcW w:w="9113" w:type="dxa"/>
            <w:tcBorders>
              <w:top w:val="single" w:color="000000" w:sz="2" w:space="0"/>
              <w:left w:val="single" w:color="000000" w:sz="2" w:space="0"/>
              <w:bottom w:val="single" w:color="000000" w:sz="2" w:space="0"/>
              <w:right w:val="single" w:color="000000" w:sz="8" w:space="0"/>
            </w:tcBorders>
            <w:vAlign w:val="center"/>
          </w:tcPr>
          <w:p w14:paraId="6948E470">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1、扶持中小企业（监狱企业、残疾人福利性单位）：</w:t>
            </w:r>
          </w:p>
          <w:p w14:paraId="1D0621D1">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4EAF5EBA">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（1）项目预算：</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650000.00</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元</w:t>
            </w:r>
          </w:p>
          <w:p w14:paraId="55E396B1">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（2）项目属性：</w:t>
            </w:r>
            <w:r>
              <w:rPr>
                <w:rFonts w:hint="eastAsia" w:ascii="新宋体" w:hAnsi="新宋体" w:eastAsia="新宋体" w:cs="新宋体"/>
                <w:color w:val="auto"/>
                <w:kern w:val="0"/>
                <w:sz w:val="22"/>
                <w:szCs w:val="22"/>
                <w:highlight w:val="none"/>
                <w:u w:val="single"/>
              </w:rPr>
              <w:t> ②服务类 </w:t>
            </w:r>
            <w:r>
              <w:rPr>
                <w:rFonts w:hint="eastAsia" w:ascii="新宋体" w:hAnsi="新宋体" w:eastAsia="新宋体" w:cs="新宋体"/>
                <w:color w:val="auto"/>
                <w:kern w:val="0"/>
                <w:sz w:val="22"/>
                <w:szCs w:val="22"/>
                <w:highlight w:val="none"/>
              </w:rPr>
              <w:t>（①货物类/②服务类/③工程类）</w:t>
            </w:r>
          </w:p>
          <w:p w14:paraId="47BB1824">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（3）项目对应的中小企业划分标准所属行业：</w:t>
            </w:r>
            <w:r>
              <w:rPr>
                <w:rFonts w:hint="eastAsia" w:ascii="新宋体" w:hAnsi="新宋体" w:eastAsia="新宋体" w:cs="新宋体"/>
                <w:color w:val="auto"/>
                <w:kern w:val="0"/>
                <w:sz w:val="22"/>
                <w:szCs w:val="22"/>
                <w:highlight w:val="none"/>
                <w:u w:val="single"/>
              </w:rPr>
              <w:t> 租赁和商业服务业 </w:t>
            </w:r>
            <w:r>
              <w:rPr>
                <w:rFonts w:hint="eastAsia" w:ascii="新宋体" w:hAnsi="新宋体" w:eastAsia="新宋体" w:cs="新宋体"/>
                <w:color w:val="auto"/>
                <w:kern w:val="0"/>
                <w:sz w:val="22"/>
                <w:szCs w:val="22"/>
                <w:highlight w:val="none"/>
              </w:rPr>
              <w:t>（具体根据《中小企业划型标准规定》执行）</w:t>
            </w:r>
          </w:p>
          <w:p w14:paraId="1A427149">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6A8878B1">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（4）本项目</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lang w:val="en-US" w:eastAsia="zh-CN"/>
              </w:rPr>
              <w:t xml:space="preserve"> 否</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（是/否）属于预留份额专门面向中小企业采购的项目。</w:t>
            </w:r>
          </w:p>
          <w:p w14:paraId="10A21383">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（5）上述第4项中确定为“是”的采购项目，预留份额通过（</w:t>
            </w:r>
            <w:r>
              <w:rPr>
                <w:rFonts w:hint="eastAsia" w:ascii="新宋体" w:hAnsi="新宋体" w:eastAsia="新宋体" w:cs="新宋体"/>
                <w:color w:val="auto"/>
                <w:kern w:val="0"/>
                <w:sz w:val="22"/>
                <w:szCs w:val="22"/>
                <w:highlight w:val="none"/>
                <w:lang w:val="en-US" w:eastAsia="zh-CN"/>
              </w:rPr>
              <w:t xml:space="preserve"> </w:t>
            </w:r>
            <w:r>
              <w:rPr>
                <w:rFonts w:hint="eastAsia" w:ascii="新宋体" w:hAnsi="新宋体" w:eastAsia="新宋体" w:cs="新宋体"/>
                <w:color w:val="auto"/>
                <w:kern w:val="0"/>
                <w:sz w:val="22"/>
                <w:szCs w:val="22"/>
                <w:highlight w:val="none"/>
              </w:rPr>
              <w:t>）措施进行：</w:t>
            </w:r>
          </w:p>
          <w:p w14:paraId="42A36835">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①将采购项目整体或者设置采购包专门面向中小企业采购； </w:t>
            </w:r>
          </w:p>
          <w:p w14:paraId="40F7F9F5">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②要求供应商以联合体形式参加采购活动，且联合体中中小企业承担的部分达到</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比例</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 xml:space="preserve">； </w:t>
            </w:r>
          </w:p>
          <w:p w14:paraId="689A6344">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③要求获得采购合同的供应商将采购项目中的</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比例</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分包给一家或者多家中小企业。</w:t>
            </w:r>
          </w:p>
          <w:p w14:paraId="3922578E">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（6）对于经主管预算单位统筹后未预留份额专门面向中小企业采购的采购项目，以及预留份额项目中的非预留部分采购包，对符合本办法规定的小微企业报价给予</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10%</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10</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2</w:t>
            </w:r>
            <w:r>
              <w:rPr>
                <w:rFonts w:hint="eastAsia" w:ascii="新宋体" w:hAnsi="新宋体" w:eastAsia="新宋体" w:cs="新宋体"/>
                <w:color w:val="auto"/>
                <w:kern w:val="0"/>
                <w:sz w:val="22"/>
                <w:szCs w:val="22"/>
                <w:highlight w:val="none"/>
              </w:rPr>
              <w:t xml:space="preserve">0%）（工程项目为 3%—5%）的扣除，用扣除后的价格参加评审。 </w:t>
            </w:r>
          </w:p>
          <w:p w14:paraId="7AB31656">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对于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4%</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4</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6</w:t>
            </w:r>
            <w:r>
              <w:rPr>
                <w:rFonts w:hint="eastAsia" w:ascii="新宋体" w:hAnsi="新宋体" w:eastAsia="新宋体" w:cs="新宋体"/>
                <w:color w:val="auto"/>
                <w:kern w:val="0"/>
                <w:sz w:val="22"/>
                <w:szCs w:val="22"/>
                <w:highlight w:val="none"/>
              </w:rPr>
              <w:t>%）（工程项目为 1%—2%）的扣除，用扣除后的价格参加评审。</w:t>
            </w:r>
          </w:p>
          <w:p w14:paraId="77864C09">
            <w:pPr>
              <w:widowControl/>
              <w:snapToGrid w:val="0"/>
              <w:spacing w:line="460" w:lineRule="exact"/>
              <w:ind w:firstLine="442"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kern w:val="0"/>
                <w:sz w:val="22"/>
                <w:szCs w:val="22"/>
                <w:highlight w:val="none"/>
              </w:rPr>
              <w:t>专门面向中小企业采购的项目或者标项，不再执行价格评审优惠的扶持政策。</w:t>
            </w:r>
          </w:p>
          <w:p w14:paraId="0DBB89B7">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2、节能产品、环境标志产品的强制采购政策</w:t>
            </w:r>
          </w:p>
          <w:p w14:paraId="30471752">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w:t>
            </w:r>
            <w:r>
              <w:rPr>
                <w:rFonts w:hint="eastAsia" w:ascii="新宋体" w:hAnsi="新宋体" w:eastAsia="新宋体" w:cs="新宋体"/>
                <w:color w:val="auto"/>
                <w:kern w:val="0"/>
                <w:sz w:val="22"/>
                <w:szCs w:val="22"/>
                <w:highlight w:val="none"/>
                <w:lang w:eastAsia="zh-CN"/>
              </w:rPr>
              <w:t>采购人</w:t>
            </w:r>
            <w:r>
              <w:rPr>
                <w:rFonts w:hint="eastAsia" w:ascii="新宋体" w:hAnsi="新宋体" w:eastAsia="新宋体" w:cs="新宋体"/>
                <w:color w:val="auto"/>
                <w:kern w:val="0"/>
                <w:sz w:val="22"/>
                <w:szCs w:val="22"/>
                <w:highlight w:val="none"/>
              </w:rPr>
              <w:t>拟采购的产品属于品目清单范围内的强制采购品目的，</w:t>
            </w:r>
            <w:r>
              <w:rPr>
                <w:rFonts w:hint="eastAsia" w:ascii="新宋体" w:hAnsi="新宋体" w:eastAsia="新宋体" w:cs="新宋体"/>
                <w:color w:val="auto"/>
                <w:kern w:val="0"/>
                <w:sz w:val="22"/>
                <w:szCs w:val="22"/>
                <w:highlight w:val="none"/>
                <w:lang w:val="en-US" w:eastAsia="zh-CN"/>
              </w:rPr>
              <w:t>投标</w:t>
            </w:r>
            <w:r>
              <w:rPr>
                <w:rFonts w:hint="eastAsia" w:ascii="新宋体" w:hAnsi="新宋体" w:eastAsia="新宋体" w:cs="新宋体"/>
                <w:color w:val="auto"/>
                <w:kern w:val="0"/>
                <w:sz w:val="22"/>
                <w:szCs w:val="22"/>
                <w:highlight w:val="none"/>
              </w:rPr>
              <w:t>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29409706">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3、节能产品、环境标志产品的优先采购政策</w:t>
            </w:r>
          </w:p>
          <w:p w14:paraId="1FADA9F3">
            <w:pPr>
              <w:widowControl/>
              <w:snapToGrid w:val="0"/>
              <w:spacing w:line="460" w:lineRule="exact"/>
              <w:ind w:firstLine="440" w:firstLineChars="200"/>
              <w:jc w:val="left"/>
              <w:rPr>
                <w:rFonts w:hint="eastAsia" w:ascii="新宋体" w:hAnsi="新宋体" w:eastAsia="新宋体" w:cs="新宋体"/>
                <w:b/>
                <w:color w:val="auto"/>
                <w:kern w:val="1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w:t>
            </w:r>
            <w:r>
              <w:rPr>
                <w:rFonts w:hint="eastAsia" w:ascii="新宋体" w:hAnsi="新宋体" w:eastAsia="新宋体" w:cs="新宋体"/>
                <w:color w:val="auto"/>
                <w:kern w:val="0"/>
                <w:sz w:val="22"/>
                <w:szCs w:val="22"/>
                <w:highlight w:val="none"/>
                <w:lang w:eastAsia="zh-CN"/>
              </w:rPr>
              <w:t>采购人</w:t>
            </w:r>
            <w:r>
              <w:rPr>
                <w:rFonts w:hint="eastAsia" w:ascii="新宋体" w:hAnsi="新宋体" w:eastAsia="新宋体" w:cs="新宋体"/>
                <w:color w:val="auto"/>
                <w:kern w:val="0"/>
                <w:sz w:val="22"/>
                <w:szCs w:val="22"/>
                <w:highlight w:val="none"/>
              </w:rPr>
              <w:t>拟采购的产品属于品目清单范围内的优先采购品目的，</w:t>
            </w:r>
            <w:r>
              <w:rPr>
                <w:rFonts w:hint="eastAsia" w:ascii="新宋体" w:hAnsi="新宋体" w:eastAsia="新宋体" w:cs="新宋体"/>
                <w:color w:val="auto"/>
                <w:kern w:val="0"/>
                <w:sz w:val="22"/>
                <w:szCs w:val="22"/>
                <w:highlight w:val="none"/>
                <w:lang w:val="en-US" w:eastAsia="zh-CN"/>
              </w:rPr>
              <w:t>投标</w:t>
            </w:r>
            <w:r>
              <w:rPr>
                <w:rFonts w:hint="eastAsia" w:ascii="新宋体" w:hAnsi="新宋体" w:eastAsia="新宋体" w:cs="新宋体"/>
                <w:color w:val="auto"/>
                <w:kern w:val="0"/>
                <w:sz w:val="22"/>
                <w:szCs w:val="22"/>
                <w:highlight w:val="none"/>
              </w:rPr>
              <w:t>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30B26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7" w:type="dxa"/>
            <w:tcBorders>
              <w:top w:val="single" w:color="000000" w:sz="2" w:space="0"/>
              <w:left w:val="single" w:color="000000" w:sz="8" w:space="0"/>
              <w:bottom w:val="single" w:color="000000" w:sz="2" w:space="0"/>
              <w:right w:val="single" w:color="000000" w:sz="2" w:space="0"/>
            </w:tcBorders>
            <w:vAlign w:val="center"/>
          </w:tcPr>
          <w:p w14:paraId="77AAE892">
            <w:pPr>
              <w:widowControl/>
              <w:snapToGrid w:val="0"/>
              <w:spacing w:line="460" w:lineRule="exact"/>
              <w:jc w:val="center"/>
              <w:textAlignment w:val="center"/>
              <w:rPr>
                <w:rFonts w:hint="default"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kern w:val="0"/>
                <w:sz w:val="22"/>
                <w:szCs w:val="22"/>
                <w:highlight w:val="none"/>
                <w:lang w:val="en-US" w:eastAsia="zh-CN"/>
              </w:rPr>
              <w:t>19</w:t>
            </w:r>
          </w:p>
        </w:tc>
        <w:tc>
          <w:tcPr>
            <w:tcW w:w="9113" w:type="dxa"/>
            <w:tcBorders>
              <w:top w:val="single" w:color="000000" w:sz="2" w:space="0"/>
              <w:left w:val="single" w:color="000000" w:sz="2" w:space="0"/>
              <w:bottom w:val="single" w:color="000000" w:sz="2" w:space="0"/>
              <w:right w:val="single" w:color="000000" w:sz="8" w:space="0"/>
            </w:tcBorders>
            <w:vAlign w:val="center"/>
          </w:tcPr>
          <w:p w14:paraId="18795D3A">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根据《关于在政府采购活动中查询及使用信用记录有关问题的通知》财库[2016]125号的规定：</w:t>
            </w:r>
          </w:p>
          <w:p w14:paraId="264A274B">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或</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将对本项目投标人的信用记录进行查询。查询渠道为信用中国网站（</w:t>
            </w:r>
            <w:bookmarkStart w:id="11" w:name="OLE_LINK8"/>
            <w:r>
              <w:rPr>
                <w:rFonts w:hint="eastAsia" w:ascii="新宋体" w:hAnsi="新宋体" w:eastAsia="新宋体" w:cs="新宋体"/>
                <w:color w:val="auto"/>
                <w:sz w:val="22"/>
                <w:szCs w:val="22"/>
                <w:highlight w:val="none"/>
              </w:rPr>
              <w:t>https://www.creditchina.gov.cn/</w:t>
            </w:r>
            <w:bookmarkEnd w:id="11"/>
            <w:r>
              <w:rPr>
                <w:rFonts w:hint="eastAsia" w:ascii="新宋体" w:hAnsi="新宋体" w:eastAsia="新宋体" w:cs="新宋体"/>
                <w:color w:val="auto"/>
                <w:sz w:val="22"/>
                <w:szCs w:val="22"/>
                <w:highlight w:val="none"/>
              </w:rPr>
              <w:t>）、中国政府采购网（</w:t>
            </w:r>
            <w:bookmarkStart w:id="12" w:name="OLE_LINK10"/>
            <w:r>
              <w:rPr>
                <w:rFonts w:hint="eastAsia" w:ascii="新宋体" w:hAnsi="新宋体" w:eastAsia="新宋体" w:cs="新宋体"/>
                <w:color w:val="auto"/>
                <w:sz w:val="22"/>
                <w:szCs w:val="22"/>
                <w:highlight w:val="none"/>
              </w:rPr>
              <w:t>http://www.ccgp.gov.cn/</w:t>
            </w:r>
            <w:bookmarkEnd w:id="12"/>
            <w:r>
              <w:rPr>
                <w:rFonts w:hint="eastAsia" w:ascii="新宋体" w:hAnsi="新宋体" w:eastAsia="新宋体" w:cs="新宋体"/>
                <w:color w:val="auto"/>
                <w:sz w:val="22"/>
                <w:szCs w:val="22"/>
                <w:highlight w:val="none"/>
              </w:rPr>
              <w:t>）；</w:t>
            </w:r>
          </w:p>
          <w:p w14:paraId="7606B280">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（2）截止时点：提交投标文件（响应文件）截止时间前3年内；</w:t>
            </w:r>
          </w:p>
          <w:p w14:paraId="4DCAF20F">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（3）查询记录和证据的留存：信用信息查询记录和证据以网页截图等方式留存。</w:t>
            </w:r>
          </w:p>
          <w:p w14:paraId="33A75F58">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3F89E19A">
            <w:pPr>
              <w:snapToGrid w:val="0"/>
              <w:spacing w:line="460" w:lineRule="exact"/>
              <w:ind w:left="105" w:leftChars="50"/>
              <w:rPr>
                <w:rFonts w:hint="eastAsia" w:ascii="新宋体" w:hAnsi="新宋体" w:eastAsia="新宋体" w:cs="新宋体"/>
                <w:b/>
                <w:color w:val="auto"/>
                <w:kern w:val="10"/>
                <w:sz w:val="22"/>
                <w:szCs w:val="22"/>
                <w:highlight w:val="none"/>
              </w:rPr>
            </w:pPr>
            <w:r>
              <w:rPr>
                <w:rFonts w:hint="eastAsia" w:ascii="新宋体" w:hAnsi="新宋体" w:eastAsia="新宋体" w:cs="新宋体"/>
                <w:color w:val="auto"/>
                <w:sz w:val="22"/>
                <w:szCs w:val="22"/>
                <w:highlight w:val="none"/>
              </w:rPr>
              <w:t>（5）联合体成员任意一方存在不良信用记录的，视同联合体存在不良信用记录。</w:t>
            </w:r>
          </w:p>
        </w:tc>
      </w:tr>
    </w:tbl>
    <w:p w14:paraId="53D785F9">
      <w:pPr>
        <w:spacing w:before="100" w:beforeAutospacing="1" w:after="100" w:afterAutospacing="1" w:line="460" w:lineRule="exact"/>
        <w:jc w:val="center"/>
        <w:outlineLvl w:val="2"/>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6"/>
          <w:szCs w:val="26"/>
          <w:highlight w:val="none"/>
        </w:rPr>
        <w:br w:type="page"/>
      </w:r>
      <w:bookmarkStart w:id="13" w:name="_Toc16222"/>
      <w:r>
        <w:rPr>
          <w:rFonts w:hint="eastAsia" w:ascii="新宋体" w:hAnsi="新宋体" w:eastAsia="新宋体" w:cs="新宋体"/>
          <w:b/>
          <w:bCs/>
          <w:color w:val="auto"/>
          <w:sz w:val="26"/>
          <w:szCs w:val="26"/>
          <w:highlight w:val="none"/>
        </w:rPr>
        <w:t>一、 说   明</w:t>
      </w:r>
      <w:bookmarkEnd w:id="13"/>
    </w:p>
    <w:p w14:paraId="575A22B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1、本次</w:t>
      </w:r>
      <w:r>
        <w:rPr>
          <w:rFonts w:hint="eastAsia" w:ascii="新宋体" w:hAnsi="新宋体" w:eastAsia="新宋体" w:cs="新宋体"/>
          <w:color w:val="auto"/>
          <w:sz w:val="22"/>
          <w:szCs w:val="22"/>
          <w:highlight w:val="none"/>
          <w:lang w:val="en-US" w:eastAsia="zh-CN"/>
        </w:rPr>
        <w:t>采购</w:t>
      </w:r>
      <w:r>
        <w:rPr>
          <w:rFonts w:hint="eastAsia" w:ascii="新宋体" w:hAnsi="新宋体" w:eastAsia="新宋体" w:cs="新宋体"/>
          <w:color w:val="auto"/>
          <w:sz w:val="22"/>
          <w:szCs w:val="22"/>
          <w:highlight w:val="none"/>
        </w:rPr>
        <w:t>是按照《中华人民共和国政府采购法》、《政府采购货物和服务招标投标管理办法》、《中华人民共和国政府采购法实施条例》和《关于进一步规范政府采购活动的若干意见》等法律及有关法规组织和实施的。</w:t>
      </w:r>
    </w:p>
    <w:p w14:paraId="33F73F6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2、定义</w:t>
      </w:r>
    </w:p>
    <w:p w14:paraId="50F4EE6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：是指依法进行采购的国家机关、事业单位、团体组织</w:t>
      </w:r>
    </w:p>
    <w:p w14:paraId="5C9BA69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：受</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委托，在委托的范围内办理采购事宜的机构；</w:t>
      </w:r>
    </w:p>
    <w:p w14:paraId="08E26A0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投标人：是指参加本采购项目投标的供应商；</w:t>
      </w:r>
    </w:p>
    <w:p w14:paraId="67A0166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投标人代表：是指参加本项目投标活动的供应商法定代表人或法定代表人授权代表；</w:t>
      </w:r>
    </w:p>
    <w:p w14:paraId="2569093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投标联合体：是指两个以上供应商组成联合体，以一个供应商的身份参加投标；</w:t>
      </w:r>
    </w:p>
    <w:p w14:paraId="5C56EAC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甲方：是指合同签订的一方，一般与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、用户相同；</w:t>
      </w:r>
    </w:p>
    <w:p w14:paraId="599B368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乙方：是指合同签订的另一方，与中标人相同；</w:t>
      </w:r>
    </w:p>
    <w:p w14:paraId="11BA1F2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制造商：是指拥有投标产品自主知识产权的单位；</w:t>
      </w:r>
    </w:p>
    <w:p w14:paraId="4EF6F68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带“▲”条款系指实质性要求条款</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“★”是关键技术参数及要求。</w:t>
      </w:r>
    </w:p>
    <w:p w14:paraId="7B4CEFC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3、投标人代表</w:t>
      </w:r>
    </w:p>
    <w:p w14:paraId="51F8836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szCs w:val="22"/>
          <w:highlight w:val="none"/>
        </w:rPr>
        <w:t>3.1</w:t>
      </w:r>
      <w:r>
        <w:rPr>
          <w:rFonts w:hint="eastAsia" w:ascii="新宋体" w:hAnsi="新宋体" w:eastAsia="新宋体" w:cs="新宋体"/>
          <w:b/>
          <w:color w:val="auto"/>
          <w:sz w:val="22"/>
          <w:highlight w:val="none"/>
        </w:rPr>
        <w:t>指全权代表投标人参加投标活动并签署投标文件的人。如果投标人代表不是法定代表人，须持有《法定代表人授权书》（见附件）</w:t>
      </w:r>
    </w:p>
    <w:p w14:paraId="0B52E4D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根据政府采购相关法律、法规、规章、文件规定并满足</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规定资格条件的区域性分支机构、个体工商户、个人独资企业、合伙企业参加本项目投标并由单位负责人签署的相关投标资料与本</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规定由法定代表人签署的的文件材料具有同等效力</w:t>
      </w:r>
      <w:r>
        <w:rPr>
          <w:rFonts w:hint="eastAsia" w:ascii="新宋体" w:hAnsi="新宋体" w:eastAsia="新宋体" w:cs="新宋体"/>
          <w:b/>
          <w:color w:val="auto"/>
          <w:sz w:val="22"/>
          <w:szCs w:val="22"/>
          <w:highlight w:val="none"/>
        </w:rPr>
        <w:t>。</w:t>
      </w:r>
    </w:p>
    <w:p w14:paraId="55FD993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4、投标费用</w:t>
      </w:r>
    </w:p>
    <w:p w14:paraId="78AD690A">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4.1</w:t>
      </w:r>
      <w:r>
        <w:rPr>
          <w:rFonts w:hint="eastAsia" w:ascii="新宋体" w:hAnsi="新宋体" w:eastAsia="新宋体" w:cs="新宋体"/>
          <w:color w:val="auto"/>
          <w:sz w:val="22"/>
          <w:szCs w:val="22"/>
          <w:highlight w:val="none"/>
        </w:rPr>
        <w:t>投标人应承担所有与准备和参加投标有关费用，不论投标的结果如何，</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或</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均无义务和责任承担这些费用。</w:t>
      </w:r>
    </w:p>
    <w:p w14:paraId="7DC4F795">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lang w:eastAsia="zh-CN"/>
        </w:rPr>
      </w:pPr>
      <w:bookmarkStart w:id="14" w:name="_Toc31880"/>
      <w:r>
        <w:rPr>
          <w:rFonts w:hint="eastAsia" w:ascii="新宋体" w:hAnsi="新宋体" w:eastAsia="新宋体" w:cs="新宋体"/>
          <w:b/>
          <w:bCs/>
          <w:color w:val="auto"/>
          <w:sz w:val="26"/>
          <w:szCs w:val="26"/>
          <w:highlight w:val="none"/>
        </w:rPr>
        <w:t xml:space="preserve">二、 </w:t>
      </w:r>
      <w:r>
        <w:rPr>
          <w:rFonts w:hint="eastAsia" w:ascii="新宋体" w:hAnsi="新宋体" w:eastAsia="新宋体" w:cs="新宋体"/>
          <w:b/>
          <w:bCs/>
          <w:color w:val="auto"/>
          <w:sz w:val="26"/>
          <w:szCs w:val="26"/>
          <w:highlight w:val="none"/>
          <w:lang w:eastAsia="zh-CN"/>
        </w:rPr>
        <w:t>采购文件</w:t>
      </w:r>
      <w:bookmarkEnd w:id="14"/>
    </w:p>
    <w:p w14:paraId="20133E0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由</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目录所列内容及相关资料组成。</w:t>
      </w:r>
    </w:p>
    <w:p w14:paraId="7A0127B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2、</w:t>
      </w:r>
      <w:r>
        <w:rPr>
          <w:rFonts w:hint="eastAsia" w:ascii="新宋体" w:hAnsi="新宋体" w:eastAsia="新宋体" w:cs="新宋体"/>
          <w:b/>
          <w:color w:val="auto"/>
          <w:sz w:val="22"/>
          <w:highlight w:val="none"/>
          <w:lang w:eastAsia="zh-CN"/>
        </w:rPr>
        <w:t>采购文件</w:t>
      </w:r>
      <w:r>
        <w:rPr>
          <w:rFonts w:hint="eastAsia" w:ascii="新宋体" w:hAnsi="新宋体" w:eastAsia="新宋体" w:cs="新宋体"/>
          <w:b/>
          <w:color w:val="auto"/>
          <w:sz w:val="22"/>
          <w:highlight w:val="none"/>
        </w:rPr>
        <w:t>的澄清</w:t>
      </w:r>
    </w:p>
    <w:p w14:paraId="46BDC1E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2.1任何要求对</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进行澄清的投标人，均应以书面形式（信函、传真，下同）通知，但该通知在知道或应知道其权益受到损害之日起七个工作日内以使</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收到，</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将以书面形式予以答复。如果</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澄清期内未收到有关澄清要求，视为投标人完全同意</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所有条款，且对于</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有关表述以及未尽事宜如有异议，以</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解释为准。</w:t>
      </w:r>
    </w:p>
    <w:p w14:paraId="03C427B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3、</w:t>
      </w:r>
      <w:r>
        <w:rPr>
          <w:rFonts w:hint="eastAsia" w:ascii="新宋体" w:hAnsi="新宋体" w:eastAsia="新宋体" w:cs="新宋体"/>
          <w:b/>
          <w:color w:val="auto"/>
          <w:sz w:val="22"/>
          <w:highlight w:val="none"/>
          <w:lang w:eastAsia="zh-CN"/>
        </w:rPr>
        <w:t>采购文件</w:t>
      </w:r>
      <w:r>
        <w:rPr>
          <w:rFonts w:hint="eastAsia" w:ascii="新宋体" w:hAnsi="新宋体" w:eastAsia="新宋体" w:cs="新宋体"/>
          <w:b/>
          <w:color w:val="auto"/>
          <w:sz w:val="22"/>
          <w:highlight w:val="none"/>
        </w:rPr>
        <w:t>的修改</w:t>
      </w:r>
    </w:p>
    <w:p w14:paraId="2970E559">
      <w:pPr>
        <w:spacing w:line="460" w:lineRule="exact"/>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3.1</w:t>
      </w:r>
      <w:r>
        <w:rPr>
          <w:rFonts w:hint="eastAsia" w:ascii="新宋体" w:hAnsi="新宋体" w:eastAsia="新宋体" w:cs="新宋体"/>
          <w:b w:val="0"/>
          <w:bCs/>
          <w:color w:val="auto"/>
          <w:sz w:val="22"/>
          <w:szCs w:val="22"/>
          <w:highlight w:val="none"/>
          <w:lang w:eastAsia="zh-CN"/>
        </w:rPr>
        <w:t>采购人</w:t>
      </w:r>
      <w:r>
        <w:rPr>
          <w:rFonts w:hint="eastAsia" w:ascii="新宋体" w:hAnsi="新宋体" w:eastAsia="新宋体" w:cs="新宋体"/>
          <w:b w:val="0"/>
          <w:bCs/>
          <w:color w:val="auto"/>
          <w:sz w:val="22"/>
          <w:szCs w:val="22"/>
          <w:highlight w:val="none"/>
        </w:rPr>
        <w:t>或</w:t>
      </w:r>
      <w:r>
        <w:rPr>
          <w:rFonts w:hint="eastAsia" w:ascii="新宋体" w:hAnsi="新宋体" w:eastAsia="新宋体" w:cs="新宋体"/>
          <w:b w:val="0"/>
          <w:bCs/>
          <w:color w:val="auto"/>
          <w:sz w:val="22"/>
          <w:szCs w:val="22"/>
          <w:highlight w:val="none"/>
          <w:lang w:eastAsia="zh-CN"/>
        </w:rPr>
        <w:t>采购代理机构</w:t>
      </w:r>
      <w:r>
        <w:rPr>
          <w:rFonts w:hint="eastAsia" w:ascii="新宋体" w:hAnsi="新宋体" w:eastAsia="新宋体" w:cs="新宋体"/>
          <w:b w:val="0"/>
          <w:bCs/>
          <w:color w:val="auto"/>
          <w:sz w:val="22"/>
          <w:szCs w:val="22"/>
          <w:highlight w:val="none"/>
        </w:rPr>
        <w:t>对已发出的</w:t>
      </w:r>
      <w:r>
        <w:rPr>
          <w:rFonts w:hint="eastAsia" w:ascii="新宋体" w:hAnsi="新宋体" w:eastAsia="新宋体" w:cs="新宋体"/>
          <w:b w:val="0"/>
          <w:bCs/>
          <w:color w:val="auto"/>
          <w:sz w:val="22"/>
          <w:szCs w:val="22"/>
          <w:highlight w:val="none"/>
          <w:lang w:eastAsia="zh-CN"/>
        </w:rPr>
        <w:t>采购文件</w:t>
      </w:r>
      <w:r>
        <w:rPr>
          <w:rFonts w:hint="eastAsia" w:ascii="新宋体" w:hAnsi="新宋体" w:eastAsia="新宋体" w:cs="新宋体"/>
          <w:b w:val="0"/>
          <w:bCs/>
          <w:color w:val="auto"/>
          <w:sz w:val="22"/>
          <w:szCs w:val="22"/>
          <w:highlight w:val="none"/>
        </w:rPr>
        <w:t>进行必要的澄清或者修改的，应当在</w:t>
      </w:r>
      <w:r>
        <w:rPr>
          <w:rFonts w:hint="eastAsia" w:ascii="新宋体" w:hAnsi="新宋体" w:eastAsia="新宋体" w:cs="新宋体"/>
          <w:b w:val="0"/>
          <w:bCs/>
          <w:color w:val="auto"/>
          <w:sz w:val="22"/>
          <w:szCs w:val="22"/>
          <w:highlight w:val="none"/>
          <w:lang w:eastAsia="zh-CN"/>
        </w:rPr>
        <w:t>采购文件</w:t>
      </w:r>
      <w:r>
        <w:rPr>
          <w:rFonts w:hint="eastAsia" w:ascii="新宋体" w:hAnsi="新宋体" w:eastAsia="新宋体" w:cs="新宋体"/>
          <w:b w:val="0"/>
          <w:bCs/>
          <w:color w:val="auto"/>
          <w:sz w:val="22"/>
          <w:szCs w:val="22"/>
          <w:highlight w:val="none"/>
        </w:rPr>
        <w:t>要求递交投标文件截止时间十五日前，在财政部门指定的政府采购信息发布媒体上发布更正公告。该澄清或修改内容为</w:t>
      </w:r>
      <w:r>
        <w:rPr>
          <w:rFonts w:hint="eastAsia" w:ascii="新宋体" w:hAnsi="新宋体" w:eastAsia="新宋体" w:cs="新宋体"/>
          <w:b w:val="0"/>
          <w:bCs/>
          <w:color w:val="auto"/>
          <w:sz w:val="22"/>
          <w:szCs w:val="22"/>
          <w:highlight w:val="none"/>
          <w:lang w:eastAsia="zh-CN"/>
        </w:rPr>
        <w:t>采购文件</w:t>
      </w:r>
      <w:r>
        <w:rPr>
          <w:rFonts w:hint="eastAsia" w:ascii="新宋体" w:hAnsi="新宋体" w:eastAsia="新宋体" w:cs="新宋体"/>
          <w:b w:val="0"/>
          <w:bCs/>
          <w:color w:val="auto"/>
          <w:sz w:val="22"/>
          <w:szCs w:val="22"/>
          <w:highlight w:val="none"/>
        </w:rPr>
        <w:t>的组成部分。</w:t>
      </w:r>
    </w:p>
    <w:p w14:paraId="108C8E3E">
      <w:pPr>
        <w:spacing w:line="460" w:lineRule="exact"/>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3.2</w:t>
      </w:r>
      <w:r>
        <w:rPr>
          <w:rFonts w:hint="eastAsia" w:ascii="新宋体" w:hAnsi="新宋体" w:eastAsia="新宋体" w:cs="新宋体"/>
          <w:b w:val="0"/>
          <w:bCs/>
          <w:color w:val="auto"/>
          <w:sz w:val="22"/>
          <w:szCs w:val="22"/>
          <w:highlight w:val="none"/>
          <w:lang w:eastAsia="zh-CN"/>
        </w:rPr>
        <w:t>采购人</w:t>
      </w:r>
      <w:r>
        <w:rPr>
          <w:rFonts w:hint="eastAsia" w:ascii="新宋体" w:hAnsi="新宋体" w:eastAsia="新宋体" w:cs="新宋体"/>
          <w:b w:val="0"/>
          <w:bCs/>
          <w:color w:val="auto"/>
          <w:sz w:val="22"/>
          <w:szCs w:val="22"/>
          <w:highlight w:val="none"/>
        </w:rPr>
        <w:t>、</w:t>
      </w:r>
      <w:r>
        <w:rPr>
          <w:rFonts w:hint="eastAsia" w:ascii="新宋体" w:hAnsi="新宋体" w:eastAsia="新宋体" w:cs="新宋体"/>
          <w:b w:val="0"/>
          <w:bCs/>
          <w:color w:val="auto"/>
          <w:sz w:val="22"/>
          <w:szCs w:val="22"/>
          <w:highlight w:val="none"/>
          <w:lang w:eastAsia="zh-CN"/>
        </w:rPr>
        <w:t>采购代理机构</w:t>
      </w:r>
      <w:r>
        <w:rPr>
          <w:rFonts w:hint="eastAsia" w:ascii="新宋体" w:hAnsi="新宋体" w:eastAsia="新宋体" w:cs="新宋体"/>
          <w:b w:val="0"/>
          <w:bCs/>
          <w:color w:val="auto"/>
          <w:sz w:val="22"/>
          <w:szCs w:val="22"/>
          <w:highlight w:val="none"/>
        </w:rPr>
        <w:t>可以视采购的具体情况决定是否延长投标截止时间和开标时间，并在</w:t>
      </w:r>
      <w:r>
        <w:rPr>
          <w:rFonts w:hint="eastAsia" w:ascii="新宋体" w:hAnsi="新宋体" w:eastAsia="新宋体" w:cs="新宋体"/>
          <w:b w:val="0"/>
          <w:bCs/>
          <w:color w:val="auto"/>
          <w:sz w:val="22"/>
          <w:szCs w:val="22"/>
          <w:highlight w:val="none"/>
          <w:lang w:eastAsia="zh-CN"/>
        </w:rPr>
        <w:t>采购文件</w:t>
      </w:r>
      <w:r>
        <w:rPr>
          <w:rFonts w:hint="eastAsia" w:ascii="新宋体" w:hAnsi="新宋体" w:eastAsia="新宋体" w:cs="新宋体"/>
          <w:b w:val="0"/>
          <w:bCs/>
          <w:color w:val="auto"/>
          <w:sz w:val="22"/>
          <w:szCs w:val="22"/>
          <w:highlight w:val="none"/>
        </w:rPr>
        <w:t>要求递交投标文件的截止时间前，在财政部门指定的政府采购信息发布媒体上发布变更公告。</w:t>
      </w:r>
    </w:p>
    <w:p w14:paraId="40C9D21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color w:val="auto"/>
          <w:sz w:val="22"/>
          <w:highlight w:val="none"/>
          <w:lang w:val="en-US" w:eastAsia="zh-CN"/>
        </w:rPr>
        <w:t>注：</w:t>
      </w:r>
      <w:r>
        <w:rPr>
          <w:rFonts w:hint="eastAsia" w:ascii="新宋体" w:hAnsi="新宋体" w:eastAsia="新宋体" w:cs="新宋体"/>
          <w:color w:val="auto"/>
          <w:sz w:val="22"/>
          <w:highlight w:val="none"/>
        </w:rPr>
        <w:t>潜在投标人应自行关注网站公告，</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不再一一通知。投标人因自身贻误行为导致投标失败的，责任自负。</w:t>
      </w:r>
    </w:p>
    <w:p w14:paraId="2BBBEF34">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5" w:name="_Toc22347"/>
      <w:r>
        <w:rPr>
          <w:rFonts w:hint="eastAsia" w:ascii="新宋体" w:hAnsi="新宋体" w:eastAsia="新宋体" w:cs="新宋体"/>
          <w:b/>
          <w:bCs/>
          <w:color w:val="auto"/>
          <w:sz w:val="26"/>
          <w:szCs w:val="26"/>
          <w:highlight w:val="none"/>
        </w:rPr>
        <w:t>三、 投标文件的编制</w:t>
      </w:r>
      <w:bookmarkEnd w:id="15"/>
    </w:p>
    <w:p w14:paraId="50655FD6">
      <w:pPr>
        <w:keepNext w:val="0"/>
        <w:keepLines w:val="0"/>
        <w:pageBreakBefore w:val="0"/>
        <w:tabs>
          <w:tab w:val="left" w:pos="360"/>
        </w:tabs>
        <w:kinsoku/>
        <w:wordWrap/>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1、投标人应认真阅读</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中所有事项、格式、条款和技术规范等。</w:t>
      </w:r>
      <w:r>
        <w:rPr>
          <w:rFonts w:hint="eastAsia" w:ascii="新宋体" w:hAnsi="新宋体" w:eastAsia="新宋体" w:cs="新宋体"/>
          <w:b/>
          <w:color w:val="auto"/>
          <w:sz w:val="22"/>
          <w:szCs w:val="22"/>
          <w:highlight w:val="none"/>
        </w:rPr>
        <w:t>投标人没有按照</w:t>
      </w:r>
      <w:r>
        <w:rPr>
          <w:rFonts w:hint="eastAsia" w:ascii="新宋体" w:hAnsi="新宋体" w:eastAsia="新宋体" w:cs="新宋体"/>
          <w:b/>
          <w:color w:val="auto"/>
          <w:sz w:val="22"/>
          <w:szCs w:val="22"/>
          <w:highlight w:val="none"/>
          <w:lang w:eastAsia="zh-CN"/>
        </w:rPr>
        <w:t>采购文件</w:t>
      </w:r>
      <w:r>
        <w:rPr>
          <w:rFonts w:hint="eastAsia" w:ascii="新宋体" w:hAnsi="新宋体" w:eastAsia="新宋体" w:cs="新宋体"/>
          <w:b/>
          <w:color w:val="auto"/>
          <w:sz w:val="22"/>
          <w:szCs w:val="22"/>
          <w:highlight w:val="none"/>
        </w:rPr>
        <w:t>要求提交全部资料，或者没有对</w:t>
      </w:r>
      <w:r>
        <w:rPr>
          <w:rFonts w:hint="eastAsia" w:ascii="新宋体" w:hAnsi="新宋体" w:eastAsia="新宋体" w:cs="新宋体"/>
          <w:b/>
          <w:color w:val="auto"/>
          <w:sz w:val="22"/>
          <w:szCs w:val="22"/>
          <w:highlight w:val="none"/>
          <w:lang w:eastAsia="zh-CN"/>
        </w:rPr>
        <w:t>采购文件</w:t>
      </w:r>
      <w:r>
        <w:rPr>
          <w:rFonts w:hint="eastAsia" w:ascii="新宋体" w:hAnsi="新宋体" w:eastAsia="新宋体" w:cs="新宋体"/>
          <w:b/>
          <w:color w:val="auto"/>
          <w:sz w:val="22"/>
          <w:szCs w:val="22"/>
          <w:highlight w:val="none"/>
        </w:rPr>
        <w:t>各个方面做出实质性响应，导致投标被否决的风险由投标人自行承担。</w:t>
      </w:r>
    </w:p>
    <w:p w14:paraId="0DD7A041">
      <w:pPr>
        <w:keepNext w:val="0"/>
        <w:keepLines w:val="0"/>
        <w:pageBreakBefore w:val="0"/>
        <w:kinsoku/>
        <w:wordWrap/>
        <w:topLinePunct w:val="0"/>
        <w:bidi w:val="0"/>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2、投标人应保证所提供文件资料的真实性，所有文件资料必须是针对本次投标的。如发现投标人提供了虚假文件资料，其投标将被否决，并自行承担相应的法律责任。</w:t>
      </w:r>
    </w:p>
    <w:p w14:paraId="619CB4E0">
      <w:pPr>
        <w:keepNext w:val="0"/>
        <w:keepLines w:val="0"/>
        <w:pageBreakBefore w:val="0"/>
        <w:kinsoku/>
        <w:wordWrap/>
        <w:topLinePunct w:val="0"/>
        <w:bidi w:val="0"/>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w:t>
      </w:r>
      <w:r>
        <w:rPr>
          <w:rFonts w:hint="eastAsia" w:ascii="新宋体" w:hAnsi="新宋体" w:eastAsia="新宋体" w:cs="新宋体"/>
          <w:b/>
          <w:bCs/>
          <w:color w:val="auto"/>
          <w:sz w:val="22"/>
          <w:szCs w:val="22"/>
          <w:highlight w:val="none"/>
        </w:rPr>
        <w:t>投标文件的构成：</w:t>
      </w:r>
    </w:p>
    <w:p w14:paraId="2A402FFA">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投标</w:t>
      </w:r>
      <w:r>
        <w:rPr>
          <w:rFonts w:hint="eastAsia" w:ascii="新宋体" w:hAnsi="新宋体" w:eastAsia="新宋体" w:cs="新宋体"/>
          <w:color w:val="auto"/>
          <w:kern w:val="0"/>
          <w:sz w:val="22"/>
          <w:szCs w:val="22"/>
          <w:highlight w:val="none"/>
          <w:lang w:val="zh-CN"/>
        </w:rPr>
        <w:t>文件应当包括以下主要内容：资格文件、报价文件、商务技术文件。</w:t>
      </w:r>
    </w:p>
    <w:p w14:paraId="7B96BFDF">
      <w:pPr>
        <w:keepNext w:val="0"/>
        <w:keepLines w:val="0"/>
        <w:pageBreakBefore w:val="0"/>
        <w:kinsoku/>
        <w:wordWrap/>
        <w:topLinePunct w:val="0"/>
        <w:bidi w:val="0"/>
        <w:spacing w:line="460" w:lineRule="exact"/>
        <w:ind w:firstLine="442" w:firstLineChars="200"/>
        <w:rPr>
          <w:rFonts w:hint="eastAsia" w:ascii="新宋体" w:hAnsi="新宋体" w:eastAsia="新宋体" w:cs="新宋体"/>
          <w:b/>
          <w:bCs/>
          <w:color w:val="auto"/>
          <w:kern w:val="0"/>
          <w:sz w:val="22"/>
          <w:szCs w:val="22"/>
          <w:highlight w:val="none"/>
          <w:u w:val="none"/>
          <w:lang w:val="zh-CN"/>
        </w:rPr>
      </w:pPr>
      <w:r>
        <w:rPr>
          <w:rFonts w:hint="eastAsia" w:ascii="新宋体" w:hAnsi="新宋体" w:eastAsia="新宋体" w:cs="新宋体"/>
          <w:b/>
          <w:bCs/>
          <w:color w:val="auto"/>
          <w:kern w:val="0"/>
          <w:sz w:val="22"/>
          <w:szCs w:val="22"/>
          <w:highlight w:val="none"/>
          <w:u w:val="none"/>
        </w:rPr>
        <w:t>3.1</w:t>
      </w:r>
      <w:r>
        <w:rPr>
          <w:rFonts w:hint="eastAsia" w:ascii="新宋体" w:hAnsi="新宋体" w:eastAsia="新宋体" w:cs="新宋体"/>
          <w:b/>
          <w:bCs/>
          <w:color w:val="auto"/>
          <w:kern w:val="0"/>
          <w:sz w:val="22"/>
          <w:szCs w:val="22"/>
          <w:highlight w:val="none"/>
          <w:u w:val="none"/>
          <w:lang w:val="zh-CN"/>
        </w:rPr>
        <w:t xml:space="preserve">投标人的资格文件至少应包括以下内容： </w:t>
      </w:r>
    </w:p>
    <w:p w14:paraId="7AFAD031">
      <w:pPr>
        <w:keepNext w:val="0"/>
        <w:keepLines w:val="0"/>
        <w:pageBreakBefore w:val="0"/>
        <w:tabs>
          <w:tab w:val="left" w:pos="360"/>
        </w:tabs>
        <w:kinsoku/>
        <w:wordWrap/>
        <w:topLinePunct w:val="0"/>
        <w:bidi w:val="0"/>
        <w:spacing w:line="460" w:lineRule="exact"/>
        <w:ind w:firstLine="440" w:firstLineChars="200"/>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kern w:val="0"/>
          <w:sz w:val="22"/>
          <w:szCs w:val="22"/>
          <w:highlight w:val="none"/>
          <w:u w:val="none"/>
          <w:lang w:val="zh-CN"/>
        </w:rPr>
        <w:t>基本资格条件审查材料：即证明</w:t>
      </w:r>
      <w:r>
        <w:rPr>
          <w:rFonts w:hint="eastAsia" w:ascii="新宋体" w:hAnsi="新宋体" w:eastAsia="新宋体" w:cs="新宋体"/>
          <w:color w:val="auto"/>
          <w:kern w:val="0"/>
          <w:sz w:val="22"/>
          <w:szCs w:val="22"/>
          <w:highlight w:val="none"/>
          <w:u w:val="none"/>
          <w:lang w:val="zh-CN" w:eastAsia="zh-CN"/>
        </w:rPr>
        <w:t>供应商</w:t>
      </w:r>
      <w:r>
        <w:rPr>
          <w:rFonts w:hint="eastAsia" w:ascii="新宋体" w:hAnsi="新宋体" w:eastAsia="新宋体" w:cs="新宋体"/>
          <w:color w:val="auto"/>
          <w:kern w:val="0"/>
          <w:sz w:val="22"/>
          <w:szCs w:val="22"/>
          <w:highlight w:val="none"/>
          <w:u w:val="none"/>
          <w:lang w:val="zh-CN"/>
        </w:rPr>
        <w:t>参加本次采购活动前3年内</w:t>
      </w:r>
      <w:r>
        <w:rPr>
          <w:rFonts w:hint="eastAsia" w:ascii="新宋体" w:hAnsi="新宋体" w:eastAsia="新宋体" w:cs="新宋体"/>
          <w:color w:val="auto"/>
          <w:kern w:val="0"/>
          <w:sz w:val="22"/>
          <w:szCs w:val="22"/>
          <w:highlight w:val="none"/>
          <w:u w:val="none"/>
          <w:lang w:val="zh-CN" w:eastAsia="zh-CN"/>
        </w:rPr>
        <w:t>满足</w:t>
      </w:r>
      <w:r>
        <w:rPr>
          <w:rFonts w:hint="eastAsia" w:ascii="新宋体" w:hAnsi="新宋体" w:eastAsia="新宋体" w:cs="新宋体"/>
          <w:color w:val="auto"/>
          <w:kern w:val="0"/>
          <w:sz w:val="22"/>
          <w:szCs w:val="22"/>
          <w:highlight w:val="none"/>
          <w:u w:val="none"/>
          <w:lang w:val="zh-CN"/>
        </w:rPr>
        <w:t>《中华人民共和国政府采购法》的有关资格证明文件。</w:t>
      </w:r>
      <w:r>
        <w:rPr>
          <w:rFonts w:hint="eastAsia" w:ascii="新宋体" w:hAnsi="新宋体" w:eastAsia="新宋体" w:cs="新宋体"/>
          <w:color w:val="auto"/>
          <w:sz w:val="22"/>
          <w:szCs w:val="22"/>
          <w:highlight w:val="none"/>
          <w:u w:val="none"/>
        </w:rPr>
        <w:t>包括：</w:t>
      </w:r>
    </w:p>
    <w:p w14:paraId="350D6E99">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u w:val="none"/>
          <w:lang w:eastAsia="zh-CN"/>
        </w:rPr>
      </w:pP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color w:val="auto"/>
          <w:sz w:val="22"/>
          <w:szCs w:val="22"/>
          <w:highlight w:val="none"/>
          <w:u w:val="none"/>
          <w:lang w:val="en-US" w:eastAsia="zh-CN"/>
        </w:rPr>
        <w:t>1</w:t>
      </w: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color w:val="auto"/>
          <w:sz w:val="22"/>
          <w:szCs w:val="22"/>
          <w:highlight w:val="none"/>
          <w:u w:val="none"/>
        </w:rPr>
        <w:t>资格条件承诺函</w:t>
      </w: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b/>
          <w:bCs/>
          <w:color w:val="auto"/>
          <w:sz w:val="22"/>
          <w:szCs w:val="22"/>
          <w:highlight w:val="none"/>
          <w:u w:val="none"/>
        </w:rPr>
        <w:t>（如为联合体投标，联合体各方均需提供</w:t>
      </w:r>
      <w:r>
        <w:rPr>
          <w:rFonts w:hint="eastAsia" w:ascii="新宋体" w:hAnsi="新宋体" w:eastAsia="新宋体" w:cs="新宋体"/>
          <w:b/>
          <w:bCs/>
          <w:color w:val="auto"/>
          <w:sz w:val="22"/>
          <w:szCs w:val="22"/>
          <w:highlight w:val="none"/>
          <w:u w:val="none"/>
          <w:lang w:eastAsia="zh-CN"/>
        </w:rPr>
        <w:t>）</w:t>
      </w:r>
    </w:p>
    <w:p w14:paraId="5E81694D">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w:t>
      </w:r>
      <w:r>
        <w:rPr>
          <w:rFonts w:hint="eastAsia" w:ascii="新宋体" w:hAnsi="新宋体" w:eastAsia="新宋体" w:cs="新宋体"/>
          <w:color w:val="auto"/>
          <w:sz w:val="22"/>
          <w:szCs w:val="22"/>
          <w:highlight w:val="none"/>
          <w:u w:val="none"/>
          <w:lang w:val="en-US" w:eastAsia="zh-CN"/>
        </w:rPr>
        <w:t>2</w:t>
      </w:r>
      <w:r>
        <w:rPr>
          <w:rFonts w:hint="eastAsia" w:ascii="新宋体" w:hAnsi="新宋体" w:eastAsia="新宋体" w:cs="新宋体"/>
          <w:color w:val="auto"/>
          <w:sz w:val="22"/>
          <w:szCs w:val="22"/>
          <w:highlight w:val="none"/>
          <w:u w:val="none"/>
        </w:rPr>
        <w:t>）营业执照</w:t>
      </w: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color w:val="auto"/>
          <w:sz w:val="22"/>
          <w:szCs w:val="22"/>
          <w:highlight w:val="none"/>
          <w:u w:val="none"/>
        </w:rPr>
        <w:t>或事业法人登记证书或其它工商等登记证明材料；自然人参与政府采购，提供身份证</w:t>
      </w: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color w:val="auto"/>
          <w:sz w:val="22"/>
          <w:szCs w:val="22"/>
          <w:highlight w:val="none"/>
          <w:u w:val="none"/>
        </w:rPr>
        <w:t xml:space="preserve">复印件； </w:t>
      </w:r>
      <w:r>
        <w:rPr>
          <w:rFonts w:hint="eastAsia" w:ascii="新宋体" w:hAnsi="新宋体" w:eastAsia="新宋体" w:cs="新宋体"/>
          <w:b/>
          <w:bCs/>
          <w:color w:val="auto"/>
          <w:sz w:val="22"/>
          <w:szCs w:val="22"/>
          <w:highlight w:val="none"/>
          <w:u w:val="none"/>
        </w:rPr>
        <w:t>（如为联合体投标，联合体各方均需提供</w:t>
      </w:r>
      <w:r>
        <w:rPr>
          <w:rFonts w:hint="eastAsia" w:ascii="新宋体" w:hAnsi="新宋体" w:eastAsia="新宋体" w:cs="新宋体"/>
          <w:b/>
          <w:bCs/>
          <w:color w:val="auto"/>
          <w:sz w:val="22"/>
          <w:szCs w:val="22"/>
          <w:highlight w:val="none"/>
          <w:u w:val="none"/>
          <w:lang w:eastAsia="zh-CN"/>
        </w:rPr>
        <w:t>）</w:t>
      </w:r>
    </w:p>
    <w:p w14:paraId="655701D7">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B6F7EB1">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lang w:val="en-US" w:eastAsia="zh-CN"/>
        </w:rPr>
        <w:t>（3）投标人信用查询；</w:t>
      </w:r>
      <w:r>
        <w:rPr>
          <w:rFonts w:hint="eastAsia" w:ascii="新宋体" w:hAnsi="新宋体" w:eastAsia="新宋体" w:cs="新宋体"/>
          <w:b/>
          <w:bCs/>
          <w:color w:val="auto"/>
          <w:sz w:val="22"/>
          <w:szCs w:val="22"/>
          <w:highlight w:val="none"/>
          <w:u w:val="none"/>
        </w:rPr>
        <w:t>（如为联合体投标，联合体各方均需提供</w:t>
      </w:r>
      <w:r>
        <w:rPr>
          <w:rFonts w:hint="eastAsia" w:ascii="新宋体" w:hAnsi="新宋体" w:eastAsia="新宋体" w:cs="新宋体"/>
          <w:b/>
          <w:bCs/>
          <w:color w:val="auto"/>
          <w:sz w:val="22"/>
          <w:szCs w:val="22"/>
          <w:highlight w:val="none"/>
          <w:u w:val="none"/>
          <w:lang w:eastAsia="zh-CN"/>
        </w:rPr>
        <w:t>）</w:t>
      </w:r>
    </w:p>
    <w:p w14:paraId="51698FE0">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auto"/>
          <w:sz w:val="22"/>
          <w:szCs w:val="22"/>
          <w:highlight w:val="none"/>
          <w:u w:val="none"/>
          <w:lang w:eastAsia="zh-CN"/>
        </w:rPr>
      </w:pPr>
      <w:r>
        <w:rPr>
          <w:rFonts w:hint="eastAsia" w:ascii="新宋体" w:hAnsi="新宋体" w:eastAsia="新宋体" w:cs="新宋体"/>
          <w:color w:val="auto"/>
          <w:kern w:val="0"/>
          <w:sz w:val="22"/>
          <w:szCs w:val="22"/>
          <w:highlight w:val="none"/>
          <w:u w:val="none"/>
          <w:lang w:val="zh-CN" w:eastAsia="zh-CN"/>
        </w:rPr>
        <w:t>（</w:t>
      </w:r>
      <w:r>
        <w:rPr>
          <w:rFonts w:hint="eastAsia" w:ascii="新宋体" w:hAnsi="新宋体" w:eastAsia="新宋体" w:cs="新宋体"/>
          <w:color w:val="auto"/>
          <w:kern w:val="0"/>
          <w:sz w:val="22"/>
          <w:szCs w:val="22"/>
          <w:highlight w:val="none"/>
          <w:u w:val="none"/>
          <w:lang w:val="en-US" w:eastAsia="zh-CN"/>
        </w:rPr>
        <w:t>4</w:t>
      </w:r>
      <w:r>
        <w:rPr>
          <w:rFonts w:hint="eastAsia" w:ascii="新宋体" w:hAnsi="新宋体" w:eastAsia="新宋体" w:cs="新宋体"/>
          <w:color w:val="auto"/>
          <w:kern w:val="0"/>
          <w:sz w:val="22"/>
          <w:szCs w:val="22"/>
          <w:highlight w:val="none"/>
          <w:u w:val="none"/>
          <w:lang w:val="zh-CN" w:eastAsia="zh-CN"/>
        </w:rPr>
        <w:t>）</w:t>
      </w:r>
      <w:r>
        <w:rPr>
          <w:rFonts w:hint="eastAsia" w:ascii="新宋体" w:hAnsi="新宋体" w:eastAsia="新宋体" w:cs="新宋体"/>
          <w:color w:val="auto"/>
          <w:kern w:val="0"/>
          <w:sz w:val="22"/>
          <w:szCs w:val="22"/>
          <w:highlight w:val="none"/>
          <w:u w:val="none"/>
          <w:lang w:val="zh-CN"/>
        </w:rPr>
        <w:t>政府</w:t>
      </w:r>
      <w:r>
        <w:rPr>
          <w:rFonts w:hint="eastAsia" w:ascii="新宋体" w:hAnsi="新宋体" w:eastAsia="新宋体" w:cs="新宋体"/>
          <w:color w:val="auto"/>
          <w:sz w:val="22"/>
          <w:szCs w:val="22"/>
          <w:highlight w:val="none"/>
          <w:u w:val="none"/>
        </w:rPr>
        <w:t>采购活动确认声明书</w:t>
      </w: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b/>
          <w:bCs/>
          <w:color w:val="auto"/>
          <w:sz w:val="22"/>
          <w:szCs w:val="22"/>
          <w:highlight w:val="none"/>
          <w:u w:val="none"/>
        </w:rPr>
        <w:t>（如为联合体投标，联合体各方均需提供</w:t>
      </w:r>
      <w:r>
        <w:rPr>
          <w:rFonts w:hint="eastAsia" w:ascii="新宋体" w:hAnsi="新宋体" w:eastAsia="新宋体" w:cs="新宋体"/>
          <w:b/>
          <w:bCs/>
          <w:color w:val="auto"/>
          <w:sz w:val="22"/>
          <w:szCs w:val="22"/>
          <w:highlight w:val="none"/>
          <w:u w:val="none"/>
          <w:lang w:eastAsia="zh-CN"/>
        </w:rPr>
        <w:t>）</w:t>
      </w:r>
    </w:p>
    <w:p w14:paraId="1D1F714E">
      <w:pPr>
        <w:keepNext w:val="0"/>
        <w:keepLines w:val="0"/>
        <w:pageBreakBefore w:val="0"/>
        <w:kinsoku/>
        <w:wordWrap/>
        <w:topLinePunct w:val="0"/>
        <w:bidi w:val="0"/>
        <w:spacing w:line="460" w:lineRule="exact"/>
        <w:ind w:firstLine="440" w:firstLineChars="200"/>
        <w:jc w:val="left"/>
        <w:rPr>
          <w:rFonts w:hint="eastAsia" w:ascii="新宋体" w:hAnsi="新宋体" w:eastAsia="新宋体" w:cs="新宋体"/>
          <w:color w:val="auto"/>
          <w:sz w:val="22"/>
          <w:szCs w:val="22"/>
          <w:highlight w:val="none"/>
          <w:u w:val="none"/>
          <w:lang w:eastAsia="zh-CN"/>
        </w:rPr>
      </w:pP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color w:val="auto"/>
          <w:sz w:val="22"/>
          <w:szCs w:val="22"/>
          <w:highlight w:val="none"/>
          <w:u w:val="none"/>
          <w:lang w:val="en-US" w:eastAsia="zh-CN"/>
        </w:rPr>
        <w:t>5</w:t>
      </w: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color w:val="auto"/>
          <w:sz w:val="22"/>
          <w:szCs w:val="22"/>
          <w:highlight w:val="none"/>
          <w:u w:val="none"/>
          <w:lang w:val="en-US" w:eastAsia="zh-CN"/>
        </w:rPr>
        <w:t>联合体协议书；</w:t>
      </w:r>
      <w:r>
        <w:rPr>
          <w:rFonts w:hint="eastAsia" w:ascii="新宋体" w:hAnsi="新宋体" w:eastAsia="新宋体" w:cs="新宋体"/>
          <w:b/>
          <w:bCs/>
          <w:color w:val="auto"/>
          <w:sz w:val="22"/>
          <w:szCs w:val="22"/>
          <w:highlight w:val="none"/>
          <w:u w:val="none"/>
          <w:lang w:val="en-US" w:eastAsia="zh-CN"/>
        </w:rPr>
        <w:t>（如有）</w:t>
      </w:r>
    </w:p>
    <w:p w14:paraId="4A713A2E">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上述资格条件审查材料有一项不提供的，视为资格审查不通过。</w:t>
      </w:r>
    </w:p>
    <w:p w14:paraId="319ABFFA">
      <w:pPr>
        <w:keepNext w:val="0"/>
        <w:keepLines w:val="0"/>
        <w:pageBreakBefore w:val="0"/>
        <w:kinsoku/>
        <w:wordWrap/>
        <w:topLinePunct w:val="0"/>
        <w:bidi w:val="0"/>
        <w:snapToGrid w:val="0"/>
        <w:spacing w:line="460" w:lineRule="exact"/>
        <w:ind w:firstLine="442" w:firstLineChars="200"/>
        <w:rPr>
          <w:rFonts w:hint="eastAsia" w:ascii="新宋体" w:hAnsi="新宋体" w:eastAsia="新宋体" w:cs="新宋体"/>
          <w:color w:val="auto"/>
          <w:sz w:val="22"/>
          <w:szCs w:val="22"/>
          <w:highlight w:val="none"/>
          <w:u w:val="none"/>
          <w:lang w:val="zh-CN"/>
        </w:rPr>
      </w:pPr>
      <w:r>
        <w:rPr>
          <w:rFonts w:hint="eastAsia" w:ascii="新宋体" w:hAnsi="新宋体" w:eastAsia="新宋体" w:cs="新宋体"/>
          <w:b/>
          <w:bCs/>
          <w:color w:val="auto"/>
          <w:sz w:val="22"/>
          <w:szCs w:val="22"/>
          <w:highlight w:val="none"/>
          <w:u w:val="none"/>
        </w:rPr>
        <w:t>3.2</w:t>
      </w:r>
      <w:r>
        <w:rPr>
          <w:rFonts w:hint="eastAsia" w:ascii="新宋体" w:hAnsi="新宋体" w:eastAsia="新宋体" w:cs="新宋体"/>
          <w:b/>
          <w:bCs/>
          <w:color w:val="auto"/>
          <w:sz w:val="22"/>
          <w:szCs w:val="22"/>
          <w:highlight w:val="none"/>
          <w:u w:val="none"/>
          <w:lang w:val="zh-CN"/>
        </w:rPr>
        <w:t>投标人</w:t>
      </w:r>
      <w:r>
        <w:rPr>
          <w:rFonts w:hint="eastAsia" w:ascii="新宋体" w:hAnsi="新宋体" w:eastAsia="新宋体" w:cs="新宋体"/>
          <w:b/>
          <w:bCs/>
          <w:color w:val="auto"/>
          <w:sz w:val="22"/>
          <w:szCs w:val="22"/>
          <w:highlight w:val="none"/>
          <w:u w:val="none"/>
        </w:rPr>
        <w:t xml:space="preserve">的报价文件至少应包括以下内容： </w:t>
      </w:r>
    </w:p>
    <w:p w14:paraId="2968C538">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u w:val="none"/>
          <w:lang w:eastAsia="zh-CN"/>
        </w:rPr>
      </w:pPr>
      <w:r>
        <w:rPr>
          <w:rFonts w:hint="eastAsia" w:ascii="新宋体" w:hAnsi="新宋体" w:eastAsia="新宋体" w:cs="新宋体"/>
          <w:color w:val="auto"/>
          <w:sz w:val="22"/>
          <w:szCs w:val="22"/>
          <w:highlight w:val="none"/>
          <w:u w:val="none"/>
        </w:rPr>
        <w:t>（</w:t>
      </w:r>
      <w:r>
        <w:rPr>
          <w:rFonts w:hint="eastAsia" w:ascii="新宋体" w:hAnsi="新宋体" w:eastAsia="新宋体" w:cs="新宋体"/>
          <w:color w:val="auto"/>
          <w:sz w:val="22"/>
          <w:szCs w:val="22"/>
          <w:highlight w:val="none"/>
          <w:u w:val="none"/>
          <w:lang w:val="en-US" w:eastAsia="zh-CN"/>
        </w:rPr>
        <w:t>1</w:t>
      </w:r>
      <w:r>
        <w:rPr>
          <w:rFonts w:hint="eastAsia" w:ascii="新宋体" w:hAnsi="新宋体" w:eastAsia="新宋体" w:cs="新宋体"/>
          <w:color w:val="auto"/>
          <w:sz w:val="22"/>
          <w:szCs w:val="22"/>
          <w:highlight w:val="none"/>
          <w:u w:val="none"/>
        </w:rPr>
        <w:t>）投标报价一览表</w:t>
      </w:r>
      <w:r>
        <w:rPr>
          <w:rFonts w:hint="eastAsia" w:ascii="新宋体" w:hAnsi="新宋体" w:eastAsia="新宋体" w:cs="新宋体"/>
          <w:color w:val="auto"/>
          <w:sz w:val="22"/>
          <w:szCs w:val="22"/>
          <w:highlight w:val="none"/>
          <w:u w:val="none"/>
          <w:lang w:eastAsia="zh-CN"/>
        </w:rPr>
        <w:t>；</w:t>
      </w:r>
    </w:p>
    <w:p w14:paraId="257394F5">
      <w:pPr>
        <w:spacing w:line="460" w:lineRule="exact"/>
        <w:ind w:firstLine="440" w:firstLineChars="200"/>
        <w:rPr>
          <w:rFonts w:hint="eastAsia" w:ascii="新宋体" w:hAnsi="新宋体" w:eastAsia="新宋体" w:cs="新宋体"/>
          <w:color w:val="auto"/>
          <w:sz w:val="22"/>
          <w:szCs w:val="22"/>
          <w:highlight w:val="none"/>
          <w:u w:val="none"/>
          <w:shd w:val="clear" w:color="auto" w:fill="auto"/>
          <w:lang w:eastAsia="zh-CN"/>
        </w:rPr>
      </w:pPr>
      <w:r>
        <w:rPr>
          <w:rFonts w:hint="eastAsia" w:ascii="新宋体" w:hAnsi="新宋体" w:eastAsia="新宋体" w:cs="新宋体"/>
          <w:color w:val="auto"/>
          <w:sz w:val="22"/>
          <w:szCs w:val="22"/>
          <w:highlight w:val="none"/>
          <w:u w:val="none"/>
          <w:shd w:val="clear" w:color="auto" w:fill="auto"/>
        </w:rPr>
        <w:t>（</w:t>
      </w:r>
      <w:r>
        <w:rPr>
          <w:rFonts w:hint="eastAsia" w:ascii="新宋体" w:hAnsi="新宋体" w:eastAsia="新宋体" w:cs="新宋体"/>
          <w:color w:val="auto"/>
          <w:sz w:val="22"/>
          <w:szCs w:val="22"/>
          <w:highlight w:val="none"/>
          <w:u w:val="none"/>
          <w:shd w:val="clear" w:color="auto" w:fill="auto"/>
          <w:lang w:val="en-US" w:eastAsia="zh-CN"/>
        </w:rPr>
        <w:t>2</w:t>
      </w:r>
      <w:r>
        <w:rPr>
          <w:rFonts w:hint="eastAsia" w:ascii="新宋体" w:hAnsi="新宋体" w:eastAsia="新宋体" w:cs="新宋体"/>
          <w:color w:val="auto"/>
          <w:sz w:val="22"/>
          <w:szCs w:val="22"/>
          <w:highlight w:val="none"/>
          <w:u w:val="none"/>
          <w:shd w:val="clear" w:color="auto" w:fill="auto"/>
        </w:rPr>
        <w:t>）投标分项报价表</w:t>
      </w:r>
      <w:r>
        <w:rPr>
          <w:rFonts w:hint="eastAsia" w:ascii="新宋体" w:hAnsi="新宋体" w:eastAsia="新宋体" w:cs="新宋体"/>
          <w:color w:val="auto"/>
          <w:sz w:val="22"/>
          <w:szCs w:val="22"/>
          <w:highlight w:val="none"/>
          <w:u w:val="none"/>
          <w:shd w:val="clear" w:color="auto" w:fill="auto"/>
          <w:lang w:eastAsia="zh-CN"/>
        </w:rPr>
        <w:t>；</w:t>
      </w:r>
    </w:p>
    <w:p w14:paraId="6FD04B32">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b/>
          <w:bCs/>
          <w:color w:val="auto"/>
          <w:kern w:val="0"/>
          <w:sz w:val="22"/>
          <w:szCs w:val="22"/>
          <w:highlight w:val="none"/>
          <w:u w:val="none"/>
        </w:rPr>
      </w:pP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color w:val="auto"/>
          <w:sz w:val="22"/>
          <w:szCs w:val="22"/>
          <w:highlight w:val="none"/>
          <w:u w:val="none"/>
          <w:lang w:val="en-US" w:eastAsia="zh-CN"/>
        </w:rPr>
        <w:t>3</w:t>
      </w:r>
      <w:r>
        <w:rPr>
          <w:rFonts w:hint="eastAsia" w:ascii="新宋体" w:hAnsi="新宋体" w:eastAsia="新宋体" w:cs="新宋体"/>
          <w:color w:val="auto"/>
          <w:sz w:val="22"/>
          <w:szCs w:val="22"/>
          <w:highlight w:val="none"/>
          <w:u w:val="none"/>
          <w:lang w:eastAsia="zh-CN"/>
        </w:rPr>
        <w:t>）符合财政价格优惠政策的证明材料：</w:t>
      </w:r>
      <w:r>
        <w:rPr>
          <w:rFonts w:hint="eastAsia" w:ascii="新宋体" w:hAnsi="新宋体" w:eastAsia="新宋体" w:cs="新宋体"/>
          <w:color w:val="auto"/>
          <w:sz w:val="22"/>
          <w:szCs w:val="22"/>
          <w:highlight w:val="none"/>
          <w:u w:val="none"/>
        </w:rPr>
        <w:t>中小企业声明函、监狱企业、残疾人福利性单位及其他相关的充分的证明材料</w:t>
      </w: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b/>
          <w:bCs/>
          <w:color w:val="auto"/>
          <w:sz w:val="22"/>
          <w:szCs w:val="22"/>
          <w:highlight w:val="none"/>
          <w:u w:val="none"/>
        </w:rPr>
        <w:t>（如为联合体投标，联合体各方均需提供</w:t>
      </w:r>
      <w:r>
        <w:rPr>
          <w:rFonts w:hint="eastAsia" w:ascii="新宋体" w:hAnsi="新宋体" w:eastAsia="新宋体" w:cs="新宋体"/>
          <w:b/>
          <w:bCs/>
          <w:color w:val="auto"/>
          <w:sz w:val="22"/>
          <w:szCs w:val="22"/>
          <w:highlight w:val="none"/>
          <w:u w:val="none"/>
          <w:lang w:eastAsia="zh-CN"/>
        </w:rPr>
        <w:t>）</w:t>
      </w:r>
    </w:p>
    <w:p w14:paraId="774E2079">
      <w:pPr>
        <w:keepNext w:val="0"/>
        <w:keepLines w:val="0"/>
        <w:pageBreakBefore w:val="0"/>
        <w:kinsoku/>
        <w:wordWrap/>
        <w:topLinePunct w:val="0"/>
        <w:bidi w:val="0"/>
        <w:snapToGrid w:val="0"/>
        <w:spacing w:line="460" w:lineRule="exact"/>
        <w:ind w:firstLine="442" w:firstLineChars="20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b/>
          <w:bCs/>
          <w:color w:val="auto"/>
          <w:kern w:val="0"/>
          <w:sz w:val="22"/>
          <w:szCs w:val="22"/>
          <w:highlight w:val="none"/>
        </w:rPr>
        <w:t>3.3</w:t>
      </w:r>
      <w:r>
        <w:rPr>
          <w:rFonts w:hint="eastAsia" w:ascii="新宋体" w:hAnsi="新宋体" w:eastAsia="新宋体" w:cs="新宋体"/>
          <w:b/>
          <w:bCs/>
          <w:color w:val="auto"/>
          <w:kern w:val="0"/>
          <w:sz w:val="22"/>
          <w:szCs w:val="22"/>
          <w:highlight w:val="none"/>
          <w:lang w:val="zh-CN"/>
        </w:rPr>
        <w:t>投标人的商务技术文件应包括以下内容：</w:t>
      </w:r>
    </w:p>
    <w:p w14:paraId="7F2CA9AF">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none"/>
        </w:rPr>
        <w:t>（1）投标响应函</w:t>
      </w: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b/>
          <w:bCs/>
          <w:color w:val="auto"/>
          <w:sz w:val="22"/>
          <w:szCs w:val="22"/>
          <w:highlight w:val="none"/>
        </w:rPr>
        <w:t>（如为联合体投标，联合体各方均需提供</w:t>
      </w:r>
      <w:r>
        <w:rPr>
          <w:rFonts w:hint="eastAsia" w:ascii="新宋体" w:hAnsi="新宋体" w:eastAsia="新宋体" w:cs="新宋体"/>
          <w:b/>
          <w:bCs/>
          <w:color w:val="auto"/>
          <w:sz w:val="22"/>
          <w:szCs w:val="22"/>
          <w:highlight w:val="none"/>
          <w:lang w:eastAsia="zh-CN"/>
        </w:rPr>
        <w:t>）</w:t>
      </w:r>
    </w:p>
    <w:p w14:paraId="3FE1BCD9">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）法定代表人授权委托书</w:t>
      </w:r>
      <w:r>
        <w:rPr>
          <w:rFonts w:hint="eastAsia" w:ascii="新宋体" w:hAnsi="新宋体" w:eastAsia="新宋体" w:cs="新宋体"/>
          <w:color w:val="auto"/>
          <w:sz w:val="22"/>
          <w:szCs w:val="22"/>
          <w:highlight w:val="none"/>
          <w:lang w:eastAsia="zh-CN"/>
        </w:rPr>
        <w:t>；</w:t>
      </w:r>
    </w:p>
    <w:p w14:paraId="51E23239">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需提供法定代表人及授权委托人的身份证复印件加盖公章；</w:t>
      </w:r>
    </w:p>
    <w:p w14:paraId="46688780">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）投标人情况表</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b/>
          <w:bCs/>
          <w:color w:val="auto"/>
          <w:sz w:val="22"/>
          <w:szCs w:val="22"/>
          <w:highlight w:val="none"/>
        </w:rPr>
        <w:t>（如为联合体投标，联合体各方均需提供</w:t>
      </w:r>
      <w:r>
        <w:rPr>
          <w:rFonts w:hint="eastAsia" w:ascii="新宋体" w:hAnsi="新宋体" w:eastAsia="新宋体" w:cs="新宋体"/>
          <w:b/>
          <w:bCs/>
          <w:color w:val="auto"/>
          <w:sz w:val="22"/>
          <w:szCs w:val="22"/>
          <w:highlight w:val="none"/>
          <w:lang w:eastAsia="zh-CN"/>
        </w:rPr>
        <w:t>）</w:t>
      </w:r>
    </w:p>
    <w:p w14:paraId="15E7FA6A">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）廉政承诺书</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b/>
          <w:bCs/>
          <w:color w:val="auto"/>
          <w:sz w:val="22"/>
          <w:szCs w:val="22"/>
          <w:highlight w:val="none"/>
        </w:rPr>
        <w:t>（如为联合体投标，联合体各方均需提供</w:t>
      </w:r>
      <w:r>
        <w:rPr>
          <w:rFonts w:hint="eastAsia" w:ascii="新宋体" w:hAnsi="新宋体" w:eastAsia="新宋体" w:cs="新宋体"/>
          <w:b/>
          <w:bCs/>
          <w:color w:val="auto"/>
          <w:sz w:val="22"/>
          <w:szCs w:val="22"/>
          <w:highlight w:val="none"/>
          <w:lang w:eastAsia="zh-CN"/>
        </w:rPr>
        <w:t>）</w:t>
      </w:r>
    </w:p>
    <w:p w14:paraId="12987E5B">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zh-CN"/>
        </w:rPr>
        <w:t>偏离表（</w:t>
      </w:r>
      <w:r>
        <w:rPr>
          <w:rFonts w:hint="eastAsia" w:ascii="新宋体" w:hAnsi="新宋体" w:eastAsia="新宋体" w:cs="新宋体"/>
          <w:color w:val="auto"/>
          <w:sz w:val="22"/>
          <w:szCs w:val="22"/>
          <w:highlight w:val="none"/>
        </w:rPr>
        <w:t>商务、技术偏离</w:t>
      </w:r>
      <w:r>
        <w:rPr>
          <w:rFonts w:hint="eastAsia" w:ascii="新宋体" w:hAnsi="新宋体" w:eastAsia="新宋体" w:cs="新宋体"/>
          <w:color w:val="auto"/>
          <w:sz w:val="22"/>
          <w:szCs w:val="22"/>
          <w:highlight w:val="none"/>
          <w:lang w:val="zh-CN"/>
        </w:rPr>
        <w:t>）；</w:t>
      </w:r>
    </w:p>
    <w:p w14:paraId="26631410">
      <w:pPr>
        <w:keepNext w:val="0"/>
        <w:keepLines w:val="0"/>
        <w:pageBreakBefore w:val="0"/>
        <w:kinsoku/>
        <w:wordWrap/>
        <w:topLinePunct w:val="0"/>
        <w:bidi w:val="0"/>
        <w:snapToGrid w:val="0"/>
        <w:spacing w:line="460" w:lineRule="exact"/>
        <w:ind w:firstLine="440" w:firstLineChars="200"/>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zh-CN" w:eastAsia="zh-CN"/>
        </w:rPr>
        <w:t>其他必要提供的资料（根据评分标准自行提供）</w:t>
      </w:r>
      <w:r>
        <w:rPr>
          <w:rFonts w:hint="eastAsia" w:ascii="新宋体" w:hAnsi="新宋体" w:eastAsia="新宋体" w:cs="新宋体"/>
          <w:color w:val="auto"/>
          <w:sz w:val="22"/>
          <w:szCs w:val="22"/>
          <w:highlight w:val="none"/>
          <w:lang w:val="en-US" w:eastAsia="zh-CN"/>
        </w:rPr>
        <w:t>。</w:t>
      </w:r>
    </w:p>
    <w:p w14:paraId="3418FAE6">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资质文件（如有）、其他必要提供的资料</w:t>
      </w:r>
    </w:p>
    <w:p w14:paraId="55970440">
      <w:pPr>
        <w:keepNext w:val="0"/>
        <w:keepLines w:val="0"/>
        <w:pageBreakBefore w:val="0"/>
        <w:kinsoku/>
        <w:wordWrap/>
        <w:topLinePunct w:val="0"/>
        <w:bidi w:val="0"/>
        <w:spacing w:line="460" w:lineRule="exact"/>
        <w:ind w:firstLine="442" w:firstLineChars="200"/>
        <w:rPr>
          <w:rFonts w:hint="eastAsia"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lang w:val="zh-CN"/>
        </w:rPr>
        <w:t>投标文件中所需的各种证书、证件、证明资料如是复印件，须在复印件上加盖有效公章。</w:t>
      </w:r>
    </w:p>
    <w:p w14:paraId="175BC358">
      <w:pPr>
        <w:pStyle w:val="31"/>
        <w:keepNext w:val="0"/>
        <w:keepLines w:val="0"/>
        <w:pageBreakBefore w:val="0"/>
        <w:kinsoku/>
        <w:wordWrap/>
        <w:topLinePunct w:val="0"/>
        <w:bidi w:val="0"/>
        <w:snapToGrid w:val="0"/>
        <w:spacing w:line="460" w:lineRule="exact"/>
        <w:ind w:firstLine="442"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lang w:val="zh-CN"/>
        </w:rPr>
        <w:t>投标人的</w:t>
      </w:r>
      <w:r>
        <w:rPr>
          <w:rFonts w:hint="eastAsia" w:ascii="新宋体" w:hAnsi="新宋体" w:eastAsia="新宋体" w:cs="新宋体"/>
          <w:color w:val="auto"/>
          <w:sz w:val="22"/>
          <w:szCs w:val="22"/>
          <w:highlight w:val="none"/>
        </w:rPr>
        <w:t>投标文件必须按照</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要求制作</w:t>
      </w:r>
      <w:r>
        <w:rPr>
          <w:rFonts w:hint="eastAsia" w:ascii="新宋体" w:hAnsi="新宋体" w:eastAsia="新宋体" w:cs="新宋体"/>
          <w:bCs/>
          <w:color w:val="auto"/>
          <w:sz w:val="22"/>
          <w:szCs w:val="22"/>
          <w:highlight w:val="none"/>
        </w:rPr>
        <w:t>。</w:t>
      </w:r>
    </w:p>
    <w:p w14:paraId="426E2DCC">
      <w:pPr>
        <w:keepNext w:val="0"/>
        <w:keepLines w:val="0"/>
        <w:pageBreakBefore w:val="0"/>
        <w:kinsoku/>
        <w:wordWrap/>
        <w:topLinePunct w:val="0"/>
        <w:bidi w:val="0"/>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投标人可在投标文件中对技术规格和要求选用替代标准，但这些替代标准必须相当于或优于</w:t>
      </w:r>
      <w:r>
        <w:rPr>
          <w:rFonts w:hint="eastAsia" w:ascii="新宋体" w:hAnsi="新宋体" w:eastAsia="新宋体" w:cs="新宋体"/>
          <w:b/>
          <w:bCs/>
          <w:color w:val="auto"/>
          <w:sz w:val="22"/>
          <w:szCs w:val="22"/>
          <w:highlight w:val="none"/>
          <w:lang w:eastAsia="zh-CN"/>
        </w:rPr>
        <w:t>采购文件</w:t>
      </w:r>
      <w:r>
        <w:rPr>
          <w:rFonts w:hint="eastAsia" w:ascii="新宋体" w:hAnsi="新宋体" w:eastAsia="新宋体" w:cs="新宋体"/>
          <w:b/>
          <w:bCs/>
          <w:color w:val="auto"/>
          <w:sz w:val="22"/>
          <w:szCs w:val="22"/>
          <w:highlight w:val="none"/>
        </w:rPr>
        <w:t>中提出的相应要求，并使</w:t>
      </w:r>
      <w:r>
        <w:rPr>
          <w:rFonts w:hint="eastAsia" w:ascii="新宋体" w:hAnsi="新宋体" w:eastAsia="新宋体" w:cs="新宋体"/>
          <w:b/>
          <w:bCs/>
          <w:color w:val="auto"/>
          <w:sz w:val="22"/>
          <w:szCs w:val="22"/>
          <w:highlight w:val="none"/>
          <w:lang w:eastAsia="zh-CN"/>
        </w:rPr>
        <w:t>采购人</w:t>
      </w:r>
      <w:r>
        <w:rPr>
          <w:rFonts w:hint="eastAsia" w:ascii="新宋体" w:hAnsi="新宋体" w:eastAsia="新宋体" w:cs="新宋体"/>
          <w:b/>
          <w:bCs/>
          <w:color w:val="auto"/>
          <w:sz w:val="22"/>
          <w:szCs w:val="22"/>
          <w:highlight w:val="none"/>
        </w:rPr>
        <w:t>满意，同时在技术偏离表中作出详细说明。</w:t>
      </w:r>
    </w:p>
    <w:p w14:paraId="79A11442">
      <w:pPr>
        <w:keepNext w:val="0"/>
        <w:keepLines w:val="0"/>
        <w:pageBreakBefore w:val="0"/>
        <w:kinsoku/>
        <w:wordWrap/>
        <w:topLinePunct w:val="0"/>
        <w:bidi w:val="0"/>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4、投标报价</w:t>
      </w:r>
    </w:p>
    <w:p w14:paraId="6A880920">
      <w:pPr>
        <w:keepNext w:val="0"/>
        <w:keepLines w:val="0"/>
        <w:pageBreakBefore w:val="0"/>
        <w:kinsoku/>
        <w:wordWrap/>
        <w:topLinePunct w:val="0"/>
        <w:bidi w:val="0"/>
        <w:spacing w:line="460" w:lineRule="exact"/>
        <w:ind w:firstLine="440" w:firstLineChars="200"/>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4.1报价是指正确的完全履行采购内容及要求所可能发生的全部费用，包括为完成项目所需的一切人员工资、奖金、各种加班费、夜餐费、各种社会保险、食宿与交通、安全、维修、管理费用、税费、利润、完成合同所需的一切本身和不可或缺的所有工作开支、政策性文件规定及合同包含的所有风险、责任等各项全部费用。</w:t>
      </w:r>
    </w:p>
    <w:p w14:paraId="638126C6">
      <w:pPr>
        <w:keepNext w:val="0"/>
        <w:keepLines w:val="0"/>
        <w:pageBreakBefore w:val="0"/>
        <w:kinsoku/>
        <w:wordWrap/>
        <w:topLinePunct w:val="0"/>
        <w:bidi w:val="0"/>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4.2投标人必须按附件中的投标报价一览表</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shd w:val="clear" w:color="auto" w:fill="auto"/>
        </w:rPr>
        <w:t>投标分项报价表</w:t>
      </w:r>
      <w:r>
        <w:rPr>
          <w:rFonts w:hint="eastAsia" w:ascii="新宋体" w:hAnsi="新宋体" w:eastAsia="新宋体" w:cs="新宋体"/>
          <w:color w:val="auto"/>
          <w:sz w:val="22"/>
          <w:szCs w:val="22"/>
          <w:highlight w:val="none"/>
        </w:rPr>
        <w:t>内容填写价格，并由投标人代表签署。</w:t>
      </w:r>
    </w:p>
    <w:p w14:paraId="01BB3CD3">
      <w:pPr>
        <w:keepNext w:val="0"/>
        <w:keepLines w:val="0"/>
        <w:pageBreakBefore w:val="0"/>
        <w:kinsoku/>
        <w:wordWrap/>
        <w:topLinePunct w:val="0"/>
        <w:bidi w:val="0"/>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4.3</w:t>
      </w:r>
      <w:r>
        <w:rPr>
          <w:rFonts w:hint="eastAsia" w:ascii="新宋体" w:hAnsi="新宋体" w:eastAsia="新宋体" w:cs="新宋体"/>
          <w:b/>
          <w:color w:val="auto"/>
          <w:sz w:val="22"/>
          <w:szCs w:val="22"/>
          <w:highlight w:val="none"/>
        </w:rPr>
        <w:t>投标货币以</w:t>
      </w:r>
      <w:r>
        <w:rPr>
          <w:rFonts w:hint="eastAsia" w:ascii="新宋体" w:hAnsi="新宋体" w:eastAsia="新宋体" w:cs="新宋体"/>
          <w:b/>
          <w:color w:val="auto"/>
          <w:sz w:val="22"/>
          <w:highlight w:val="none"/>
          <w:shd w:val="clear" w:color="auto" w:fill="auto"/>
        </w:rPr>
        <w:t>人民币</w:t>
      </w:r>
      <w:r>
        <w:rPr>
          <w:rFonts w:hint="eastAsia" w:ascii="新宋体" w:hAnsi="新宋体" w:eastAsia="新宋体" w:cs="新宋体"/>
          <w:b/>
          <w:color w:val="auto"/>
          <w:sz w:val="22"/>
          <w:szCs w:val="22"/>
          <w:highlight w:val="none"/>
        </w:rPr>
        <w:t>进行投标。</w:t>
      </w:r>
    </w:p>
    <w:p w14:paraId="1C715EE6">
      <w:pPr>
        <w:keepNext w:val="0"/>
        <w:keepLines w:val="0"/>
        <w:pageBreakBefore w:val="0"/>
        <w:kinsoku/>
        <w:wordWrap/>
        <w:topLinePunct w:val="0"/>
        <w:bidi w:val="0"/>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4.4</w:t>
      </w:r>
      <w:r>
        <w:rPr>
          <w:rFonts w:hint="eastAsia" w:ascii="新宋体" w:hAnsi="新宋体" w:eastAsia="新宋体" w:cs="新宋体"/>
          <w:b/>
          <w:color w:val="auto"/>
          <w:sz w:val="22"/>
          <w:szCs w:val="22"/>
          <w:highlight w:val="none"/>
          <w:lang w:eastAsia="zh-CN"/>
        </w:rPr>
        <w:t>采购人</w:t>
      </w:r>
      <w:r>
        <w:rPr>
          <w:rFonts w:hint="eastAsia" w:ascii="新宋体" w:hAnsi="新宋体" w:eastAsia="新宋体" w:cs="新宋体"/>
          <w:b/>
          <w:color w:val="auto"/>
          <w:sz w:val="22"/>
          <w:szCs w:val="22"/>
          <w:highlight w:val="none"/>
        </w:rPr>
        <w:t>和</w:t>
      </w:r>
      <w:r>
        <w:rPr>
          <w:rFonts w:hint="eastAsia" w:ascii="新宋体" w:hAnsi="新宋体" w:eastAsia="新宋体" w:cs="新宋体"/>
          <w:b/>
          <w:color w:val="auto"/>
          <w:sz w:val="22"/>
          <w:szCs w:val="22"/>
          <w:highlight w:val="none"/>
          <w:lang w:eastAsia="zh-CN"/>
        </w:rPr>
        <w:t>采购代理机构</w:t>
      </w:r>
      <w:r>
        <w:rPr>
          <w:rFonts w:hint="eastAsia" w:ascii="新宋体" w:hAnsi="新宋体" w:eastAsia="新宋体" w:cs="新宋体"/>
          <w:b/>
          <w:color w:val="auto"/>
          <w:sz w:val="22"/>
          <w:szCs w:val="22"/>
          <w:highlight w:val="none"/>
        </w:rPr>
        <w:t>不接受任何选择投标，对任何</w:t>
      </w:r>
      <w:r>
        <w:rPr>
          <w:rFonts w:hint="eastAsia" w:ascii="新宋体" w:hAnsi="新宋体" w:eastAsia="新宋体" w:cs="新宋体"/>
          <w:b/>
          <w:color w:val="auto"/>
          <w:sz w:val="22"/>
          <w:szCs w:val="22"/>
          <w:highlight w:val="none"/>
          <w:lang w:val="en-US" w:eastAsia="zh-CN"/>
        </w:rPr>
        <w:t>货物或</w:t>
      </w:r>
      <w:r>
        <w:rPr>
          <w:rFonts w:hint="eastAsia" w:ascii="新宋体" w:hAnsi="新宋体" w:eastAsia="新宋体" w:cs="新宋体"/>
          <w:b/>
          <w:color w:val="auto"/>
          <w:sz w:val="22"/>
          <w:szCs w:val="22"/>
          <w:highlight w:val="none"/>
        </w:rPr>
        <w:t>服务只允许一个价格。</w:t>
      </w:r>
    </w:p>
    <w:p w14:paraId="5BEF31DC">
      <w:pPr>
        <w:keepNext w:val="0"/>
        <w:keepLines w:val="0"/>
        <w:pageBreakBefore w:val="0"/>
        <w:kinsoku/>
        <w:wordWrap/>
        <w:topLinePunct w:val="0"/>
        <w:bidi w:val="0"/>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4.5</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和</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要求分类报价是为了方便评标，但在任何情况下不限制</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以其认为最合适的条款、条件签订合同的权利。</w:t>
      </w:r>
    </w:p>
    <w:p w14:paraId="1E634FDE">
      <w:pPr>
        <w:keepNext w:val="0"/>
        <w:keepLines w:val="0"/>
        <w:pageBreakBefore w:val="0"/>
        <w:kinsoku/>
        <w:wordWrap/>
        <w:topLinePunct w:val="0"/>
        <w:bidi w:val="0"/>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4.6投标报价报出后，投标人不得以任何理由予以变更。任何包含价格调整的要求，将被认为是非实质性响应投标而予以否决。</w:t>
      </w:r>
    </w:p>
    <w:p w14:paraId="7405B997">
      <w:pPr>
        <w:keepNext w:val="0"/>
        <w:keepLines w:val="0"/>
        <w:pageBreakBefore w:val="0"/>
        <w:kinsoku/>
        <w:wordWrap/>
        <w:topLinePunct w:val="0"/>
        <w:bidi w:val="0"/>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4.7最低报价不能作为中标的保证。</w:t>
      </w:r>
    </w:p>
    <w:p w14:paraId="4AE4B61B">
      <w:pPr>
        <w:keepNext w:val="0"/>
        <w:keepLines w:val="0"/>
        <w:pageBreakBefore w:val="0"/>
        <w:kinsoku/>
        <w:wordWrap/>
        <w:topLinePunct w:val="0"/>
        <w:bidi w:val="0"/>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5、投标有效期</w:t>
      </w:r>
    </w:p>
    <w:p w14:paraId="7B6BF0C7">
      <w:pPr>
        <w:keepNext w:val="0"/>
        <w:keepLines w:val="0"/>
        <w:pageBreakBefore w:val="0"/>
        <w:kinsoku/>
        <w:wordWrap/>
        <w:topLinePunct w:val="0"/>
        <w:bidi w:val="0"/>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5.1自开标之日起</w:t>
      </w:r>
      <w:r>
        <w:rPr>
          <w:rFonts w:hint="eastAsia" w:ascii="新宋体" w:hAnsi="新宋体" w:eastAsia="新宋体" w:cs="新宋体"/>
          <w:b/>
          <w:bCs/>
          <w:color w:val="auto"/>
          <w:sz w:val="22"/>
          <w:szCs w:val="22"/>
          <w:highlight w:val="none"/>
          <w:lang w:val="en-US" w:eastAsia="zh-CN"/>
        </w:rPr>
        <w:t>90</w:t>
      </w:r>
      <w:r>
        <w:rPr>
          <w:rFonts w:hint="eastAsia" w:ascii="新宋体" w:hAnsi="新宋体" w:eastAsia="新宋体" w:cs="新宋体"/>
          <w:b/>
          <w:color w:val="auto"/>
          <w:sz w:val="22"/>
          <w:szCs w:val="22"/>
          <w:highlight w:val="none"/>
        </w:rPr>
        <w:t>天内投标应保持有效。</w:t>
      </w:r>
    </w:p>
    <w:p w14:paraId="19C3AB14">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5.2特殊情况下，在原投标有效期截止前，</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可与投标人协商延长投标有效期，这种要求和答复均以书面形式进行。投标人可拒绝接受延期要求。同意延长投标有效期的投标人不得修改投标文件。</w:t>
      </w:r>
    </w:p>
    <w:p w14:paraId="4CC3BE65">
      <w:pPr>
        <w:keepNext w:val="0"/>
        <w:keepLines w:val="0"/>
        <w:pageBreakBefore w:val="0"/>
        <w:kinsoku/>
        <w:wordWrap/>
        <w:topLinePunct w:val="0"/>
        <w:bidi w:val="0"/>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6、投标保证金</w:t>
      </w:r>
    </w:p>
    <w:p w14:paraId="79BA0750">
      <w:pPr>
        <w:keepNext w:val="0"/>
        <w:keepLines w:val="0"/>
        <w:pageBreakBefore w:val="0"/>
        <w:kinsoku/>
        <w:wordWrap/>
        <w:topLinePunct w:val="0"/>
        <w:bidi w:val="0"/>
        <w:spacing w:line="460" w:lineRule="exact"/>
        <w:ind w:firstLine="880" w:firstLineChars="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无。</w:t>
      </w:r>
    </w:p>
    <w:p w14:paraId="6C614E0D">
      <w:pPr>
        <w:keepNext w:val="0"/>
        <w:keepLines w:val="0"/>
        <w:pageBreakBefore w:val="0"/>
        <w:kinsoku/>
        <w:wordWrap/>
        <w:topLinePunct w:val="0"/>
        <w:bidi w:val="0"/>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7、投标文件编制</w:t>
      </w:r>
    </w:p>
    <w:p w14:paraId="3CE7378C">
      <w:pPr>
        <w:keepNext w:val="0"/>
        <w:keepLines w:val="0"/>
        <w:pageBreakBefore w:val="0"/>
        <w:kinsoku/>
        <w:wordWrap/>
        <w:topLinePunct w:val="0"/>
        <w:bidi w:val="0"/>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7.1本项目通过“</w:t>
      </w:r>
      <w:r>
        <w:rPr>
          <w:rFonts w:hint="eastAsia" w:ascii="新宋体" w:hAnsi="新宋体" w:eastAsia="新宋体" w:cs="新宋体"/>
          <w:b/>
          <w:bCs/>
          <w:color w:val="auto"/>
          <w:sz w:val="22"/>
          <w:szCs w:val="22"/>
          <w:highlight w:val="none"/>
          <w:u w:val="single"/>
          <w:lang w:eastAsia="zh-CN"/>
        </w:rPr>
        <w:t>政采云平台</w:t>
      </w:r>
      <w:r>
        <w:rPr>
          <w:rFonts w:hint="eastAsia" w:ascii="新宋体" w:hAnsi="新宋体" w:eastAsia="新宋体" w:cs="新宋体"/>
          <w:b/>
          <w:bCs/>
          <w:color w:val="auto"/>
          <w:sz w:val="22"/>
          <w:szCs w:val="22"/>
          <w:highlight w:val="none"/>
          <w:u w:val="single"/>
        </w:rPr>
        <w:t>（</w:t>
      </w:r>
      <w:r>
        <w:rPr>
          <w:rFonts w:hint="eastAsia" w:ascii="新宋体" w:hAnsi="新宋体" w:eastAsia="新宋体" w:cs="新宋体"/>
          <w:b/>
          <w:bCs/>
          <w:color w:val="auto"/>
          <w:sz w:val="22"/>
          <w:szCs w:val="22"/>
          <w:highlight w:val="none"/>
          <w:u w:val="single"/>
          <w:lang w:eastAsia="zh-CN"/>
        </w:rPr>
        <w:t>https://www.zcygov.cn/</w:t>
      </w:r>
      <w:r>
        <w:rPr>
          <w:rFonts w:hint="eastAsia" w:ascii="新宋体" w:hAnsi="新宋体" w:eastAsia="新宋体" w:cs="新宋体"/>
          <w:b/>
          <w:bCs/>
          <w:color w:val="auto"/>
          <w:sz w:val="22"/>
          <w:szCs w:val="22"/>
          <w:highlight w:val="none"/>
          <w:u w:val="single"/>
        </w:rPr>
        <w:t>）”实行在线投标响应（电子投标）。投标人应通过“</w:t>
      </w:r>
      <w:r>
        <w:rPr>
          <w:rFonts w:hint="eastAsia" w:ascii="新宋体" w:hAnsi="新宋体" w:eastAsia="新宋体" w:cs="新宋体"/>
          <w:b/>
          <w:bCs/>
          <w:color w:val="auto"/>
          <w:sz w:val="22"/>
          <w:szCs w:val="22"/>
          <w:highlight w:val="none"/>
          <w:u w:val="single"/>
          <w:lang w:eastAsia="zh-CN"/>
        </w:rPr>
        <w:t>政采云</w:t>
      </w:r>
      <w:r>
        <w:rPr>
          <w:rFonts w:hint="eastAsia" w:ascii="新宋体" w:hAnsi="新宋体" w:eastAsia="新宋体" w:cs="新宋体"/>
          <w:b/>
          <w:bCs/>
          <w:color w:val="auto"/>
          <w:sz w:val="22"/>
          <w:szCs w:val="22"/>
          <w:highlight w:val="none"/>
          <w:u w:val="single"/>
        </w:rPr>
        <w:t>电子交易客户端”，并按照本</w:t>
      </w:r>
      <w:r>
        <w:rPr>
          <w:rFonts w:hint="eastAsia" w:ascii="新宋体" w:hAnsi="新宋体" w:eastAsia="新宋体" w:cs="新宋体"/>
          <w:b/>
          <w:bCs/>
          <w:color w:val="auto"/>
          <w:sz w:val="22"/>
          <w:szCs w:val="22"/>
          <w:highlight w:val="none"/>
          <w:u w:val="single"/>
          <w:lang w:eastAsia="zh-CN"/>
        </w:rPr>
        <w:t>采购文件</w:t>
      </w:r>
      <w:r>
        <w:rPr>
          <w:rFonts w:hint="eastAsia" w:ascii="新宋体" w:hAnsi="新宋体" w:eastAsia="新宋体" w:cs="新宋体"/>
          <w:b/>
          <w:bCs/>
          <w:color w:val="auto"/>
          <w:sz w:val="22"/>
          <w:szCs w:val="22"/>
          <w:highlight w:val="none"/>
          <w:u w:val="single"/>
        </w:rPr>
        <w:t>和“</w:t>
      </w:r>
      <w:r>
        <w:rPr>
          <w:rFonts w:hint="eastAsia" w:ascii="新宋体" w:hAnsi="新宋体" w:eastAsia="新宋体" w:cs="新宋体"/>
          <w:b/>
          <w:bCs/>
          <w:color w:val="auto"/>
          <w:sz w:val="22"/>
          <w:szCs w:val="22"/>
          <w:highlight w:val="none"/>
          <w:u w:val="single"/>
          <w:lang w:eastAsia="zh-CN"/>
        </w:rPr>
        <w:t>政采云平台</w:t>
      </w:r>
      <w:r>
        <w:rPr>
          <w:rFonts w:hint="eastAsia" w:ascii="新宋体" w:hAnsi="新宋体" w:eastAsia="新宋体" w:cs="新宋体"/>
          <w:b/>
          <w:bCs/>
          <w:color w:val="auto"/>
          <w:sz w:val="22"/>
          <w:szCs w:val="22"/>
          <w:highlight w:val="none"/>
          <w:u w:val="single"/>
        </w:rPr>
        <w:t>”的要求编制并加密投标文件。</w:t>
      </w:r>
    </w:p>
    <w:p w14:paraId="2B7EFF11">
      <w:pPr>
        <w:keepNext w:val="0"/>
        <w:keepLines w:val="0"/>
        <w:pageBreakBefore w:val="0"/>
        <w:kinsoku/>
        <w:wordWrap/>
        <w:topLinePunct w:val="0"/>
        <w:bidi w:val="0"/>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7.2投标人应当按照本章节“投标文件的构成”规定的内容及顺序在“</w:t>
      </w:r>
      <w:r>
        <w:rPr>
          <w:rFonts w:hint="eastAsia" w:ascii="新宋体" w:hAnsi="新宋体" w:eastAsia="新宋体" w:cs="新宋体"/>
          <w:b/>
          <w:bCs/>
          <w:color w:val="auto"/>
          <w:sz w:val="22"/>
          <w:szCs w:val="22"/>
          <w:highlight w:val="none"/>
          <w:u w:val="single"/>
          <w:lang w:eastAsia="zh-CN"/>
        </w:rPr>
        <w:t>政采云</w:t>
      </w:r>
      <w:r>
        <w:rPr>
          <w:rFonts w:hint="eastAsia" w:ascii="新宋体" w:hAnsi="新宋体" w:eastAsia="新宋体" w:cs="新宋体"/>
          <w:b/>
          <w:bCs/>
          <w:color w:val="auto"/>
          <w:sz w:val="22"/>
          <w:szCs w:val="22"/>
          <w:highlight w:val="none"/>
          <w:u w:val="single"/>
        </w:rPr>
        <w:t>电子交易客户端”编制投标文件。其中《资格文件》和《商务技术文件》中不得出现本项目投标报价。</w:t>
      </w:r>
    </w:p>
    <w:p w14:paraId="0E9FE239">
      <w:pPr>
        <w:keepNext w:val="0"/>
        <w:keepLines w:val="0"/>
        <w:pageBreakBefore w:val="0"/>
        <w:kinsoku/>
        <w:wordWrap/>
        <w:topLinePunct w:val="0"/>
        <w:bidi w:val="0"/>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7.3本文件《附件》中有提供格式的，投标人须参照格式进行编制（格式中要求提供相关证明材料的还需后附相关证明材料），并按格式要求在指定位置根据要求进行签章，否则视为未提供；本文件《附件》未提供格式的，请各投标单位自行拟定格式，并加盖单位公章并由法定代表人或其授权代表签署（签字或盖章），否则视为未提供。</w:t>
      </w:r>
    </w:p>
    <w:p w14:paraId="5396007D">
      <w:pPr>
        <w:keepNext w:val="0"/>
        <w:keepLines w:val="0"/>
        <w:pageBreakBefore w:val="0"/>
        <w:kinsoku/>
        <w:wordWrap/>
        <w:topLinePunct w:val="0"/>
        <w:bidi w:val="0"/>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7.4《投标文件》内容不完整、编排混乱导致《投标文件》被误读、漏读或者查找不到相关内容的，投标人自行负责。</w:t>
      </w:r>
    </w:p>
    <w:p w14:paraId="624268F0">
      <w:pPr>
        <w:keepNext w:val="0"/>
        <w:keepLines w:val="0"/>
        <w:pageBreakBefore w:val="0"/>
        <w:kinsoku/>
        <w:wordWrap/>
        <w:topLinePunct w:val="0"/>
        <w:bidi w:val="0"/>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7.5《投标文件》因字迹潦草或表达不清所引起的后果由投标人负责。</w:t>
      </w:r>
    </w:p>
    <w:p w14:paraId="20EC9EBC">
      <w:pPr>
        <w:keepNext w:val="0"/>
        <w:keepLines w:val="0"/>
        <w:pageBreakBefore w:val="0"/>
        <w:kinsoku/>
        <w:wordWrap/>
        <w:topLinePunct w:val="0"/>
        <w:bidi w:val="0"/>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7.6投标人没有按照本章节“投标文件的构成”要求提供全部资料，或者没有仔细阅读</w:t>
      </w:r>
      <w:r>
        <w:rPr>
          <w:rFonts w:hint="eastAsia" w:ascii="新宋体" w:hAnsi="新宋体" w:eastAsia="新宋体" w:cs="新宋体"/>
          <w:b/>
          <w:bCs/>
          <w:color w:val="auto"/>
          <w:sz w:val="22"/>
          <w:szCs w:val="22"/>
          <w:highlight w:val="none"/>
          <w:u w:val="single"/>
          <w:lang w:eastAsia="zh-CN"/>
        </w:rPr>
        <w:t>采购文件</w:t>
      </w:r>
      <w:r>
        <w:rPr>
          <w:rFonts w:hint="eastAsia" w:ascii="新宋体" w:hAnsi="新宋体" w:eastAsia="新宋体" w:cs="新宋体"/>
          <w:b/>
          <w:bCs/>
          <w:color w:val="auto"/>
          <w:sz w:val="22"/>
          <w:szCs w:val="22"/>
          <w:highlight w:val="none"/>
          <w:u w:val="single"/>
        </w:rPr>
        <w:t>，或者没有对</w:t>
      </w:r>
      <w:r>
        <w:rPr>
          <w:rFonts w:hint="eastAsia" w:ascii="新宋体" w:hAnsi="新宋体" w:eastAsia="新宋体" w:cs="新宋体"/>
          <w:b/>
          <w:bCs/>
          <w:color w:val="auto"/>
          <w:sz w:val="22"/>
          <w:szCs w:val="22"/>
          <w:highlight w:val="none"/>
          <w:u w:val="single"/>
          <w:lang w:eastAsia="zh-CN"/>
        </w:rPr>
        <w:t>采购文件</w:t>
      </w:r>
      <w:r>
        <w:rPr>
          <w:rFonts w:hint="eastAsia" w:ascii="新宋体" w:hAnsi="新宋体" w:eastAsia="新宋体" w:cs="新宋体"/>
          <w:b/>
          <w:bCs/>
          <w:color w:val="auto"/>
          <w:sz w:val="22"/>
          <w:szCs w:val="22"/>
          <w:highlight w:val="none"/>
          <w:u w:val="single"/>
        </w:rPr>
        <w:t>在各方面的要求作出实质性响应是投标人的风险，由此造成的一切后果由投标人自行承担。</w:t>
      </w:r>
    </w:p>
    <w:p w14:paraId="10684265">
      <w:pPr>
        <w:keepNext w:val="0"/>
        <w:keepLines w:val="0"/>
        <w:pageBreakBefore w:val="0"/>
        <w:kinsoku/>
        <w:wordWrap/>
        <w:topLinePunct w:val="0"/>
        <w:bidi w:val="0"/>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8、投标文件的签章</w:t>
      </w:r>
    </w:p>
    <w:p w14:paraId="741A8229">
      <w:pPr>
        <w:keepNext w:val="0"/>
        <w:keepLines w:val="0"/>
        <w:pageBreakBefore w:val="0"/>
        <w:kinsoku/>
        <w:wordWrap/>
        <w:topLinePunct w:val="0"/>
        <w:bidi w:val="0"/>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8.1《投标文件》的签章：见《前附表》；</w:t>
      </w:r>
    </w:p>
    <w:p w14:paraId="53425D7E">
      <w:pPr>
        <w:keepNext w:val="0"/>
        <w:keepLines w:val="0"/>
        <w:pageBreakBefore w:val="0"/>
        <w:kinsoku/>
        <w:wordWrap/>
        <w:topLinePunct w:val="0"/>
        <w:bidi w:val="0"/>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8.2《投标文件》应由投标人法定代表人或其授权代表签字（或盖章），并时加盖投标人公章。</w:t>
      </w:r>
    </w:p>
    <w:p w14:paraId="6DF2ECB8">
      <w:pPr>
        <w:keepNext w:val="0"/>
        <w:keepLines w:val="0"/>
        <w:pageBreakBefore w:val="0"/>
        <w:kinsoku/>
        <w:wordWrap/>
        <w:topLinePunct w:val="0"/>
        <w:bidi w:val="0"/>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8.3电子签章操作指南详见采购公告附件《投标人项目采购-电子招投标操作指南》。</w:t>
      </w:r>
    </w:p>
    <w:p w14:paraId="6F6E164F">
      <w:pPr>
        <w:keepNext w:val="0"/>
        <w:keepLines w:val="0"/>
        <w:pageBreakBefore w:val="0"/>
        <w:kinsoku/>
        <w:wordWrap/>
        <w:topLinePunct w:val="0"/>
        <w:bidi w:val="0"/>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9、投标文件的形式</w:t>
      </w:r>
    </w:p>
    <w:p w14:paraId="1BC6D69D">
      <w:pPr>
        <w:keepNext w:val="0"/>
        <w:keepLines w:val="0"/>
        <w:pageBreakBefore w:val="0"/>
        <w:kinsoku/>
        <w:wordWrap/>
        <w:topLinePunct w:val="0"/>
        <w:bidi w:val="0"/>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9.1投标文件的形式：见《前附表》；</w:t>
      </w:r>
    </w:p>
    <w:p w14:paraId="40877914">
      <w:pPr>
        <w:keepNext w:val="0"/>
        <w:keepLines w:val="0"/>
        <w:pageBreakBefore w:val="0"/>
        <w:kinsoku/>
        <w:wordWrap/>
        <w:topLinePunct w:val="0"/>
        <w:bidi w:val="0"/>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9.2“电子加密投标文件”：“电子加密投标文件”是指通过“</w:t>
      </w:r>
      <w:r>
        <w:rPr>
          <w:rFonts w:hint="eastAsia" w:ascii="新宋体" w:hAnsi="新宋体" w:eastAsia="新宋体" w:cs="新宋体"/>
          <w:b/>
          <w:bCs/>
          <w:color w:val="auto"/>
          <w:sz w:val="22"/>
          <w:szCs w:val="22"/>
          <w:highlight w:val="none"/>
          <w:lang w:eastAsia="zh-CN"/>
        </w:rPr>
        <w:t>政采云</w:t>
      </w:r>
      <w:r>
        <w:rPr>
          <w:rFonts w:hint="eastAsia" w:ascii="新宋体" w:hAnsi="新宋体" w:eastAsia="新宋体" w:cs="新宋体"/>
          <w:b/>
          <w:bCs/>
          <w:color w:val="auto"/>
          <w:sz w:val="22"/>
          <w:szCs w:val="22"/>
          <w:highlight w:val="none"/>
        </w:rPr>
        <w:t>电子交易客户端”完成投标文件编制后生成并加密的数据电文形式的投标文件。</w:t>
      </w:r>
    </w:p>
    <w:p w14:paraId="29735462">
      <w:pPr>
        <w:keepNext w:val="0"/>
        <w:keepLines w:val="0"/>
        <w:pageBreakBefore w:val="0"/>
        <w:kinsoku/>
        <w:wordWrap/>
        <w:topLinePunct w:val="0"/>
        <w:bidi w:val="0"/>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3FCEC0B6">
      <w:pPr>
        <w:keepNext w:val="0"/>
        <w:keepLines w:val="0"/>
        <w:pageBreakBefore w:val="0"/>
        <w:kinsoku/>
        <w:wordWrap/>
        <w:topLinePunct w:val="0"/>
        <w:bidi w:val="0"/>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10、投标文件的份数</w:t>
      </w:r>
    </w:p>
    <w:p w14:paraId="54D5D480">
      <w:pPr>
        <w:keepNext w:val="0"/>
        <w:keepLines w:val="0"/>
        <w:pageBreakBefore w:val="0"/>
        <w:kinsoku/>
        <w:wordWrap/>
        <w:topLinePunct w:val="0"/>
        <w:bidi w:val="0"/>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10.1投标文件的份数：见《前附表》。</w:t>
      </w:r>
    </w:p>
    <w:p w14:paraId="4518A4FE">
      <w:pPr>
        <w:spacing w:before="100" w:beforeAutospacing="1" w:after="100" w:afterAutospacing="1" w:line="440" w:lineRule="exact"/>
        <w:jc w:val="center"/>
        <w:outlineLvl w:val="2"/>
        <w:rPr>
          <w:rFonts w:hint="eastAsia" w:ascii="新宋体" w:hAnsi="新宋体" w:eastAsia="新宋体" w:cs="新宋体"/>
          <w:b/>
          <w:bCs/>
          <w:color w:val="auto"/>
          <w:sz w:val="22"/>
          <w:szCs w:val="22"/>
          <w:highlight w:val="none"/>
        </w:rPr>
      </w:pPr>
      <w:bookmarkStart w:id="16" w:name="_Toc874"/>
      <w:r>
        <w:rPr>
          <w:rFonts w:hint="eastAsia" w:ascii="新宋体" w:hAnsi="新宋体" w:eastAsia="新宋体" w:cs="新宋体"/>
          <w:b/>
          <w:bCs/>
          <w:color w:val="auto"/>
          <w:sz w:val="22"/>
          <w:szCs w:val="22"/>
          <w:highlight w:val="none"/>
        </w:rPr>
        <w:t>四、 投标文件的递交</w:t>
      </w:r>
      <w:bookmarkEnd w:id="16"/>
    </w:p>
    <w:p w14:paraId="48117B9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1、投标文件的上传和递交</w:t>
      </w:r>
    </w:p>
    <w:p w14:paraId="4D23BD2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1.1“投标文件”的上传、递交见《前附表》。</w:t>
      </w:r>
    </w:p>
    <w:p w14:paraId="33D60C7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2、“电子加密投标文件”解密和异常情况处理</w:t>
      </w:r>
    </w:p>
    <w:p w14:paraId="55E6623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2.1“电子加密投标文件”解密：见《前附表》。</w:t>
      </w:r>
    </w:p>
    <w:p w14:paraId="11D14E9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3、投标文件的补充、修改或撤回</w:t>
      </w:r>
    </w:p>
    <w:p w14:paraId="0DD4106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hint="eastAsia" w:ascii="新宋体" w:hAnsi="新宋体" w:eastAsia="新宋体" w:cs="新宋体"/>
          <w:color w:val="auto"/>
          <w:sz w:val="22"/>
          <w:szCs w:val="22"/>
          <w:highlight w:val="none"/>
          <w:lang w:eastAsia="zh-CN"/>
        </w:rPr>
        <w:t>政采云平台</w:t>
      </w:r>
      <w:r>
        <w:rPr>
          <w:rFonts w:hint="eastAsia" w:ascii="新宋体" w:hAnsi="新宋体" w:eastAsia="新宋体" w:cs="新宋体"/>
          <w:color w:val="auto"/>
          <w:sz w:val="22"/>
          <w:szCs w:val="22"/>
          <w:highlight w:val="none"/>
        </w:rPr>
        <w:t>”将予以拒收。</w:t>
      </w:r>
    </w:p>
    <w:p w14:paraId="13B7A00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3.2投标截止时间后，投标人不得撤回、修改《投标文件》。</w:t>
      </w:r>
    </w:p>
    <w:p w14:paraId="0881C37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4、投标文件的备选方案</w:t>
      </w:r>
    </w:p>
    <w:p w14:paraId="5D50133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01208539">
      <w:pPr>
        <w:spacing w:before="100" w:beforeAutospacing="1" w:after="100" w:afterAutospacing="1" w:line="460" w:lineRule="exact"/>
        <w:jc w:val="center"/>
        <w:outlineLvl w:val="2"/>
        <w:rPr>
          <w:rFonts w:hint="eastAsia" w:ascii="新宋体" w:hAnsi="新宋体" w:eastAsia="新宋体" w:cs="新宋体"/>
          <w:b/>
          <w:bCs/>
          <w:color w:val="auto"/>
          <w:sz w:val="22"/>
          <w:szCs w:val="22"/>
          <w:highlight w:val="none"/>
        </w:rPr>
      </w:pPr>
      <w:bookmarkStart w:id="17" w:name="_Toc12362"/>
      <w:r>
        <w:rPr>
          <w:rFonts w:hint="eastAsia" w:ascii="新宋体" w:hAnsi="新宋体" w:eastAsia="新宋体" w:cs="新宋体"/>
          <w:b/>
          <w:bCs/>
          <w:color w:val="auto"/>
          <w:sz w:val="22"/>
          <w:szCs w:val="22"/>
          <w:highlight w:val="none"/>
        </w:rPr>
        <w:t>五、 开标和评标</w:t>
      </w:r>
      <w:bookmarkEnd w:id="17"/>
    </w:p>
    <w:p w14:paraId="6F89CB84">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1、评标委员会</w:t>
      </w:r>
    </w:p>
    <w:p w14:paraId="7CE5D35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和</w:t>
      </w:r>
      <w:r>
        <w:rPr>
          <w:rFonts w:hint="eastAsia" w:ascii="新宋体" w:hAnsi="新宋体" w:eastAsia="新宋体" w:cs="新宋体"/>
          <w:bCs/>
          <w:color w:val="auto"/>
          <w:sz w:val="22"/>
          <w:szCs w:val="22"/>
          <w:highlight w:val="none"/>
          <w:lang w:eastAsia="zh-CN"/>
        </w:rPr>
        <w:t>采购代理机构</w:t>
      </w:r>
      <w:r>
        <w:rPr>
          <w:rFonts w:hint="eastAsia" w:ascii="新宋体" w:hAnsi="新宋体" w:eastAsia="新宋体" w:cs="新宋体"/>
          <w:bCs/>
          <w:color w:val="auto"/>
          <w:sz w:val="22"/>
          <w:szCs w:val="22"/>
          <w:highlight w:val="none"/>
        </w:rPr>
        <w:t>组建评标委员会。评标委员会的成员在评标过程中必须严格遵守《政府采购法》等有关法律、法规的规定。</w:t>
      </w:r>
    </w:p>
    <w:p w14:paraId="51C97D50">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2、评标过程的保密性</w:t>
      </w:r>
    </w:p>
    <w:p w14:paraId="3C9817E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开标后直至向成交投标人授予合同时止，凡与评审有关的资料均不得向投标人及与评标无关人员透露。如果投标人在评标过程中试图向</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和</w:t>
      </w:r>
      <w:r>
        <w:rPr>
          <w:rFonts w:hint="eastAsia" w:ascii="新宋体" w:hAnsi="新宋体" w:eastAsia="新宋体" w:cs="新宋体"/>
          <w:bCs/>
          <w:color w:val="auto"/>
          <w:sz w:val="22"/>
          <w:szCs w:val="22"/>
          <w:highlight w:val="none"/>
          <w:lang w:eastAsia="zh-CN"/>
        </w:rPr>
        <w:t>采购代理机构</w:t>
      </w:r>
      <w:r>
        <w:rPr>
          <w:rFonts w:hint="eastAsia" w:ascii="新宋体" w:hAnsi="新宋体" w:eastAsia="新宋体" w:cs="新宋体"/>
          <w:bCs/>
          <w:color w:val="auto"/>
          <w:sz w:val="22"/>
          <w:szCs w:val="22"/>
          <w:highlight w:val="none"/>
        </w:rPr>
        <w:t>施加影响，其投标将被拒绝。</w:t>
      </w:r>
    </w:p>
    <w:p w14:paraId="16D0659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3、开标形式</w:t>
      </w:r>
    </w:p>
    <w:p w14:paraId="076F7F4D">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采购组织机构将按照</w:t>
      </w:r>
      <w:r>
        <w:rPr>
          <w:rFonts w:hint="eastAsia" w:ascii="新宋体" w:hAnsi="新宋体" w:eastAsia="新宋体" w:cs="新宋体"/>
          <w:b/>
          <w:color w:val="auto"/>
          <w:sz w:val="22"/>
          <w:szCs w:val="22"/>
          <w:highlight w:val="none"/>
          <w:lang w:eastAsia="zh-CN"/>
        </w:rPr>
        <w:t>采购文件</w:t>
      </w:r>
      <w:r>
        <w:rPr>
          <w:rFonts w:hint="eastAsia" w:ascii="新宋体" w:hAnsi="新宋体" w:eastAsia="新宋体" w:cs="新宋体"/>
          <w:b/>
          <w:color w:val="auto"/>
          <w:sz w:val="22"/>
          <w:szCs w:val="22"/>
          <w:highlight w:val="none"/>
        </w:rPr>
        <w:t>规定的时间通过“</w:t>
      </w:r>
      <w:r>
        <w:rPr>
          <w:rFonts w:hint="eastAsia" w:ascii="新宋体" w:hAnsi="新宋体" w:eastAsia="新宋体" w:cs="新宋体"/>
          <w:b/>
          <w:color w:val="auto"/>
          <w:sz w:val="22"/>
          <w:szCs w:val="22"/>
          <w:highlight w:val="none"/>
          <w:lang w:eastAsia="zh-CN"/>
        </w:rPr>
        <w:t>政采云平台</w:t>
      </w:r>
      <w:r>
        <w:rPr>
          <w:rFonts w:hint="eastAsia" w:ascii="新宋体" w:hAnsi="新宋体" w:eastAsia="新宋体" w:cs="新宋体"/>
          <w:b/>
          <w:color w:val="auto"/>
          <w:sz w:val="22"/>
          <w:szCs w:val="22"/>
          <w:highlight w:val="none"/>
        </w:rPr>
        <w:t>”组织开标、开启投标文件，所有投标人均应当准时（在线）参加。</w:t>
      </w:r>
    </w:p>
    <w:p w14:paraId="1AFB877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4、开标准备</w:t>
      </w:r>
    </w:p>
    <w:p w14:paraId="5FC2CE3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4.1开标的准备工作由采购组织机构负责落实；</w:t>
      </w:r>
    </w:p>
    <w:p w14:paraId="714E332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4.2</w:t>
      </w:r>
      <w:r>
        <w:rPr>
          <w:rFonts w:hint="eastAsia" w:ascii="新宋体" w:hAnsi="新宋体" w:eastAsia="新宋体" w:cs="新宋体"/>
          <w:b/>
          <w:color w:val="auto"/>
          <w:sz w:val="22"/>
          <w:szCs w:val="22"/>
          <w:highlight w:val="none"/>
        </w:rPr>
        <w:t>采购组织机构将按照</w:t>
      </w:r>
      <w:r>
        <w:rPr>
          <w:rFonts w:hint="eastAsia" w:ascii="新宋体" w:hAnsi="新宋体" w:eastAsia="新宋体" w:cs="新宋体"/>
          <w:b/>
          <w:color w:val="auto"/>
          <w:sz w:val="22"/>
          <w:szCs w:val="22"/>
          <w:highlight w:val="none"/>
          <w:lang w:eastAsia="zh-CN"/>
        </w:rPr>
        <w:t>采购文件</w:t>
      </w:r>
      <w:r>
        <w:rPr>
          <w:rFonts w:hint="eastAsia" w:ascii="新宋体" w:hAnsi="新宋体" w:eastAsia="新宋体" w:cs="新宋体"/>
          <w:b/>
          <w:color w:val="auto"/>
          <w:sz w:val="22"/>
          <w:szCs w:val="22"/>
          <w:highlight w:val="none"/>
        </w:rPr>
        <w:t>规定的时间通过“</w:t>
      </w:r>
      <w:r>
        <w:rPr>
          <w:rFonts w:hint="eastAsia" w:ascii="新宋体" w:hAnsi="新宋体" w:eastAsia="新宋体" w:cs="新宋体"/>
          <w:b/>
          <w:color w:val="auto"/>
          <w:sz w:val="22"/>
          <w:szCs w:val="22"/>
          <w:highlight w:val="none"/>
          <w:lang w:eastAsia="zh-CN"/>
        </w:rPr>
        <w:t>政采云平台</w:t>
      </w:r>
      <w:r>
        <w:rPr>
          <w:rFonts w:hint="eastAsia" w:ascii="新宋体" w:hAnsi="新宋体" w:eastAsia="新宋体" w:cs="新宋体"/>
          <w:b/>
          <w:color w:val="auto"/>
          <w:sz w:val="22"/>
          <w:szCs w:val="22"/>
          <w:highlight w:val="none"/>
        </w:rPr>
        <w:t>”组织开标、开启投标文件，所有投标人均应当准时（在线）参加。</w:t>
      </w:r>
      <w:r>
        <w:rPr>
          <w:rFonts w:hint="eastAsia" w:ascii="新宋体" w:hAnsi="新宋体" w:eastAsia="新宋体" w:cs="新宋体"/>
          <w:b/>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投标人如不参加开标大会的，视同认可开标结果，事后不得对采购相关人员、开标过程和开标结果提出异议，同时投标人因未在线参加开标而导致投标文件无法按时解密等一切后果由投标人自己承担。</w:t>
      </w:r>
    </w:p>
    <w:p w14:paraId="00C23992">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5、开标流程</w:t>
      </w:r>
    </w:p>
    <w:p w14:paraId="490DA9C8">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5.1开标、评标</w:t>
      </w:r>
    </w:p>
    <w:p w14:paraId="6ADC093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（1）向各投标人发出电子加密投标文件【开始解密】通知，由投标人按</w:t>
      </w:r>
      <w:r>
        <w:rPr>
          <w:rFonts w:hint="eastAsia" w:ascii="新宋体" w:hAnsi="新宋体" w:eastAsia="新宋体" w:cs="新宋体"/>
          <w:color w:val="auto"/>
          <w:kern w:val="0"/>
          <w:sz w:val="22"/>
          <w:szCs w:val="22"/>
          <w:highlight w:val="none"/>
          <w:lang w:eastAsia="zh-CN"/>
        </w:rPr>
        <w:t>采购文件</w:t>
      </w:r>
      <w:r>
        <w:rPr>
          <w:rFonts w:hint="eastAsia" w:ascii="新宋体" w:hAnsi="新宋体" w:eastAsia="新宋体" w:cs="新宋体"/>
          <w:color w:val="auto"/>
          <w:kern w:val="0"/>
          <w:sz w:val="22"/>
          <w:szCs w:val="22"/>
          <w:highlight w:val="none"/>
        </w:rPr>
        <w:t>规定的时间内自行进行投标文件解密。投标人在规定的时间内无法完成已递交的“电子加密投标文件”解密的，如已按规 定递交了备份投标文件的，将由采购组织机构按“</w:t>
      </w:r>
      <w:r>
        <w:rPr>
          <w:rFonts w:hint="eastAsia" w:ascii="新宋体" w:hAnsi="新宋体" w:eastAsia="新宋体" w:cs="新宋体"/>
          <w:color w:val="auto"/>
          <w:kern w:val="0"/>
          <w:sz w:val="22"/>
          <w:szCs w:val="22"/>
          <w:highlight w:val="none"/>
          <w:lang w:eastAsia="zh-CN"/>
        </w:rPr>
        <w:t>政采云平台</w:t>
      </w:r>
      <w:r>
        <w:rPr>
          <w:rFonts w:hint="eastAsia" w:ascii="新宋体" w:hAnsi="新宋体" w:eastAsia="新宋体" w:cs="新宋体"/>
          <w:color w:val="auto"/>
          <w:kern w:val="0"/>
          <w:sz w:val="22"/>
          <w:szCs w:val="22"/>
          <w:highlight w:val="none"/>
        </w:rPr>
        <w:t>”操作规范将备份投标文件上传至“</w:t>
      </w:r>
      <w:r>
        <w:rPr>
          <w:rFonts w:hint="eastAsia" w:ascii="新宋体" w:hAnsi="新宋体" w:eastAsia="新宋体" w:cs="新宋体"/>
          <w:color w:val="auto"/>
          <w:kern w:val="0"/>
          <w:sz w:val="22"/>
          <w:szCs w:val="22"/>
          <w:highlight w:val="none"/>
          <w:lang w:eastAsia="zh-CN"/>
        </w:rPr>
        <w:t>政采云平台</w:t>
      </w:r>
      <w:r>
        <w:rPr>
          <w:rFonts w:hint="eastAsia" w:ascii="新宋体" w:hAnsi="新宋体" w:eastAsia="新宋体" w:cs="新宋体"/>
          <w:color w:val="auto"/>
          <w:kern w:val="0"/>
          <w:sz w:val="22"/>
          <w:szCs w:val="22"/>
          <w:highlight w:val="none"/>
        </w:rPr>
        <w:t>”，上传成功后，“电子加密投标文件”自动失效；</w:t>
      </w:r>
    </w:p>
    <w:p w14:paraId="2DD2A5D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投标人不足3家的，不得开标。</w:t>
      </w:r>
    </w:p>
    <w:p w14:paraId="33753C7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（2）解密成功后，开启投标人的《报价文件》，投标人通过</w:t>
      </w:r>
      <w:r>
        <w:rPr>
          <w:rFonts w:hint="eastAsia" w:ascii="新宋体" w:hAnsi="新宋体" w:eastAsia="新宋体" w:cs="新宋体"/>
          <w:color w:val="auto"/>
          <w:kern w:val="0"/>
          <w:sz w:val="22"/>
          <w:szCs w:val="22"/>
          <w:highlight w:val="none"/>
          <w:lang w:eastAsia="zh-CN"/>
        </w:rPr>
        <w:t>政采云</w:t>
      </w:r>
      <w:r>
        <w:rPr>
          <w:rFonts w:hint="eastAsia" w:ascii="新宋体" w:hAnsi="新宋体" w:eastAsia="新宋体" w:cs="新宋体"/>
          <w:color w:val="auto"/>
          <w:kern w:val="0"/>
          <w:sz w:val="22"/>
          <w:szCs w:val="22"/>
          <w:highlight w:val="none"/>
        </w:rPr>
        <w:t>系统对自己报价文件相关内容进行签字确认（不予确认的应说明理由，否则视为无异议）。</w:t>
      </w:r>
    </w:p>
    <w:p w14:paraId="1165DCE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（3）开启《投标文件》，进入资格审查；</w:t>
      </w:r>
      <w:r>
        <w:rPr>
          <w:rFonts w:hint="eastAsia" w:ascii="新宋体" w:hAnsi="新宋体" w:eastAsia="新宋体" w:cs="新宋体"/>
          <w:bCs/>
          <w:color w:val="auto"/>
          <w:sz w:val="22"/>
          <w:szCs w:val="22"/>
          <w:highlight w:val="none"/>
        </w:rPr>
        <w:t>合格投标人不足3家的，不得评标。</w:t>
      </w:r>
    </w:p>
    <w:p w14:paraId="79F136D1">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kern w:val="0"/>
          <w:sz w:val="22"/>
          <w:szCs w:val="22"/>
          <w:highlight w:val="none"/>
        </w:rPr>
        <w:t>备注：开标大会的结束后，</w:t>
      </w:r>
      <w:r>
        <w:rPr>
          <w:rFonts w:hint="eastAsia" w:ascii="新宋体" w:hAnsi="新宋体" w:eastAsia="新宋体" w:cs="新宋体"/>
          <w:b/>
          <w:color w:val="auto"/>
          <w:kern w:val="0"/>
          <w:sz w:val="22"/>
          <w:szCs w:val="22"/>
          <w:highlight w:val="none"/>
          <w:lang w:eastAsia="zh-CN"/>
        </w:rPr>
        <w:t>采购人</w:t>
      </w:r>
      <w:r>
        <w:rPr>
          <w:rFonts w:hint="eastAsia" w:ascii="新宋体" w:hAnsi="新宋体" w:eastAsia="新宋体" w:cs="新宋体"/>
          <w:b/>
          <w:color w:val="auto"/>
          <w:kern w:val="0"/>
          <w:sz w:val="22"/>
          <w:szCs w:val="22"/>
          <w:highlight w:val="none"/>
        </w:rPr>
        <w:t>或</w:t>
      </w:r>
      <w:r>
        <w:rPr>
          <w:rFonts w:hint="eastAsia" w:ascii="新宋体" w:hAnsi="新宋体" w:eastAsia="新宋体" w:cs="新宋体"/>
          <w:b/>
          <w:color w:val="auto"/>
          <w:kern w:val="0"/>
          <w:sz w:val="22"/>
          <w:szCs w:val="22"/>
          <w:highlight w:val="none"/>
          <w:lang w:eastAsia="zh-CN"/>
        </w:rPr>
        <w:t>采购代理机构</w:t>
      </w:r>
      <w:r>
        <w:rPr>
          <w:rFonts w:hint="eastAsia" w:ascii="新宋体" w:hAnsi="新宋体" w:eastAsia="新宋体" w:cs="新宋体"/>
          <w:b/>
          <w:color w:val="auto"/>
          <w:kern w:val="0"/>
          <w:sz w:val="22"/>
          <w:szCs w:val="22"/>
          <w:highlight w:val="none"/>
        </w:rPr>
        <w:t>将对依法对投标人的资格进行审查，资格审查结束后进入符合性审查和商务技术的评审工作，具体见本章节“投标人资格审查”相关规定。</w:t>
      </w:r>
    </w:p>
    <w:p w14:paraId="3CE95B1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rPr>
        <w:t>（4）开启资格审查通过的投标人的商务技术文件进入符合性审查，</w:t>
      </w:r>
      <w:r>
        <w:rPr>
          <w:rFonts w:hint="eastAsia" w:ascii="新宋体" w:hAnsi="新宋体" w:eastAsia="新宋体" w:cs="新宋体"/>
          <w:bCs/>
          <w:color w:val="auto"/>
          <w:sz w:val="22"/>
          <w:szCs w:val="22"/>
          <w:highlight w:val="none"/>
        </w:rPr>
        <w:t>以确定其是否满足</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的实质性要求，合格投标人不足3家的，不得评标。</w:t>
      </w:r>
    </w:p>
    <w:p w14:paraId="4CAA741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没有满足</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5C2BDF9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（5）对通过资格审查、符合性审查的合格投标人进行商务技术部分的评审。</w:t>
      </w:r>
    </w:p>
    <w:p w14:paraId="6F77F43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（6）评标委员会对报价的合理性、准确性等进行审查核实。</w:t>
      </w:r>
    </w:p>
    <w:p w14:paraId="3FB1D56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（7）评审结束后，公布中标（成交）候选投标人名单及</w:t>
      </w:r>
      <w:r>
        <w:rPr>
          <w:rFonts w:hint="eastAsia" w:ascii="新宋体" w:hAnsi="新宋体" w:eastAsia="新宋体" w:cs="新宋体"/>
          <w:color w:val="auto"/>
          <w:kern w:val="0"/>
          <w:sz w:val="22"/>
          <w:szCs w:val="22"/>
          <w:highlight w:val="none"/>
          <w:lang w:eastAsia="zh-CN"/>
        </w:rPr>
        <w:t>采购人</w:t>
      </w:r>
      <w:r>
        <w:rPr>
          <w:rFonts w:hint="eastAsia" w:ascii="新宋体" w:hAnsi="新宋体" w:eastAsia="新宋体" w:cs="新宋体"/>
          <w:color w:val="auto"/>
          <w:kern w:val="0"/>
          <w:sz w:val="22"/>
          <w:szCs w:val="22"/>
          <w:highlight w:val="none"/>
        </w:rPr>
        <w:t>最终确定中标或成交投标人名单的时间和公告方式等。</w:t>
      </w:r>
    </w:p>
    <w:p w14:paraId="3DC49E62">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特别说明：如遇“</w:t>
      </w:r>
      <w:r>
        <w:rPr>
          <w:rFonts w:hint="eastAsia" w:ascii="新宋体" w:hAnsi="新宋体" w:eastAsia="新宋体" w:cs="新宋体"/>
          <w:b/>
          <w:color w:val="auto"/>
          <w:kern w:val="0"/>
          <w:sz w:val="22"/>
          <w:szCs w:val="22"/>
          <w:highlight w:val="none"/>
          <w:lang w:eastAsia="zh-CN"/>
        </w:rPr>
        <w:t>政采云平台</w:t>
      </w:r>
      <w:r>
        <w:rPr>
          <w:rFonts w:hint="eastAsia" w:ascii="新宋体" w:hAnsi="新宋体" w:eastAsia="新宋体" w:cs="新宋体"/>
          <w:b/>
          <w:color w:val="auto"/>
          <w:kern w:val="0"/>
          <w:sz w:val="22"/>
          <w:szCs w:val="22"/>
          <w:highlight w:val="none"/>
        </w:rPr>
        <w:t>”电子化开标或评审程序调整的，按调整后程序执行。</w:t>
      </w:r>
    </w:p>
    <w:p w14:paraId="3DE7463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bookmarkStart w:id="18" w:name="_Toc24550037"/>
      <w:bookmarkStart w:id="19" w:name="_Toc33194393"/>
      <w:r>
        <w:rPr>
          <w:rFonts w:hint="eastAsia" w:ascii="新宋体" w:hAnsi="新宋体" w:eastAsia="新宋体" w:cs="新宋体"/>
          <w:color w:val="auto"/>
          <w:sz w:val="22"/>
          <w:szCs w:val="22"/>
          <w:highlight w:val="none"/>
        </w:rPr>
        <w:t>6、投标人资格审查</w:t>
      </w:r>
      <w:bookmarkEnd w:id="18"/>
      <w:bookmarkEnd w:id="19"/>
    </w:p>
    <w:p w14:paraId="4F639544">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6.1开标大会结束后，</w:t>
      </w:r>
      <w:r>
        <w:rPr>
          <w:rFonts w:hint="eastAsia" w:ascii="新宋体" w:hAnsi="新宋体" w:eastAsia="新宋体" w:cs="新宋体"/>
          <w:b/>
          <w:color w:val="auto"/>
          <w:sz w:val="22"/>
          <w:szCs w:val="22"/>
          <w:highlight w:val="none"/>
          <w:lang w:eastAsia="zh-CN"/>
        </w:rPr>
        <w:t>采购人</w:t>
      </w:r>
      <w:r>
        <w:rPr>
          <w:rFonts w:hint="eastAsia" w:ascii="新宋体" w:hAnsi="新宋体" w:eastAsia="新宋体" w:cs="新宋体"/>
          <w:b/>
          <w:color w:val="auto"/>
          <w:sz w:val="22"/>
          <w:szCs w:val="22"/>
          <w:highlight w:val="none"/>
        </w:rPr>
        <w:t>或</w:t>
      </w:r>
      <w:r>
        <w:rPr>
          <w:rFonts w:hint="eastAsia" w:ascii="新宋体" w:hAnsi="新宋体" w:eastAsia="新宋体" w:cs="新宋体"/>
          <w:b/>
          <w:color w:val="auto"/>
          <w:sz w:val="22"/>
          <w:szCs w:val="22"/>
          <w:highlight w:val="none"/>
          <w:lang w:eastAsia="zh-CN"/>
        </w:rPr>
        <w:t>采购代理机构</w:t>
      </w:r>
      <w:r>
        <w:rPr>
          <w:rFonts w:hint="eastAsia" w:ascii="新宋体" w:hAnsi="新宋体" w:eastAsia="新宋体" w:cs="新宋体"/>
          <w:b/>
          <w:color w:val="auto"/>
          <w:sz w:val="22"/>
          <w:szCs w:val="22"/>
          <w:highlight w:val="none"/>
        </w:rPr>
        <w:t>首先依法对各投标人的资格进行审查，审查各投标人的资格是否满足</w:t>
      </w:r>
      <w:r>
        <w:rPr>
          <w:rFonts w:hint="eastAsia" w:ascii="新宋体" w:hAnsi="新宋体" w:eastAsia="新宋体" w:cs="新宋体"/>
          <w:b/>
          <w:color w:val="auto"/>
          <w:sz w:val="22"/>
          <w:szCs w:val="22"/>
          <w:highlight w:val="none"/>
          <w:lang w:eastAsia="zh-CN"/>
        </w:rPr>
        <w:t>采购文件</w:t>
      </w:r>
      <w:r>
        <w:rPr>
          <w:rFonts w:hint="eastAsia" w:ascii="新宋体" w:hAnsi="新宋体" w:eastAsia="新宋体" w:cs="新宋体"/>
          <w:b/>
          <w:color w:val="auto"/>
          <w:sz w:val="22"/>
          <w:szCs w:val="22"/>
          <w:highlight w:val="none"/>
        </w:rPr>
        <w:t>的要求。</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或</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对投标人所提交的资格证明材料仅负审核的责任。如发现投标人所提交的资格证明材料不合法或与事实不符，</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可取消其中标资格并追究投标人的法律责任。</w:t>
      </w:r>
    </w:p>
    <w:p w14:paraId="731FB273">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sz w:val="22"/>
          <w:szCs w:val="22"/>
          <w:highlight w:val="none"/>
        </w:rPr>
        <w:t>6.2投标人提交的资格证明材料无法证明其符合</w:t>
      </w:r>
      <w:r>
        <w:rPr>
          <w:rFonts w:hint="eastAsia" w:ascii="新宋体" w:hAnsi="新宋体" w:eastAsia="新宋体" w:cs="新宋体"/>
          <w:b/>
          <w:color w:val="auto"/>
          <w:sz w:val="22"/>
          <w:szCs w:val="22"/>
          <w:highlight w:val="none"/>
          <w:lang w:eastAsia="zh-CN"/>
        </w:rPr>
        <w:t>采购文件</w:t>
      </w:r>
      <w:r>
        <w:rPr>
          <w:rFonts w:hint="eastAsia" w:ascii="新宋体" w:hAnsi="新宋体" w:eastAsia="新宋体" w:cs="新宋体"/>
          <w:b/>
          <w:color w:val="auto"/>
          <w:sz w:val="22"/>
          <w:szCs w:val="22"/>
          <w:highlight w:val="none"/>
        </w:rPr>
        <w:t>规定的“投标人资格要求”的，</w:t>
      </w:r>
      <w:r>
        <w:rPr>
          <w:rFonts w:hint="eastAsia" w:ascii="新宋体" w:hAnsi="新宋体" w:eastAsia="新宋体" w:cs="新宋体"/>
          <w:b/>
          <w:color w:val="auto"/>
          <w:sz w:val="22"/>
          <w:szCs w:val="22"/>
          <w:highlight w:val="none"/>
          <w:lang w:eastAsia="zh-CN"/>
        </w:rPr>
        <w:t>采购人</w:t>
      </w:r>
      <w:r>
        <w:rPr>
          <w:rFonts w:hint="eastAsia" w:ascii="新宋体" w:hAnsi="新宋体" w:eastAsia="新宋体" w:cs="新宋体"/>
          <w:b/>
          <w:color w:val="auto"/>
          <w:sz w:val="22"/>
          <w:szCs w:val="22"/>
          <w:highlight w:val="none"/>
        </w:rPr>
        <w:t>或</w:t>
      </w:r>
      <w:r>
        <w:rPr>
          <w:rFonts w:hint="eastAsia" w:ascii="新宋体" w:hAnsi="新宋体" w:eastAsia="新宋体" w:cs="新宋体"/>
          <w:b/>
          <w:color w:val="auto"/>
          <w:sz w:val="22"/>
          <w:szCs w:val="22"/>
          <w:highlight w:val="none"/>
          <w:lang w:eastAsia="zh-CN"/>
        </w:rPr>
        <w:t>采购代理机构</w:t>
      </w:r>
      <w:r>
        <w:rPr>
          <w:rFonts w:hint="eastAsia" w:ascii="新宋体" w:hAnsi="新宋体" w:eastAsia="新宋体" w:cs="新宋体"/>
          <w:b/>
          <w:color w:val="auto"/>
          <w:kern w:val="0"/>
          <w:sz w:val="22"/>
          <w:szCs w:val="22"/>
          <w:highlight w:val="none"/>
        </w:rPr>
        <w:t>将对其作资格审查不通过处理（无效投标），并不再将其投标提交评标委员会进行后续评审。</w:t>
      </w:r>
    </w:p>
    <w:p w14:paraId="7121A8F3">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6</w:t>
      </w:r>
      <w:r>
        <w:rPr>
          <w:rFonts w:hint="eastAsia" w:ascii="新宋体" w:hAnsi="新宋体" w:eastAsia="新宋体" w:cs="新宋体"/>
          <w:b/>
          <w:color w:val="auto"/>
          <w:kern w:val="0"/>
          <w:sz w:val="22"/>
          <w:szCs w:val="22"/>
          <w:highlight w:val="none"/>
        </w:rPr>
        <w:t>.3单位负责人为同一人或者存在直接控股、管理关系的不同投标人参加同一合同项下的政府采购活动的，相关投标人均作资格无效处理。</w:t>
      </w:r>
    </w:p>
    <w:p w14:paraId="3AD233B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7、评标委员按照</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中规定的评标方法和标准，对投标文件进行商务和技术评估，综合比较与评价。</w:t>
      </w:r>
    </w:p>
    <w:p w14:paraId="3850D855">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8、投标人存在下列情况之一的，投标无效：</w:t>
      </w:r>
    </w:p>
    <w:p w14:paraId="7759EC0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 投标文件未按</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要求签署、盖章的；</w:t>
      </w:r>
    </w:p>
    <w:p w14:paraId="18155B1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 不具备</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 xml:space="preserve">中规定的资格要求的； </w:t>
      </w:r>
    </w:p>
    <w:p w14:paraId="23FACA2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 明显不符合</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中主要技术规格、技术标准的；</w:t>
      </w:r>
    </w:p>
    <w:p w14:paraId="2CB85AA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 “</w:t>
      </w:r>
      <w:r>
        <w:rPr>
          <w:rFonts w:hint="eastAsia" w:ascii="新宋体" w:hAnsi="新宋体" w:eastAsia="新宋体" w:cs="新宋体"/>
          <w:color w:val="auto"/>
          <w:sz w:val="22"/>
          <w:szCs w:val="22"/>
          <w:highlight w:val="none"/>
        </w:rPr>
        <w:t>▲</w:t>
      </w:r>
      <w:r>
        <w:rPr>
          <w:rFonts w:hint="eastAsia" w:ascii="新宋体" w:hAnsi="新宋体" w:eastAsia="新宋体" w:cs="新宋体"/>
          <w:bCs/>
          <w:color w:val="auto"/>
          <w:sz w:val="22"/>
          <w:szCs w:val="22"/>
          <w:highlight w:val="none"/>
        </w:rPr>
        <w:t>”标记条款负偏离或不响应的；</w:t>
      </w:r>
    </w:p>
    <w:p w14:paraId="184F368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 投标文件内容不全或关键字迹模糊无法辨认的；</w:t>
      </w:r>
    </w:p>
    <w:p w14:paraId="314728A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 投标人代表没有法定代表人合法、有效委托的；</w:t>
      </w:r>
    </w:p>
    <w:p w14:paraId="5A7563D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（7） 报价超过</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中规定的预算金额或者最高限价的；</w:t>
      </w:r>
    </w:p>
    <w:p w14:paraId="3D03294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 投标文件存在一个或一个以上备选（替代）投标方案的；</w:t>
      </w:r>
    </w:p>
    <w:p w14:paraId="703E400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（9） 仅提交“备份投标文件”的；</w:t>
      </w:r>
    </w:p>
    <w:p w14:paraId="4078F99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（10）投标文件含有</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不能接受的附加条件的；</w:t>
      </w:r>
    </w:p>
    <w:p w14:paraId="7BA62AC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11</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
          <w:bCs w:val="0"/>
          <w:color w:val="auto"/>
          <w:sz w:val="22"/>
          <w:szCs w:val="22"/>
          <w:highlight w:val="none"/>
          <w:lang w:eastAsia="zh-CN"/>
        </w:rPr>
        <w:t>如为联合体投标，未提供有效的联合体共同投标协议书的</w:t>
      </w:r>
      <w:r>
        <w:rPr>
          <w:rFonts w:hint="eastAsia" w:ascii="新宋体" w:hAnsi="新宋体" w:eastAsia="新宋体" w:cs="新宋体"/>
          <w:bCs/>
          <w:color w:val="auto"/>
          <w:sz w:val="22"/>
          <w:szCs w:val="22"/>
          <w:highlight w:val="none"/>
        </w:rPr>
        <w:t>；</w:t>
      </w:r>
    </w:p>
    <w:p w14:paraId="476A1F3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12</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rPr>
        <w:t>法律、法规和</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规定的其他无效情形。</w:t>
      </w:r>
    </w:p>
    <w:p w14:paraId="1475C053">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9、有下列情形之一的，视为投标人串通投标，其投标无效</w:t>
      </w:r>
    </w:p>
    <w:p w14:paraId="7A2FC0B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（1）不同投标人的投标文件由同一单位或者个人编制；</w:t>
      </w:r>
    </w:p>
    <w:p w14:paraId="19489E1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（2）不同投标人委托同一单位或者个人办理投标事宜；</w:t>
      </w:r>
    </w:p>
    <w:p w14:paraId="68A32CA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（3）不同投标人的投标文件载明的项目管理成员或者联系人员为同一人；</w:t>
      </w:r>
    </w:p>
    <w:p w14:paraId="11FB76C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（4）不同投标人的投标文件异常一致或者投标报价呈规律性差异；</w:t>
      </w:r>
    </w:p>
    <w:p w14:paraId="5A9BE39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（5）不同投标人的投标文件相互混装</w:t>
      </w:r>
      <w:r>
        <w:rPr>
          <w:rFonts w:hint="eastAsia" w:ascii="新宋体" w:hAnsi="新宋体" w:eastAsia="新宋体" w:cs="新宋体"/>
          <w:color w:val="auto"/>
          <w:sz w:val="22"/>
          <w:szCs w:val="22"/>
          <w:highlight w:val="none"/>
          <w:lang w:eastAsia="zh-CN"/>
        </w:rPr>
        <w:t>；</w:t>
      </w:r>
    </w:p>
    <w:p w14:paraId="0BB8AF9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参与同一个采购包（标段）的供应商存在下列情形之一且无法合理解释的，其投标（响应）文件无效：①不同供应商的电子投标（响应）文件上传计算机的网卡MAC地址或硬盘序列号等硬件信息相同的；②上传的电子投标（响应）文件若出现使用本项目其他投标（响应）供应商的数字证书加密的，或者加盖本项目其他投标（响应）供应商的电子印章的；③不同供应商的投标（响应）文件的内容存在3处（含）以上错误一致的；④不同供应商联系人为同一人或不同联系人的联系电话一致的。</w:t>
      </w:r>
    </w:p>
    <w:p w14:paraId="1EB18D36">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10、投标文件报价出现前后不一致的，按照下列规定修正：</w:t>
      </w:r>
    </w:p>
    <w:p w14:paraId="465D999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（1）系统上传的投标文件中开标一览表（报价表）（加盖公章）内容与投标文件中相应内容不一致的，以系统上传的投标文件中开标一览表（报价表）（加盖公章）为准；</w:t>
      </w:r>
    </w:p>
    <w:p w14:paraId="0F7DDBE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（2）大写金额和小写金额不一致的，以大写金额为准；</w:t>
      </w:r>
    </w:p>
    <w:p w14:paraId="2A94DC6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（3）单价金额小数点或者百分比有明显错位的，以开标一览表的总价为准，并修改单价；</w:t>
      </w:r>
    </w:p>
    <w:p w14:paraId="7AA1F27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（4）总价金额与按单价汇总金额不一致的，以单价金额计算结果为准。</w:t>
      </w:r>
    </w:p>
    <w:p w14:paraId="7424200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3088D20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11、</w:t>
      </w:r>
      <w:r>
        <w:rPr>
          <w:rFonts w:hint="eastAsia" w:ascii="新宋体" w:hAnsi="新宋体" w:eastAsia="新宋体" w:cs="新宋体"/>
          <w:bCs/>
          <w:color w:val="auto"/>
          <w:sz w:val="22"/>
          <w:szCs w:val="22"/>
          <w:highlight w:val="none"/>
          <w:lang w:val="en-US" w:eastAsia="zh-CN"/>
        </w:rPr>
        <w:t>评</w:t>
      </w:r>
      <w:r>
        <w:rPr>
          <w:rFonts w:hint="eastAsia" w:ascii="新宋体" w:hAnsi="新宋体" w:eastAsia="新宋体" w:cs="新宋体"/>
          <w:bCs/>
          <w:color w:val="auto"/>
          <w:sz w:val="22"/>
          <w:szCs w:val="22"/>
          <w:highlight w:val="none"/>
        </w:rPr>
        <w:t>标委员会成员对需要共同认定的事项存在争议的，应当按照少数服从多数的原则作出结论。持不同意见的评标委员会成员应当在评标报告上签署不同意见及理由，否则视为同意评标报告。</w:t>
      </w:r>
    </w:p>
    <w:p w14:paraId="3E43A4F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12、投标文件的澄清</w:t>
      </w:r>
    </w:p>
    <w:p w14:paraId="3FD95F2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w:t>
      </w:r>
      <w:r>
        <w:rPr>
          <w:rFonts w:hint="eastAsia" w:ascii="新宋体" w:hAnsi="新宋体" w:eastAsia="新宋体" w:cs="新宋体"/>
          <w:bCs/>
          <w:color w:val="auto"/>
          <w:sz w:val="22"/>
          <w:szCs w:val="22"/>
          <w:highlight w:val="none"/>
          <w:lang w:eastAsia="zh-CN"/>
        </w:rPr>
        <w:t>政采云平台</w:t>
      </w:r>
      <w:r>
        <w:rPr>
          <w:rFonts w:hint="eastAsia" w:ascii="新宋体" w:hAnsi="新宋体" w:eastAsia="新宋体" w:cs="新宋体"/>
          <w:bCs/>
          <w:color w:val="auto"/>
          <w:sz w:val="22"/>
          <w:szCs w:val="22"/>
          <w:highlight w:val="none"/>
        </w:rPr>
        <w:t>”在线询标）要求投标人在规定的时间内作出必要的澄清、说明或者补正。投标人澄清、说明或补正时间按系统规定时间。</w:t>
      </w:r>
    </w:p>
    <w:p w14:paraId="6CC8BBC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12.2投标人的澄清、说明或者补正应当采用书面形式（或通过“</w:t>
      </w:r>
      <w:r>
        <w:rPr>
          <w:rFonts w:hint="eastAsia" w:ascii="新宋体" w:hAnsi="新宋体" w:eastAsia="新宋体" w:cs="新宋体"/>
          <w:bCs/>
          <w:color w:val="auto"/>
          <w:sz w:val="22"/>
          <w:szCs w:val="22"/>
          <w:highlight w:val="none"/>
          <w:lang w:eastAsia="zh-CN"/>
        </w:rPr>
        <w:t>政采云平台</w:t>
      </w:r>
      <w:r>
        <w:rPr>
          <w:rFonts w:hint="eastAsia" w:ascii="新宋体" w:hAnsi="新宋体" w:eastAsia="新宋体" w:cs="新宋体"/>
          <w:bCs/>
          <w:color w:val="auto"/>
          <w:sz w:val="22"/>
          <w:szCs w:val="22"/>
          <w:highlight w:val="none"/>
        </w:rPr>
        <w:t>”在线答复），并加盖公章，或者由法定代表人或其授权的代表签字。投标人的澄清、说明或者补正不得超出投标文件的范围或者改变投标文件的实质性内容。</w:t>
      </w:r>
    </w:p>
    <w:p w14:paraId="43FD552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拒不按要求对其投标文件进行澄清，说明或补正的投标人，评标委员会可以否决其投标。</w:t>
      </w:r>
    </w:p>
    <w:p w14:paraId="489F2E7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12.2</w:t>
      </w:r>
      <w:r>
        <w:rPr>
          <w:rFonts w:hint="eastAsia" w:ascii="新宋体" w:hAnsi="新宋体" w:eastAsia="新宋体" w:cs="新宋体"/>
          <w:b/>
          <w:color w:val="auto"/>
          <w:sz w:val="22"/>
          <w:szCs w:val="22"/>
          <w:highlight w:val="none"/>
        </w:rPr>
        <w:t>经澄清后，若偏差仍存在，且不可接受，投标人则被认为是“没有实质性响应</w:t>
      </w:r>
      <w:r>
        <w:rPr>
          <w:rFonts w:hint="eastAsia" w:ascii="新宋体" w:hAnsi="新宋体" w:eastAsia="新宋体" w:cs="新宋体"/>
          <w:b/>
          <w:color w:val="auto"/>
          <w:sz w:val="22"/>
          <w:szCs w:val="22"/>
          <w:highlight w:val="none"/>
          <w:lang w:eastAsia="zh-CN"/>
        </w:rPr>
        <w:t>采购文件</w:t>
      </w:r>
      <w:r>
        <w:rPr>
          <w:rFonts w:hint="eastAsia" w:ascii="新宋体" w:hAnsi="新宋体" w:eastAsia="新宋体" w:cs="新宋体"/>
          <w:b/>
          <w:color w:val="auto"/>
          <w:sz w:val="22"/>
          <w:szCs w:val="22"/>
          <w:highlight w:val="none"/>
        </w:rPr>
        <w:t>要求”，其投标将被拒绝。</w:t>
      </w:r>
    </w:p>
    <w:p w14:paraId="22D3185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13、评审结果的修改</w:t>
      </w:r>
    </w:p>
    <w:p w14:paraId="3966D293">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13.1评标结果汇总完成后，除下列情形外，任何人不得修改评标结果：</w:t>
      </w:r>
    </w:p>
    <w:p w14:paraId="5778123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（1）分值汇总计算错误的；</w:t>
      </w:r>
    </w:p>
    <w:p w14:paraId="5955EB4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（2）分项评分超出评分标准范围的；</w:t>
      </w:r>
    </w:p>
    <w:p w14:paraId="79BBF25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（3）评标委员会成员对客观评审因素评分不一致的；</w:t>
      </w:r>
    </w:p>
    <w:p w14:paraId="019D12B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（4）经评标委员会认定评分畸高、畸低的。</w:t>
      </w:r>
    </w:p>
    <w:p w14:paraId="25E77E6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13.2书面评标报告签署前，经复核发现存在以上情形之一的，评标委员会将当场修改评标结果，并在</w:t>
      </w:r>
      <w:r>
        <w:rPr>
          <w:rFonts w:hint="eastAsia" w:ascii="新宋体" w:hAnsi="新宋体" w:eastAsia="新宋体" w:cs="新宋体"/>
          <w:b/>
          <w:color w:val="auto"/>
          <w:sz w:val="22"/>
          <w:szCs w:val="22"/>
          <w:highlight w:val="none"/>
        </w:rPr>
        <w:t>评标报告中记载。</w:t>
      </w:r>
    </w:p>
    <w:p w14:paraId="04651BD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14</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336C84A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14.1由评标委员会确定中标候选人。</w:t>
      </w:r>
    </w:p>
    <w:p w14:paraId="5E07718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14.2评标委员会依据法律、法规及</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有关规定按评审后得分（即商务技术分与报价得分之和）由高到低顺序排序，得分前二名的投标人确定为该项目的第一和第二中标候选人（得分相同的，按投标报价由低到高顺序排列。得分且投标报价相同的并列。）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推荐。</w:t>
      </w:r>
    </w:p>
    <w:p w14:paraId="33C9646E">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15、确定中标人</w:t>
      </w:r>
    </w:p>
    <w:p w14:paraId="3863A78C">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en-US" w:eastAsia="zh-CN"/>
        </w:rPr>
        <w:t>15</w:t>
      </w: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eastAsia="zh-CN"/>
        </w:rPr>
        <w:t>采购人</w:t>
      </w:r>
      <w:r>
        <w:rPr>
          <w:rFonts w:hint="eastAsia" w:ascii="新宋体" w:hAnsi="新宋体" w:eastAsia="新宋体" w:cs="新宋体"/>
          <w:b/>
          <w:bCs/>
          <w:color w:val="auto"/>
          <w:sz w:val="22"/>
          <w:szCs w:val="22"/>
          <w:highlight w:val="none"/>
        </w:rPr>
        <w:t>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4C73196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15</w:t>
      </w:r>
      <w:r>
        <w:rPr>
          <w:rFonts w:hint="eastAsia" w:ascii="新宋体" w:hAnsi="新宋体" w:eastAsia="新宋体" w:cs="新宋体"/>
          <w:color w:val="auto"/>
          <w:sz w:val="22"/>
          <w:szCs w:val="22"/>
          <w:highlight w:val="none"/>
        </w:rPr>
        <w:t>.2如中标人放弃中标；或未能在规定时间内与采购单位签订合同的；或者经质疑，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审查后，确因排名第一的候选人在本次采购活动中存在违法违规行为或其他原因使质疑成立的，</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可以视情况直接确定排名第二的候选人为中标人或重新组织招标。</w:t>
      </w:r>
    </w:p>
    <w:p w14:paraId="5DD610F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16、起草、签署评审报告</w:t>
      </w:r>
    </w:p>
    <w:p w14:paraId="4B477CF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评审结束后，评标委员会将通过“</w:t>
      </w:r>
      <w:r>
        <w:rPr>
          <w:rFonts w:hint="eastAsia" w:ascii="新宋体" w:hAnsi="新宋体" w:eastAsia="新宋体" w:cs="新宋体"/>
          <w:color w:val="auto"/>
          <w:sz w:val="22"/>
          <w:szCs w:val="22"/>
          <w:highlight w:val="none"/>
          <w:lang w:eastAsia="zh-CN"/>
        </w:rPr>
        <w:t>政采云平台</w:t>
      </w:r>
      <w:r>
        <w:rPr>
          <w:rFonts w:hint="eastAsia" w:ascii="新宋体" w:hAnsi="新宋体" w:eastAsia="新宋体" w:cs="新宋体"/>
          <w:color w:val="auto"/>
          <w:sz w:val="22"/>
          <w:szCs w:val="22"/>
          <w:highlight w:val="none"/>
        </w:rPr>
        <w:t>”起草评审报告，评标委员会成员应当在评审报告上签字，对自己的评审意见承担法律责任。对评审报告有异议的，应当在评审报告上签署不同意见，并说明理由，否则视为同意评审报告。</w:t>
      </w:r>
    </w:p>
    <w:p w14:paraId="6514501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成交投标人确定后，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将在政府指定媒体公告中标结果，</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向成交投标人发出中标通知书。</w:t>
      </w:r>
    </w:p>
    <w:p w14:paraId="56F3BF32">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18、</w:t>
      </w:r>
      <w:r>
        <w:rPr>
          <w:rFonts w:hint="eastAsia" w:ascii="新宋体" w:hAnsi="新宋体" w:eastAsia="新宋体" w:cs="新宋体"/>
          <w:b/>
          <w:bCs/>
          <w:color w:val="auto"/>
          <w:sz w:val="22"/>
          <w:szCs w:val="22"/>
          <w:highlight w:val="none"/>
          <w:lang w:eastAsia="zh-CN"/>
        </w:rPr>
        <w:t>采购人</w:t>
      </w:r>
      <w:r>
        <w:rPr>
          <w:rFonts w:hint="eastAsia" w:ascii="新宋体" w:hAnsi="新宋体" w:eastAsia="新宋体" w:cs="新宋体"/>
          <w:b/>
          <w:color w:val="auto"/>
          <w:sz w:val="22"/>
          <w:szCs w:val="22"/>
          <w:highlight w:val="none"/>
        </w:rPr>
        <w:t>对决标结果不做任何解释，也不保证最低价中标。</w:t>
      </w:r>
    </w:p>
    <w:p w14:paraId="0C8D3EB0">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19、评标细则详见“评标原则及方法”。</w:t>
      </w:r>
    </w:p>
    <w:p w14:paraId="5B937401">
      <w:pPr>
        <w:spacing w:before="100" w:beforeAutospacing="1" w:after="100" w:afterAutospacing="1" w:line="440" w:lineRule="exact"/>
        <w:jc w:val="center"/>
        <w:outlineLvl w:val="2"/>
        <w:rPr>
          <w:rFonts w:hint="eastAsia" w:ascii="新宋体" w:hAnsi="新宋体" w:eastAsia="新宋体" w:cs="新宋体"/>
          <w:b/>
          <w:bCs/>
          <w:color w:val="auto"/>
          <w:sz w:val="26"/>
          <w:szCs w:val="26"/>
          <w:highlight w:val="none"/>
        </w:rPr>
      </w:pPr>
      <w:bookmarkStart w:id="20" w:name="_Toc8871"/>
      <w:r>
        <w:rPr>
          <w:rFonts w:hint="eastAsia" w:ascii="新宋体" w:hAnsi="新宋体" w:eastAsia="新宋体" w:cs="新宋体"/>
          <w:b/>
          <w:bCs/>
          <w:color w:val="auto"/>
          <w:sz w:val="26"/>
          <w:szCs w:val="26"/>
          <w:highlight w:val="none"/>
        </w:rPr>
        <w:t>六、 授予合同</w:t>
      </w:r>
      <w:bookmarkEnd w:id="20"/>
    </w:p>
    <w:p w14:paraId="28C769D9">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1、中标通知书</w:t>
      </w:r>
    </w:p>
    <w:p w14:paraId="2BDAC11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1.1成交投标人确定后，</w:t>
      </w:r>
      <w:r>
        <w:rPr>
          <w:rFonts w:hint="eastAsia" w:ascii="新宋体" w:hAnsi="新宋体" w:eastAsia="新宋体" w:cs="新宋体"/>
          <w:b w:val="0"/>
          <w:bCs w:val="0"/>
          <w:color w:val="auto"/>
          <w:sz w:val="22"/>
          <w:szCs w:val="22"/>
          <w:highlight w:val="none"/>
          <w:lang w:eastAsia="zh-CN"/>
        </w:rPr>
        <w:t>采购人</w:t>
      </w:r>
      <w:r>
        <w:rPr>
          <w:rFonts w:hint="eastAsia" w:ascii="新宋体" w:hAnsi="新宋体" w:eastAsia="新宋体" w:cs="新宋体"/>
          <w:b w:val="0"/>
          <w:bCs w:val="0"/>
          <w:color w:val="auto"/>
          <w:sz w:val="22"/>
          <w:szCs w:val="22"/>
          <w:highlight w:val="none"/>
        </w:rPr>
        <w:t xml:space="preserve">将向成交投标人发出中标通知书。 </w:t>
      </w:r>
    </w:p>
    <w:p w14:paraId="3986322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1.2中标通知书是合同的一个组成部分，对</w:t>
      </w:r>
      <w:r>
        <w:rPr>
          <w:rFonts w:hint="eastAsia" w:ascii="新宋体" w:hAnsi="新宋体" w:eastAsia="新宋体" w:cs="新宋体"/>
          <w:b w:val="0"/>
          <w:bCs w:val="0"/>
          <w:color w:val="auto"/>
          <w:sz w:val="22"/>
          <w:szCs w:val="22"/>
          <w:highlight w:val="none"/>
          <w:lang w:eastAsia="zh-CN"/>
        </w:rPr>
        <w:t>采购人</w:t>
      </w:r>
      <w:r>
        <w:rPr>
          <w:rFonts w:hint="eastAsia" w:ascii="新宋体" w:hAnsi="新宋体" w:eastAsia="新宋体" w:cs="新宋体"/>
          <w:b w:val="0"/>
          <w:bCs w:val="0"/>
          <w:color w:val="auto"/>
          <w:sz w:val="22"/>
          <w:szCs w:val="22"/>
          <w:highlight w:val="none"/>
        </w:rPr>
        <w:t>和成交投标人均具有同等法律效力。</w:t>
      </w:r>
    </w:p>
    <w:p w14:paraId="5218773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val="0"/>
          <w:bCs w:val="0"/>
          <w:color w:val="auto"/>
          <w:sz w:val="22"/>
          <w:highlight w:val="none"/>
        </w:rPr>
        <w:t>2、授标时更改</w:t>
      </w:r>
      <w:r>
        <w:rPr>
          <w:rFonts w:hint="eastAsia" w:ascii="新宋体" w:hAnsi="新宋体" w:eastAsia="新宋体" w:cs="新宋体"/>
          <w:color w:val="auto"/>
          <w:sz w:val="22"/>
          <w:highlight w:val="none"/>
        </w:rPr>
        <w:t>采购货物数量的权力</w:t>
      </w:r>
    </w:p>
    <w:p w14:paraId="5B838C0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2.1</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在授予合同时有权对采购货物的数量和服务在一定幅度范围内予以增加或减少</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rPr>
        <w:t>但不得对单价和其他的条款和条件作任何改变。</w:t>
      </w:r>
    </w:p>
    <w:p w14:paraId="32AB01A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3、签订合同</w:t>
      </w:r>
    </w:p>
    <w:p w14:paraId="2A83E06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3.1成交投标人应按中标通知书规定的时间、地点与</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签订合同。</w:t>
      </w:r>
    </w:p>
    <w:p w14:paraId="61A0171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3.2</w:t>
      </w:r>
      <w:r>
        <w:rPr>
          <w:rFonts w:hint="eastAsia" w:ascii="新宋体" w:hAnsi="新宋体" w:eastAsia="新宋体" w:cs="新宋体"/>
          <w:b/>
          <w:color w:val="auto"/>
          <w:spacing w:val="6"/>
          <w:sz w:val="22"/>
          <w:szCs w:val="22"/>
          <w:highlight w:val="none"/>
        </w:rPr>
        <w:t>在签订合同前，</w:t>
      </w:r>
      <w:r>
        <w:rPr>
          <w:rFonts w:hint="eastAsia" w:ascii="新宋体" w:hAnsi="新宋体" w:eastAsia="新宋体" w:cs="新宋体"/>
          <w:b/>
          <w:color w:val="auto"/>
          <w:spacing w:val="6"/>
          <w:sz w:val="22"/>
          <w:szCs w:val="22"/>
          <w:highlight w:val="none"/>
          <w:lang w:eastAsia="zh-CN"/>
        </w:rPr>
        <w:t>采购人</w:t>
      </w:r>
      <w:r>
        <w:rPr>
          <w:rFonts w:hint="eastAsia" w:ascii="新宋体" w:hAnsi="新宋体" w:eastAsia="新宋体" w:cs="新宋体"/>
          <w:b/>
          <w:color w:val="auto"/>
          <w:spacing w:val="6"/>
          <w:sz w:val="22"/>
          <w:szCs w:val="22"/>
          <w:highlight w:val="none"/>
        </w:rPr>
        <w:t>有权在中标总价不变的前提下要求成交投标人对报价中的不平衡报价和缺漏项进行调整，如果成交投标人无合理理由拒绝调整，其中投标资格将被取消，保证金将不予退还，且将导致其它进一步的赔偿和处罚。</w:t>
      </w:r>
    </w:p>
    <w:p w14:paraId="6937B7C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3.3</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、成交投标人的投标文件、投标修改文件、评标过程中有关澄清文件及经投标人和评委双方签字的询标纪要和中标通知书均作为合同附件。</w:t>
      </w:r>
    </w:p>
    <w:p w14:paraId="36A7FBA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3.4拒签合同的违约责任</w:t>
      </w:r>
    </w:p>
    <w:p w14:paraId="145E660E">
      <w:pPr>
        <w:keepNext w:val="0"/>
        <w:keepLines w:val="0"/>
        <w:pageBreakBefore w:val="0"/>
        <w:widowControl w:val="0"/>
        <w:kinsoku/>
        <w:wordWrap/>
        <w:overflowPunct/>
        <w:topLinePunct w:val="0"/>
        <w:autoSpaceDE/>
        <w:autoSpaceDN/>
        <w:bidi w:val="0"/>
        <w:adjustRightInd/>
        <w:snapToGrid/>
        <w:spacing w:line="460" w:lineRule="exact"/>
        <w:ind w:firstLine="466" w:firstLineChars="200"/>
        <w:textAlignment w:val="auto"/>
        <w:rPr>
          <w:rFonts w:hint="eastAsia" w:ascii="新宋体" w:hAnsi="新宋体" w:eastAsia="新宋体" w:cs="新宋体"/>
          <w:b/>
          <w:color w:val="auto"/>
          <w:spacing w:val="6"/>
          <w:sz w:val="22"/>
          <w:szCs w:val="22"/>
          <w:highlight w:val="none"/>
        </w:rPr>
      </w:pPr>
      <w:r>
        <w:rPr>
          <w:rFonts w:hint="eastAsia" w:ascii="新宋体" w:hAnsi="新宋体" w:eastAsia="新宋体" w:cs="新宋体"/>
          <w:b/>
          <w:color w:val="auto"/>
          <w:spacing w:val="6"/>
          <w:sz w:val="22"/>
          <w:szCs w:val="22"/>
          <w:highlight w:val="none"/>
        </w:rPr>
        <w:t>成交投标人接到中标通知书后，在规定时间内借故否认已经承诺的条件而拒签合同的，以违约处理。</w:t>
      </w:r>
    </w:p>
    <w:p w14:paraId="1597A026">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4、质疑与投诉</w:t>
      </w:r>
    </w:p>
    <w:p w14:paraId="2D46677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4.1投标人认为</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、采购过程、中标和成交结果使自己的合法权益受到损害的，可以在知道或应知道其权益受到损害之日起七个工作日内以书面形式向</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提出质疑。</w:t>
      </w:r>
    </w:p>
    <w:p w14:paraId="11F4563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4.2</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在收到投标人的书面质疑后七个工作日内作出答复，但答复的内容不得涉及商业秘密。质疑投标人对</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的答复不满意，可以在答复期满后十五个工作日内向同级采购监督管理部门投诉。</w:t>
      </w:r>
    </w:p>
    <w:p w14:paraId="0ABFFA3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4.3投诉人投诉时，应提交投诉书，投诉书应当由本人并由法定代表人签字盖公章，投诉书应说明具体的投诉事项及事实依据。投诉人对投诉书的真实性负责，恶意投诉将承当相应的法律和民事责任。</w:t>
      </w:r>
    </w:p>
    <w:p w14:paraId="6D90C8EE">
      <w:pPr>
        <w:pStyle w:val="24"/>
        <w:spacing w:line="460" w:lineRule="exact"/>
        <w:ind w:left="0" w:left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bookmarkStart w:id="21" w:name="_Toc31367"/>
      <w:r>
        <w:rPr>
          <w:rFonts w:hint="eastAsia" w:ascii="新宋体" w:hAnsi="新宋体" w:eastAsia="新宋体" w:cs="新宋体"/>
          <w:b/>
          <w:color w:val="auto"/>
          <w:sz w:val="30"/>
          <w:highlight w:val="none"/>
        </w:rPr>
        <w:t>第二部分    合同主要条款</w:t>
      </w:r>
      <w:bookmarkEnd w:id="21"/>
    </w:p>
    <w:p w14:paraId="72BFECF9">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注：如甲、乙双方同意，合同格式也可以按照其他形式, 具体条款以买方为主协商确定。但合同条款的基本内容应与以下要求的内容相一致。</w:t>
      </w:r>
    </w:p>
    <w:p w14:paraId="2DB8B18B">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（招标人）</w:t>
      </w:r>
    </w:p>
    <w:p w14:paraId="340B9297">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（中标人）</w:t>
      </w:r>
    </w:p>
    <w:p w14:paraId="555AE8F1">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eastAsia="zh-CN"/>
        </w:rPr>
        <w:t>温州市中医院</w:t>
      </w:r>
      <w:r>
        <w:rPr>
          <w:rFonts w:hint="eastAsia" w:ascii="新宋体" w:hAnsi="新宋体" w:eastAsia="新宋体" w:cs="新宋体"/>
          <w:bCs/>
          <w:color w:val="auto"/>
          <w:sz w:val="22"/>
          <w:szCs w:val="22"/>
          <w:highlight w:val="none"/>
        </w:rPr>
        <w:t>的（项目名称</w:t>
      </w:r>
      <w:r>
        <w:rPr>
          <w:rFonts w:hint="eastAsia" w:ascii="新宋体" w:hAnsi="新宋体" w:eastAsia="新宋体" w:cs="新宋体"/>
          <w:bCs/>
          <w:color w:val="auto"/>
          <w:sz w:val="22"/>
          <w:szCs w:val="22"/>
          <w:highlight w:val="none"/>
          <w:u w:val="single"/>
          <w:lang w:val="en-US" w:eastAsia="zh-CN"/>
        </w:rPr>
        <w:t xml:space="preserve">        </w:t>
      </w:r>
      <w:r>
        <w:rPr>
          <w:rFonts w:hint="eastAsia" w:ascii="新宋体" w:hAnsi="新宋体" w:eastAsia="新宋体" w:cs="新宋体"/>
          <w:bCs/>
          <w:color w:val="auto"/>
          <w:sz w:val="22"/>
          <w:szCs w:val="22"/>
          <w:highlight w:val="none"/>
        </w:rPr>
        <w:t>、编号</w:t>
      </w:r>
      <w:r>
        <w:rPr>
          <w:rFonts w:hint="eastAsia" w:ascii="新宋体" w:hAnsi="新宋体" w:eastAsia="新宋体" w:cs="新宋体"/>
          <w:bCs/>
          <w:color w:val="auto"/>
          <w:sz w:val="22"/>
          <w:szCs w:val="22"/>
          <w:highlight w:val="none"/>
          <w:u w:val="single"/>
          <w:lang w:val="en-US" w:eastAsia="zh-CN"/>
        </w:rPr>
        <w:t xml:space="preserve">       </w:t>
      </w:r>
      <w:r>
        <w:rPr>
          <w:rFonts w:hint="eastAsia" w:ascii="新宋体" w:hAnsi="新宋体" w:eastAsia="新宋体" w:cs="新宋体"/>
          <w:bCs/>
          <w:color w:val="auto"/>
          <w:sz w:val="22"/>
          <w:szCs w:val="22"/>
          <w:highlight w:val="none"/>
        </w:rPr>
        <w:t>）在国内以公开招标方式进行招标，经评标委员会评定</w:t>
      </w:r>
      <w:r>
        <w:rPr>
          <w:rFonts w:hint="eastAsia" w:ascii="新宋体" w:hAnsi="新宋体" w:eastAsia="新宋体" w:cs="新宋体"/>
          <w:bCs/>
          <w:color w:val="auto"/>
          <w:sz w:val="22"/>
          <w:szCs w:val="22"/>
          <w:highlight w:val="none"/>
          <w:u w:val="single"/>
        </w:rPr>
        <w:t>（中标人名称）</w:t>
      </w:r>
      <w:r>
        <w:rPr>
          <w:rFonts w:hint="eastAsia" w:ascii="新宋体" w:hAnsi="新宋体" w:eastAsia="新宋体" w:cs="新宋体"/>
          <w:bCs/>
          <w:color w:val="auto"/>
          <w:sz w:val="22"/>
          <w:szCs w:val="22"/>
          <w:highlight w:val="none"/>
        </w:rPr>
        <w:t>为中标人。双方本着诚信及互利互惠的原则，同意按照下面条款和条件，签署本合同。</w:t>
      </w:r>
    </w:p>
    <w:p w14:paraId="6BEF8E46">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一、本合同签订依据</w:t>
      </w:r>
    </w:p>
    <w:p w14:paraId="29BEB31E">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《中华人民共和国民法典》</w:t>
      </w:r>
    </w:p>
    <w:p w14:paraId="63AD8F1E">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二、合同文件的优先次序</w:t>
      </w:r>
    </w:p>
    <w:p w14:paraId="648B920D">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合同文件如存在歧义或不一致则根据以下优先次序来判断：</w:t>
      </w:r>
    </w:p>
    <w:p w14:paraId="643A8EFB">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1、合同书及合同补充条款或说明 </w:t>
      </w:r>
    </w:p>
    <w:p w14:paraId="7F950D7E">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2、中标通知书</w:t>
      </w:r>
    </w:p>
    <w:p w14:paraId="59A53AE9">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3、承诺书（含询标记录和优惠条款）</w:t>
      </w:r>
    </w:p>
    <w:p w14:paraId="6047FEEC">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4、投标文件</w:t>
      </w:r>
    </w:p>
    <w:p w14:paraId="26181373">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5、招标文件</w:t>
      </w:r>
    </w:p>
    <w:p w14:paraId="4C77A3C6">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三、承包内容和承包期限</w:t>
      </w:r>
    </w:p>
    <w:p w14:paraId="6A8BEC22">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1、主要服务内容包括：</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single"/>
          <w:lang w:val="en-US" w:eastAsia="zh-CN"/>
        </w:rPr>
        <w:t>GE</w:t>
      </w:r>
      <w:r>
        <w:rPr>
          <w:rFonts w:hint="eastAsia" w:ascii="新宋体" w:hAnsi="新宋体" w:eastAsia="新宋体" w:cs="新宋体"/>
          <w:color w:val="auto"/>
          <w:sz w:val="22"/>
          <w:szCs w:val="22"/>
          <w:highlight w:val="none"/>
          <w:u w:val="single"/>
          <w:lang w:val="en-US" w:eastAsia="zh-CN"/>
        </w:rPr>
        <w:t xml:space="preserve"> MR 1.5T Signa HDXT整机全保服务（第三方产品不包含）  </w:t>
      </w:r>
      <w:r>
        <w:rPr>
          <w:rFonts w:hint="eastAsia" w:ascii="新宋体" w:hAnsi="新宋体" w:eastAsia="新宋体" w:cs="新宋体"/>
          <w:bCs/>
          <w:color w:val="auto"/>
          <w:sz w:val="22"/>
          <w:szCs w:val="22"/>
          <w:highlight w:val="none"/>
        </w:rPr>
        <w:t>。</w:t>
      </w:r>
    </w:p>
    <w:p w14:paraId="535D1608">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2、服务期限：</w:t>
      </w:r>
      <w:r>
        <w:rPr>
          <w:rFonts w:hint="eastAsia" w:ascii="新宋体" w:hAnsi="新宋体" w:eastAsia="新宋体" w:cs="新宋体"/>
          <w:color w:val="auto"/>
          <w:sz w:val="22"/>
          <w:szCs w:val="22"/>
          <w:highlight w:val="none"/>
        </w:rPr>
        <w:t>自合同签订之日起 1 年。</w:t>
      </w:r>
    </w:p>
    <w:p w14:paraId="5AF298F1">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四、合同价格</w:t>
      </w:r>
    </w:p>
    <w:p w14:paraId="5B500356">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本合同总价为人民币</w:t>
      </w:r>
      <w:r>
        <w:rPr>
          <w:rFonts w:hint="eastAsia" w:ascii="新宋体" w:hAnsi="新宋体" w:eastAsia="新宋体" w:cs="新宋体"/>
          <w:bCs/>
          <w:color w:val="auto"/>
          <w:sz w:val="22"/>
          <w:szCs w:val="22"/>
          <w:highlight w:val="none"/>
          <w:u w:val="single"/>
          <w:lang w:val="en-US" w:eastAsia="zh-CN"/>
        </w:rPr>
        <w:t xml:space="preserve">         </w:t>
      </w:r>
      <w:r>
        <w:rPr>
          <w:rFonts w:hint="eastAsia" w:ascii="新宋体" w:hAnsi="新宋体" w:eastAsia="新宋体" w:cs="新宋体"/>
          <w:bCs/>
          <w:color w:val="auto"/>
          <w:sz w:val="22"/>
          <w:szCs w:val="22"/>
          <w:highlight w:val="none"/>
        </w:rPr>
        <w:t>，为含税不变价（税指进口税、增值税等一切税种）</w:t>
      </w:r>
    </w:p>
    <w:p w14:paraId="0419ADDE">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本合同费用是指乙方在维保期内为完成招标文件、投标文件及其承诺维护设备的日常维护保养、故障维修及更换新件等所有与之相关的运行维护全部费用，实行固定费用总价包干，除此外乙方不得以任何理由调整合同价格。</w:t>
      </w:r>
    </w:p>
    <w:p w14:paraId="722F2995">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五、付款方式</w:t>
      </w:r>
    </w:p>
    <w:p w14:paraId="162C6488">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default" w:ascii="新宋体" w:hAnsi="新宋体" w:eastAsia="新宋体" w:cs="新宋体"/>
          <w:bCs/>
          <w:color w:val="auto"/>
          <w:sz w:val="22"/>
          <w:szCs w:val="22"/>
          <w:highlight w:val="none"/>
          <w:lang w:val="en-US"/>
        </w:rPr>
      </w:pPr>
      <w:r>
        <w:rPr>
          <w:rFonts w:hint="eastAsia" w:ascii="新宋体" w:hAnsi="新宋体" w:eastAsia="新宋体" w:cs="新宋体"/>
          <w:color w:val="auto"/>
          <w:sz w:val="22"/>
          <w:szCs w:val="22"/>
          <w:highlight w:val="none"/>
          <w:lang w:val="en-US" w:eastAsia="zh-CN"/>
        </w:rPr>
        <w:t>合同签订后分2次支付维保款，具体为：合同签订并具备实施条件后，支付维保款金额的50%，在合同结束，验收合格后，支付剩余维保款金额的50%</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每次付款，乙方须出具等额发票，甲方收到发票后7个工作日内支付款项。</w:t>
      </w:r>
    </w:p>
    <w:p w14:paraId="3B4946A5">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9"/>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六、维护人员</w:t>
      </w:r>
    </w:p>
    <w:p w14:paraId="42814EAC">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应按招标文件要求派出技术水平高服务质量好的维护人员参与服务，如乙方派出的服务人员在本合同实施过程中，因素质、技术水平、服务质量、现场管理经验、采用的设备、文明安全等不符合招标文件的要求或投标文件中的承诺，造成现场管理混乱、服务质量和进度达不到招标文件中所承诺的要求时，甲方有权要求其重新调整充实服务人员，乙方必须接受，否则作违约处理，此时甲方可单方面终止合同。造成经济损失的，乙方应予赔偿。</w:t>
      </w:r>
    </w:p>
    <w:p w14:paraId="5C74BAD8">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9"/>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七</w:t>
      </w:r>
      <w:r>
        <w:rPr>
          <w:rFonts w:hint="eastAsia" w:ascii="新宋体" w:hAnsi="新宋体" w:eastAsia="新宋体" w:cs="新宋体"/>
          <w:b/>
          <w:bCs/>
          <w:color w:val="auto"/>
          <w:sz w:val="22"/>
          <w:szCs w:val="22"/>
          <w:highlight w:val="none"/>
        </w:rPr>
        <w:t>、双方责任</w:t>
      </w:r>
      <w:bookmarkStart w:id="22" w:name="_Toc84779279"/>
    </w:p>
    <w:p w14:paraId="12B66AB9">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bookmarkEnd w:id="22"/>
      <w:r>
        <w:rPr>
          <w:rFonts w:hint="eastAsia" w:ascii="新宋体" w:hAnsi="新宋体" w:eastAsia="新宋体" w:cs="新宋体"/>
          <w:color w:val="auto"/>
          <w:sz w:val="22"/>
          <w:szCs w:val="22"/>
          <w:highlight w:val="none"/>
        </w:rPr>
        <w:t>、甲方</w:t>
      </w:r>
    </w:p>
    <w:p w14:paraId="1380DD56">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1）提供相关的协助服务，配合乙方履行好合同义务；</w:t>
      </w:r>
    </w:p>
    <w:p w14:paraId="66943A55">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2）审核乙方维护服务的内容，按合同规定向乙方支付维护服务费用；</w:t>
      </w:r>
    </w:p>
    <w:p w14:paraId="1ADAB8DA">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3）对维护组织、进度、质量、现场管理、服务合同的执行情况进行审核、监督和检查。</w:t>
      </w:r>
    </w:p>
    <w:p w14:paraId="6A8BC634">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2、乙方</w:t>
      </w:r>
    </w:p>
    <w:p w14:paraId="77C1C43E">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1）乙方按合同规定的时间、条件和内容对设备系统进行维护服务。合同签订后，乙方应立即组织人员对标的项目进行一次全面巡检、维护。</w:t>
      </w:r>
    </w:p>
    <w:p w14:paraId="4E752575">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2）编制维护方案和参与服务人员的安排。</w:t>
      </w:r>
    </w:p>
    <w:p w14:paraId="4370F97E">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3）严格按照合同规定时间和要求进行优质的维护服务。</w:t>
      </w:r>
    </w:p>
    <w:p w14:paraId="04A41477">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4）对设备系统出现的故障，无条件负责处理，直至甲方满意为止。</w:t>
      </w:r>
    </w:p>
    <w:p w14:paraId="53771FFD">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5）合同期满，乙方必须对所有系统和设备进行全面的性能测试，确保系统运行良好，仪器性能稳定。</w:t>
      </w:r>
    </w:p>
    <w:p w14:paraId="4503F07C">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6）招标文件中规定的其他责任。</w:t>
      </w:r>
    </w:p>
    <w:p w14:paraId="700333EB">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八</w:t>
      </w:r>
      <w:r>
        <w:rPr>
          <w:rFonts w:hint="eastAsia" w:ascii="新宋体" w:hAnsi="新宋体" w:eastAsia="新宋体" w:cs="新宋体"/>
          <w:b/>
          <w:color w:val="auto"/>
          <w:sz w:val="22"/>
          <w:szCs w:val="22"/>
          <w:highlight w:val="none"/>
        </w:rPr>
        <w:t>、违约责任</w:t>
      </w:r>
      <w:bookmarkStart w:id="23" w:name="_Toc84779280"/>
    </w:p>
    <w:p w14:paraId="4B205D2A">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1、服务质量责任违约</w:t>
      </w:r>
      <w:bookmarkEnd w:id="23"/>
    </w:p>
    <w:p w14:paraId="746BB4F4">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1）在维护服务期间，凡设备系统在运行过程中出现问题，由乙方负责处理，直到设备系统恢复正常运行止。</w:t>
      </w:r>
    </w:p>
    <w:p w14:paraId="41CD6F4B">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2）由于乙方维护方法不当造成设备故障或损坏，由乙方负责，并保证及时给予更换或修复。所需的一切费用由乙方承担。</w:t>
      </w:r>
    </w:p>
    <w:p w14:paraId="43D4CB27">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3）属于不可抗力的因素造成设备故障或损坏，其费用由双方协商后再定。</w:t>
      </w:r>
    </w:p>
    <w:p w14:paraId="32AC8DC2">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4）乙方现场技术人员的安全施工作业由乙方全权负责，并应切实做好安全防范工作，避免在巡检工作中出现人身与财产的意外损害。</w:t>
      </w:r>
    </w:p>
    <w:p w14:paraId="135C3F1E">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2、违约赔偿</w:t>
      </w:r>
    </w:p>
    <w:p w14:paraId="0530B21F">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除不可抗力外，如乙方发生不能按时提供服务，甲方发生中途取消服务等情况，应及时以书面形式通知对方。双方应本着友好的态度进行协商，妥善解决。如协商无效，按下列办法处以罚金：</w:t>
      </w:r>
    </w:p>
    <w:p w14:paraId="3B86C37A">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rPr>
        <w:t>乙方逾期提供服务，甲方可从合同价款中按</w:t>
      </w:r>
      <w:r>
        <w:rPr>
          <w:rFonts w:hint="eastAsia" w:ascii="新宋体" w:hAnsi="新宋体" w:eastAsia="新宋体" w:cs="新宋体"/>
          <w:bCs/>
          <w:color w:val="auto"/>
          <w:sz w:val="22"/>
          <w:szCs w:val="22"/>
          <w:highlight w:val="none"/>
          <w:lang w:val="en-US" w:eastAsia="zh-CN"/>
        </w:rPr>
        <w:t>10%</w:t>
      </w:r>
      <w:r>
        <w:rPr>
          <w:rFonts w:hint="eastAsia" w:ascii="新宋体" w:hAnsi="新宋体" w:eastAsia="新宋体" w:cs="新宋体"/>
          <w:bCs/>
          <w:color w:val="auto"/>
          <w:sz w:val="22"/>
          <w:szCs w:val="22"/>
          <w:highlight w:val="none"/>
        </w:rPr>
        <w:t>比例扣除服务费。</w:t>
      </w:r>
    </w:p>
    <w:p w14:paraId="6CFA1A42">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rPr>
        <w:t>逾期服务扣除服务费最高限额为合同价款的</w:t>
      </w:r>
      <w:r>
        <w:rPr>
          <w:rFonts w:hint="eastAsia" w:ascii="新宋体" w:hAnsi="新宋体" w:eastAsia="新宋体" w:cs="新宋体"/>
          <w:bCs/>
          <w:color w:val="auto"/>
          <w:sz w:val="22"/>
          <w:szCs w:val="22"/>
          <w:highlight w:val="none"/>
          <w:lang w:val="en-US" w:eastAsia="zh-CN"/>
        </w:rPr>
        <w:t>30</w:t>
      </w:r>
      <w:r>
        <w:rPr>
          <w:rFonts w:hint="eastAsia" w:ascii="新宋体" w:hAnsi="新宋体" w:eastAsia="新宋体" w:cs="新宋体"/>
          <w:bCs/>
          <w:color w:val="auto"/>
          <w:sz w:val="22"/>
          <w:szCs w:val="22"/>
          <w:highlight w:val="none"/>
        </w:rPr>
        <w:t>%，一旦达到扣除服务费的最高限额，甲方有权单方面终止合同。</w:t>
      </w:r>
    </w:p>
    <w:p w14:paraId="09C90497">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rPr>
        <w:t>乙方不能继续提供服务或甲方中途取消服务</w:t>
      </w:r>
    </w:p>
    <w:p w14:paraId="7A65E3A3">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乙方不能继续提供服务，应向甲方偿付违约金，违约金按合同总价的</w:t>
      </w:r>
      <w:r>
        <w:rPr>
          <w:rFonts w:hint="eastAsia" w:ascii="新宋体" w:hAnsi="新宋体" w:eastAsia="新宋体" w:cs="新宋体"/>
          <w:bCs/>
          <w:color w:val="auto"/>
          <w:sz w:val="22"/>
          <w:szCs w:val="22"/>
          <w:highlight w:val="none"/>
          <w:lang w:val="en-US" w:eastAsia="zh-CN"/>
        </w:rPr>
        <w:t>30%</w:t>
      </w:r>
      <w:r>
        <w:rPr>
          <w:rFonts w:hint="eastAsia" w:ascii="新宋体" w:hAnsi="新宋体" w:eastAsia="新宋体" w:cs="新宋体"/>
          <w:bCs/>
          <w:color w:val="auto"/>
          <w:sz w:val="22"/>
          <w:szCs w:val="22"/>
          <w:highlight w:val="none"/>
        </w:rPr>
        <w:t>计算。甲方中途取消服务，应向乙方偿付违约金，违约金的计算方法与乙方违约相同。</w:t>
      </w:r>
    </w:p>
    <w:p w14:paraId="094C93D5">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九</w:t>
      </w:r>
      <w:r>
        <w:rPr>
          <w:rFonts w:hint="eastAsia" w:ascii="新宋体" w:hAnsi="新宋体" w:eastAsia="新宋体" w:cs="新宋体"/>
          <w:b/>
          <w:color w:val="auto"/>
          <w:sz w:val="22"/>
          <w:szCs w:val="22"/>
          <w:highlight w:val="none"/>
        </w:rPr>
        <w:t>、争议解决</w:t>
      </w:r>
    </w:p>
    <w:p w14:paraId="78E485D9">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1、双方在执行合同中所发生的一切争议，应通过协商解决。如协商不成，可直接向甲方法定地址所在人民法院起诉。</w:t>
      </w:r>
    </w:p>
    <w:p w14:paraId="65FB0966">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2、在诉讼期间，除正在进行诉讼的部份外，本合同其他部份应继续执行。</w:t>
      </w:r>
    </w:p>
    <w:p w14:paraId="0D9ECA20">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3、诉讼费用除法院另行有判决外，由败诉方承担。</w:t>
      </w:r>
    </w:p>
    <w:p w14:paraId="648D2AE8">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9"/>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十、适用法律</w:t>
      </w:r>
    </w:p>
    <w:p w14:paraId="41A4FA15">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本合同应按照中华人民共和国的法律进行解释。</w:t>
      </w:r>
    </w:p>
    <w:p w14:paraId="6BF4426F">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w:t>
      </w:r>
      <w:r>
        <w:rPr>
          <w:rFonts w:hint="eastAsia" w:ascii="新宋体" w:hAnsi="新宋体" w:eastAsia="新宋体" w:cs="新宋体"/>
          <w:b/>
          <w:color w:val="auto"/>
          <w:sz w:val="22"/>
          <w:szCs w:val="22"/>
          <w:highlight w:val="none"/>
          <w:lang w:val="en-US" w:eastAsia="zh-CN"/>
        </w:rPr>
        <w:t>一</w:t>
      </w:r>
      <w:r>
        <w:rPr>
          <w:rFonts w:hint="eastAsia" w:ascii="新宋体" w:hAnsi="新宋体" w:eastAsia="新宋体" w:cs="新宋体"/>
          <w:b/>
          <w:color w:val="auto"/>
          <w:sz w:val="22"/>
          <w:szCs w:val="22"/>
          <w:highlight w:val="none"/>
        </w:rPr>
        <w:t>、合同生效</w:t>
      </w:r>
    </w:p>
    <w:p w14:paraId="6A056A46">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1、合同在双方签字盖章后开始生效。</w:t>
      </w:r>
    </w:p>
    <w:p w14:paraId="617AEF1F">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2、合同签定地点：合同执行地。</w:t>
      </w:r>
    </w:p>
    <w:p w14:paraId="4207E1C9">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w:t>
      </w:r>
      <w:r>
        <w:rPr>
          <w:rFonts w:hint="eastAsia" w:ascii="新宋体" w:hAnsi="新宋体" w:eastAsia="新宋体" w:cs="新宋体"/>
          <w:b/>
          <w:color w:val="auto"/>
          <w:sz w:val="22"/>
          <w:szCs w:val="22"/>
          <w:highlight w:val="none"/>
          <w:lang w:val="en-US" w:eastAsia="zh-CN"/>
        </w:rPr>
        <w:t>二</w:t>
      </w:r>
      <w:r>
        <w:rPr>
          <w:rFonts w:hint="eastAsia" w:ascii="新宋体" w:hAnsi="新宋体" w:eastAsia="新宋体" w:cs="新宋体"/>
          <w:b/>
          <w:color w:val="auto"/>
          <w:sz w:val="22"/>
          <w:szCs w:val="22"/>
          <w:highlight w:val="none"/>
        </w:rPr>
        <w:t>、其它</w:t>
      </w:r>
    </w:p>
    <w:p w14:paraId="08657A4D">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1、招标文件、补充文件、投标文件及答疑纪要、中标通知书等作为本合同的附件，与本合同具有同等法律效力。</w:t>
      </w:r>
    </w:p>
    <w:p w14:paraId="7DC43760">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2、合同执行中，如需修改或补充合同内容，经协商，双方应签署书面修改或补充协议。该协议将作为合同不可分割的一部分。</w:t>
      </w:r>
    </w:p>
    <w:p w14:paraId="6EA29B69">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3、本合同一式伍份，甲方执叁份，乙方执壹份，壹份送招标代理公司备案。双方签字盖章后生效，违约及其处罚按经济合同法及本合同有关条款执行。</w:t>
      </w:r>
    </w:p>
    <w:p w14:paraId="56CD17DC">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4、以上协议未尽之处，双方协商解决。</w:t>
      </w:r>
    </w:p>
    <w:p w14:paraId="7833D4CE">
      <w:pPr>
        <w:keepNext w:val="0"/>
        <w:keepLines w:val="0"/>
        <w:pageBreakBefore w:val="0"/>
        <w:widowControl w:val="0"/>
        <w:kinsoku/>
        <w:wordWrap/>
        <w:overflowPunct/>
        <w:topLinePunct w:val="0"/>
        <w:autoSpaceDE/>
        <w:autoSpaceDN/>
        <w:bidi w:val="0"/>
        <w:adjustRightInd/>
        <w:snapToGrid/>
        <w:spacing w:line="460" w:lineRule="exact"/>
        <w:ind w:firstLine="880" w:firstLineChars="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甲方：（盖章）</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乙方：（盖章）</w:t>
      </w:r>
    </w:p>
    <w:p w14:paraId="0A08DE7C">
      <w:pPr>
        <w:keepNext w:val="0"/>
        <w:keepLines w:val="0"/>
        <w:pageBreakBefore w:val="0"/>
        <w:widowControl w:val="0"/>
        <w:kinsoku/>
        <w:wordWrap/>
        <w:overflowPunct/>
        <w:topLinePunct w:val="0"/>
        <w:autoSpaceDE/>
        <w:autoSpaceDN/>
        <w:bidi w:val="0"/>
        <w:adjustRightInd/>
        <w:snapToGrid/>
        <w:spacing w:line="460" w:lineRule="exact"/>
        <w:ind w:firstLine="880" w:firstLineChars="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授权代表：（签字）</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授权代表：（签字）</w:t>
      </w:r>
    </w:p>
    <w:p w14:paraId="3B0CAAB8">
      <w:pPr>
        <w:keepNext w:val="0"/>
        <w:keepLines w:val="0"/>
        <w:pageBreakBefore w:val="0"/>
        <w:widowControl w:val="0"/>
        <w:kinsoku/>
        <w:wordWrap/>
        <w:overflowPunct/>
        <w:topLinePunct w:val="0"/>
        <w:autoSpaceDE/>
        <w:autoSpaceDN/>
        <w:bidi w:val="0"/>
        <w:adjustRightInd/>
        <w:snapToGrid/>
        <w:spacing w:line="460" w:lineRule="exact"/>
        <w:ind w:firstLine="880" w:firstLineChars="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地址：</w:t>
      </w:r>
    </w:p>
    <w:p w14:paraId="03B9B1B5">
      <w:pPr>
        <w:keepNext w:val="0"/>
        <w:keepLines w:val="0"/>
        <w:pageBreakBefore w:val="0"/>
        <w:widowControl w:val="0"/>
        <w:kinsoku/>
        <w:wordWrap/>
        <w:overflowPunct/>
        <w:topLinePunct w:val="0"/>
        <w:autoSpaceDE/>
        <w:autoSpaceDN/>
        <w:bidi w:val="0"/>
        <w:adjustRightInd/>
        <w:snapToGrid/>
        <w:spacing w:line="460" w:lineRule="exact"/>
        <w:ind w:firstLine="880" w:firstLineChars="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邮政编码：</w:t>
      </w:r>
    </w:p>
    <w:p w14:paraId="0223D650">
      <w:pPr>
        <w:keepNext w:val="0"/>
        <w:keepLines w:val="0"/>
        <w:pageBreakBefore w:val="0"/>
        <w:widowControl w:val="0"/>
        <w:kinsoku/>
        <w:wordWrap/>
        <w:overflowPunct/>
        <w:topLinePunct w:val="0"/>
        <w:autoSpaceDE/>
        <w:autoSpaceDN/>
        <w:bidi w:val="0"/>
        <w:adjustRightInd/>
        <w:snapToGrid/>
        <w:spacing w:line="460" w:lineRule="exact"/>
        <w:ind w:firstLine="880" w:firstLineChars="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电话：</w:t>
      </w:r>
    </w:p>
    <w:p w14:paraId="178BC491">
      <w:pPr>
        <w:keepNext w:val="0"/>
        <w:keepLines w:val="0"/>
        <w:pageBreakBefore w:val="0"/>
        <w:widowControl w:val="0"/>
        <w:kinsoku/>
        <w:wordWrap/>
        <w:overflowPunct/>
        <w:topLinePunct w:val="0"/>
        <w:autoSpaceDE/>
        <w:autoSpaceDN/>
        <w:bidi w:val="0"/>
        <w:adjustRightInd/>
        <w:snapToGrid/>
        <w:spacing w:line="460" w:lineRule="exact"/>
        <w:ind w:firstLine="880" w:firstLineChars="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传真：</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传真：</w:t>
      </w:r>
    </w:p>
    <w:p w14:paraId="49B4B37D">
      <w:pPr>
        <w:keepNext w:val="0"/>
        <w:keepLines w:val="0"/>
        <w:pageBreakBefore w:val="0"/>
        <w:widowControl w:val="0"/>
        <w:kinsoku/>
        <w:wordWrap/>
        <w:overflowPunct/>
        <w:topLinePunct w:val="0"/>
        <w:autoSpaceDE/>
        <w:autoSpaceDN/>
        <w:bidi w:val="0"/>
        <w:adjustRightInd/>
        <w:snapToGrid/>
        <w:spacing w:line="460" w:lineRule="exact"/>
        <w:ind w:firstLine="880" w:firstLineChars="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日期：</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日期：</w:t>
      </w:r>
    </w:p>
    <w:p w14:paraId="4D9FDD3E">
      <w:pPr>
        <w:pStyle w:val="24"/>
        <w:spacing w:after="0" w:line="460" w:lineRule="exact"/>
        <w:ind w:left="0" w:left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22"/>
          <w:szCs w:val="22"/>
          <w:highlight w:val="none"/>
        </w:rPr>
        <w:br w:type="page"/>
      </w:r>
      <w:bookmarkStart w:id="24" w:name="_Toc22578"/>
      <w:r>
        <w:rPr>
          <w:rFonts w:hint="eastAsia" w:ascii="新宋体" w:hAnsi="新宋体" w:eastAsia="新宋体" w:cs="新宋体"/>
          <w:b/>
          <w:color w:val="auto"/>
          <w:sz w:val="30"/>
          <w:highlight w:val="none"/>
        </w:rPr>
        <w:t>第三部分    附件</w:t>
      </w:r>
      <w:bookmarkEnd w:id="24"/>
    </w:p>
    <w:p w14:paraId="0BF576F5">
      <w:pPr>
        <w:pStyle w:val="24"/>
        <w:spacing w:line="460" w:lineRule="exact"/>
        <w:ind w:left="0" w:leftChars="0"/>
        <w:outlineLvl w:val="1"/>
        <w:rPr>
          <w:rFonts w:hint="eastAsia" w:ascii="新宋体" w:hAnsi="新宋体" w:eastAsia="新宋体" w:cs="新宋体"/>
          <w:b/>
          <w:color w:val="auto"/>
          <w:sz w:val="22"/>
          <w:highlight w:val="none"/>
        </w:rPr>
      </w:pPr>
      <w:bookmarkStart w:id="25" w:name="_Toc30911"/>
      <w:r>
        <w:rPr>
          <w:rFonts w:hint="eastAsia" w:ascii="新宋体" w:hAnsi="新宋体" w:eastAsia="新宋体" w:cs="新宋体"/>
          <w:b/>
          <w:color w:val="auto"/>
          <w:sz w:val="22"/>
          <w:highlight w:val="none"/>
        </w:rPr>
        <w:t>附件一</w:t>
      </w:r>
      <w:bookmarkEnd w:id="25"/>
    </w:p>
    <w:p w14:paraId="2A106BAF">
      <w:pPr>
        <w:spacing w:line="460" w:lineRule="exact"/>
        <w:jc w:val="center"/>
        <w:outlineLvl w:val="2"/>
        <w:rPr>
          <w:rFonts w:hint="eastAsia" w:ascii="新宋体" w:hAnsi="新宋体" w:eastAsia="新宋体" w:cs="新宋体"/>
          <w:color w:val="auto"/>
          <w:sz w:val="28"/>
          <w:szCs w:val="28"/>
          <w:highlight w:val="none"/>
        </w:rPr>
      </w:pPr>
      <w:bookmarkStart w:id="26" w:name="_Toc28193"/>
      <w:r>
        <w:rPr>
          <w:rFonts w:hint="eastAsia" w:ascii="新宋体" w:hAnsi="新宋体" w:eastAsia="新宋体" w:cs="新宋体"/>
          <w:b/>
          <w:bCs/>
          <w:color w:val="auto"/>
          <w:sz w:val="28"/>
          <w:szCs w:val="28"/>
          <w:highlight w:val="none"/>
        </w:rPr>
        <w:t>资格证明文件</w:t>
      </w:r>
      <w:bookmarkEnd w:id="26"/>
    </w:p>
    <w:p w14:paraId="37FACB17">
      <w:pPr>
        <w:spacing w:line="400" w:lineRule="exact"/>
        <w:jc w:val="center"/>
        <w:outlineLvl w:val="3"/>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lang w:val="en-US" w:eastAsia="zh-CN"/>
        </w:rPr>
        <w:t>1、资格条件承诺函</w:t>
      </w:r>
    </w:p>
    <w:p w14:paraId="6693014A">
      <w:pPr>
        <w:keepNext w:val="0"/>
        <w:keepLines w:val="0"/>
        <w:pageBreakBefore w:val="0"/>
        <w:widowControl/>
        <w:kinsoku/>
        <w:wordWrap/>
        <w:overflowPunct/>
        <w:topLinePunct w:val="0"/>
        <w:autoSpaceDE/>
        <w:autoSpaceDN/>
        <w:bidi w:val="0"/>
        <w:adjustRightInd/>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温州市中医院</w:t>
      </w:r>
      <w:r>
        <w:rPr>
          <w:rFonts w:hint="eastAsia" w:ascii="新宋体" w:hAnsi="新宋体" w:eastAsia="新宋体" w:cs="新宋体"/>
          <w:color w:val="auto"/>
          <w:kern w:val="0"/>
          <w:sz w:val="22"/>
          <w:szCs w:val="22"/>
          <w:highlight w:val="none"/>
        </w:rPr>
        <w:t>、温州历程招标有限公司：</w:t>
      </w:r>
    </w:p>
    <w:p w14:paraId="18D4B597">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我方参与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（项目名称、编号）投标，现郑重承诺</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kern w:val="0"/>
          <w:sz w:val="22"/>
          <w:szCs w:val="22"/>
          <w:highlight w:val="none"/>
        </w:rPr>
        <w:t>参加本次采购活动前3年内</w:t>
      </w:r>
      <w:r>
        <w:rPr>
          <w:rFonts w:hint="eastAsia" w:ascii="新宋体" w:hAnsi="新宋体" w:eastAsia="新宋体" w:cs="新宋体"/>
          <w:color w:val="auto"/>
          <w:sz w:val="22"/>
          <w:szCs w:val="22"/>
          <w:highlight w:val="none"/>
        </w:rPr>
        <w:t>：</w:t>
      </w:r>
    </w:p>
    <w:p w14:paraId="4739B78C">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1、我方符合《中华人民共和国政府采购法》第22条规定的资格条件，即</w:t>
      </w:r>
    </w:p>
    <w:p w14:paraId="725FDC7D">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（1）我方具有独立承担民事责任的能力；</w:t>
      </w:r>
    </w:p>
    <w:p w14:paraId="3ED09050">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（2）我方具有良好的商业信誉和健全的财务会计制度；</w:t>
      </w:r>
    </w:p>
    <w:p w14:paraId="0BEAFA5B">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（3）我方具有履行合同所必需的设备和专业技术能力；</w:t>
      </w:r>
    </w:p>
    <w:p w14:paraId="6916D191">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（4）我方有依法缴纳税收和社会保障资金的良好记录；</w:t>
      </w:r>
    </w:p>
    <w:p w14:paraId="12FA81A0">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（5）我方参加本次政府采购活动前3年内在经营活动中没有重大违法记录（没有因违法经营</w:t>
      </w:r>
      <w:r>
        <w:rPr>
          <w:rFonts w:hint="eastAsia" w:ascii="新宋体" w:hAnsi="新宋体" w:eastAsia="新宋体" w:cs="新宋体"/>
          <w:color w:val="auto"/>
          <w:kern w:val="0"/>
          <w:sz w:val="22"/>
          <w:szCs w:val="22"/>
          <w:highlight w:val="none"/>
        </w:rPr>
        <w:t>受到刑事处罚，没有被责令停产停业、被吊销许可证或者执照、被处以较大数额罚款等行政处罚，没有因违法经营被禁止参加政府采购活动的期限未满情形）。</w:t>
      </w:r>
    </w:p>
    <w:p w14:paraId="4ED8DA34">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2、到本项目投标截止时间为止，我方未被“信用中国（</w:t>
      </w:r>
      <w:r>
        <w:rPr>
          <w:rFonts w:hint="eastAsia" w:ascii="新宋体" w:hAnsi="新宋体" w:eastAsia="新宋体" w:cs="新宋体"/>
          <w:color w:val="auto"/>
          <w:kern w:val="0"/>
          <w:sz w:val="22"/>
          <w:szCs w:val="22"/>
          <w:highlight w:val="none"/>
          <w:lang w:eastAsia="zh-CN"/>
        </w:rPr>
        <w:fldChar w:fldCharType="begin"/>
      </w:r>
      <w:r>
        <w:rPr>
          <w:rFonts w:hint="eastAsia" w:ascii="新宋体" w:hAnsi="新宋体" w:eastAsia="新宋体" w:cs="新宋体"/>
          <w:color w:val="auto"/>
          <w:kern w:val="0"/>
          <w:sz w:val="22"/>
          <w:szCs w:val="22"/>
          <w:highlight w:val="none"/>
          <w:lang w:eastAsia="zh-CN"/>
        </w:rPr>
        <w:instrText xml:space="preserve"> HYPERLINK "http://www.creditchina.gov.cn）、" </w:instrText>
      </w:r>
      <w:r>
        <w:rPr>
          <w:rFonts w:hint="eastAsia" w:ascii="新宋体" w:hAnsi="新宋体" w:eastAsia="新宋体" w:cs="新宋体"/>
          <w:color w:val="auto"/>
          <w:kern w:val="0"/>
          <w:sz w:val="22"/>
          <w:szCs w:val="22"/>
          <w:highlight w:val="none"/>
          <w:lang w:eastAsia="zh-CN"/>
        </w:rPr>
        <w:fldChar w:fldCharType="separate"/>
      </w:r>
      <w:r>
        <w:rPr>
          <w:rFonts w:hint="eastAsia" w:ascii="新宋体" w:hAnsi="新宋体" w:eastAsia="新宋体" w:cs="新宋体"/>
          <w:color w:val="auto"/>
          <w:kern w:val="0"/>
          <w:sz w:val="22"/>
          <w:szCs w:val="22"/>
          <w:highlight w:val="none"/>
          <w:lang w:eastAsia="zh-CN"/>
        </w:rPr>
        <w:t>www.creditchina.gov.cn）、</w:t>
      </w:r>
      <w:r>
        <w:rPr>
          <w:rFonts w:hint="eastAsia" w:ascii="新宋体" w:hAnsi="新宋体" w:eastAsia="新宋体" w:cs="新宋体"/>
          <w:color w:val="auto"/>
          <w:kern w:val="0"/>
          <w:sz w:val="22"/>
          <w:szCs w:val="22"/>
          <w:highlight w:val="none"/>
          <w:lang w:eastAsia="zh-CN"/>
        </w:rPr>
        <w:fldChar w:fldCharType="end"/>
      </w:r>
      <w:r>
        <w:rPr>
          <w:rFonts w:hint="eastAsia" w:ascii="新宋体" w:hAnsi="新宋体" w:eastAsia="新宋体" w:cs="新宋体"/>
          <w:color w:val="auto"/>
          <w:kern w:val="0"/>
          <w:sz w:val="22"/>
          <w:szCs w:val="22"/>
          <w:highlight w:val="none"/>
          <w:lang w:eastAsia="zh-CN"/>
        </w:rPr>
        <w:t xml:space="preserve"> 中国政府采购网（www.ccgp.gov.cn）列入失信被执行人名单、重大税收违法案件当事人名单、政府采购严重违法失信行为记录名单。</w:t>
      </w:r>
    </w:p>
    <w:p w14:paraId="4A8C9A19">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3、我方与参加本次项目同一合同项下政府采购活动的其他供应商不存在单位负责人为同一人或者直接控股、管理关系。</w:t>
      </w:r>
    </w:p>
    <w:p w14:paraId="0D5260BC">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4、我方</w:t>
      </w:r>
      <w:r>
        <w:rPr>
          <w:rFonts w:hint="eastAsia" w:ascii="新宋体" w:hAnsi="新宋体" w:eastAsia="新宋体" w:cs="新宋体"/>
          <w:color w:val="auto"/>
          <w:kern w:val="0"/>
          <w:sz w:val="22"/>
          <w:szCs w:val="22"/>
          <w:highlight w:val="none"/>
          <w:lang w:eastAsia="zh-CN"/>
        </w:rPr>
        <w:t>不属于公益一类事业单位。</w:t>
      </w:r>
    </w:p>
    <w:p w14:paraId="06F05BC9">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lang w:val="en-US" w:eastAsia="zh-CN"/>
        </w:rPr>
      </w:pPr>
    </w:p>
    <w:p w14:paraId="70BD1321">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以上承诺如有虚假，愿接受取消我方任何资格（投标/成交/签订合同）及其他任何形式的处理。</w:t>
      </w:r>
    </w:p>
    <w:p w14:paraId="24AB4484">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p>
    <w:p w14:paraId="09A28D3A">
      <w:pPr>
        <w:keepNext w:val="0"/>
        <w:keepLines w:val="0"/>
        <w:pageBreakBefore w:val="0"/>
        <w:kinsoku/>
        <w:wordWrap/>
        <w:overflowPunct/>
        <w:topLinePunct w:val="0"/>
        <w:autoSpaceDE/>
        <w:autoSpaceDN/>
        <w:bidi w:val="0"/>
        <w:adjustRightInd/>
        <w:snapToGrid w:val="0"/>
        <w:spacing w:line="460" w:lineRule="exact"/>
        <w:ind w:firstLine="5060" w:firstLineChars="2300"/>
        <w:textAlignment w:val="auto"/>
        <w:rPr>
          <w:rFonts w:hint="eastAsia" w:ascii="新宋体" w:hAnsi="新宋体" w:eastAsia="新宋体" w:cs="新宋体"/>
          <w:color w:val="auto"/>
          <w:kern w:val="0"/>
          <w:sz w:val="22"/>
          <w:szCs w:val="22"/>
          <w:highlight w:val="none"/>
          <w:lang w:val="zh-CN"/>
        </w:rPr>
      </w:pPr>
    </w:p>
    <w:p w14:paraId="3B1A4FF0">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投标人全称（盖章） ：</w:t>
      </w:r>
    </w:p>
    <w:p w14:paraId="32A63E06">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14:paraId="7C2751F8">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p>
    <w:p w14:paraId="1DA96689">
      <w:pPr>
        <w:pStyle w:val="24"/>
        <w:keepNext w:val="0"/>
        <w:keepLines w:val="0"/>
        <w:pageBreakBefore w:val="0"/>
        <w:kinsoku/>
        <w:wordWrap/>
        <w:overflowPunct/>
        <w:topLinePunct w:val="0"/>
        <w:autoSpaceDE/>
        <w:autoSpaceDN/>
        <w:bidi w:val="0"/>
        <w:adjustRightInd/>
        <w:spacing w:line="460" w:lineRule="exact"/>
        <w:ind w:left="479" w:leftChars="228" w:firstLine="5280" w:firstLineChars="24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30115243">
      <w:pPr>
        <w:bidi w:val="0"/>
        <w:rPr>
          <w:rFonts w:hint="eastAsia" w:ascii="新宋体" w:hAnsi="新宋体" w:eastAsia="新宋体" w:cs="新宋体"/>
          <w:color w:val="auto"/>
          <w:highlight w:val="none"/>
        </w:rPr>
      </w:pPr>
    </w:p>
    <w:p w14:paraId="2ACE3296">
      <w:pPr>
        <w:bidi w:val="0"/>
        <w:rPr>
          <w:rFonts w:hint="eastAsia" w:ascii="新宋体" w:hAnsi="新宋体" w:eastAsia="新宋体" w:cs="新宋体"/>
          <w:color w:val="auto"/>
          <w:highlight w:val="none"/>
        </w:rPr>
      </w:pPr>
    </w:p>
    <w:p w14:paraId="45C689CB">
      <w:pPr>
        <w:bidi w:val="0"/>
        <w:rPr>
          <w:rFonts w:hint="eastAsia" w:ascii="新宋体" w:hAnsi="新宋体" w:eastAsia="新宋体" w:cs="新宋体"/>
          <w:color w:val="auto"/>
          <w:highlight w:val="none"/>
        </w:rPr>
      </w:pPr>
    </w:p>
    <w:p w14:paraId="1AAC9000">
      <w:pPr>
        <w:rPr>
          <w:rFonts w:hint="eastAsia" w:ascii="新宋体" w:hAnsi="新宋体" w:eastAsia="新宋体" w:cs="新宋体"/>
          <w:b/>
          <w:bCs w:val="0"/>
          <w:color w:val="auto"/>
          <w:kern w:val="0"/>
          <w:sz w:val="28"/>
          <w:szCs w:val="28"/>
          <w:highlight w:val="none"/>
          <w:lang w:val="en-US" w:eastAsia="zh-CN" w:bidi="ar-SA"/>
        </w:rPr>
      </w:pPr>
      <w:r>
        <w:rPr>
          <w:rFonts w:hint="eastAsia" w:ascii="新宋体" w:hAnsi="新宋体" w:eastAsia="新宋体" w:cs="新宋体"/>
          <w:b/>
          <w:bCs w:val="0"/>
          <w:color w:val="auto"/>
          <w:kern w:val="0"/>
          <w:sz w:val="28"/>
          <w:szCs w:val="28"/>
          <w:highlight w:val="none"/>
          <w:lang w:val="en-US" w:eastAsia="zh-CN" w:bidi="ar-SA"/>
        </w:rPr>
        <w:br w:type="page"/>
      </w:r>
    </w:p>
    <w:p w14:paraId="7336FEF7">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2、有效营业执照</w:t>
      </w:r>
    </w:p>
    <w:p w14:paraId="360F7D2F">
      <w:pPr>
        <w:pStyle w:val="50"/>
        <w:keepNext w:val="0"/>
        <w:keepLines w:val="0"/>
        <w:pageBreakBefore w:val="0"/>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460" w:lineRule="exact"/>
        <w:ind w:left="420"/>
        <w:textAlignment w:val="auto"/>
        <w:rPr>
          <w:rFonts w:hint="eastAsia" w:ascii="新宋体" w:hAnsi="新宋体" w:eastAsia="新宋体" w:cs="新宋体"/>
          <w:bCs/>
          <w:color w:val="auto"/>
          <w:sz w:val="24"/>
          <w:szCs w:val="24"/>
          <w:highlight w:val="none"/>
        </w:rPr>
      </w:pPr>
    </w:p>
    <w:p w14:paraId="2E536B72">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投标人须在投标文件中出具符合以下情况的证明材料复印件（五选一）：</w:t>
      </w:r>
    </w:p>
    <w:p w14:paraId="7ED03EE8">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①</w:t>
      </w:r>
      <w:r>
        <w:rPr>
          <w:rFonts w:hint="eastAsia" w:ascii="新宋体" w:hAnsi="新宋体" w:eastAsia="新宋体" w:cs="新宋体"/>
          <w:color w:val="auto"/>
          <w:kern w:val="0"/>
          <w:sz w:val="22"/>
          <w:szCs w:val="22"/>
          <w:highlight w:val="none"/>
          <w:lang w:eastAsia="zh-CN"/>
        </w:rPr>
        <w:t>如投标人是企业（包括合伙企业），提供在工商部门注册的有效“企业法人营业执照”或“营业执照”；</w:t>
      </w:r>
    </w:p>
    <w:p w14:paraId="72EEDA77">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②</w:t>
      </w:r>
      <w:r>
        <w:rPr>
          <w:rFonts w:hint="eastAsia" w:ascii="新宋体" w:hAnsi="新宋体" w:eastAsia="新宋体" w:cs="新宋体"/>
          <w:color w:val="auto"/>
          <w:kern w:val="0"/>
          <w:sz w:val="22"/>
          <w:szCs w:val="22"/>
          <w:highlight w:val="none"/>
          <w:lang w:eastAsia="zh-CN"/>
        </w:rPr>
        <w:t>如投标人是事业单位，提供有效的“事业单位法人证书”；</w:t>
      </w:r>
    </w:p>
    <w:p w14:paraId="5E261610">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③</w:t>
      </w:r>
      <w:r>
        <w:rPr>
          <w:rFonts w:hint="eastAsia" w:ascii="新宋体" w:hAnsi="新宋体" w:eastAsia="新宋体" w:cs="新宋体"/>
          <w:color w:val="auto"/>
          <w:kern w:val="0"/>
          <w:sz w:val="22"/>
          <w:szCs w:val="22"/>
          <w:highlight w:val="none"/>
          <w:lang w:eastAsia="zh-CN"/>
        </w:rPr>
        <w:t>如投标人是非企业专业服务机构的，提供执业许可证等证明文件；</w:t>
      </w:r>
    </w:p>
    <w:p w14:paraId="20FC8881">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④</w:t>
      </w:r>
      <w:r>
        <w:rPr>
          <w:rFonts w:hint="eastAsia" w:ascii="新宋体" w:hAnsi="新宋体" w:eastAsia="新宋体" w:cs="新宋体"/>
          <w:color w:val="auto"/>
          <w:kern w:val="0"/>
          <w:sz w:val="22"/>
          <w:szCs w:val="22"/>
          <w:highlight w:val="none"/>
          <w:lang w:eastAsia="zh-CN"/>
        </w:rPr>
        <w:t>如投标人是个体工商户，提供有效的“个体工商户营业执照”；</w:t>
      </w:r>
    </w:p>
    <w:p w14:paraId="5AFF75F1">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⑤</w:t>
      </w:r>
      <w:r>
        <w:rPr>
          <w:rFonts w:hint="eastAsia" w:ascii="新宋体" w:hAnsi="新宋体" w:eastAsia="新宋体" w:cs="新宋体"/>
          <w:color w:val="auto"/>
          <w:kern w:val="0"/>
          <w:sz w:val="22"/>
          <w:szCs w:val="22"/>
          <w:highlight w:val="none"/>
          <w:lang w:eastAsia="zh-CN"/>
        </w:rPr>
        <w:t>如投标人是自然人，提供有效的自然人身份证明（居民身份证正反面或公安机关出具的临时居民身份证正反面或港澳台胞证或护照）。</w:t>
      </w:r>
    </w:p>
    <w:p w14:paraId="2B402DC5">
      <w:pPr>
        <w:pStyle w:val="50"/>
        <w:keepNext w:val="0"/>
        <w:keepLines w:val="0"/>
        <w:pageBreakBefore w:val="0"/>
        <w:tabs>
          <w:tab w:val="left" w:pos="312"/>
        </w:tabs>
        <w:kinsoku/>
        <w:wordWrap/>
        <w:overflowPunct/>
        <w:topLinePunct w:val="0"/>
        <w:autoSpaceDE/>
        <w:autoSpaceDN/>
        <w:bidi w:val="0"/>
        <w:adjustRightInd w:val="0"/>
        <w:snapToGrid w:val="0"/>
        <w:spacing w:before="0" w:beforeAutospacing="0" w:after="0" w:afterAutospacing="0" w:line="460" w:lineRule="exact"/>
        <w:textAlignment w:val="auto"/>
        <w:rPr>
          <w:rFonts w:hint="eastAsia" w:ascii="新宋体" w:hAnsi="新宋体" w:eastAsia="新宋体" w:cs="新宋体"/>
          <w:bCs/>
          <w:color w:val="auto"/>
          <w:sz w:val="22"/>
          <w:szCs w:val="22"/>
          <w:highlight w:val="none"/>
        </w:rPr>
      </w:pPr>
    </w:p>
    <w:p w14:paraId="25D84F60">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0B169510">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color w:val="auto"/>
          <w:highlight w:val="none"/>
        </w:rPr>
      </w:pPr>
    </w:p>
    <w:p w14:paraId="69D4145C">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14:paraId="51133BCA">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3、投标人信用查询</w:t>
      </w:r>
    </w:p>
    <w:p w14:paraId="08C10282">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1</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投标人信用信息查询的查询渠道：“信用中国”（https://www.creditchina.gov.cn/）；“中国政府采购网”（http://www.ccgp.gov.cn/）；</w:t>
      </w:r>
    </w:p>
    <w:p w14:paraId="18FE7283">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2</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投标人信用信息查询截止时点：招标公告发布之日至投标截止时间前。</w:t>
      </w:r>
    </w:p>
    <w:p w14:paraId="0FC68C9D">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3</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投标人信用信息查询记录和证据留存的具体方式：网页截图；</w:t>
      </w:r>
    </w:p>
    <w:p w14:paraId="12B0A8C5">
      <w:pPr>
        <w:tabs>
          <w:tab w:val="left" w:pos="360"/>
        </w:tabs>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highlight w:val="none"/>
          <w:u w:val="single"/>
          <w:lang w:eastAsia="zh-CN"/>
        </w:rPr>
        <w:t>（</w:t>
      </w:r>
      <w:r>
        <w:rPr>
          <w:rFonts w:hint="eastAsia" w:ascii="新宋体" w:hAnsi="新宋体" w:eastAsia="新宋体" w:cs="新宋体"/>
          <w:b/>
          <w:bCs/>
          <w:color w:val="auto"/>
          <w:sz w:val="22"/>
          <w:highlight w:val="none"/>
          <w:u w:val="single"/>
        </w:rPr>
        <w:t>4</w:t>
      </w:r>
      <w:r>
        <w:rPr>
          <w:rFonts w:hint="eastAsia" w:ascii="新宋体" w:hAnsi="新宋体" w:eastAsia="新宋体" w:cs="新宋体"/>
          <w:b/>
          <w:bCs/>
          <w:color w:val="auto"/>
          <w:sz w:val="22"/>
          <w:highlight w:val="none"/>
          <w:u w:val="single"/>
          <w:lang w:eastAsia="zh-CN"/>
        </w:rPr>
        <w:t>）</w:t>
      </w:r>
      <w:r>
        <w:rPr>
          <w:rFonts w:hint="eastAsia" w:ascii="新宋体" w:hAnsi="新宋体" w:eastAsia="新宋体" w:cs="新宋体"/>
          <w:b/>
          <w:bCs/>
          <w:color w:val="auto"/>
          <w:sz w:val="22"/>
          <w:highlight w:val="none"/>
          <w:u w:val="single"/>
        </w:rPr>
        <w:t>信用信息的使用规则：对列入失信被执行人、重大税收违法案件当事人名单、政府采购严重违法失信行为记录名单及其他不符合《中华人民共和国政府采购法》第二十二条规定条件的投标人，其投标做无效投标处理。</w:t>
      </w:r>
    </w:p>
    <w:p w14:paraId="055A8912">
      <w:pPr>
        <w:tabs>
          <w:tab w:val="left" w:pos="360"/>
        </w:tabs>
        <w:spacing w:line="460" w:lineRule="exact"/>
        <w:ind w:firstLine="440" w:firstLineChars="200"/>
        <w:rPr>
          <w:rFonts w:hint="eastAsia" w:ascii="新宋体" w:hAnsi="新宋体" w:eastAsia="新宋体" w:cs="新宋体"/>
          <w:color w:val="auto"/>
          <w:sz w:val="22"/>
          <w:highlight w:val="none"/>
          <w:lang w:eastAsia="zh-CN"/>
        </w:rPr>
      </w:pPr>
    </w:p>
    <w:p w14:paraId="56878349">
      <w:pPr>
        <w:tabs>
          <w:tab w:val="left" w:pos="360"/>
        </w:tabs>
        <w:spacing w:line="460" w:lineRule="exact"/>
        <w:ind w:firstLine="440" w:firstLineChars="200"/>
        <w:rPr>
          <w:rFonts w:hint="eastAsia" w:ascii="新宋体" w:hAnsi="新宋体" w:eastAsia="新宋体" w:cs="新宋体"/>
          <w:color w:val="auto"/>
          <w:sz w:val="22"/>
          <w:highlight w:val="none"/>
          <w:lang w:eastAsia="zh-CN"/>
        </w:rPr>
      </w:pPr>
    </w:p>
    <w:p w14:paraId="040605C3">
      <w:pPr>
        <w:tabs>
          <w:tab w:val="left" w:pos="360"/>
        </w:tabs>
        <w:spacing w:line="460" w:lineRule="exact"/>
        <w:ind w:firstLine="440" w:firstLineChars="200"/>
        <w:rPr>
          <w:rFonts w:hint="eastAsia" w:ascii="新宋体" w:hAnsi="新宋体" w:eastAsia="新宋体" w:cs="新宋体"/>
          <w:color w:val="auto"/>
          <w:sz w:val="22"/>
          <w:highlight w:val="none"/>
          <w:lang w:eastAsia="zh-CN"/>
        </w:rPr>
      </w:pPr>
    </w:p>
    <w:p w14:paraId="45D9700B">
      <w:pPr>
        <w:bidi w:val="0"/>
        <w:rPr>
          <w:rFonts w:hint="eastAsia" w:ascii="新宋体" w:hAnsi="新宋体" w:eastAsia="新宋体" w:cs="新宋体"/>
          <w:color w:val="auto"/>
          <w:highlight w:val="none"/>
        </w:rPr>
      </w:pPr>
    </w:p>
    <w:p w14:paraId="4D459666">
      <w:pPr>
        <w:bidi w:val="0"/>
        <w:rPr>
          <w:rFonts w:hint="eastAsia"/>
          <w:color w:val="auto"/>
          <w:highlight w:val="none"/>
          <w:lang w:val="en-US" w:eastAsia="zh-CN"/>
        </w:rPr>
      </w:pPr>
    </w:p>
    <w:p w14:paraId="2E8D3DCD">
      <w:pPr>
        <w:pStyle w:val="24"/>
        <w:spacing w:line="460" w:lineRule="exact"/>
        <w:ind w:left="514" w:leftChars="245" w:firstLine="0" w:firstLineChars="0"/>
        <w:rPr>
          <w:rFonts w:hint="eastAsia" w:ascii="新宋体" w:hAnsi="新宋体" w:eastAsia="新宋体" w:cs="新宋体"/>
          <w:color w:val="auto"/>
          <w:highlight w:val="none"/>
        </w:rPr>
      </w:pPr>
    </w:p>
    <w:p w14:paraId="5B46229A">
      <w:pPr>
        <w:pStyle w:val="24"/>
        <w:spacing w:line="460" w:lineRule="exact"/>
        <w:ind w:left="514" w:leftChars="245" w:firstLine="0" w:firstLineChars="0"/>
        <w:rPr>
          <w:rFonts w:hint="eastAsia" w:ascii="新宋体" w:hAnsi="新宋体" w:eastAsia="新宋体" w:cs="新宋体"/>
          <w:color w:val="auto"/>
          <w:highlight w:val="none"/>
        </w:rPr>
      </w:pPr>
    </w:p>
    <w:p w14:paraId="288F459A">
      <w:pPr>
        <w:pStyle w:val="24"/>
        <w:spacing w:line="460" w:lineRule="exact"/>
        <w:ind w:left="514" w:leftChars="245" w:firstLine="0" w:firstLineChars="0"/>
        <w:rPr>
          <w:rFonts w:hint="eastAsia" w:ascii="新宋体" w:hAnsi="新宋体" w:eastAsia="新宋体" w:cs="新宋体"/>
          <w:color w:val="auto"/>
          <w:highlight w:val="none"/>
        </w:rPr>
      </w:pPr>
    </w:p>
    <w:p w14:paraId="21147F0D">
      <w:pPr>
        <w:pStyle w:val="24"/>
        <w:spacing w:line="460" w:lineRule="exact"/>
        <w:ind w:left="0" w:firstLine="0" w:firstLineChars="0"/>
        <w:rPr>
          <w:rFonts w:hint="eastAsia" w:ascii="新宋体" w:hAnsi="新宋体" w:eastAsia="新宋体" w:cs="新宋体"/>
          <w:color w:val="auto"/>
          <w:highlight w:val="none"/>
        </w:rPr>
      </w:pPr>
    </w:p>
    <w:p w14:paraId="19CBFCF0">
      <w:pPr>
        <w:spacing w:line="460" w:lineRule="exact"/>
        <w:rPr>
          <w:rFonts w:hint="eastAsia" w:ascii="新宋体" w:hAnsi="新宋体" w:eastAsia="新宋体" w:cs="新宋体"/>
          <w:b/>
          <w:bCs/>
          <w:color w:val="auto"/>
          <w:sz w:val="22"/>
          <w:szCs w:val="22"/>
          <w:highlight w:val="none"/>
        </w:rPr>
      </w:pPr>
    </w:p>
    <w:p w14:paraId="0A4E7068">
      <w:pPr>
        <w:spacing w:line="460" w:lineRule="exact"/>
        <w:rPr>
          <w:rFonts w:hint="eastAsia" w:ascii="新宋体" w:hAnsi="新宋体" w:eastAsia="新宋体" w:cs="新宋体"/>
          <w:b/>
          <w:bCs/>
          <w:color w:val="auto"/>
          <w:sz w:val="22"/>
          <w:szCs w:val="22"/>
          <w:highlight w:val="none"/>
        </w:rPr>
      </w:pPr>
    </w:p>
    <w:p w14:paraId="11B6C2C1">
      <w:pPr>
        <w:spacing w:line="460" w:lineRule="exact"/>
        <w:rPr>
          <w:rFonts w:hint="eastAsia" w:ascii="新宋体" w:hAnsi="新宋体" w:eastAsia="新宋体" w:cs="新宋体"/>
          <w:b/>
          <w:bCs/>
          <w:color w:val="auto"/>
          <w:sz w:val="22"/>
          <w:szCs w:val="22"/>
          <w:highlight w:val="none"/>
        </w:rPr>
      </w:pPr>
    </w:p>
    <w:p w14:paraId="3C82C243">
      <w:pPr>
        <w:spacing w:line="460" w:lineRule="exact"/>
        <w:rPr>
          <w:rFonts w:hint="eastAsia" w:ascii="新宋体" w:hAnsi="新宋体" w:eastAsia="新宋体" w:cs="新宋体"/>
          <w:b/>
          <w:bCs/>
          <w:color w:val="auto"/>
          <w:sz w:val="22"/>
          <w:szCs w:val="22"/>
          <w:highlight w:val="none"/>
        </w:rPr>
      </w:pPr>
    </w:p>
    <w:p w14:paraId="402592BB">
      <w:pPr>
        <w:rPr>
          <w:rFonts w:hint="eastAsia" w:ascii="新宋体" w:hAnsi="新宋体" w:eastAsia="新宋体" w:cs="新宋体"/>
          <w:color w:val="auto"/>
          <w:highlight w:val="none"/>
        </w:rPr>
      </w:pPr>
    </w:p>
    <w:p w14:paraId="2126FEFD">
      <w:pPr>
        <w:rPr>
          <w:rFonts w:hint="eastAsia" w:ascii="新宋体" w:hAnsi="新宋体" w:eastAsia="新宋体" w:cs="新宋体"/>
          <w:color w:val="auto"/>
          <w:highlight w:val="none"/>
        </w:rPr>
      </w:pPr>
    </w:p>
    <w:p w14:paraId="50236D5D">
      <w:pPr>
        <w:rPr>
          <w:rFonts w:hint="eastAsia" w:ascii="新宋体" w:hAnsi="新宋体" w:eastAsia="新宋体" w:cs="新宋体"/>
          <w:color w:val="auto"/>
          <w:highlight w:val="none"/>
        </w:rPr>
      </w:pPr>
    </w:p>
    <w:p w14:paraId="5A361D77">
      <w:pPr>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14:paraId="754FF921">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4、政府采购活动现场确认声明书</w:t>
      </w:r>
    </w:p>
    <w:p w14:paraId="6DEE2DC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温州历程招标有限公司：</w:t>
      </w:r>
    </w:p>
    <w:p w14:paraId="40ABE19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rPr>
        <w:t>本人经由</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（供应商名称）负责人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（姓名）合法授权参加</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（编号：</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）采购活动，经与本单位法人代表</w:t>
      </w:r>
      <w:r>
        <w:rPr>
          <w:rFonts w:hint="eastAsia" w:ascii="新宋体" w:hAnsi="新宋体" w:eastAsia="新宋体" w:cs="新宋体"/>
          <w:color w:val="auto"/>
          <w:kern w:val="0"/>
          <w:sz w:val="22"/>
          <w:szCs w:val="22"/>
          <w:highlight w:val="none"/>
          <w:u w:val="single"/>
        </w:rPr>
        <w:t>（负责人）</w:t>
      </w:r>
      <w:r>
        <w:rPr>
          <w:rFonts w:hint="eastAsia" w:ascii="新宋体" w:hAnsi="新宋体" w:eastAsia="新宋体" w:cs="新宋体"/>
          <w:color w:val="auto"/>
          <w:kern w:val="0"/>
          <w:sz w:val="22"/>
          <w:szCs w:val="22"/>
          <w:highlight w:val="none"/>
        </w:rPr>
        <w:t>联系确认，现就有关公平竞争事项郑重声明如下：</w:t>
      </w:r>
    </w:p>
    <w:p w14:paraId="63D4957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（一）本单位与</w:t>
      </w:r>
      <w:r>
        <w:rPr>
          <w:rFonts w:hint="eastAsia" w:ascii="新宋体" w:hAnsi="新宋体" w:eastAsia="新宋体" w:cs="新宋体"/>
          <w:color w:val="auto"/>
          <w:kern w:val="0"/>
          <w:sz w:val="22"/>
          <w:szCs w:val="22"/>
          <w:highlight w:val="none"/>
          <w:lang w:eastAsia="zh-CN"/>
        </w:rPr>
        <w:t>采购人</w:t>
      </w:r>
      <w:r>
        <w:rPr>
          <w:rFonts w:hint="eastAsia" w:ascii="新宋体" w:hAnsi="新宋体" w:eastAsia="新宋体" w:cs="新宋体"/>
          <w:color w:val="auto"/>
          <w:kern w:val="0"/>
          <w:sz w:val="22"/>
          <w:szCs w:val="22"/>
          <w:highlight w:val="none"/>
        </w:rPr>
        <w:t xml:space="preserve">之间 </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 xml:space="preserve">不存在利害关系 </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存在下列利害关系：</w:t>
      </w:r>
    </w:p>
    <w:p w14:paraId="6B6A8010">
      <w:pPr>
        <w:keepNext w:val="0"/>
        <w:keepLines w:val="0"/>
        <w:pageBreakBefore w:val="0"/>
        <w:widowControl w:val="0"/>
        <w:kinsoku/>
        <w:wordWrap/>
        <w:overflowPunct/>
        <w:topLinePunct w:val="0"/>
        <w:autoSpaceDE/>
        <w:autoSpaceDN/>
        <w:bidi w:val="0"/>
        <w:adjustRightInd/>
        <w:snapToGrid/>
        <w:spacing w:line="460" w:lineRule="exact"/>
        <w:ind w:firstLine="660" w:firstLineChars="3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A.投资关系    </w:t>
      </w:r>
    </w:p>
    <w:p w14:paraId="706D2FA1">
      <w:pPr>
        <w:keepNext w:val="0"/>
        <w:keepLines w:val="0"/>
        <w:pageBreakBefore w:val="0"/>
        <w:widowControl w:val="0"/>
        <w:kinsoku/>
        <w:wordWrap/>
        <w:overflowPunct/>
        <w:topLinePunct w:val="0"/>
        <w:autoSpaceDE/>
        <w:autoSpaceDN/>
        <w:bidi w:val="0"/>
        <w:adjustRightInd/>
        <w:snapToGrid/>
        <w:spacing w:line="460" w:lineRule="exact"/>
        <w:ind w:firstLine="660" w:firstLineChars="3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B.行政隶属关系    </w:t>
      </w:r>
    </w:p>
    <w:p w14:paraId="02AFAB29">
      <w:pPr>
        <w:keepNext w:val="0"/>
        <w:keepLines w:val="0"/>
        <w:pageBreakBefore w:val="0"/>
        <w:widowControl w:val="0"/>
        <w:kinsoku/>
        <w:wordWrap/>
        <w:overflowPunct/>
        <w:topLinePunct w:val="0"/>
        <w:autoSpaceDE/>
        <w:autoSpaceDN/>
        <w:bidi w:val="0"/>
        <w:adjustRightInd/>
        <w:snapToGrid/>
        <w:spacing w:line="460" w:lineRule="exact"/>
        <w:ind w:firstLine="660" w:firstLineChars="3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C.业务指导关系  </w:t>
      </w:r>
    </w:p>
    <w:p w14:paraId="46767B94">
      <w:pPr>
        <w:keepNext w:val="0"/>
        <w:keepLines w:val="0"/>
        <w:pageBreakBefore w:val="0"/>
        <w:widowControl w:val="0"/>
        <w:kinsoku/>
        <w:wordWrap/>
        <w:overflowPunct/>
        <w:topLinePunct w:val="0"/>
        <w:autoSpaceDE/>
        <w:autoSpaceDN/>
        <w:bidi w:val="0"/>
        <w:adjustRightInd/>
        <w:snapToGrid/>
        <w:spacing w:line="460" w:lineRule="exact"/>
        <w:ind w:firstLine="660" w:firstLineChars="3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D.其他可能影响采购公正的利害关系</w:t>
      </w:r>
      <w:r>
        <w:rPr>
          <w:rStyle w:val="146"/>
          <w:rFonts w:hint="eastAsia" w:ascii="新宋体" w:hAnsi="新宋体" w:eastAsia="新宋体" w:cs="新宋体"/>
          <w:color w:val="auto"/>
          <w:sz w:val="22"/>
          <w:szCs w:val="22"/>
          <w:highlight w:val="none"/>
        </w:rPr>
        <w:t xml:space="preserve">（如有，请如实说明）                 </w:t>
      </w:r>
      <w:r>
        <w:rPr>
          <w:rFonts w:hint="eastAsia" w:ascii="新宋体" w:hAnsi="新宋体" w:eastAsia="新宋体" w:cs="新宋体"/>
          <w:color w:val="auto"/>
          <w:kern w:val="0"/>
          <w:sz w:val="22"/>
          <w:szCs w:val="22"/>
          <w:highlight w:val="none"/>
        </w:rPr>
        <w:t>。</w:t>
      </w:r>
    </w:p>
    <w:p w14:paraId="2DE2A69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（二）现已清楚知道参加本项目采购活动的其他所有供应商名称，本单位 </w:t>
      </w:r>
    </w:p>
    <w:p w14:paraId="4A29D5D7">
      <w:pPr>
        <w:keepNext w:val="0"/>
        <w:keepLines w:val="0"/>
        <w:pageBreakBefore w:val="0"/>
        <w:widowControl w:val="0"/>
        <w:kinsoku/>
        <w:wordWrap/>
        <w:overflowPunct/>
        <w:topLinePunct w:val="0"/>
        <w:autoSpaceDE/>
        <w:autoSpaceDN/>
        <w:bidi w:val="0"/>
        <w:adjustRightInd/>
        <w:snapToGrid/>
        <w:spacing w:line="460" w:lineRule="exact"/>
        <w:ind w:firstLine="660" w:firstLineChars="3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与其他所有供应商之间均不存在利害关系</w:t>
      </w:r>
    </w:p>
    <w:p w14:paraId="04CBB396">
      <w:pPr>
        <w:keepNext w:val="0"/>
        <w:keepLines w:val="0"/>
        <w:pageBreakBefore w:val="0"/>
        <w:widowControl w:val="0"/>
        <w:kinsoku/>
        <w:wordWrap/>
        <w:overflowPunct/>
        <w:topLinePunct w:val="0"/>
        <w:autoSpaceDE/>
        <w:autoSpaceDN/>
        <w:bidi w:val="0"/>
        <w:adjustRightInd/>
        <w:snapToGrid/>
        <w:spacing w:line="460" w:lineRule="exact"/>
        <w:ind w:firstLine="660" w:firstLineChars="3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与</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供应商名称）之间存在下列利害关系</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w:t>
      </w:r>
    </w:p>
    <w:p w14:paraId="029850B6">
      <w:pPr>
        <w:keepNext w:val="0"/>
        <w:keepLines w:val="0"/>
        <w:pageBreakBefore w:val="0"/>
        <w:widowControl w:val="0"/>
        <w:kinsoku/>
        <w:wordWrap/>
        <w:overflowPunct/>
        <w:topLinePunct w:val="0"/>
        <w:autoSpaceDE/>
        <w:autoSpaceDN/>
        <w:bidi w:val="0"/>
        <w:adjustRightInd/>
        <w:snapToGrid/>
        <w:spacing w:line="460" w:lineRule="exact"/>
        <w:ind w:firstLine="660" w:firstLineChars="3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A.法定代表人或负责人或实际控制人是同一人</w:t>
      </w:r>
    </w:p>
    <w:p w14:paraId="22A4426B">
      <w:pPr>
        <w:keepNext w:val="0"/>
        <w:keepLines w:val="0"/>
        <w:pageBreakBefore w:val="0"/>
        <w:widowControl w:val="0"/>
        <w:kinsoku/>
        <w:wordWrap/>
        <w:overflowPunct/>
        <w:topLinePunct w:val="0"/>
        <w:autoSpaceDE/>
        <w:autoSpaceDN/>
        <w:bidi w:val="0"/>
        <w:adjustRightInd/>
        <w:snapToGrid/>
        <w:spacing w:line="460" w:lineRule="exact"/>
        <w:ind w:firstLine="660" w:firstLineChars="3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B.法定代表人或负责人或实际控制人是夫妻关系</w:t>
      </w:r>
    </w:p>
    <w:p w14:paraId="03E40B77">
      <w:pPr>
        <w:keepNext w:val="0"/>
        <w:keepLines w:val="0"/>
        <w:pageBreakBefore w:val="0"/>
        <w:widowControl w:val="0"/>
        <w:kinsoku/>
        <w:wordWrap/>
        <w:overflowPunct/>
        <w:topLinePunct w:val="0"/>
        <w:autoSpaceDE/>
        <w:autoSpaceDN/>
        <w:bidi w:val="0"/>
        <w:adjustRightInd/>
        <w:snapToGrid/>
        <w:spacing w:line="460" w:lineRule="exact"/>
        <w:ind w:firstLine="660" w:firstLineChars="3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C.法定代表人或负责人或实际控制人是直系血亲关系</w:t>
      </w:r>
    </w:p>
    <w:p w14:paraId="4B1B3AA8">
      <w:pPr>
        <w:keepNext w:val="0"/>
        <w:keepLines w:val="0"/>
        <w:pageBreakBefore w:val="0"/>
        <w:widowControl w:val="0"/>
        <w:kinsoku/>
        <w:wordWrap/>
        <w:overflowPunct/>
        <w:topLinePunct w:val="0"/>
        <w:autoSpaceDE/>
        <w:autoSpaceDN/>
        <w:bidi w:val="0"/>
        <w:adjustRightInd/>
        <w:snapToGrid/>
        <w:spacing w:line="460" w:lineRule="exact"/>
        <w:ind w:firstLine="660" w:firstLineChars="3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D.法定代表人或负责人或实际控制人存在三代以内旁系血亲关系</w:t>
      </w:r>
    </w:p>
    <w:p w14:paraId="351A85D7">
      <w:pPr>
        <w:keepNext w:val="0"/>
        <w:keepLines w:val="0"/>
        <w:pageBreakBefore w:val="0"/>
        <w:widowControl w:val="0"/>
        <w:kinsoku/>
        <w:wordWrap/>
        <w:overflowPunct/>
        <w:topLinePunct w:val="0"/>
        <w:autoSpaceDE/>
        <w:autoSpaceDN/>
        <w:bidi w:val="0"/>
        <w:adjustRightInd/>
        <w:snapToGrid/>
        <w:spacing w:line="460" w:lineRule="exact"/>
        <w:ind w:firstLine="660" w:firstLineChars="3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E.法定代表人或负责人或实际控制人存在近姻亲关系</w:t>
      </w:r>
    </w:p>
    <w:p w14:paraId="3349E354">
      <w:pPr>
        <w:keepNext w:val="0"/>
        <w:keepLines w:val="0"/>
        <w:pageBreakBefore w:val="0"/>
        <w:widowControl w:val="0"/>
        <w:kinsoku/>
        <w:wordWrap/>
        <w:overflowPunct/>
        <w:topLinePunct w:val="0"/>
        <w:autoSpaceDE/>
        <w:autoSpaceDN/>
        <w:bidi w:val="0"/>
        <w:adjustRightInd/>
        <w:snapToGrid/>
        <w:spacing w:line="460" w:lineRule="exact"/>
        <w:ind w:firstLine="660" w:firstLineChars="3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F.法定代表人或负责人或实际控制人存在股份控制或实际控制关系</w:t>
      </w:r>
    </w:p>
    <w:p w14:paraId="584C966E">
      <w:pPr>
        <w:keepNext w:val="0"/>
        <w:keepLines w:val="0"/>
        <w:pageBreakBefore w:val="0"/>
        <w:widowControl w:val="0"/>
        <w:kinsoku/>
        <w:wordWrap/>
        <w:overflowPunct/>
        <w:topLinePunct w:val="0"/>
        <w:autoSpaceDE/>
        <w:autoSpaceDN/>
        <w:bidi w:val="0"/>
        <w:adjustRightInd/>
        <w:snapToGrid/>
        <w:spacing w:line="460" w:lineRule="exact"/>
        <w:ind w:firstLine="660" w:firstLineChars="3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G.存在共同直接或间接投资设立子公司、联营企业和合营企业情况</w:t>
      </w:r>
    </w:p>
    <w:p w14:paraId="57D97572">
      <w:pPr>
        <w:keepNext w:val="0"/>
        <w:keepLines w:val="0"/>
        <w:pageBreakBefore w:val="0"/>
        <w:widowControl w:val="0"/>
        <w:kinsoku/>
        <w:wordWrap/>
        <w:overflowPunct/>
        <w:topLinePunct w:val="0"/>
        <w:autoSpaceDE/>
        <w:autoSpaceDN/>
        <w:bidi w:val="0"/>
        <w:adjustRightInd/>
        <w:snapToGrid/>
        <w:spacing w:line="460" w:lineRule="exact"/>
        <w:ind w:firstLine="660" w:firstLineChars="3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H.存在分级代理或代销关系、同一生产制造商关系、管理关系、重要业务（占主营业务收入50%以上）或重要财务往来关系（如融资）等其他实质性控制关系</w:t>
      </w:r>
    </w:p>
    <w:p w14:paraId="08BACB53">
      <w:pPr>
        <w:keepNext w:val="0"/>
        <w:keepLines w:val="0"/>
        <w:pageBreakBefore w:val="0"/>
        <w:widowControl w:val="0"/>
        <w:kinsoku/>
        <w:wordWrap/>
        <w:overflowPunct/>
        <w:topLinePunct w:val="0"/>
        <w:autoSpaceDE/>
        <w:autoSpaceDN/>
        <w:bidi w:val="0"/>
        <w:adjustRightInd/>
        <w:snapToGrid/>
        <w:spacing w:line="460" w:lineRule="exact"/>
        <w:ind w:firstLine="660" w:firstLineChars="3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I.其他利害关系情况</w:t>
      </w:r>
      <w:r>
        <w:rPr>
          <w:rFonts w:hint="eastAsia" w:ascii="新宋体" w:hAnsi="新宋体" w:eastAsia="新宋体" w:cs="新宋体"/>
          <w:color w:val="auto"/>
          <w:kern w:val="0"/>
          <w:sz w:val="22"/>
          <w:szCs w:val="22"/>
          <w:highlight w:val="none"/>
          <w:u w:val="single"/>
        </w:rPr>
        <w:t xml:space="preserve">                              。</w:t>
      </w:r>
    </w:p>
    <w:p w14:paraId="6A46C662">
      <w:pPr>
        <w:pStyle w:val="24"/>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（三）现已清楚知道并严格遵守政府采购法律法规和现场纪律</w:t>
      </w:r>
    </w:p>
    <w:p w14:paraId="59E170AD">
      <w:pPr>
        <w:pStyle w:val="24"/>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（四）我发现</w:t>
      </w:r>
      <w:r>
        <w:rPr>
          <w:rStyle w:val="146"/>
          <w:rFonts w:hint="eastAsia" w:ascii="新宋体" w:hAnsi="新宋体" w:eastAsia="新宋体" w:cs="新宋体"/>
          <w:color w:val="auto"/>
          <w:sz w:val="22"/>
          <w:szCs w:val="22"/>
          <w:highlight w:val="none"/>
        </w:rPr>
        <w:t xml:space="preserve">                  </w:t>
      </w:r>
      <w:r>
        <w:rPr>
          <w:rStyle w:val="146"/>
          <w:rFonts w:hint="eastAsia" w:ascii="新宋体" w:hAnsi="新宋体" w:eastAsia="新宋体" w:cs="新宋体"/>
          <w:color w:val="auto"/>
          <w:sz w:val="22"/>
          <w:szCs w:val="22"/>
          <w:highlight w:val="none"/>
          <w:u w:val="none"/>
        </w:rPr>
        <w:t>与</w:t>
      </w:r>
      <w:r>
        <w:rPr>
          <w:rStyle w:val="146"/>
          <w:rFonts w:hint="eastAsia" w:ascii="新宋体" w:hAnsi="新宋体" w:eastAsia="新宋体" w:cs="新宋体"/>
          <w:color w:val="auto"/>
          <w:sz w:val="22"/>
          <w:szCs w:val="22"/>
          <w:highlight w:val="none"/>
        </w:rPr>
        <w:t xml:space="preserve">                  （供应商名称）</w:t>
      </w:r>
      <w:r>
        <w:rPr>
          <w:rFonts w:hint="eastAsia" w:ascii="新宋体" w:hAnsi="新宋体" w:eastAsia="新宋体" w:cs="新宋体"/>
          <w:color w:val="auto"/>
          <w:kern w:val="0"/>
          <w:sz w:val="22"/>
          <w:szCs w:val="22"/>
          <w:highlight w:val="none"/>
        </w:rPr>
        <w:t>之间存在或可能存在上述第二条第</w:t>
      </w:r>
      <w:r>
        <w:rPr>
          <w:rStyle w:val="146"/>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kern w:val="0"/>
          <w:sz w:val="22"/>
          <w:szCs w:val="22"/>
          <w:highlight w:val="none"/>
        </w:rPr>
        <w:t>项利害关系。</w:t>
      </w:r>
    </w:p>
    <w:p w14:paraId="7C4DC12B">
      <w:pPr>
        <w:pStyle w:val="24"/>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供应商代表签名：</w:t>
      </w:r>
    </w:p>
    <w:p w14:paraId="6E4F6EA0">
      <w:pPr>
        <w:pStyle w:val="24"/>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新宋体" w:hAnsi="新宋体" w:eastAsia="新宋体" w:cs="新宋体"/>
          <w:b/>
          <w:color w:val="auto"/>
          <w:kern w:val="0"/>
          <w:sz w:val="22"/>
          <w:szCs w:val="22"/>
          <w:highlight w:val="none"/>
        </w:rPr>
      </w:pPr>
    </w:p>
    <w:p w14:paraId="51FFB42A">
      <w:pPr>
        <w:pStyle w:val="24"/>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日期：</w:t>
      </w:r>
      <w:r>
        <w:rPr>
          <w:rFonts w:hint="eastAsia" w:ascii="新宋体" w:hAnsi="新宋体" w:eastAsia="新宋体" w:cs="新宋体"/>
          <w:b/>
          <w:color w:val="auto"/>
          <w:kern w:val="0"/>
          <w:sz w:val="22"/>
          <w:szCs w:val="22"/>
          <w:highlight w:val="none"/>
          <w:lang w:val="en-US" w:eastAsia="zh-CN"/>
        </w:rPr>
        <w:t xml:space="preserve">    </w:t>
      </w:r>
      <w:r>
        <w:rPr>
          <w:rFonts w:hint="eastAsia" w:ascii="新宋体" w:hAnsi="新宋体" w:eastAsia="新宋体" w:cs="新宋体"/>
          <w:b/>
          <w:color w:val="auto"/>
          <w:kern w:val="0"/>
          <w:sz w:val="22"/>
          <w:szCs w:val="22"/>
          <w:highlight w:val="none"/>
        </w:rPr>
        <w:t>年    月    日</w:t>
      </w:r>
    </w:p>
    <w:p w14:paraId="309DCBFE">
      <w:pPr>
        <w:bidi w:val="0"/>
        <w:rPr>
          <w:rFonts w:hint="eastAsia"/>
          <w:color w:val="auto"/>
          <w:highlight w:val="none"/>
        </w:rPr>
      </w:pPr>
    </w:p>
    <w:p w14:paraId="07D33501">
      <w:pPr>
        <w:bidi w:val="0"/>
        <w:rPr>
          <w:rFonts w:hint="eastAsia"/>
          <w:color w:val="auto"/>
          <w:highlight w:val="none"/>
        </w:rPr>
      </w:pPr>
    </w:p>
    <w:p w14:paraId="62376DC7">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5、联合体共同投标协议书（如有）</w:t>
      </w:r>
    </w:p>
    <w:p w14:paraId="00959EC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牵头人名称：</w:t>
      </w:r>
      <w:r>
        <w:rPr>
          <w:rFonts w:hint="eastAsia" w:ascii="新宋体" w:hAnsi="新宋体" w:eastAsia="新宋体" w:cs="新宋体"/>
          <w:color w:val="auto"/>
          <w:sz w:val="22"/>
          <w:szCs w:val="22"/>
          <w:highlight w:val="none"/>
          <w:u w:val="single"/>
        </w:rPr>
        <w:t xml:space="preserve">                                                        </w:t>
      </w:r>
    </w:p>
    <w:p w14:paraId="58059C2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p>
    <w:p w14:paraId="20250DA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5"/>
          <w:sz w:val="22"/>
          <w:szCs w:val="22"/>
          <w:highlight w:val="none"/>
        </w:rPr>
        <w:t>法定住</w:t>
      </w:r>
      <w:r>
        <w:rPr>
          <w:rFonts w:hint="eastAsia" w:ascii="新宋体" w:hAnsi="新宋体" w:eastAsia="新宋体" w:cs="新宋体"/>
          <w:color w:val="auto"/>
          <w:sz w:val="22"/>
          <w:szCs w:val="22"/>
          <w:highlight w:val="none"/>
        </w:rPr>
        <w:t>所：</w:t>
      </w:r>
      <w:r>
        <w:rPr>
          <w:rFonts w:hint="eastAsia" w:ascii="新宋体" w:hAnsi="新宋体" w:eastAsia="新宋体" w:cs="新宋体"/>
          <w:color w:val="auto"/>
          <w:sz w:val="22"/>
          <w:szCs w:val="22"/>
          <w:highlight w:val="none"/>
          <w:u w:val="single"/>
        </w:rPr>
        <w:t xml:space="preserve">                                                        </w:t>
      </w:r>
    </w:p>
    <w:p w14:paraId="0363405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成员名称：</w:t>
      </w:r>
      <w:r>
        <w:rPr>
          <w:rFonts w:hint="eastAsia" w:ascii="新宋体" w:hAnsi="新宋体" w:eastAsia="新宋体" w:cs="新宋体"/>
          <w:color w:val="auto"/>
          <w:sz w:val="22"/>
          <w:szCs w:val="22"/>
          <w:highlight w:val="none"/>
          <w:u w:val="single"/>
        </w:rPr>
        <w:t xml:space="preserve">                                                    </w:t>
      </w:r>
    </w:p>
    <w:p w14:paraId="5558C93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p>
    <w:p w14:paraId="5F79678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5"/>
          <w:sz w:val="22"/>
          <w:szCs w:val="22"/>
          <w:highlight w:val="none"/>
        </w:rPr>
        <w:t>法定住</w:t>
      </w:r>
      <w:r>
        <w:rPr>
          <w:rFonts w:hint="eastAsia" w:ascii="新宋体" w:hAnsi="新宋体" w:eastAsia="新宋体" w:cs="新宋体"/>
          <w:color w:val="auto"/>
          <w:sz w:val="22"/>
          <w:szCs w:val="22"/>
          <w:highlight w:val="none"/>
        </w:rPr>
        <w:t>所：</w:t>
      </w:r>
      <w:r>
        <w:rPr>
          <w:rFonts w:hint="eastAsia" w:ascii="新宋体" w:hAnsi="新宋体" w:eastAsia="新宋体" w:cs="新宋体"/>
          <w:color w:val="auto"/>
          <w:sz w:val="22"/>
          <w:szCs w:val="22"/>
          <w:highlight w:val="none"/>
          <w:u w:val="single"/>
        </w:rPr>
        <w:t xml:space="preserve">                                                        </w:t>
      </w:r>
    </w:p>
    <w:p w14:paraId="28D59B9F">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鉴于上述各成员单位经过友好协商，自愿组成</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（联合体名称）联合体，共同参加</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（招标人名称）（以下简称招标人）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（项目名称）（以下简称合同）。现就联合体投标事宜订立如下协议：</w:t>
      </w:r>
    </w:p>
    <w:p w14:paraId="72761C64">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（某成员单位名称）为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（联合体名称）牵头人。</w:t>
      </w:r>
    </w:p>
    <w:p w14:paraId="385F1704">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2、在本项目投标阶段，联合体牵头人合法代表联合体各成员负责本</w:t>
      </w:r>
      <w:r>
        <w:rPr>
          <w:rFonts w:hint="eastAsia" w:ascii="新宋体" w:hAnsi="新宋体" w:eastAsia="新宋体" w:cs="新宋体"/>
          <w:color w:val="auto"/>
          <w:sz w:val="22"/>
          <w:szCs w:val="22"/>
          <w:highlight w:val="none"/>
          <w:lang w:eastAsia="zh-CN"/>
        </w:rPr>
        <w:t>项目</w:t>
      </w:r>
      <w:r>
        <w:rPr>
          <w:rFonts w:hint="eastAsia" w:ascii="新宋体" w:hAnsi="新宋体" w:eastAsia="新宋体" w:cs="新宋体"/>
          <w:color w:val="auto"/>
          <w:sz w:val="22"/>
          <w:szCs w:val="22"/>
          <w:highlight w:val="none"/>
        </w:rPr>
        <w:t>投标文件编制活动，代表联合体提交和接收相关的资料、信息及指示，并处理投标和中标有关的一切事务；联合体中标后，联合体牵头人负责合同订立和合同实施阶段的主办、组织和协调工作。</w:t>
      </w:r>
    </w:p>
    <w:p w14:paraId="2293F383">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3、联合体将严格按照</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的各项要求，递交投标文件，履行投标义务和中标后的合同，共同承担合同规定的一切义务和责任，联合体各成员单位按照内部职责的划分，承担各自所负的责任和风险，并向招标人承担连带责任。</w:t>
      </w:r>
    </w:p>
    <w:p w14:paraId="577ED9D8">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4、联合体各成员单位内部的职责分工如下：</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p>
    <w:p w14:paraId="1BD09F2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按照本条上述分工，联合体成员单位</w:t>
      </w:r>
      <w:r>
        <w:rPr>
          <w:rFonts w:hint="eastAsia" w:ascii="新宋体" w:hAnsi="新宋体" w:eastAsia="新宋体" w:cs="新宋体"/>
          <w:color w:val="auto"/>
          <w:sz w:val="22"/>
          <w:szCs w:val="22"/>
          <w:highlight w:val="none"/>
          <w:lang w:val="en-US" w:eastAsia="zh-CN"/>
        </w:rPr>
        <w:t>合同份额占合同总金额的占比</w:t>
      </w:r>
      <w:r>
        <w:rPr>
          <w:rFonts w:hint="eastAsia" w:ascii="新宋体" w:hAnsi="新宋体" w:eastAsia="新宋体" w:cs="新宋体"/>
          <w:color w:val="auto"/>
          <w:sz w:val="22"/>
          <w:szCs w:val="22"/>
          <w:highlight w:val="none"/>
        </w:rPr>
        <w:t>比例如下：</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p>
    <w:p w14:paraId="07F09531">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5、联合体中标后，本联合体协议是合同的附件，对联合体各成员单位有合同约束力。</w:t>
      </w:r>
    </w:p>
    <w:p w14:paraId="11885E5A">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6、本协议书自签署之日起生效，联合体未中标或者中标时合同履行完毕后自动失效。</w:t>
      </w:r>
    </w:p>
    <w:p w14:paraId="24526D3C">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7、本协议书一式</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份，联合体成员和招标人各执一份。</w:t>
      </w:r>
    </w:p>
    <w:p w14:paraId="27925554">
      <w:pPr>
        <w:keepNext w:val="0"/>
        <w:keepLines w:val="0"/>
        <w:pageBreakBefore w:val="0"/>
        <w:widowControl w:val="0"/>
        <w:kinsoku/>
        <w:wordWrap/>
        <w:overflowPunct/>
        <w:topLinePunct w:val="0"/>
        <w:autoSpaceDE/>
        <w:autoSpaceDN/>
        <w:bidi w:val="0"/>
        <w:adjustRightInd/>
        <w:snapToGrid/>
        <w:spacing w:line="460" w:lineRule="exact"/>
        <w:ind w:firstLine="2785" w:firstLineChars="1266"/>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牵头人名称：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（盖单位公章）</w:t>
      </w:r>
    </w:p>
    <w:p w14:paraId="10D867F8">
      <w:pPr>
        <w:keepNext w:val="0"/>
        <w:keepLines w:val="0"/>
        <w:pageBreakBefore w:val="0"/>
        <w:widowControl w:val="0"/>
        <w:kinsoku/>
        <w:wordWrap/>
        <w:overflowPunct/>
        <w:topLinePunct w:val="0"/>
        <w:autoSpaceDE/>
        <w:autoSpaceDN/>
        <w:bidi w:val="0"/>
        <w:adjustRightInd/>
        <w:snapToGrid/>
        <w:spacing w:line="460" w:lineRule="exact"/>
        <w:ind w:firstLine="1100" w:firstLineChars="5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或授权代表：</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（签字或盖章）</w:t>
      </w:r>
    </w:p>
    <w:p w14:paraId="7DB25F5B">
      <w:pPr>
        <w:keepNext w:val="0"/>
        <w:keepLines w:val="0"/>
        <w:pageBreakBefore w:val="0"/>
        <w:widowControl w:val="0"/>
        <w:kinsoku/>
        <w:wordWrap/>
        <w:overflowPunct/>
        <w:topLinePunct w:val="0"/>
        <w:autoSpaceDE/>
        <w:autoSpaceDN/>
        <w:bidi w:val="0"/>
        <w:adjustRightInd/>
        <w:snapToGrid/>
        <w:spacing w:line="460" w:lineRule="exact"/>
        <w:ind w:firstLine="2785" w:firstLineChars="1266"/>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成员名称：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（盖单位公章）</w:t>
      </w:r>
    </w:p>
    <w:p w14:paraId="226B2D6A">
      <w:pPr>
        <w:keepNext w:val="0"/>
        <w:keepLines w:val="0"/>
        <w:pageBreakBefore w:val="0"/>
        <w:widowControl w:val="0"/>
        <w:kinsoku/>
        <w:wordWrap/>
        <w:overflowPunct/>
        <w:topLinePunct w:val="0"/>
        <w:autoSpaceDE/>
        <w:autoSpaceDN/>
        <w:bidi w:val="0"/>
        <w:adjustRightInd/>
        <w:snapToGrid/>
        <w:spacing w:line="460" w:lineRule="exact"/>
        <w:ind w:firstLine="1100" w:firstLineChars="5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或授权代表：</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（签字或盖章）</w:t>
      </w:r>
    </w:p>
    <w:p w14:paraId="65333970">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 xml:space="preserve">日             </w:t>
      </w:r>
    </w:p>
    <w:p w14:paraId="1124FE7E">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新宋体" w:hAnsi="新宋体" w:eastAsia="新宋体" w:cs="新宋体"/>
          <w:color w:val="auto"/>
          <w:sz w:val="22"/>
          <w:szCs w:val="22"/>
          <w:highlight w:val="none"/>
        </w:rPr>
      </w:pPr>
    </w:p>
    <w:p w14:paraId="5C7F16DB">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新宋体" w:hAnsi="新宋体" w:eastAsia="新宋体" w:cs="新宋体"/>
          <w:b/>
          <w:color w:val="auto"/>
          <w:sz w:val="22"/>
          <w:highlight w:val="none"/>
          <w:lang w:val="en-US" w:eastAsia="zh-CN"/>
        </w:rPr>
      </w:pPr>
      <w:r>
        <w:rPr>
          <w:rFonts w:hint="eastAsia" w:ascii="新宋体" w:hAnsi="新宋体" w:eastAsia="新宋体" w:cs="新宋体"/>
          <w:color w:val="auto"/>
          <w:sz w:val="22"/>
          <w:szCs w:val="22"/>
          <w:highlight w:val="none"/>
        </w:rPr>
        <w:t>备注：本协议书由授权代表签字或盖章的，应附</w:t>
      </w: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签字或盖章的授权委托书。</w:t>
      </w:r>
    </w:p>
    <w:p w14:paraId="471746DD">
      <w:pPr>
        <w:pStyle w:val="24"/>
        <w:ind w:left="0" w:leftChars="0" w:firstLine="0" w:firstLineChars="0"/>
        <w:rPr>
          <w:rFonts w:hint="eastAsia" w:ascii="新宋体" w:hAnsi="新宋体" w:eastAsia="新宋体" w:cs="新宋体"/>
          <w:color w:val="auto"/>
          <w:kern w:val="0"/>
          <w:sz w:val="22"/>
          <w:szCs w:val="22"/>
          <w:highlight w:val="none"/>
        </w:rPr>
      </w:pPr>
    </w:p>
    <w:p w14:paraId="3914FB1C">
      <w:pPr>
        <w:pStyle w:val="24"/>
        <w:spacing w:line="460" w:lineRule="exact"/>
        <w:ind w:left="0" w:leftChars="0"/>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br w:type="page"/>
      </w:r>
      <w:bookmarkStart w:id="27" w:name="_Toc15825"/>
      <w:r>
        <w:rPr>
          <w:rFonts w:hint="eastAsia" w:ascii="新宋体" w:hAnsi="新宋体" w:eastAsia="新宋体" w:cs="新宋体"/>
          <w:b/>
          <w:color w:val="auto"/>
          <w:sz w:val="22"/>
          <w:szCs w:val="22"/>
          <w:highlight w:val="none"/>
        </w:rPr>
        <w:t>附件二</w:t>
      </w:r>
      <w:bookmarkEnd w:id="27"/>
    </w:p>
    <w:p w14:paraId="28CD4150">
      <w:pPr>
        <w:pStyle w:val="5"/>
        <w:keepNext w:val="0"/>
        <w:keepLines w:val="0"/>
        <w:tabs>
          <w:tab w:val="left" w:pos="774"/>
        </w:tabs>
        <w:autoSpaceDE w:val="0"/>
        <w:autoSpaceDN w:val="0"/>
        <w:spacing w:before="240" w:line="400" w:lineRule="exact"/>
        <w:jc w:val="center"/>
        <w:rPr>
          <w:rFonts w:hint="eastAsia" w:ascii="新宋体" w:hAnsi="新宋体" w:eastAsia="新宋体" w:cs="新宋体"/>
          <w:bCs/>
          <w:color w:val="auto"/>
          <w:szCs w:val="28"/>
          <w:highlight w:val="none"/>
        </w:rPr>
      </w:pPr>
      <w:bookmarkStart w:id="28" w:name="_Toc19743"/>
      <w:bookmarkStart w:id="29" w:name="_Toc24684"/>
      <w:r>
        <w:rPr>
          <w:rFonts w:hint="eastAsia" w:ascii="新宋体" w:hAnsi="新宋体" w:eastAsia="新宋体" w:cs="新宋体"/>
          <w:bCs/>
          <w:color w:val="auto"/>
          <w:szCs w:val="28"/>
          <w:highlight w:val="none"/>
        </w:rPr>
        <w:t>报价文件</w:t>
      </w:r>
      <w:bookmarkEnd w:id="28"/>
      <w:bookmarkEnd w:id="29"/>
    </w:p>
    <w:p w14:paraId="127E0826">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1、投标报价一览表</w:t>
      </w:r>
    </w:p>
    <w:p w14:paraId="41A4B41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项目名称：</w:t>
      </w:r>
    </w:p>
    <w:p w14:paraId="3B07B36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项目编号：</w:t>
      </w:r>
    </w:p>
    <w:tbl>
      <w:tblPr>
        <w:tblStyle w:val="53"/>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4350"/>
        <w:gridCol w:w="1436"/>
        <w:gridCol w:w="1210"/>
      </w:tblGrid>
      <w:tr w14:paraId="717E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48" w:type="dxa"/>
            <w:vAlign w:val="center"/>
          </w:tcPr>
          <w:p w14:paraId="5E422EE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highlight w:val="none"/>
                <w:shd w:val="clear" w:color="auto" w:fill="auto"/>
              </w:rPr>
            </w:pPr>
            <w:r>
              <w:rPr>
                <w:rFonts w:hint="eastAsia" w:ascii="新宋体" w:hAnsi="新宋体" w:eastAsia="新宋体" w:cs="新宋体"/>
                <w:bCs/>
                <w:color w:val="auto"/>
                <w:sz w:val="22"/>
                <w:szCs w:val="22"/>
                <w:highlight w:val="none"/>
                <w:shd w:val="clear" w:color="auto" w:fill="auto"/>
                <w:lang w:val="en-US" w:eastAsia="zh-CN"/>
              </w:rPr>
              <w:t>项目</w:t>
            </w:r>
            <w:r>
              <w:rPr>
                <w:rFonts w:hint="eastAsia" w:ascii="新宋体" w:hAnsi="新宋体" w:eastAsia="新宋体" w:cs="新宋体"/>
                <w:bCs/>
                <w:color w:val="auto"/>
                <w:sz w:val="22"/>
                <w:szCs w:val="22"/>
                <w:highlight w:val="none"/>
                <w:shd w:val="clear" w:color="auto" w:fill="auto"/>
              </w:rPr>
              <w:t>名称</w:t>
            </w:r>
          </w:p>
        </w:tc>
        <w:tc>
          <w:tcPr>
            <w:tcW w:w="4350" w:type="dxa"/>
            <w:vAlign w:val="center"/>
          </w:tcPr>
          <w:p w14:paraId="40AA804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highlight w:val="none"/>
                <w:shd w:val="clear" w:color="auto" w:fill="auto"/>
              </w:rPr>
            </w:pPr>
            <w:r>
              <w:rPr>
                <w:rFonts w:hint="eastAsia" w:ascii="新宋体" w:hAnsi="新宋体" w:eastAsia="新宋体" w:cs="新宋体"/>
                <w:color w:val="auto"/>
                <w:sz w:val="22"/>
                <w:highlight w:val="none"/>
                <w:shd w:val="clear" w:color="auto" w:fill="auto"/>
                <w:lang w:val="en-US" w:eastAsia="zh-CN"/>
              </w:rPr>
              <w:t>投标</w:t>
            </w:r>
            <w:r>
              <w:rPr>
                <w:rFonts w:hint="eastAsia" w:ascii="新宋体" w:hAnsi="新宋体" w:eastAsia="新宋体" w:cs="新宋体"/>
                <w:color w:val="auto"/>
                <w:sz w:val="22"/>
                <w:highlight w:val="none"/>
                <w:shd w:val="clear" w:color="auto" w:fill="auto"/>
              </w:rPr>
              <w:t>报价（人民币）</w:t>
            </w:r>
          </w:p>
        </w:tc>
        <w:tc>
          <w:tcPr>
            <w:tcW w:w="1436" w:type="dxa"/>
            <w:vAlign w:val="center"/>
          </w:tcPr>
          <w:p w14:paraId="6A61A3C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highlight w:val="none"/>
                <w:shd w:val="clear" w:color="auto" w:fill="auto"/>
                <w:lang w:val="en-US" w:eastAsia="zh-CN"/>
              </w:rPr>
            </w:pPr>
            <w:r>
              <w:rPr>
                <w:rFonts w:hint="eastAsia" w:ascii="新宋体" w:hAnsi="新宋体" w:eastAsia="新宋体" w:cs="新宋体"/>
                <w:color w:val="auto"/>
                <w:sz w:val="22"/>
                <w:highlight w:val="none"/>
                <w:shd w:val="clear" w:color="auto" w:fill="auto"/>
                <w:lang w:val="en-US" w:eastAsia="zh-CN"/>
              </w:rPr>
              <w:t>服务期</w:t>
            </w:r>
          </w:p>
        </w:tc>
        <w:tc>
          <w:tcPr>
            <w:tcW w:w="1210" w:type="dxa"/>
            <w:vAlign w:val="center"/>
          </w:tcPr>
          <w:p w14:paraId="737A721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highlight w:val="none"/>
                <w:shd w:val="clear" w:color="auto" w:fill="auto"/>
              </w:rPr>
            </w:pPr>
            <w:r>
              <w:rPr>
                <w:rFonts w:hint="eastAsia" w:ascii="新宋体" w:hAnsi="新宋体" w:eastAsia="新宋体" w:cs="新宋体"/>
                <w:color w:val="auto"/>
                <w:sz w:val="22"/>
                <w:highlight w:val="none"/>
                <w:shd w:val="clear" w:color="auto" w:fill="auto"/>
              </w:rPr>
              <w:t>备注</w:t>
            </w:r>
          </w:p>
        </w:tc>
      </w:tr>
      <w:tr w14:paraId="7D16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2648" w:type="dxa"/>
            <w:vMerge w:val="restart"/>
            <w:vAlign w:val="center"/>
          </w:tcPr>
          <w:p w14:paraId="7642D0E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highlight w:val="none"/>
                <w:shd w:val="clear" w:color="auto" w:fill="auto"/>
                <w:lang w:eastAsia="zh-CN"/>
              </w:rPr>
            </w:pPr>
            <w:r>
              <w:rPr>
                <w:rFonts w:hint="eastAsia" w:ascii="新宋体" w:hAnsi="新宋体" w:eastAsia="新宋体" w:cs="新宋体"/>
                <w:b w:val="0"/>
                <w:bCs w:val="0"/>
                <w:color w:val="auto"/>
                <w:sz w:val="22"/>
                <w:szCs w:val="22"/>
                <w:highlight w:val="none"/>
                <w:lang w:eastAsia="zh-CN"/>
              </w:rPr>
              <w:t>GE 1.5T 磁共振维保</w:t>
            </w:r>
          </w:p>
        </w:tc>
        <w:tc>
          <w:tcPr>
            <w:tcW w:w="4350" w:type="dxa"/>
            <w:vAlign w:val="center"/>
          </w:tcPr>
          <w:p w14:paraId="69EA9B0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highlight w:val="none"/>
                <w:shd w:val="clear" w:color="auto" w:fill="auto"/>
              </w:rPr>
            </w:pPr>
            <w:r>
              <w:rPr>
                <w:rFonts w:hint="eastAsia" w:ascii="新宋体" w:hAnsi="新宋体" w:eastAsia="新宋体" w:cs="新宋体"/>
                <w:color w:val="auto"/>
                <w:sz w:val="22"/>
                <w:highlight w:val="none"/>
                <w:shd w:val="clear" w:color="auto" w:fill="auto"/>
              </w:rPr>
              <w:t>大写：</w:t>
            </w:r>
          </w:p>
        </w:tc>
        <w:tc>
          <w:tcPr>
            <w:tcW w:w="1436" w:type="dxa"/>
            <w:vMerge w:val="restart"/>
            <w:vAlign w:val="center"/>
          </w:tcPr>
          <w:p w14:paraId="1F1C576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highlight w:val="none"/>
                <w:shd w:val="clear" w:color="auto" w:fill="auto"/>
                <w:lang w:val="en-US" w:eastAsia="zh-CN"/>
              </w:rPr>
            </w:pPr>
            <w:r>
              <w:rPr>
                <w:rFonts w:hint="eastAsia" w:ascii="新宋体" w:hAnsi="新宋体" w:eastAsia="新宋体" w:cs="新宋体"/>
                <w:color w:val="auto"/>
                <w:sz w:val="22"/>
                <w:highlight w:val="none"/>
                <w:shd w:val="clear" w:color="auto" w:fill="auto"/>
                <w:lang w:val="en-US" w:eastAsia="zh-CN"/>
              </w:rPr>
              <w:t>1年</w:t>
            </w:r>
          </w:p>
        </w:tc>
        <w:tc>
          <w:tcPr>
            <w:tcW w:w="1210" w:type="dxa"/>
            <w:vMerge w:val="restart"/>
            <w:vAlign w:val="center"/>
          </w:tcPr>
          <w:p w14:paraId="15BC9B4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highlight w:val="none"/>
                <w:shd w:val="clear" w:color="auto" w:fill="auto"/>
              </w:rPr>
            </w:pPr>
          </w:p>
        </w:tc>
      </w:tr>
      <w:tr w14:paraId="0E0F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648" w:type="dxa"/>
            <w:vMerge w:val="continue"/>
            <w:vAlign w:val="center"/>
          </w:tcPr>
          <w:p w14:paraId="47318B8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highlight w:val="none"/>
                <w:shd w:val="clear" w:color="auto" w:fill="auto"/>
              </w:rPr>
            </w:pPr>
          </w:p>
        </w:tc>
        <w:tc>
          <w:tcPr>
            <w:tcW w:w="4350" w:type="dxa"/>
            <w:vAlign w:val="center"/>
          </w:tcPr>
          <w:p w14:paraId="3D02241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highlight w:val="none"/>
                <w:shd w:val="clear" w:color="auto" w:fill="auto"/>
              </w:rPr>
            </w:pPr>
            <w:r>
              <w:rPr>
                <w:rFonts w:hint="eastAsia" w:ascii="新宋体" w:hAnsi="新宋体" w:eastAsia="新宋体" w:cs="新宋体"/>
                <w:color w:val="auto"/>
                <w:sz w:val="22"/>
                <w:highlight w:val="none"/>
                <w:shd w:val="clear" w:color="auto" w:fill="auto"/>
              </w:rPr>
              <w:t>小写：</w:t>
            </w:r>
          </w:p>
        </w:tc>
        <w:tc>
          <w:tcPr>
            <w:tcW w:w="1436" w:type="dxa"/>
            <w:vMerge w:val="continue"/>
            <w:vAlign w:val="center"/>
          </w:tcPr>
          <w:p w14:paraId="7ACBDD6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highlight w:val="none"/>
                <w:shd w:val="clear" w:color="auto" w:fill="auto"/>
              </w:rPr>
            </w:pPr>
          </w:p>
        </w:tc>
        <w:tc>
          <w:tcPr>
            <w:tcW w:w="1210" w:type="dxa"/>
            <w:vMerge w:val="continue"/>
            <w:vAlign w:val="center"/>
          </w:tcPr>
          <w:p w14:paraId="342BFE5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highlight w:val="none"/>
                <w:shd w:val="clear" w:color="auto" w:fill="auto"/>
              </w:rPr>
            </w:pPr>
          </w:p>
        </w:tc>
      </w:tr>
    </w:tbl>
    <w:p w14:paraId="25DAAC0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p>
    <w:p w14:paraId="24FA742C">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rPr>
        <w:t>说明：</w:t>
      </w:r>
      <w:r>
        <w:rPr>
          <w:rFonts w:hint="eastAsia" w:ascii="新宋体" w:hAnsi="新宋体" w:eastAsia="新宋体" w:cs="新宋体"/>
          <w:b/>
          <w:bCs/>
          <w:color w:val="auto"/>
          <w:sz w:val="22"/>
          <w:szCs w:val="22"/>
          <w:highlight w:val="none"/>
          <w:shd w:val="clear" w:color="auto" w:fill="auto"/>
        </w:rPr>
        <w:t>此栏投标报价应与</w:t>
      </w:r>
      <w:r>
        <w:rPr>
          <w:rFonts w:hint="eastAsia" w:ascii="新宋体" w:hAnsi="新宋体" w:eastAsia="新宋体" w:cs="新宋体"/>
          <w:b/>
          <w:bCs/>
          <w:color w:val="auto"/>
          <w:sz w:val="22"/>
          <w:szCs w:val="22"/>
          <w:highlight w:val="none"/>
          <w:shd w:val="clear" w:color="auto" w:fill="auto"/>
          <w:lang w:val="en-US" w:eastAsia="zh-CN"/>
        </w:rPr>
        <w:t>附件二</w:t>
      </w:r>
      <w:r>
        <w:rPr>
          <w:rFonts w:hint="eastAsia" w:ascii="新宋体" w:hAnsi="新宋体" w:eastAsia="新宋体" w:cs="新宋体"/>
          <w:b/>
          <w:bCs/>
          <w:color w:val="auto"/>
          <w:sz w:val="22"/>
          <w:szCs w:val="22"/>
          <w:highlight w:val="none"/>
          <w:shd w:val="clear" w:color="auto" w:fill="auto"/>
        </w:rPr>
        <w:t>“</w:t>
      </w:r>
      <w:r>
        <w:rPr>
          <w:rFonts w:hint="eastAsia" w:ascii="新宋体" w:hAnsi="新宋体" w:eastAsia="新宋体" w:cs="新宋体"/>
          <w:b/>
          <w:bCs/>
          <w:color w:val="auto"/>
          <w:sz w:val="22"/>
          <w:szCs w:val="22"/>
          <w:highlight w:val="none"/>
          <w:shd w:val="clear" w:color="auto" w:fill="auto"/>
          <w:lang w:val="en-US" w:eastAsia="zh-CN"/>
        </w:rPr>
        <w:t>2、投标分项报价表</w:t>
      </w:r>
      <w:r>
        <w:rPr>
          <w:rFonts w:hint="eastAsia" w:ascii="新宋体" w:hAnsi="新宋体" w:eastAsia="新宋体" w:cs="新宋体"/>
          <w:b/>
          <w:bCs/>
          <w:color w:val="auto"/>
          <w:sz w:val="22"/>
          <w:szCs w:val="22"/>
          <w:highlight w:val="none"/>
          <w:shd w:val="clear" w:color="auto" w:fill="auto"/>
        </w:rPr>
        <w:t>”中的总计价相一致。</w:t>
      </w:r>
    </w:p>
    <w:p w14:paraId="6C1F5DAB">
      <w:pPr>
        <w:keepNext w:val="0"/>
        <w:keepLines w:val="0"/>
        <w:pageBreakBefore w:val="0"/>
        <w:widowControl w:val="0"/>
        <w:kinsoku/>
        <w:wordWrap/>
        <w:overflowPunct/>
        <w:topLinePunct w:val="0"/>
        <w:autoSpaceDE/>
        <w:autoSpaceDN/>
        <w:bidi w:val="0"/>
        <w:adjustRightInd/>
        <w:snapToGrid/>
        <w:spacing w:line="460" w:lineRule="exact"/>
        <w:ind w:firstLine="1104" w:firstLineChars="500"/>
        <w:textAlignment w:val="auto"/>
        <w:rPr>
          <w:rFonts w:hint="eastAsia" w:ascii="新宋体" w:hAnsi="新宋体" w:eastAsia="新宋体" w:cs="新宋体"/>
          <w:b/>
          <w:bCs/>
          <w:color w:val="auto"/>
          <w:sz w:val="22"/>
          <w:szCs w:val="22"/>
          <w:highlight w:val="none"/>
        </w:rPr>
      </w:pPr>
    </w:p>
    <w:p w14:paraId="71DF8499">
      <w:pPr>
        <w:pStyle w:val="2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新宋体" w:hAnsi="新宋体" w:eastAsia="新宋体" w:cs="新宋体"/>
          <w:color w:val="auto"/>
          <w:highlight w:val="none"/>
        </w:rPr>
      </w:pPr>
    </w:p>
    <w:p w14:paraId="08363397">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投标人全称（盖章） ：</w:t>
      </w:r>
    </w:p>
    <w:p w14:paraId="7DA1311F">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14:paraId="462C832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49AC26EA">
      <w:pPr>
        <w:bidi w:val="0"/>
        <w:rPr>
          <w:rFonts w:hint="eastAsia"/>
          <w:color w:val="auto"/>
          <w:highlight w:val="none"/>
        </w:rPr>
      </w:pPr>
    </w:p>
    <w:p w14:paraId="12D5209B">
      <w:pPr>
        <w:bidi w:val="0"/>
        <w:rPr>
          <w:rFonts w:hint="eastAsia"/>
          <w:color w:val="auto"/>
          <w:highlight w:val="none"/>
        </w:rPr>
      </w:pPr>
    </w:p>
    <w:p w14:paraId="3B4FE1F2">
      <w:pPr>
        <w:rPr>
          <w:rFonts w:hint="eastAsia"/>
          <w:color w:val="auto"/>
          <w:highlight w:val="none"/>
        </w:rPr>
      </w:pPr>
      <w:r>
        <w:rPr>
          <w:rFonts w:hint="eastAsia"/>
          <w:color w:val="auto"/>
          <w:highlight w:val="none"/>
        </w:rPr>
        <w:br w:type="page"/>
      </w:r>
    </w:p>
    <w:p w14:paraId="722479A5">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2、投标分项报价表</w:t>
      </w:r>
    </w:p>
    <w:p w14:paraId="638654B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项目名称：</w:t>
      </w:r>
    </w:p>
    <w:p w14:paraId="03391B6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18"/>
          <w:highlight w:val="none"/>
          <w:shd w:val="clear" w:color="auto" w:fill="auto"/>
        </w:rPr>
      </w:pPr>
      <w:r>
        <w:rPr>
          <w:rFonts w:hint="eastAsia" w:ascii="新宋体" w:hAnsi="新宋体" w:eastAsia="新宋体" w:cs="新宋体"/>
          <w:b w:val="0"/>
          <w:bCs w:val="0"/>
          <w:color w:val="auto"/>
          <w:sz w:val="22"/>
          <w:szCs w:val="22"/>
          <w:highlight w:val="none"/>
        </w:rPr>
        <w:t>项目编号：</w:t>
      </w:r>
    </w:p>
    <w:tbl>
      <w:tblPr>
        <w:tblStyle w:val="53"/>
        <w:tblW w:w="96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4425"/>
        <w:gridCol w:w="1170"/>
        <w:gridCol w:w="1095"/>
        <w:gridCol w:w="1080"/>
        <w:gridCol w:w="975"/>
      </w:tblGrid>
      <w:tr w14:paraId="0C13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5" w:type="dxa"/>
            <w:vAlign w:val="center"/>
          </w:tcPr>
          <w:p w14:paraId="4B76B92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序号</w:t>
            </w:r>
          </w:p>
          <w:p w14:paraId="154F245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4425" w:type="dxa"/>
            <w:vAlign w:val="center"/>
          </w:tcPr>
          <w:p w14:paraId="08A3059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项目内容</w:t>
            </w:r>
          </w:p>
        </w:tc>
        <w:tc>
          <w:tcPr>
            <w:tcW w:w="1170" w:type="dxa"/>
            <w:vAlign w:val="center"/>
          </w:tcPr>
          <w:p w14:paraId="09C6FA0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数量</w:t>
            </w:r>
          </w:p>
        </w:tc>
        <w:tc>
          <w:tcPr>
            <w:tcW w:w="1095" w:type="dxa"/>
            <w:vAlign w:val="center"/>
          </w:tcPr>
          <w:p w14:paraId="592C4C3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 xml:space="preserve">单价 </w:t>
            </w:r>
          </w:p>
        </w:tc>
        <w:tc>
          <w:tcPr>
            <w:tcW w:w="1080" w:type="dxa"/>
            <w:vAlign w:val="center"/>
          </w:tcPr>
          <w:p w14:paraId="6D2487A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 xml:space="preserve">合价 </w:t>
            </w:r>
          </w:p>
        </w:tc>
        <w:tc>
          <w:tcPr>
            <w:tcW w:w="975" w:type="dxa"/>
            <w:vAlign w:val="center"/>
          </w:tcPr>
          <w:p w14:paraId="57D3217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备注</w:t>
            </w:r>
          </w:p>
        </w:tc>
      </w:tr>
      <w:tr w14:paraId="0905D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885" w:type="dxa"/>
            <w:shd w:val="clear" w:color="auto" w:fill="auto"/>
            <w:vAlign w:val="center"/>
          </w:tcPr>
          <w:p w14:paraId="3D72737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w:t>
            </w:r>
          </w:p>
        </w:tc>
        <w:tc>
          <w:tcPr>
            <w:tcW w:w="4425" w:type="dxa"/>
            <w:shd w:val="clear" w:color="auto" w:fill="FFFFFF"/>
            <w:vAlign w:val="center"/>
          </w:tcPr>
          <w:p w14:paraId="57F1014E">
            <w:pPr>
              <w:keepNext w:val="0"/>
              <w:keepLines w:val="0"/>
              <w:pageBreakBefore w:val="0"/>
              <w:widowControl/>
              <w:kinsoku/>
              <w:wordWrap/>
              <w:overflowPunct/>
              <w:topLinePunct w:val="0"/>
              <w:autoSpaceDE/>
              <w:autoSpaceDN/>
              <w:bidi w:val="0"/>
              <w:adjustRightInd/>
              <w:snapToGrid/>
              <w:spacing w:beforeLines="50" w:afterLines="50" w:line="460" w:lineRule="exact"/>
              <w:textAlignment w:val="auto"/>
              <w:rPr>
                <w:rFonts w:hint="eastAsia" w:ascii="新宋体" w:hAnsi="新宋体" w:eastAsia="新宋体" w:cs="新宋体"/>
                <w:color w:val="auto"/>
                <w:sz w:val="22"/>
                <w:szCs w:val="22"/>
                <w:highlight w:val="none"/>
                <w:shd w:val="clear" w:color="auto" w:fill="auto"/>
              </w:rPr>
            </w:pPr>
          </w:p>
        </w:tc>
        <w:tc>
          <w:tcPr>
            <w:tcW w:w="1170" w:type="dxa"/>
            <w:vAlign w:val="center"/>
          </w:tcPr>
          <w:p w14:paraId="47D5850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1095" w:type="dxa"/>
            <w:vAlign w:val="center"/>
          </w:tcPr>
          <w:p w14:paraId="4160B7E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1080" w:type="dxa"/>
            <w:vAlign w:val="center"/>
          </w:tcPr>
          <w:p w14:paraId="5EFD8B5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975" w:type="dxa"/>
            <w:vAlign w:val="center"/>
          </w:tcPr>
          <w:p w14:paraId="77B07D2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r>
      <w:tr w14:paraId="7972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885" w:type="dxa"/>
            <w:shd w:val="clear" w:color="auto" w:fill="auto"/>
            <w:vAlign w:val="center"/>
          </w:tcPr>
          <w:p w14:paraId="272902C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2</w:t>
            </w:r>
          </w:p>
        </w:tc>
        <w:tc>
          <w:tcPr>
            <w:tcW w:w="4425" w:type="dxa"/>
            <w:shd w:val="clear" w:color="auto" w:fill="FFFFFF"/>
            <w:vAlign w:val="center"/>
          </w:tcPr>
          <w:p w14:paraId="198342C3">
            <w:pPr>
              <w:keepNext w:val="0"/>
              <w:keepLines w:val="0"/>
              <w:pageBreakBefore w:val="0"/>
              <w:widowControl/>
              <w:kinsoku/>
              <w:wordWrap/>
              <w:overflowPunct/>
              <w:topLinePunct w:val="0"/>
              <w:autoSpaceDE/>
              <w:autoSpaceDN/>
              <w:bidi w:val="0"/>
              <w:adjustRightInd/>
              <w:snapToGrid/>
              <w:spacing w:beforeLines="50" w:afterLines="50" w:line="460" w:lineRule="exact"/>
              <w:textAlignment w:val="auto"/>
              <w:rPr>
                <w:rFonts w:hint="eastAsia" w:ascii="新宋体" w:hAnsi="新宋体" w:eastAsia="新宋体" w:cs="新宋体"/>
                <w:color w:val="auto"/>
                <w:sz w:val="22"/>
                <w:szCs w:val="22"/>
                <w:highlight w:val="none"/>
                <w:shd w:val="clear" w:color="auto" w:fill="auto"/>
              </w:rPr>
            </w:pPr>
          </w:p>
        </w:tc>
        <w:tc>
          <w:tcPr>
            <w:tcW w:w="1170" w:type="dxa"/>
            <w:vAlign w:val="center"/>
          </w:tcPr>
          <w:p w14:paraId="476B3EB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1095" w:type="dxa"/>
            <w:vAlign w:val="center"/>
          </w:tcPr>
          <w:p w14:paraId="0AECF55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1080" w:type="dxa"/>
            <w:vAlign w:val="center"/>
          </w:tcPr>
          <w:p w14:paraId="2D59A1F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975" w:type="dxa"/>
            <w:vAlign w:val="center"/>
          </w:tcPr>
          <w:p w14:paraId="015891B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r>
      <w:tr w14:paraId="755F0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885" w:type="dxa"/>
            <w:shd w:val="clear" w:color="auto" w:fill="auto"/>
            <w:vAlign w:val="center"/>
          </w:tcPr>
          <w:p w14:paraId="611FD73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3</w:t>
            </w:r>
          </w:p>
        </w:tc>
        <w:tc>
          <w:tcPr>
            <w:tcW w:w="4425" w:type="dxa"/>
            <w:shd w:val="clear" w:color="auto" w:fill="FFFFFF"/>
            <w:vAlign w:val="center"/>
          </w:tcPr>
          <w:p w14:paraId="551AC761">
            <w:pPr>
              <w:keepNext w:val="0"/>
              <w:keepLines w:val="0"/>
              <w:pageBreakBefore w:val="0"/>
              <w:widowControl/>
              <w:kinsoku/>
              <w:wordWrap/>
              <w:overflowPunct/>
              <w:topLinePunct w:val="0"/>
              <w:autoSpaceDE/>
              <w:autoSpaceDN/>
              <w:bidi w:val="0"/>
              <w:adjustRightInd/>
              <w:snapToGrid/>
              <w:spacing w:beforeLines="50" w:afterLines="50" w:line="460" w:lineRule="exact"/>
              <w:textAlignment w:val="auto"/>
              <w:rPr>
                <w:rFonts w:hint="eastAsia" w:ascii="新宋体" w:hAnsi="新宋体" w:eastAsia="新宋体" w:cs="新宋体"/>
                <w:color w:val="auto"/>
                <w:sz w:val="22"/>
                <w:szCs w:val="22"/>
                <w:highlight w:val="none"/>
                <w:shd w:val="clear" w:color="auto" w:fill="auto"/>
              </w:rPr>
            </w:pPr>
          </w:p>
        </w:tc>
        <w:tc>
          <w:tcPr>
            <w:tcW w:w="1170" w:type="dxa"/>
            <w:vAlign w:val="center"/>
          </w:tcPr>
          <w:p w14:paraId="16BF3C5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1095" w:type="dxa"/>
            <w:vAlign w:val="center"/>
          </w:tcPr>
          <w:p w14:paraId="7CA8039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1080" w:type="dxa"/>
            <w:vAlign w:val="center"/>
          </w:tcPr>
          <w:p w14:paraId="0207660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975" w:type="dxa"/>
            <w:vAlign w:val="center"/>
          </w:tcPr>
          <w:p w14:paraId="1694C1C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r>
      <w:tr w14:paraId="3F31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885" w:type="dxa"/>
            <w:shd w:val="clear" w:color="auto" w:fill="auto"/>
            <w:vAlign w:val="center"/>
          </w:tcPr>
          <w:p w14:paraId="5046EA6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4</w:t>
            </w:r>
          </w:p>
        </w:tc>
        <w:tc>
          <w:tcPr>
            <w:tcW w:w="4425" w:type="dxa"/>
            <w:shd w:val="clear" w:color="auto" w:fill="FFFFFF"/>
            <w:vAlign w:val="center"/>
          </w:tcPr>
          <w:p w14:paraId="6D819CA7">
            <w:pPr>
              <w:keepNext w:val="0"/>
              <w:keepLines w:val="0"/>
              <w:pageBreakBefore w:val="0"/>
              <w:widowControl/>
              <w:kinsoku/>
              <w:wordWrap/>
              <w:overflowPunct/>
              <w:topLinePunct w:val="0"/>
              <w:autoSpaceDE/>
              <w:autoSpaceDN/>
              <w:bidi w:val="0"/>
              <w:adjustRightInd/>
              <w:snapToGrid/>
              <w:spacing w:beforeLines="50" w:afterLines="50" w:line="460" w:lineRule="exact"/>
              <w:textAlignment w:val="auto"/>
              <w:rPr>
                <w:rFonts w:hint="eastAsia" w:ascii="新宋体" w:hAnsi="新宋体" w:eastAsia="新宋体" w:cs="新宋体"/>
                <w:color w:val="auto"/>
                <w:sz w:val="22"/>
                <w:szCs w:val="22"/>
                <w:highlight w:val="none"/>
                <w:shd w:val="clear" w:color="auto" w:fill="auto"/>
              </w:rPr>
            </w:pPr>
          </w:p>
        </w:tc>
        <w:tc>
          <w:tcPr>
            <w:tcW w:w="1170" w:type="dxa"/>
            <w:vAlign w:val="center"/>
          </w:tcPr>
          <w:p w14:paraId="52C521C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1095" w:type="dxa"/>
            <w:vAlign w:val="center"/>
          </w:tcPr>
          <w:p w14:paraId="7C3B086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1080" w:type="dxa"/>
            <w:vAlign w:val="center"/>
          </w:tcPr>
          <w:p w14:paraId="6398DDA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975" w:type="dxa"/>
            <w:vAlign w:val="center"/>
          </w:tcPr>
          <w:p w14:paraId="2A4F19F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r>
      <w:tr w14:paraId="7BDF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trPr>
        <w:tc>
          <w:tcPr>
            <w:tcW w:w="885" w:type="dxa"/>
            <w:shd w:val="clear" w:color="auto" w:fill="auto"/>
            <w:vAlign w:val="center"/>
          </w:tcPr>
          <w:p w14:paraId="7ECC531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5</w:t>
            </w:r>
          </w:p>
        </w:tc>
        <w:tc>
          <w:tcPr>
            <w:tcW w:w="4425" w:type="dxa"/>
            <w:shd w:val="clear" w:color="auto" w:fill="FFFFFF"/>
            <w:vAlign w:val="center"/>
          </w:tcPr>
          <w:p w14:paraId="5706F368">
            <w:pPr>
              <w:keepNext w:val="0"/>
              <w:keepLines w:val="0"/>
              <w:pageBreakBefore w:val="0"/>
              <w:widowControl/>
              <w:kinsoku/>
              <w:wordWrap/>
              <w:overflowPunct/>
              <w:topLinePunct w:val="0"/>
              <w:autoSpaceDE/>
              <w:autoSpaceDN/>
              <w:bidi w:val="0"/>
              <w:adjustRightInd/>
              <w:snapToGrid/>
              <w:spacing w:beforeLines="50" w:afterLines="50" w:line="460" w:lineRule="exact"/>
              <w:textAlignment w:val="auto"/>
              <w:rPr>
                <w:rFonts w:hint="eastAsia" w:ascii="新宋体" w:hAnsi="新宋体" w:eastAsia="新宋体" w:cs="新宋体"/>
                <w:color w:val="auto"/>
                <w:sz w:val="22"/>
                <w:szCs w:val="22"/>
                <w:highlight w:val="none"/>
                <w:shd w:val="clear" w:color="auto" w:fill="auto"/>
              </w:rPr>
            </w:pPr>
          </w:p>
        </w:tc>
        <w:tc>
          <w:tcPr>
            <w:tcW w:w="1170" w:type="dxa"/>
            <w:vAlign w:val="center"/>
          </w:tcPr>
          <w:p w14:paraId="5163245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1095" w:type="dxa"/>
            <w:vAlign w:val="center"/>
          </w:tcPr>
          <w:p w14:paraId="7B2D360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1080" w:type="dxa"/>
            <w:vAlign w:val="center"/>
          </w:tcPr>
          <w:p w14:paraId="6EAD0AB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975" w:type="dxa"/>
            <w:vAlign w:val="center"/>
          </w:tcPr>
          <w:p w14:paraId="236703B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r>
      <w:tr w14:paraId="54085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885" w:type="dxa"/>
            <w:shd w:val="clear" w:color="auto" w:fill="auto"/>
            <w:vAlign w:val="center"/>
          </w:tcPr>
          <w:p w14:paraId="1DCEA5E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6</w:t>
            </w:r>
          </w:p>
        </w:tc>
        <w:tc>
          <w:tcPr>
            <w:tcW w:w="4425" w:type="dxa"/>
            <w:shd w:val="clear" w:color="auto" w:fill="FFFFFF"/>
            <w:vAlign w:val="center"/>
          </w:tcPr>
          <w:p w14:paraId="215C5872">
            <w:pPr>
              <w:keepNext w:val="0"/>
              <w:keepLines w:val="0"/>
              <w:pageBreakBefore w:val="0"/>
              <w:widowControl/>
              <w:kinsoku/>
              <w:wordWrap/>
              <w:overflowPunct/>
              <w:topLinePunct w:val="0"/>
              <w:autoSpaceDE/>
              <w:autoSpaceDN/>
              <w:bidi w:val="0"/>
              <w:adjustRightInd/>
              <w:snapToGrid/>
              <w:spacing w:beforeLines="50" w:afterLines="50" w:line="460" w:lineRule="exact"/>
              <w:textAlignment w:val="auto"/>
              <w:rPr>
                <w:rFonts w:hint="eastAsia" w:ascii="新宋体" w:hAnsi="新宋体" w:eastAsia="新宋体" w:cs="新宋体"/>
                <w:color w:val="auto"/>
                <w:sz w:val="22"/>
                <w:szCs w:val="22"/>
                <w:highlight w:val="none"/>
                <w:shd w:val="clear" w:color="auto" w:fill="auto"/>
              </w:rPr>
            </w:pPr>
          </w:p>
        </w:tc>
        <w:tc>
          <w:tcPr>
            <w:tcW w:w="1170" w:type="dxa"/>
            <w:vAlign w:val="center"/>
          </w:tcPr>
          <w:p w14:paraId="2C37847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1095" w:type="dxa"/>
            <w:vAlign w:val="center"/>
          </w:tcPr>
          <w:p w14:paraId="1CB0490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1080" w:type="dxa"/>
            <w:vAlign w:val="center"/>
          </w:tcPr>
          <w:p w14:paraId="10A171E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975" w:type="dxa"/>
            <w:vAlign w:val="center"/>
          </w:tcPr>
          <w:p w14:paraId="4B5E1C4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r>
      <w:tr w14:paraId="5DFE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885" w:type="dxa"/>
            <w:shd w:val="clear" w:color="auto" w:fill="auto"/>
            <w:vAlign w:val="center"/>
          </w:tcPr>
          <w:p w14:paraId="3D724D4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7</w:t>
            </w:r>
          </w:p>
        </w:tc>
        <w:tc>
          <w:tcPr>
            <w:tcW w:w="4425" w:type="dxa"/>
            <w:shd w:val="clear" w:color="auto" w:fill="FFFFFF"/>
            <w:vAlign w:val="center"/>
          </w:tcPr>
          <w:p w14:paraId="3DE67008">
            <w:pPr>
              <w:keepNext w:val="0"/>
              <w:keepLines w:val="0"/>
              <w:pageBreakBefore w:val="0"/>
              <w:widowControl/>
              <w:kinsoku/>
              <w:wordWrap/>
              <w:overflowPunct/>
              <w:topLinePunct w:val="0"/>
              <w:autoSpaceDE/>
              <w:autoSpaceDN/>
              <w:bidi w:val="0"/>
              <w:adjustRightInd/>
              <w:snapToGrid/>
              <w:spacing w:beforeLines="50" w:afterLines="50" w:line="460" w:lineRule="exact"/>
              <w:textAlignment w:val="auto"/>
              <w:rPr>
                <w:rFonts w:hint="eastAsia" w:ascii="新宋体" w:hAnsi="新宋体" w:eastAsia="新宋体" w:cs="新宋体"/>
                <w:color w:val="auto"/>
                <w:sz w:val="22"/>
                <w:szCs w:val="22"/>
                <w:highlight w:val="none"/>
                <w:shd w:val="clear" w:color="auto" w:fill="auto"/>
              </w:rPr>
            </w:pPr>
          </w:p>
        </w:tc>
        <w:tc>
          <w:tcPr>
            <w:tcW w:w="1170" w:type="dxa"/>
            <w:vAlign w:val="center"/>
          </w:tcPr>
          <w:p w14:paraId="77E77F8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1095" w:type="dxa"/>
            <w:vAlign w:val="center"/>
          </w:tcPr>
          <w:p w14:paraId="1A023D6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1080" w:type="dxa"/>
            <w:vAlign w:val="center"/>
          </w:tcPr>
          <w:p w14:paraId="360B5F6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975" w:type="dxa"/>
            <w:vAlign w:val="center"/>
          </w:tcPr>
          <w:p w14:paraId="2B1E6B1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r>
      <w:tr w14:paraId="54DF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885" w:type="dxa"/>
            <w:shd w:val="clear" w:color="auto" w:fill="auto"/>
            <w:vAlign w:val="center"/>
          </w:tcPr>
          <w:p w14:paraId="47ABB08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8</w:t>
            </w:r>
          </w:p>
        </w:tc>
        <w:tc>
          <w:tcPr>
            <w:tcW w:w="4425" w:type="dxa"/>
            <w:shd w:val="clear" w:color="auto" w:fill="FFFFFF"/>
            <w:vAlign w:val="center"/>
          </w:tcPr>
          <w:p w14:paraId="0D23408D">
            <w:pPr>
              <w:keepNext w:val="0"/>
              <w:keepLines w:val="0"/>
              <w:pageBreakBefore w:val="0"/>
              <w:widowControl/>
              <w:kinsoku/>
              <w:wordWrap/>
              <w:overflowPunct/>
              <w:topLinePunct w:val="0"/>
              <w:autoSpaceDE/>
              <w:autoSpaceDN/>
              <w:bidi w:val="0"/>
              <w:adjustRightInd/>
              <w:snapToGrid/>
              <w:spacing w:beforeLines="50" w:afterLines="50" w:line="460" w:lineRule="exact"/>
              <w:textAlignment w:val="auto"/>
              <w:rPr>
                <w:rFonts w:hint="eastAsia" w:ascii="新宋体" w:hAnsi="新宋体" w:eastAsia="新宋体" w:cs="新宋体"/>
                <w:color w:val="auto"/>
                <w:sz w:val="22"/>
                <w:szCs w:val="22"/>
                <w:highlight w:val="none"/>
                <w:shd w:val="clear" w:color="auto" w:fill="auto"/>
              </w:rPr>
            </w:pPr>
          </w:p>
        </w:tc>
        <w:tc>
          <w:tcPr>
            <w:tcW w:w="1170" w:type="dxa"/>
            <w:vAlign w:val="center"/>
          </w:tcPr>
          <w:p w14:paraId="0E90D76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1095" w:type="dxa"/>
            <w:vAlign w:val="center"/>
          </w:tcPr>
          <w:p w14:paraId="3767683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1080" w:type="dxa"/>
            <w:vAlign w:val="center"/>
          </w:tcPr>
          <w:p w14:paraId="0ABE69E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975" w:type="dxa"/>
            <w:vAlign w:val="center"/>
          </w:tcPr>
          <w:p w14:paraId="12F2C31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r>
      <w:tr w14:paraId="74E36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trPr>
        <w:tc>
          <w:tcPr>
            <w:tcW w:w="885" w:type="dxa"/>
            <w:shd w:val="clear" w:color="auto" w:fill="auto"/>
            <w:vAlign w:val="center"/>
          </w:tcPr>
          <w:p w14:paraId="5CE8CB7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9</w:t>
            </w:r>
          </w:p>
        </w:tc>
        <w:tc>
          <w:tcPr>
            <w:tcW w:w="4425" w:type="dxa"/>
            <w:shd w:val="clear" w:color="auto" w:fill="FFFFFF"/>
            <w:vAlign w:val="center"/>
          </w:tcPr>
          <w:p w14:paraId="061AC124">
            <w:pPr>
              <w:keepNext w:val="0"/>
              <w:keepLines w:val="0"/>
              <w:pageBreakBefore w:val="0"/>
              <w:widowControl/>
              <w:kinsoku/>
              <w:wordWrap/>
              <w:overflowPunct/>
              <w:topLinePunct w:val="0"/>
              <w:autoSpaceDE/>
              <w:autoSpaceDN/>
              <w:bidi w:val="0"/>
              <w:adjustRightInd/>
              <w:snapToGrid/>
              <w:spacing w:beforeLines="50" w:afterLines="50" w:line="460" w:lineRule="exact"/>
              <w:textAlignment w:val="auto"/>
              <w:rPr>
                <w:rFonts w:hint="eastAsia" w:ascii="新宋体" w:hAnsi="新宋体" w:eastAsia="新宋体" w:cs="新宋体"/>
                <w:color w:val="auto"/>
                <w:sz w:val="22"/>
                <w:szCs w:val="22"/>
                <w:highlight w:val="none"/>
                <w:shd w:val="clear" w:color="auto" w:fill="auto"/>
              </w:rPr>
            </w:pPr>
          </w:p>
        </w:tc>
        <w:tc>
          <w:tcPr>
            <w:tcW w:w="1170" w:type="dxa"/>
            <w:vAlign w:val="center"/>
          </w:tcPr>
          <w:p w14:paraId="51B0E2C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1095" w:type="dxa"/>
            <w:vAlign w:val="center"/>
          </w:tcPr>
          <w:p w14:paraId="0B606A1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1080" w:type="dxa"/>
            <w:vAlign w:val="center"/>
          </w:tcPr>
          <w:p w14:paraId="3BF076A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975" w:type="dxa"/>
            <w:vAlign w:val="center"/>
          </w:tcPr>
          <w:p w14:paraId="27CEE7F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r>
      <w:tr w14:paraId="171F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885" w:type="dxa"/>
            <w:shd w:val="clear" w:color="auto" w:fill="auto"/>
            <w:vAlign w:val="center"/>
          </w:tcPr>
          <w:p w14:paraId="10C0370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10</w:t>
            </w:r>
          </w:p>
        </w:tc>
        <w:tc>
          <w:tcPr>
            <w:tcW w:w="4425" w:type="dxa"/>
            <w:shd w:val="clear" w:color="auto" w:fill="FFFFFF"/>
            <w:vAlign w:val="center"/>
          </w:tcPr>
          <w:p w14:paraId="24D669FD">
            <w:pPr>
              <w:keepNext w:val="0"/>
              <w:keepLines w:val="0"/>
              <w:pageBreakBefore w:val="0"/>
              <w:widowControl/>
              <w:kinsoku/>
              <w:wordWrap/>
              <w:overflowPunct/>
              <w:topLinePunct w:val="0"/>
              <w:autoSpaceDE/>
              <w:autoSpaceDN/>
              <w:bidi w:val="0"/>
              <w:adjustRightInd/>
              <w:snapToGrid/>
              <w:spacing w:beforeLines="50" w:afterLines="50" w:line="460" w:lineRule="exact"/>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b/>
                <w:bCs/>
                <w:color w:val="auto"/>
                <w:sz w:val="22"/>
                <w:szCs w:val="22"/>
                <w:highlight w:val="none"/>
                <w:shd w:val="clear" w:color="auto" w:fill="auto"/>
              </w:rPr>
              <w:t>......</w:t>
            </w:r>
          </w:p>
        </w:tc>
        <w:tc>
          <w:tcPr>
            <w:tcW w:w="1170" w:type="dxa"/>
            <w:vAlign w:val="center"/>
          </w:tcPr>
          <w:p w14:paraId="1E766B5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1095" w:type="dxa"/>
            <w:vAlign w:val="center"/>
          </w:tcPr>
          <w:p w14:paraId="1B990A6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1080" w:type="dxa"/>
            <w:vAlign w:val="center"/>
          </w:tcPr>
          <w:p w14:paraId="7A205E7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975" w:type="dxa"/>
            <w:vAlign w:val="center"/>
          </w:tcPr>
          <w:p w14:paraId="2DFDC1D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r>
      <w:tr w14:paraId="0774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5" w:type="dxa"/>
            <w:vAlign w:val="center"/>
          </w:tcPr>
          <w:p w14:paraId="6270A00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11</w:t>
            </w:r>
          </w:p>
        </w:tc>
        <w:tc>
          <w:tcPr>
            <w:tcW w:w="4425" w:type="dxa"/>
            <w:vAlign w:val="center"/>
          </w:tcPr>
          <w:p w14:paraId="0803D255">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shd w:val="clear" w:color="auto" w:fill="auto"/>
              </w:rPr>
            </w:pPr>
            <w:r>
              <w:rPr>
                <w:rFonts w:hint="eastAsia" w:ascii="新宋体" w:hAnsi="新宋体" w:eastAsia="新宋体" w:cs="新宋体"/>
                <w:bCs/>
                <w:color w:val="auto"/>
                <w:sz w:val="22"/>
                <w:szCs w:val="22"/>
                <w:highlight w:val="none"/>
                <w:shd w:val="clear" w:color="auto" w:fill="auto"/>
              </w:rPr>
              <w:t>人员费用</w:t>
            </w:r>
          </w:p>
        </w:tc>
        <w:tc>
          <w:tcPr>
            <w:tcW w:w="1170" w:type="dxa"/>
            <w:vAlign w:val="center"/>
          </w:tcPr>
          <w:p w14:paraId="685A1FC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1095" w:type="dxa"/>
            <w:vAlign w:val="center"/>
          </w:tcPr>
          <w:p w14:paraId="5500DF7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1080" w:type="dxa"/>
            <w:vAlign w:val="center"/>
          </w:tcPr>
          <w:p w14:paraId="285F08C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975" w:type="dxa"/>
            <w:vAlign w:val="center"/>
          </w:tcPr>
          <w:p w14:paraId="524CF0E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r>
      <w:tr w14:paraId="1D07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rPr>
        <w:tc>
          <w:tcPr>
            <w:tcW w:w="885" w:type="dxa"/>
            <w:vAlign w:val="center"/>
          </w:tcPr>
          <w:p w14:paraId="36D5A68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12</w:t>
            </w:r>
          </w:p>
        </w:tc>
        <w:tc>
          <w:tcPr>
            <w:tcW w:w="4425" w:type="dxa"/>
            <w:vAlign w:val="center"/>
          </w:tcPr>
          <w:p w14:paraId="697F6E1A">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税金</w:t>
            </w:r>
          </w:p>
        </w:tc>
        <w:tc>
          <w:tcPr>
            <w:tcW w:w="4320" w:type="dxa"/>
            <w:gridSpan w:val="4"/>
            <w:vAlign w:val="center"/>
          </w:tcPr>
          <w:p w14:paraId="670CD8F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r>
      <w:tr w14:paraId="663B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885" w:type="dxa"/>
            <w:vAlign w:val="center"/>
          </w:tcPr>
          <w:p w14:paraId="7F029F7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13</w:t>
            </w:r>
          </w:p>
        </w:tc>
        <w:tc>
          <w:tcPr>
            <w:tcW w:w="4425" w:type="dxa"/>
            <w:vAlign w:val="center"/>
          </w:tcPr>
          <w:p w14:paraId="27A283B0">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其他</w:t>
            </w:r>
          </w:p>
        </w:tc>
        <w:tc>
          <w:tcPr>
            <w:tcW w:w="4320" w:type="dxa"/>
            <w:gridSpan w:val="4"/>
            <w:vAlign w:val="center"/>
          </w:tcPr>
          <w:p w14:paraId="002E439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r>
      <w:tr w14:paraId="61F7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885" w:type="dxa"/>
            <w:vAlign w:val="center"/>
          </w:tcPr>
          <w:p w14:paraId="5CDAC86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14</w:t>
            </w:r>
          </w:p>
        </w:tc>
        <w:tc>
          <w:tcPr>
            <w:tcW w:w="4425" w:type="dxa"/>
            <w:vAlign w:val="center"/>
          </w:tcPr>
          <w:p w14:paraId="4656A03C">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采购代理服务费</w:t>
            </w:r>
          </w:p>
        </w:tc>
        <w:tc>
          <w:tcPr>
            <w:tcW w:w="4320" w:type="dxa"/>
            <w:gridSpan w:val="4"/>
            <w:vAlign w:val="center"/>
          </w:tcPr>
          <w:p w14:paraId="66352EB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含</w:t>
            </w:r>
          </w:p>
        </w:tc>
      </w:tr>
      <w:tr w14:paraId="5559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5310" w:type="dxa"/>
            <w:gridSpan w:val="2"/>
          </w:tcPr>
          <w:p w14:paraId="6295E902">
            <w:pPr>
              <w:keepNext w:val="0"/>
              <w:keepLines w:val="0"/>
              <w:pageBreakBefore w:val="0"/>
              <w:kinsoku/>
              <w:wordWrap/>
              <w:overflowPunct/>
              <w:topLinePunct w:val="0"/>
              <w:autoSpaceDE/>
              <w:autoSpaceDN/>
              <w:bidi w:val="0"/>
              <w:adjustRightInd/>
              <w:snapToGrid/>
              <w:spacing w:line="460" w:lineRule="exact"/>
              <w:ind w:firstLine="1650" w:firstLineChars="750"/>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总    计   价</w:t>
            </w:r>
          </w:p>
        </w:tc>
        <w:tc>
          <w:tcPr>
            <w:tcW w:w="4320" w:type="dxa"/>
            <w:gridSpan w:val="4"/>
            <w:vAlign w:val="center"/>
          </w:tcPr>
          <w:p w14:paraId="6A2A623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r>
    </w:tbl>
    <w:p w14:paraId="47BCD09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shd w:val="clear" w:color="auto" w:fill="auto"/>
        </w:rPr>
      </w:pPr>
      <w:r>
        <w:rPr>
          <w:rFonts w:hint="eastAsia" w:ascii="新宋体" w:hAnsi="新宋体" w:eastAsia="新宋体" w:cs="新宋体"/>
          <w:b/>
          <w:bCs/>
          <w:color w:val="auto"/>
          <w:sz w:val="22"/>
          <w:szCs w:val="22"/>
          <w:highlight w:val="none"/>
          <w:shd w:val="clear" w:color="auto" w:fill="auto"/>
        </w:rPr>
        <w:t>说明：</w:t>
      </w:r>
      <w:r>
        <w:rPr>
          <w:rFonts w:hint="eastAsia" w:ascii="新宋体" w:hAnsi="新宋体" w:eastAsia="新宋体" w:cs="新宋体"/>
          <w:color w:val="auto"/>
          <w:sz w:val="22"/>
          <w:szCs w:val="22"/>
          <w:highlight w:val="none"/>
          <w:shd w:val="clear" w:color="auto" w:fill="auto"/>
        </w:rPr>
        <w:t>1、此表总计价应与</w:t>
      </w:r>
      <w:r>
        <w:rPr>
          <w:rFonts w:hint="eastAsia" w:ascii="新宋体" w:hAnsi="新宋体" w:eastAsia="新宋体" w:cs="新宋体"/>
          <w:color w:val="auto"/>
          <w:sz w:val="22"/>
          <w:szCs w:val="22"/>
          <w:highlight w:val="none"/>
          <w:shd w:val="clear" w:color="auto" w:fill="auto"/>
          <w:lang w:val="en-US" w:eastAsia="zh-CN"/>
        </w:rPr>
        <w:t>附件二</w:t>
      </w:r>
      <w:r>
        <w:rPr>
          <w:rFonts w:hint="eastAsia" w:ascii="新宋体" w:hAnsi="新宋体" w:eastAsia="新宋体" w:cs="新宋体"/>
          <w:color w:val="auto"/>
          <w:sz w:val="22"/>
          <w:szCs w:val="22"/>
          <w:highlight w:val="none"/>
          <w:shd w:val="clear" w:color="auto" w:fill="auto"/>
        </w:rPr>
        <w:t>“</w:t>
      </w:r>
      <w:r>
        <w:rPr>
          <w:rFonts w:hint="eastAsia" w:ascii="新宋体" w:hAnsi="新宋体" w:eastAsia="新宋体" w:cs="新宋体"/>
          <w:color w:val="auto"/>
          <w:sz w:val="22"/>
          <w:szCs w:val="22"/>
          <w:highlight w:val="none"/>
          <w:shd w:val="clear" w:color="auto" w:fill="auto"/>
          <w:lang w:val="en-US" w:eastAsia="zh-CN"/>
        </w:rPr>
        <w:t>1、</w:t>
      </w:r>
      <w:r>
        <w:rPr>
          <w:rFonts w:hint="eastAsia" w:ascii="新宋体" w:hAnsi="新宋体" w:eastAsia="新宋体" w:cs="新宋体"/>
          <w:color w:val="auto"/>
          <w:sz w:val="22"/>
          <w:szCs w:val="22"/>
          <w:highlight w:val="none"/>
          <w:shd w:val="clear" w:color="auto" w:fill="auto"/>
        </w:rPr>
        <w:t>投标报价一览表”中投标报价相一致。</w:t>
      </w:r>
    </w:p>
    <w:p w14:paraId="148BF3ED">
      <w:pPr>
        <w:keepNext w:val="0"/>
        <w:keepLines w:val="0"/>
        <w:pageBreakBefore w:val="0"/>
        <w:widowControl w:val="0"/>
        <w:kinsoku/>
        <w:wordWrap/>
        <w:overflowPunct/>
        <w:topLinePunct w:val="0"/>
        <w:autoSpaceDE/>
        <w:autoSpaceDN/>
        <w:bidi w:val="0"/>
        <w:adjustRightInd/>
        <w:snapToGrid/>
        <w:spacing w:line="460" w:lineRule="exact"/>
        <w:ind w:firstLine="660" w:firstLineChars="300"/>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2、不提供详细投标分项报价将视为没有实质性响应招标文件。</w:t>
      </w:r>
    </w:p>
    <w:p w14:paraId="5AAE8E6B">
      <w:pPr>
        <w:keepNext w:val="0"/>
        <w:keepLines w:val="0"/>
        <w:pageBreakBefore w:val="0"/>
        <w:widowControl w:val="0"/>
        <w:kinsoku/>
        <w:wordWrap/>
        <w:overflowPunct/>
        <w:topLinePunct w:val="0"/>
        <w:autoSpaceDE/>
        <w:autoSpaceDN/>
        <w:bidi w:val="0"/>
        <w:adjustRightInd/>
        <w:snapToGrid/>
        <w:spacing w:line="460" w:lineRule="exact"/>
        <w:ind w:firstLine="660" w:firstLineChars="300"/>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3、如果免费请在该项内容栏内注明“免”，如果含在产品价格中则填“含”，如无此项内容则填“无”，不留空白。</w:t>
      </w:r>
    </w:p>
    <w:p w14:paraId="387766B5">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投标人全称（盖章）：</w:t>
      </w:r>
    </w:p>
    <w:p w14:paraId="3BAA8A70">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14:paraId="0925AB1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72AAC3E2">
      <w:pPr>
        <w:bidi w:val="0"/>
        <w:rPr>
          <w:rFonts w:hint="eastAsia"/>
          <w:color w:val="auto"/>
          <w:highlight w:val="none"/>
        </w:rPr>
      </w:pPr>
    </w:p>
    <w:p w14:paraId="1246E1EB">
      <w:pPr>
        <w:rPr>
          <w:rFonts w:hint="eastAsia"/>
          <w:color w:val="auto"/>
          <w:highlight w:val="none"/>
        </w:rPr>
      </w:pPr>
      <w:r>
        <w:rPr>
          <w:rFonts w:hint="eastAsia"/>
          <w:color w:val="auto"/>
          <w:highlight w:val="none"/>
        </w:rPr>
        <w:br w:type="page"/>
      </w:r>
    </w:p>
    <w:p w14:paraId="535A7C1E">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3、符合财政价格优惠政策的证明材料（如有）</w:t>
      </w:r>
    </w:p>
    <w:p w14:paraId="5CF24B65">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（1）中小企业的相关证明材料</w:t>
      </w:r>
    </w:p>
    <w:p w14:paraId="0ABC740B">
      <w:pPr>
        <w:snapToGrid w:val="0"/>
        <w:spacing w:line="460" w:lineRule="exact"/>
        <w:jc w:val="center"/>
        <w:rPr>
          <w:rFonts w:hint="eastAsia" w:ascii="新宋体" w:hAnsi="新宋体" w:eastAsia="新宋体" w:cs="新宋体"/>
          <w:color w:val="auto"/>
          <w:spacing w:val="6"/>
          <w:sz w:val="22"/>
          <w:szCs w:val="22"/>
          <w:highlight w:val="none"/>
        </w:rPr>
      </w:pPr>
    </w:p>
    <w:p w14:paraId="7DA8FE3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shd w:val="clear" w:color="auto" w:fill="auto"/>
          <w:lang w:val="zh-CN"/>
        </w:rPr>
      </w:pPr>
      <w:r>
        <w:rPr>
          <w:rFonts w:hint="eastAsia" w:ascii="新宋体" w:hAnsi="新宋体" w:eastAsia="新宋体" w:cs="新宋体"/>
          <w:color w:val="auto"/>
          <w:sz w:val="22"/>
          <w:szCs w:val="22"/>
          <w:highlight w:val="none"/>
          <w:shd w:val="clear" w:color="auto" w:fill="auto"/>
          <w:lang w:val="zh-CN"/>
        </w:rPr>
        <w:t>根据《政府采购促进中小企业发展管理办法》（财库〔2020〕46号）、《财政部关于进一步加大政府采购支持中小企业力度的通知》（财库〔2022〕19号）有关规定，对货物类项目投标产品为小型或微型企业生产的，工程、服务类项目由小型或微型企业承建、承接的，</w:t>
      </w:r>
      <w:r>
        <w:rPr>
          <w:rFonts w:hint="eastAsia" w:ascii="新宋体" w:hAnsi="新宋体" w:eastAsia="新宋体" w:cs="新宋体"/>
          <w:b/>
          <w:bCs/>
          <w:color w:val="auto"/>
          <w:sz w:val="22"/>
          <w:szCs w:val="22"/>
          <w:highlight w:val="none"/>
          <w:u w:val="single"/>
          <w:shd w:val="clear" w:color="auto" w:fill="auto"/>
          <w:lang w:val="zh-CN"/>
        </w:rPr>
        <w:t>价格给予</w:t>
      </w:r>
      <w:r>
        <w:rPr>
          <w:rFonts w:hint="eastAsia" w:ascii="新宋体" w:hAnsi="新宋体" w:eastAsia="新宋体" w:cs="新宋体"/>
          <w:b/>
          <w:bCs/>
          <w:color w:val="auto"/>
          <w:sz w:val="22"/>
          <w:szCs w:val="22"/>
          <w:highlight w:val="none"/>
          <w:u w:val="single"/>
          <w:shd w:val="clear" w:color="auto" w:fill="auto"/>
        </w:rPr>
        <w:t>10</w:t>
      </w:r>
      <w:r>
        <w:rPr>
          <w:rFonts w:hint="eastAsia" w:ascii="新宋体" w:hAnsi="新宋体" w:eastAsia="新宋体" w:cs="新宋体"/>
          <w:b/>
          <w:bCs/>
          <w:color w:val="auto"/>
          <w:sz w:val="22"/>
          <w:szCs w:val="22"/>
          <w:highlight w:val="none"/>
          <w:u w:val="single"/>
          <w:shd w:val="clear" w:color="auto" w:fill="auto"/>
          <w:lang w:val="zh-CN"/>
        </w:rPr>
        <w:t>%的扣除</w:t>
      </w:r>
      <w:r>
        <w:rPr>
          <w:rFonts w:hint="eastAsia" w:ascii="新宋体" w:hAnsi="新宋体" w:eastAsia="新宋体" w:cs="新宋体"/>
          <w:color w:val="auto"/>
          <w:sz w:val="22"/>
          <w:szCs w:val="22"/>
          <w:highlight w:val="none"/>
          <w:shd w:val="clear" w:color="auto" w:fill="auto"/>
          <w:lang w:val="zh-CN"/>
        </w:rPr>
        <w:t>，用扣除后的价格参与价格评分。</w:t>
      </w:r>
    </w:p>
    <w:p w14:paraId="60BA780A">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shd w:val="clear" w:color="auto" w:fill="auto"/>
          <w:lang w:val="zh-CN"/>
        </w:rPr>
        <w:t>投标文件中必须提供《中小企业声明函》。</w:t>
      </w:r>
    </w:p>
    <w:p w14:paraId="4EF62EE3">
      <w:pPr>
        <w:spacing w:line="460" w:lineRule="exact"/>
        <w:jc w:val="center"/>
        <w:rPr>
          <w:rFonts w:hint="eastAsia" w:ascii="新宋体" w:hAnsi="新宋体" w:eastAsia="新宋体" w:cs="新宋体"/>
          <w:b/>
          <w:bCs/>
          <w:color w:val="auto"/>
          <w:sz w:val="22"/>
          <w:szCs w:val="22"/>
          <w:highlight w:val="none"/>
        </w:rPr>
      </w:pPr>
    </w:p>
    <w:p w14:paraId="27D28558">
      <w:pPr>
        <w:spacing w:line="460" w:lineRule="exact"/>
        <w:jc w:val="center"/>
        <w:rPr>
          <w:rFonts w:hint="eastAsia" w:ascii="新宋体" w:hAnsi="新宋体" w:eastAsia="新宋体" w:cs="新宋体"/>
          <w:color w:val="auto"/>
          <w:sz w:val="24"/>
          <w:highlight w:val="none"/>
        </w:rPr>
      </w:pPr>
      <w:r>
        <w:rPr>
          <w:rFonts w:hint="eastAsia" w:ascii="新宋体" w:hAnsi="新宋体" w:eastAsia="新宋体" w:cs="新宋体"/>
          <w:b/>
          <w:bCs/>
          <w:color w:val="auto"/>
          <w:sz w:val="24"/>
          <w:highlight w:val="none"/>
        </w:rPr>
        <w:t>《中小企业声明函（工程、服务）》</w:t>
      </w:r>
    </w:p>
    <w:p w14:paraId="46049890">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【不属于中小企业单位的无需填写、递交】</w:t>
      </w:r>
    </w:p>
    <w:p w14:paraId="1AB9A7ED">
      <w:pPr>
        <w:spacing w:line="460" w:lineRule="exact"/>
        <w:ind w:firstLine="637" w:firstLineChars="245"/>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本公司（联合体）郑重声明，根据《政府采购促进中小企业发展管理办法》（财库﹝2020）46 号）的规定，本公司（联合体）参加</w:t>
      </w:r>
      <w:r>
        <w:rPr>
          <w:rFonts w:hint="eastAsia" w:ascii="新宋体" w:hAnsi="新宋体" w:eastAsia="新宋体" w:cs="新宋体"/>
          <w:color w:val="auto"/>
          <w:spacing w:val="20"/>
          <w:sz w:val="22"/>
          <w:szCs w:val="22"/>
          <w:highlight w:val="none"/>
          <w:u w:val="single"/>
        </w:rPr>
        <w:t>（单位名称）</w:t>
      </w:r>
      <w:r>
        <w:rPr>
          <w:rFonts w:hint="eastAsia" w:ascii="新宋体" w:hAnsi="新宋体" w:eastAsia="新宋体" w:cs="新宋体"/>
          <w:color w:val="auto"/>
          <w:spacing w:val="20"/>
          <w:sz w:val="22"/>
          <w:szCs w:val="22"/>
          <w:highlight w:val="none"/>
        </w:rPr>
        <w:t>的</w:t>
      </w:r>
      <w:r>
        <w:rPr>
          <w:rFonts w:hint="eastAsia" w:ascii="新宋体" w:hAnsi="新宋体" w:eastAsia="新宋体" w:cs="新宋体"/>
          <w:color w:val="auto"/>
          <w:spacing w:val="20"/>
          <w:sz w:val="22"/>
          <w:szCs w:val="22"/>
          <w:highlight w:val="none"/>
          <w:u w:val="single"/>
        </w:rPr>
        <w:t>（项目名称）</w:t>
      </w:r>
      <w:r>
        <w:rPr>
          <w:rFonts w:hint="eastAsia" w:ascii="新宋体" w:hAnsi="新宋体" w:eastAsia="新宋体" w:cs="新宋体"/>
          <w:color w:val="auto"/>
          <w:spacing w:val="20"/>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0FC7AA61">
      <w:pPr>
        <w:spacing w:line="460" w:lineRule="exact"/>
        <w:ind w:firstLine="637" w:firstLineChars="245"/>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1.</w:t>
      </w:r>
      <w:r>
        <w:rPr>
          <w:rFonts w:hint="eastAsia" w:ascii="新宋体" w:hAnsi="新宋体" w:eastAsia="新宋体" w:cs="新宋体"/>
          <w:color w:val="auto"/>
          <w:spacing w:val="20"/>
          <w:sz w:val="22"/>
          <w:szCs w:val="22"/>
          <w:highlight w:val="none"/>
          <w:u w:val="single"/>
        </w:rPr>
        <w:t>（标的名称）</w:t>
      </w:r>
      <w:r>
        <w:rPr>
          <w:rFonts w:hint="eastAsia" w:ascii="新宋体" w:hAnsi="新宋体" w:eastAsia="新宋体" w:cs="新宋体"/>
          <w:color w:val="auto"/>
          <w:spacing w:val="20"/>
          <w:sz w:val="22"/>
          <w:szCs w:val="22"/>
          <w:highlight w:val="none"/>
        </w:rPr>
        <w:t>，属于</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行业； 承建（承接）企业为</w:t>
      </w:r>
      <w:r>
        <w:rPr>
          <w:rFonts w:hint="eastAsia" w:ascii="新宋体" w:hAnsi="新宋体" w:eastAsia="新宋体" w:cs="新宋体"/>
          <w:color w:val="auto"/>
          <w:spacing w:val="20"/>
          <w:sz w:val="22"/>
          <w:szCs w:val="22"/>
          <w:highlight w:val="none"/>
          <w:u w:val="single"/>
        </w:rPr>
        <w:t>（企业名称）</w:t>
      </w:r>
      <w:r>
        <w:rPr>
          <w:rFonts w:hint="eastAsia" w:ascii="新宋体" w:hAnsi="新宋体" w:eastAsia="新宋体" w:cs="新宋体"/>
          <w:color w:val="auto"/>
          <w:spacing w:val="20"/>
          <w:sz w:val="22"/>
          <w:szCs w:val="22"/>
          <w:highlight w:val="none"/>
        </w:rPr>
        <w:t>，从业人员</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万元，属于</w:t>
      </w:r>
      <w:r>
        <w:rPr>
          <w:rFonts w:hint="eastAsia" w:ascii="新宋体" w:hAnsi="新宋体" w:eastAsia="新宋体" w:cs="新宋体"/>
          <w:color w:val="auto"/>
          <w:spacing w:val="20"/>
          <w:sz w:val="22"/>
          <w:szCs w:val="22"/>
          <w:highlight w:val="none"/>
          <w:u w:val="single"/>
        </w:rPr>
        <w:t>（中型企业、 小型企业、微型企业）</w:t>
      </w:r>
      <w:r>
        <w:rPr>
          <w:rFonts w:hint="eastAsia" w:ascii="新宋体" w:hAnsi="新宋体" w:eastAsia="新宋体" w:cs="新宋体"/>
          <w:color w:val="auto"/>
          <w:spacing w:val="20"/>
          <w:sz w:val="22"/>
          <w:szCs w:val="22"/>
          <w:highlight w:val="none"/>
        </w:rPr>
        <w:t xml:space="preserve">； </w:t>
      </w:r>
    </w:p>
    <w:p w14:paraId="29A03AC8">
      <w:pPr>
        <w:spacing w:line="460" w:lineRule="exact"/>
        <w:ind w:firstLine="637" w:firstLineChars="245"/>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2.</w:t>
      </w:r>
      <w:r>
        <w:rPr>
          <w:rFonts w:hint="eastAsia" w:ascii="新宋体" w:hAnsi="新宋体" w:eastAsia="新宋体" w:cs="新宋体"/>
          <w:color w:val="auto"/>
          <w:spacing w:val="20"/>
          <w:sz w:val="22"/>
          <w:szCs w:val="22"/>
          <w:highlight w:val="none"/>
          <w:u w:val="single"/>
        </w:rPr>
        <w:t>（标的名称）</w:t>
      </w:r>
      <w:r>
        <w:rPr>
          <w:rFonts w:hint="eastAsia" w:ascii="新宋体" w:hAnsi="新宋体" w:eastAsia="新宋体" w:cs="新宋体"/>
          <w:color w:val="auto"/>
          <w:spacing w:val="20"/>
          <w:sz w:val="22"/>
          <w:szCs w:val="22"/>
          <w:highlight w:val="none"/>
        </w:rPr>
        <w:t>，属于</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行业；承建（承接）企业为</w:t>
      </w:r>
      <w:r>
        <w:rPr>
          <w:rFonts w:hint="eastAsia" w:ascii="新宋体" w:hAnsi="新宋体" w:eastAsia="新宋体" w:cs="新宋体"/>
          <w:color w:val="auto"/>
          <w:spacing w:val="20"/>
          <w:sz w:val="22"/>
          <w:szCs w:val="22"/>
          <w:highlight w:val="none"/>
          <w:u w:val="single"/>
        </w:rPr>
        <w:t>（企业名称）</w:t>
      </w:r>
      <w:r>
        <w:rPr>
          <w:rFonts w:hint="eastAsia" w:ascii="新宋体" w:hAnsi="新宋体" w:eastAsia="新宋体" w:cs="新宋体"/>
          <w:color w:val="auto"/>
          <w:spacing w:val="20"/>
          <w:sz w:val="22"/>
          <w:szCs w:val="22"/>
          <w:highlight w:val="none"/>
        </w:rPr>
        <w:t>，从业人员</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万元，属于</w:t>
      </w:r>
      <w:r>
        <w:rPr>
          <w:rFonts w:hint="eastAsia" w:ascii="新宋体" w:hAnsi="新宋体" w:eastAsia="新宋体" w:cs="新宋体"/>
          <w:color w:val="auto"/>
          <w:spacing w:val="20"/>
          <w:sz w:val="22"/>
          <w:szCs w:val="22"/>
          <w:highlight w:val="none"/>
          <w:u w:val="single"/>
        </w:rPr>
        <w:t>（中型企业、 小型企业、微型企业）</w:t>
      </w:r>
      <w:r>
        <w:rPr>
          <w:rFonts w:hint="eastAsia" w:ascii="新宋体" w:hAnsi="新宋体" w:eastAsia="新宋体" w:cs="新宋体"/>
          <w:color w:val="auto"/>
          <w:spacing w:val="20"/>
          <w:sz w:val="22"/>
          <w:szCs w:val="22"/>
          <w:highlight w:val="none"/>
        </w:rPr>
        <w:t>；</w:t>
      </w:r>
    </w:p>
    <w:p w14:paraId="4B0A220E">
      <w:pPr>
        <w:spacing w:line="460" w:lineRule="exact"/>
        <w:ind w:firstLine="639" w:firstLineChars="245"/>
        <w:rPr>
          <w:rFonts w:hint="eastAsia" w:ascii="新宋体" w:hAnsi="新宋体" w:eastAsia="新宋体" w:cs="新宋体"/>
          <w:b/>
          <w:bCs/>
          <w:color w:val="auto"/>
          <w:spacing w:val="20"/>
          <w:sz w:val="22"/>
          <w:szCs w:val="22"/>
          <w:highlight w:val="none"/>
        </w:rPr>
      </w:pPr>
      <w:r>
        <w:rPr>
          <w:rFonts w:hint="eastAsia" w:ascii="新宋体" w:hAnsi="新宋体" w:eastAsia="新宋体" w:cs="新宋体"/>
          <w:b/>
          <w:bCs/>
          <w:color w:val="auto"/>
          <w:spacing w:val="20"/>
          <w:sz w:val="22"/>
          <w:szCs w:val="22"/>
          <w:highlight w:val="none"/>
        </w:rPr>
        <w:t>……</w:t>
      </w:r>
    </w:p>
    <w:p w14:paraId="4F6E5651">
      <w:pPr>
        <w:spacing w:line="460" w:lineRule="exact"/>
        <w:ind w:firstLine="637" w:firstLineChars="245"/>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14:paraId="4B9C7DA3">
      <w:pPr>
        <w:spacing w:line="460" w:lineRule="exact"/>
        <w:ind w:firstLine="4940" w:firstLineChars="1900"/>
        <w:jc w:val="both"/>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企业名称（盖章）：</w:t>
      </w:r>
    </w:p>
    <w:p w14:paraId="2D50A0D8">
      <w:pPr>
        <w:spacing w:line="460" w:lineRule="exact"/>
        <w:ind w:firstLine="4940" w:firstLineChars="1900"/>
        <w:jc w:val="both"/>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日 期：</w:t>
      </w:r>
    </w:p>
    <w:p w14:paraId="5DE79758">
      <w:pPr>
        <w:spacing w:line="460" w:lineRule="exact"/>
        <w:rPr>
          <w:rFonts w:hint="eastAsia" w:ascii="新宋体" w:hAnsi="新宋体" w:eastAsia="新宋体" w:cs="新宋体"/>
          <w:color w:val="auto"/>
          <w:spacing w:val="20"/>
          <w:sz w:val="22"/>
          <w:szCs w:val="22"/>
          <w:highlight w:val="none"/>
        </w:rPr>
      </w:pPr>
    </w:p>
    <w:p w14:paraId="06332A8F">
      <w:pPr>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br w:type="page"/>
      </w:r>
    </w:p>
    <w:p w14:paraId="3450E71E">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（2）监狱企业的相关证明材料</w:t>
      </w:r>
    </w:p>
    <w:p w14:paraId="0043F51E">
      <w:pPr>
        <w:spacing w:line="460" w:lineRule="exact"/>
        <w:ind w:firstLine="466" w:firstLineChars="200"/>
        <w:rPr>
          <w:rFonts w:hint="eastAsia" w:ascii="新宋体" w:hAnsi="新宋体" w:eastAsia="新宋体" w:cs="新宋体"/>
          <w:b/>
          <w:bCs/>
          <w:color w:val="auto"/>
          <w:sz w:val="22"/>
          <w:szCs w:val="22"/>
          <w:highlight w:val="none"/>
          <w:u w:val="single"/>
          <w:lang w:val="zh-CN"/>
        </w:rPr>
      </w:pPr>
      <w:r>
        <w:rPr>
          <w:rFonts w:hint="eastAsia" w:ascii="新宋体" w:hAnsi="新宋体" w:eastAsia="新宋体" w:cs="新宋体"/>
          <w:b/>
          <w:color w:val="auto"/>
          <w:spacing w:val="6"/>
          <w:sz w:val="22"/>
          <w:szCs w:val="22"/>
          <w:highlight w:val="none"/>
        </w:rPr>
        <w:t>需提供相关证明材料，</w:t>
      </w:r>
      <w:r>
        <w:rPr>
          <w:rFonts w:hint="eastAsia" w:ascii="新宋体" w:hAnsi="新宋体" w:eastAsia="新宋体" w:cs="新宋体"/>
          <w:b/>
          <w:bCs/>
          <w:color w:val="auto"/>
          <w:sz w:val="22"/>
          <w:szCs w:val="22"/>
          <w:highlight w:val="none"/>
          <w:u w:val="single"/>
          <w:lang w:val="zh-CN"/>
        </w:rPr>
        <w:t>未提供证明材料或不能清楚辨析</w:t>
      </w:r>
      <w:r>
        <w:rPr>
          <w:rFonts w:hint="eastAsia" w:ascii="新宋体" w:hAnsi="新宋体" w:eastAsia="新宋体" w:cs="新宋体"/>
          <w:b/>
          <w:bCs/>
          <w:color w:val="auto"/>
          <w:sz w:val="22"/>
          <w:szCs w:val="22"/>
          <w:highlight w:val="none"/>
          <w:u w:val="single"/>
        </w:rPr>
        <w:t>是监狱企业的按非监狱企业处理，所提供的证明材料应为最新的最近的</w:t>
      </w:r>
      <w:r>
        <w:rPr>
          <w:rFonts w:hint="eastAsia" w:ascii="新宋体" w:hAnsi="新宋体" w:eastAsia="新宋体" w:cs="新宋体"/>
          <w:b/>
          <w:bCs/>
          <w:color w:val="auto"/>
          <w:sz w:val="22"/>
          <w:szCs w:val="22"/>
          <w:highlight w:val="none"/>
          <w:u w:val="single"/>
          <w:lang w:val="zh-CN"/>
        </w:rPr>
        <w:t>。</w:t>
      </w:r>
    </w:p>
    <w:p w14:paraId="3446225C">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1C40768B">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0BA51B0D">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4AF34AAF">
      <w:pPr>
        <w:adjustRightInd w:val="0"/>
        <w:snapToGrid w:val="0"/>
        <w:spacing w:line="300" w:lineRule="auto"/>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spacing w:val="6"/>
          <w:sz w:val="22"/>
          <w:szCs w:val="22"/>
          <w:highlight w:val="none"/>
        </w:rPr>
        <w:t>监狱企业声明函</w:t>
      </w:r>
    </w:p>
    <w:p w14:paraId="32C1D24D">
      <w:pPr>
        <w:snapToGrid w:val="0"/>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【非监狱企业不用提供】</w:t>
      </w:r>
    </w:p>
    <w:p w14:paraId="01BA430E">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本企业郑重声明，根据《关于政府采购支持监狱企业发展有关问题的通知》（财库[2014]68号）的规定，本企业为监狱企业。 </w:t>
      </w:r>
    </w:p>
    <w:p w14:paraId="39C7AE4A">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根据上述标准，我企业属于监狱企业的理由为：</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w:t>
      </w:r>
    </w:p>
    <w:p w14:paraId="14354512">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本企业为参加（招标项目名称</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）（招标编号</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）采购活动并承担本工程。 </w:t>
      </w:r>
    </w:p>
    <w:p w14:paraId="6FE69350">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本企业对上述声明的真实性负责。如有虚假，将依法承担相应责任。  </w:t>
      </w:r>
    </w:p>
    <w:p w14:paraId="3EC7AA5E">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投标人全称（盖章）</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 xml:space="preserve">                   </w:t>
      </w:r>
    </w:p>
    <w:p w14:paraId="60E481E3">
      <w:pPr>
        <w:adjustRightInd w:val="0"/>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日期：    年    月   日 </w:t>
      </w:r>
    </w:p>
    <w:p w14:paraId="595C2DC6">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1DA04AC4">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86654D9">
      <w:pPr>
        <w:spacing w:line="460" w:lineRule="exact"/>
        <w:rPr>
          <w:rFonts w:hint="eastAsia" w:ascii="新宋体" w:hAnsi="新宋体" w:eastAsia="新宋体" w:cs="新宋体"/>
          <w:color w:val="auto"/>
          <w:spacing w:val="20"/>
          <w:sz w:val="22"/>
          <w:szCs w:val="22"/>
          <w:highlight w:val="none"/>
        </w:rPr>
      </w:pPr>
    </w:p>
    <w:p w14:paraId="5C43D54F">
      <w:pPr>
        <w:spacing w:line="460" w:lineRule="exact"/>
        <w:rPr>
          <w:rFonts w:hint="eastAsia" w:ascii="新宋体" w:hAnsi="新宋体" w:eastAsia="新宋体" w:cs="新宋体"/>
          <w:color w:val="auto"/>
          <w:spacing w:val="20"/>
          <w:sz w:val="22"/>
          <w:szCs w:val="22"/>
          <w:highlight w:val="none"/>
        </w:rPr>
      </w:pPr>
    </w:p>
    <w:p w14:paraId="175C4912">
      <w:pPr>
        <w:spacing w:line="380" w:lineRule="exact"/>
        <w:rPr>
          <w:rFonts w:hint="eastAsia" w:ascii="新宋体" w:hAnsi="新宋体" w:eastAsia="新宋体" w:cs="新宋体"/>
          <w:color w:val="auto"/>
          <w:sz w:val="22"/>
          <w:szCs w:val="22"/>
          <w:highlight w:val="none"/>
        </w:rPr>
      </w:pPr>
    </w:p>
    <w:p w14:paraId="275439B6">
      <w:pPr>
        <w:spacing w:line="380" w:lineRule="exact"/>
        <w:rPr>
          <w:rFonts w:hint="eastAsia" w:ascii="新宋体" w:hAnsi="新宋体" w:eastAsia="新宋体" w:cs="新宋体"/>
          <w:color w:val="auto"/>
          <w:sz w:val="22"/>
          <w:szCs w:val="22"/>
          <w:highlight w:val="none"/>
        </w:rPr>
      </w:pPr>
    </w:p>
    <w:p w14:paraId="35CFE543">
      <w:pPr>
        <w:spacing w:line="380" w:lineRule="exact"/>
        <w:rPr>
          <w:rFonts w:hint="eastAsia" w:ascii="新宋体" w:hAnsi="新宋体" w:eastAsia="新宋体" w:cs="新宋体"/>
          <w:color w:val="auto"/>
          <w:sz w:val="22"/>
          <w:szCs w:val="22"/>
          <w:highlight w:val="none"/>
        </w:rPr>
      </w:pPr>
    </w:p>
    <w:p w14:paraId="0CEF3808">
      <w:pPr>
        <w:spacing w:line="380" w:lineRule="exact"/>
        <w:rPr>
          <w:rFonts w:hint="eastAsia" w:ascii="新宋体" w:hAnsi="新宋体" w:eastAsia="新宋体" w:cs="新宋体"/>
          <w:color w:val="auto"/>
          <w:sz w:val="22"/>
          <w:szCs w:val="22"/>
          <w:highlight w:val="none"/>
        </w:rPr>
      </w:pPr>
    </w:p>
    <w:p w14:paraId="4595784D">
      <w:pPr>
        <w:spacing w:line="380" w:lineRule="exact"/>
        <w:rPr>
          <w:rFonts w:hint="eastAsia" w:ascii="新宋体" w:hAnsi="新宋体" w:eastAsia="新宋体" w:cs="新宋体"/>
          <w:color w:val="auto"/>
          <w:sz w:val="22"/>
          <w:szCs w:val="22"/>
          <w:highlight w:val="none"/>
        </w:rPr>
      </w:pPr>
    </w:p>
    <w:p w14:paraId="2B830353">
      <w:pPr>
        <w:spacing w:line="380" w:lineRule="exact"/>
        <w:rPr>
          <w:rFonts w:hint="eastAsia" w:ascii="新宋体" w:hAnsi="新宋体" w:eastAsia="新宋体" w:cs="新宋体"/>
          <w:color w:val="auto"/>
          <w:sz w:val="22"/>
          <w:szCs w:val="22"/>
          <w:highlight w:val="none"/>
        </w:rPr>
      </w:pPr>
    </w:p>
    <w:p w14:paraId="646A5B59">
      <w:pPr>
        <w:spacing w:line="380" w:lineRule="exact"/>
        <w:rPr>
          <w:rFonts w:hint="eastAsia" w:ascii="新宋体" w:hAnsi="新宋体" w:eastAsia="新宋体" w:cs="新宋体"/>
          <w:color w:val="auto"/>
          <w:sz w:val="22"/>
          <w:szCs w:val="22"/>
          <w:highlight w:val="none"/>
        </w:rPr>
      </w:pPr>
    </w:p>
    <w:p w14:paraId="60814535">
      <w:pPr>
        <w:spacing w:line="380" w:lineRule="exact"/>
        <w:rPr>
          <w:rFonts w:hint="eastAsia" w:ascii="新宋体" w:hAnsi="新宋体" w:eastAsia="新宋体" w:cs="新宋体"/>
          <w:color w:val="auto"/>
          <w:sz w:val="22"/>
          <w:szCs w:val="22"/>
          <w:highlight w:val="none"/>
        </w:rPr>
      </w:pPr>
    </w:p>
    <w:p w14:paraId="16B6E0FA">
      <w:pPr>
        <w:pStyle w:val="24"/>
        <w:rPr>
          <w:rFonts w:hint="eastAsia" w:ascii="新宋体" w:hAnsi="新宋体" w:eastAsia="新宋体" w:cs="新宋体"/>
          <w:color w:val="auto"/>
          <w:highlight w:val="none"/>
        </w:rPr>
      </w:pPr>
    </w:p>
    <w:p w14:paraId="03D48DF4">
      <w:pPr>
        <w:pStyle w:val="24"/>
        <w:rPr>
          <w:rFonts w:hint="eastAsia" w:ascii="新宋体" w:hAnsi="新宋体" w:eastAsia="新宋体" w:cs="新宋体"/>
          <w:color w:val="auto"/>
          <w:highlight w:val="none"/>
        </w:rPr>
      </w:pPr>
    </w:p>
    <w:p w14:paraId="047A5CA8">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（3）残疾人福利性单位的相关证明材料</w:t>
      </w:r>
    </w:p>
    <w:p w14:paraId="4AE44DBA">
      <w:pPr>
        <w:spacing w:line="460" w:lineRule="exact"/>
        <w:ind w:firstLine="520" w:firstLineChars="200"/>
        <w:rPr>
          <w:rFonts w:hint="eastAsia" w:ascii="新宋体" w:hAnsi="新宋体" w:eastAsia="新宋体" w:cs="新宋体"/>
          <w:color w:val="auto"/>
          <w:spacing w:val="20"/>
          <w:sz w:val="22"/>
          <w:szCs w:val="22"/>
          <w:highlight w:val="none"/>
        </w:rPr>
      </w:pPr>
    </w:p>
    <w:p w14:paraId="70E79191">
      <w:pPr>
        <w:spacing w:line="460" w:lineRule="exact"/>
        <w:rPr>
          <w:rFonts w:hint="eastAsia" w:ascii="新宋体" w:hAnsi="新宋体" w:eastAsia="新宋体" w:cs="新宋体"/>
          <w:color w:val="auto"/>
          <w:spacing w:val="20"/>
          <w:sz w:val="22"/>
          <w:szCs w:val="22"/>
          <w:highlight w:val="none"/>
        </w:rPr>
      </w:pPr>
    </w:p>
    <w:p w14:paraId="5C89D977">
      <w:pPr>
        <w:spacing w:line="460" w:lineRule="exact"/>
        <w:rPr>
          <w:rFonts w:hint="eastAsia" w:ascii="新宋体" w:hAnsi="新宋体" w:eastAsia="新宋体" w:cs="新宋体"/>
          <w:color w:val="auto"/>
          <w:spacing w:val="20"/>
          <w:sz w:val="22"/>
          <w:szCs w:val="22"/>
          <w:highlight w:val="none"/>
        </w:rPr>
      </w:pPr>
    </w:p>
    <w:p w14:paraId="7C9DC52E">
      <w:pPr>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b/>
          <w:color w:val="auto"/>
          <w:spacing w:val="6"/>
          <w:sz w:val="22"/>
          <w:szCs w:val="22"/>
          <w:highlight w:val="none"/>
        </w:rPr>
        <w:t>残疾人福利性单位声明函</w:t>
      </w:r>
    </w:p>
    <w:p w14:paraId="16875C06">
      <w:pPr>
        <w:widowControl/>
        <w:adjustRightInd w:val="0"/>
        <w:snapToGrid w:val="0"/>
        <w:spacing w:line="460" w:lineRule="exact"/>
        <w:ind w:firstLine="440" w:firstLineChars="20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【不属于残疾人福利性单位的无需填写、递交】</w:t>
      </w:r>
    </w:p>
    <w:p w14:paraId="68C686E0">
      <w:pPr>
        <w:snapToGrid w:val="0"/>
        <w:spacing w:line="460" w:lineRule="exact"/>
        <w:jc w:val="center"/>
        <w:rPr>
          <w:rFonts w:hint="eastAsia" w:ascii="新宋体" w:hAnsi="新宋体" w:eastAsia="新宋体" w:cs="新宋体"/>
          <w:b/>
          <w:bCs/>
          <w:color w:val="auto"/>
          <w:sz w:val="22"/>
          <w:szCs w:val="22"/>
          <w:highlight w:val="none"/>
        </w:rPr>
      </w:pPr>
    </w:p>
    <w:p w14:paraId="149182EB">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本单位郑重声明，根据《财政部民政部中国残疾人联合会关于促进残疾人就业政府采购政策的通知》（财库</w:t>
      </w:r>
      <w:r>
        <w:rPr>
          <w:rFonts w:hint="eastAsia" w:ascii="新宋体" w:hAnsi="新宋体" w:eastAsia="新宋体" w:cs="新宋体"/>
          <w:color w:val="auto"/>
          <w:sz w:val="22"/>
          <w:szCs w:val="22"/>
          <w:highlight w:val="none"/>
        </w:rPr>
        <w:t>〔2017〕141</w:t>
      </w:r>
      <w:r>
        <w:rPr>
          <w:rFonts w:hint="eastAsia" w:ascii="新宋体" w:hAnsi="新宋体" w:eastAsia="新宋体" w:cs="新宋体"/>
          <w:color w:val="auto"/>
          <w:spacing w:val="6"/>
          <w:sz w:val="22"/>
          <w:szCs w:val="22"/>
          <w:highlight w:val="none"/>
        </w:rPr>
        <w:t>号）的规定，本单位为符合条件的残疾人福利性单位，且本单位参加</w:t>
      </w:r>
      <w:r>
        <w:rPr>
          <w:rFonts w:hint="eastAsia" w:ascii="新宋体" w:hAnsi="新宋体" w:eastAsia="新宋体" w:cs="新宋体"/>
          <w:color w:val="auto"/>
          <w:spacing w:val="6"/>
          <w:sz w:val="22"/>
          <w:szCs w:val="22"/>
          <w:highlight w:val="none"/>
          <w:u w:val="single"/>
        </w:rPr>
        <w:t>（</w:t>
      </w:r>
      <w:r>
        <w:rPr>
          <w:rFonts w:hint="eastAsia" w:ascii="新宋体" w:hAnsi="新宋体" w:eastAsia="新宋体" w:cs="新宋体"/>
          <w:color w:val="auto"/>
          <w:spacing w:val="6"/>
          <w:sz w:val="22"/>
          <w:szCs w:val="22"/>
          <w:highlight w:val="none"/>
          <w:u w:val="single"/>
          <w:lang w:eastAsia="zh-CN"/>
        </w:rPr>
        <w:t>采购人</w:t>
      </w:r>
      <w:r>
        <w:rPr>
          <w:rFonts w:hint="eastAsia" w:ascii="新宋体" w:hAnsi="新宋体" w:eastAsia="新宋体" w:cs="新宋体"/>
          <w:color w:val="auto"/>
          <w:spacing w:val="6"/>
          <w:sz w:val="22"/>
          <w:szCs w:val="22"/>
          <w:highlight w:val="none"/>
          <w:u w:val="single"/>
        </w:rPr>
        <w:t>名称）</w:t>
      </w:r>
      <w:r>
        <w:rPr>
          <w:rFonts w:hint="eastAsia" w:ascii="新宋体" w:hAnsi="新宋体" w:eastAsia="新宋体" w:cs="新宋体"/>
          <w:color w:val="auto"/>
          <w:spacing w:val="6"/>
          <w:sz w:val="22"/>
          <w:szCs w:val="22"/>
          <w:highlight w:val="none"/>
        </w:rPr>
        <w:t>单位的</w:t>
      </w:r>
      <w:r>
        <w:rPr>
          <w:rFonts w:hint="eastAsia" w:ascii="新宋体" w:hAnsi="新宋体" w:eastAsia="新宋体" w:cs="新宋体"/>
          <w:color w:val="auto"/>
          <w:spacing w:val="6"/>
          <w:sz w:val="22"/>
          <w:szCs w:val="22"/>
          <w:highlight w:val="none"/>
          <w:u w:val="single"/>
        </w:rPr>
        <w:t>（招标项目名称）</w:t>
      </w:r>
      <w:r>
        <w:rPr>
          <w:rFonts w:hint="eastAsia" w:ascii="新宋体" w:hAnsi="新宋体" w:eastAsia="新宋体" w:cs="新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1C9F1E1B">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本单位对上述声明的真实性负责。如有虚假，将依法承担相应责任。</w:t>
      </w:r>
    </w:p>
    <w:p w14:paraId="0884BEBB">
      <w:pPr>
        <w:snapToGrid w:val="0"/>
        <w:spacing w:line="460" w:lineRule="exact"/>
        <w:ind w:firstLine="464" w:firstLineChars="200"/>
        <w:rPr>
          <w:rFonts w:hint="eastAsia" w:ascii="新宋体" w:hAnsi="新宋体" w:eastAsia="新宋体" w:cs="新宋体"/>
          <w:color w:val="auto"/>
          <w:spacing w:val="6"/>
          <w:sz w:val="22"/>
          <w:szCs w:val="22"/>
          <w:highlight w:val="none"/>
        </w:rPr>
      </w:pPr>
    </w:p>
    <w:p w14:paraId="40649373">
      <w:pPr>
        <w:snapToGrid w:val="0"/>
        <w:spacing w:line="460" w:lineRule="exact"/>
        <w:ind w:firstLine="464" w:firstLineChars="200"/>
        <w:rPr>
          <w:rFonts w:hint="eastAsia" w:ascii="新宋体" w:hAnsi="新宋体" w:eastAsia="新宋体" w:cs="新宋体"/>
          <w:color w:val="auto"/>
          <w:spacing w:val="6"/>
          <w:sz w:val="22"/>
          <w:szCs w:val="22"/>
          <w:highlight w:val="none"/>
        </w:rPr>
      </w:pPr>
    </w:p>
    <w:p w14:paraId="365CBD61">
      <w:pPr>
        <w:adjustRightInd w:val="0"/>
        <w:snapToGrid w:val="0"/>
        <w:spacing w:line="460" w:lineRule="exact"/>
        <w:ind w:firstLine="440" w:firstLineChars="20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投标人全称（盖章）：</w:t>
      </w:r>
      <w:r>
        <w:rPr>
          <w:rFonts w:hint="eastAsia" w:ascii="新宋体" w:hAnsi="新宋体" w:eastAsia="新宋体" w:cs="新宋体"/>
          <w:color w:val="auto"/>
          <w:kern w:val="0"/>
          <w:sz w:val="22"/>
          <w:szCs w:val="22"/>
          <w:highlight w:val="none"/>
          <w:u w:val="single"/>
        </w:rPr>
        <w:t xml:space="preserve">                    </w:t>
      </w:r>
    </w:p>
    <w:p w14:paraId="6E893C58">
      <w:pPr>
        <w:pStyle w:val="24"/>
        <w:spacing w:line="460" w:lineRule="exact"/>
        <w:ind w:left="437" w:leftChars="208"/>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74DDDE6D">
      <w:pPr>
        <w:pStyle w:val="24"/>
        <w:spacing w:line="460" w:lineRule="exact"/>
        <w:ind w:left="860" w:hanging="440"/>
        <w:rPr>
          <w:rFonts w:hint="eastAsia" w:ascii="新宋体" w:hAnsi="新宋体" w:eastAsia="新宋体" w:cs="新宋体"/>
          <w:color w:val="auto"/>
          <w:kern w:val="0"/>
          <w:sz w:val="22"/>
          <w:szCs w:val="22"/>
          <w:highlight w:val="none"/>
        </w:rPr>
      </w:pPr>
    </w:p>
    <w:p w14:paraId="7E052C1B">
      <w:pPr>
        <w:rPr>
          <w:rFonts w:hint="eastAsia" w:ascii="新宋体" w:hAnsi="新宋体" w:eastAsia="新宋体" w:cs="新宋体"/>
          <w:color w:val="auto"/>
          <w:highlight w:val="none"/>
        </w:rPr>
      </w:pPr>
    </w:p>
    <w:p w14:paraId="2669A565">
      <w:pPr>
        <w:bidi w:val="0"/>
        <w:rPr>
          <w:rFonts w:hint="eastAsia"/>
          <w:color w:val="auto"/>
          <w:highlight w:val="none"/>
        </w:rPr>
      </w:pPr>
    </w:p>
    <w:p w14:paraId="6110AB7B">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8"/>
          <w:szCs w:val="28"/>
          <w:highlight w:val="none"/>
          <w:lang w:val="en-US" w:eastAsia="zh-CN"/>
        </w:rPr>
        <w:br w:type="page"/>
      </w:r>
    </w:p>
    <w:p w14:paraId="476EE461">
      <w:pPr>
        <w:pStyle w:val="24"/>
        <w:spacing w:line="460" w:lineRule="exact"/>
        <w:ind w:left="0" w:leftChars="0"/>
        <w:outlineLvl w:val="1"/>
        <w:rPr>
          <w:rFonts w:hint="eastAsia" w:ascii="新宋体" w:hAnsi="新宋体" w:eastAsia="新宋体" w:cs="新宋体"/>
          <w:b/>
          <w:color w:val="auto"/>
          <w:sz w:val="22"/>
          <w:szCs w:val="22"/>
          <w:highlight w:val="none"/>
        </w:rPr>
      </w:pPr>
      <w:bookmarkStart w:id="30" w:name="_Toc8198"/>
      <w:r>
        <w:rPr>
          <w:rFonts w:hint="eastAsia" w:ascii="新宋体" w:hAnsi="新宋体" w:eastAsia="新宋体" w:cs="新宋体"/>
          <w:b/>
          <w:color w:val="auto"/>
          <w:sz w:val="22"/>
          <w:szCs w:val="22"/>
          <w:highlight w:val="none"/>
        </w:rPr>
        <w:t>附件三</w:t>
      </w:r>
      <w:bookmarkEnd w:id="30"/>
    </w:p>
    <w:p w14:paraId="4A0886BA">
      <w:pPr>
        <w:spacing w:line="380" w:lineRule="exact"/>
        <w:jc w:val="center"/>
        <w:outlineLvl w:val="2"/>
        <w:rPr>
          <w:rFonts w:hint="eastAsia" w:ascii="新宋体" w:hAnsi="新宋体" w:eastAsia="新宋体" w:cs="新宋体"/>
          <w:b/>
          <w:bCs/>
          <w:color w:val="auto"/>
          <w:sz w:val="28"/>
          <w:szCs w:val="28"/>
          <w:highlight w:val="none"/>
        </w:rPr>
      </w:pPr>
      <w:bookmarkStart w:id="31" w:name="_Toc5544"/>
      <w:r>
        <w:rPr>
          <w:rFonts w:hint="eastAsia" w:ascii="新宋体" w:hAnsi="新宋体" w:eastAsia="新宋体" w:cs="新宋体"/>
          <w:b/>
          <w:bCs/>
          <w:color w:val="auto"/>
          <w:sz w:val="28"/>
          <w:szCs w:val="28"/>
          <w:highlight w:val="none"/>
        </w:rPr>
        <w:t>商务技术文件</w:t>
      </w:r>
      <w:bookmarkEnd w:id="31"/>
    </w:p>
    <w:p w14:paraId="285D8230">
      <w:pPr>
        <w:spacing w:line="400" w:lineRule="exact"/>
        <w:jc w:val="center"/>
        <w:outlineLvl w:val="3"/>
        <w:rPr>
          <w:rFonts w:hint="eastAsia" w:ascii="新宋体" w:hAnsi="新宋体" w:eastAsia="新宋体" w:cs="新宋体"/>
          <w:b/>
          <w:bCs/>
          <w:color w:val="auto"/>
          <w:sz w:val="28"/>
          <w:szCs w:val="28"/>
          <w:highlight w:val="none"/>
          <w:lang w:val="zh-CN" w:eastAsia="zh-CN"/>
        </w:rPr>
      </w:pPr>
      <w:r>
        <w:rPr>
          <w:rFonts w:hint="eastAsia" w:ascii="新宋体" w:hAnsi="新宋体" w:eastAsia="新宋体" w:cs="新宋体"/>
          <w:b/>
          <w:bCs/>
          <w:color w:val="auto"/>
          <w:sz w:val="28"/>
          <w:szCs w:val="28"/>
          <w:highlight w:val="none"/>
          <w:lang w:val="en-US" w:eastAsia="zh-CN"/>
        </w:rPr>
        <w:t>1、</w:t>
      </w:r>
      <w:r>
        <w:rPr>
          <w:rFonts w:hint="eastAsia" w:ascii="新宋体" w:hAnsi="新宋体" w:eastAsia="新宋体" w:cs="新宋体"/>
          <w:b/>
          <w:bCs/>
          <w:color w:val="auto"/>
          <w:sz w:val="28"/>
          <w:szCs w:val="28"/>
          <w:highlight w:val="none"/>
          <w:lang w:val="zh-CN" w:eastAsia="zh-CN"/>
        </w:rPr>
        <w:t>投标</w:t>
      </w:r>
      <w:r>
        <w:rPr>
          <w:rFonts w:hint="eastAsia" w:ascii="新宋体" w:hAnsi="新宋体" w:eastAsia="新宋体" w:cs="新宋体"/>
          <w:b/>
          <w:bCs/>
          <w:color w:val="auto"/>
          <w:sz w:val="28"/>
          <w:szCs w:val="28"/>
          <w:highlight w:val="none"/>
          <w:lang w:val="en-US" w:eastAsia="zh-CN"/>
        </w:rPr>
        <w:t>响应</w:t>
      </w:r>
      <w:r>
        <w:rPr>
          <w:rFonts w:hint="eastAsia" w:ascii="新宋体" w:hAnsi="新宋体" w:eastAsia="新宋体" w:cs="新宋体"/>
          <w:b/>
          <w:bCs/>
          <w:color w:val="auto"/>
          <w:sz w:val="28"/>
          <w:szCs w:val="28"/>
          <w:highlight w:val="none"/>
          <w:lang w:val="zh-CN" w:eastAsia="zh-CN"/>
        </w:rPr>
        <w:t>函</w:t>
      </w:r>
    </w:p>
    <w:p w14:paraId="63B6E8F8">
      <w:pPr>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致：</w:t>
      </w:r>
      <w:r>
        <w:rPr>
          <w:rFonts w:hint="eastAsia" w:ascii="新宋体" w:hAnsi="新宋体" w:eastAsia="新宋体" w:cs="新宋体"/>
          <w:color w:val="auto"/>
          <w:sz w:val="22"/>
          <w:szCs w:val="22"/>
          <w:highlight w:val="none"/>
          <w:lang w:eastAsia="zh-CN"/>
        </w:rPr>
        <w:t>温州市中医院</w:t>
      </w:r>
    </w:p>
    <w:p w14:paraId="2B3322E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根据贵方为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项目（项目编号：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color w:val="auto"/>
          <w:sz w:val="22"/>
          <w:szCs w:val="22"/>
          <w:highlight w:val="none"/>
        </w:rPr>
        <w:t>）的投标邀请，我方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（投标人名称）作为投标人正式授权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（授权代表全名，职务）代表我方处理有关本投标的一切事宜。为此：</w:t>
      </w:r>
    </w:p>
    <w:p w14:paraId="786A211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1、我方同意在投标人编制和提交投标文件须知规定的开标日期起遵守本投标书中的承诺且在投标有效期满之前均具有约束力。</w:t>
      </w:r>
    </w:p>
    <w:p w14:paraId="6C87FBD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2、我方承诺已经具备《中华人民共和国政府采购法》中规定的参加政府采购活动的投标人应当具备的条件：</w:t>
      </w:r>
    </w:p>
    <w:p w14:paraId="1CE3875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（1）具有独立承担民事责任的能力；</w:t>
      </w:r>
    </w:p>
    <w:p w14:paraId="2FB4668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（2）遵守国家法律、行政法规，具有良好的信誉和商业道德；</w:t>
      </w:r>
    </w:p>
    <w:p w14:paraId="0374585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（3）具有履行合同的能力和良好的履行合同记录；</w:t>
      </w:r>
    </w:p>
    <w:p w14:paraId="29B04CC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（4）良好的资金、财务状况；</w:t>
      </w:r>
    </w:p>
    <w:p w14:paraId="14FD9B4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（5）提供的产品和服务符合中国政府规定的相应标准和环保标准；</w:t>
      </w:r>
    </w:p>
    <w:p w14:paraId="5CD990E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（6）没有违反政府采购法规、政策的记录；</w:t>
      </w:r>
    </w:p>
    <w:p w14:paraId="4CAFAA8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（7）没有发生重大经济纠纷和走私犯罪记录。</w:t>
      </w:r>
    </w:p>
    <w:p w14:paraId="76C0143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3、提供编制和提交投标文件须知规定的全部投标文件，包括资格文件、报价文件、商务技术文件。具体内容为：</w:t>
      </w:r>
    </w:p>
    <w:p w14:paraId="11683AC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（1）资格文件</w:t>
      </w:r>
    </w:p>
    <w:p w14:paraId="511350F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（2）报价文件；</w:t>
      </w:r>
    </w:p>
    <w:p w14:paraId="7D16DA5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商务技术文件</w:t>
      </w:r>
      <w:r>
        <w:rPr>
          <w:rFonts w:hint="eastAsia" w:ascii="新宋体" w:hAnsi="新宋体" w:eastAsia="新宋体" w:cs="新宋体"/>
          <w:color w:val="auto"/>
          <w:sz w:val="22"/>
          <w:szCs w:val="22"/>
          <w:highlight w:val="none"/>
        </w:rPr>
        <w:t>；</w:t>
      </w:r>
    </w:p>
    <w:p w14:paraId="3791FD3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（4）编制和提交投标文件须知要求投标人提交的全部文件；</w:t>
      </w:r>
    </w:p>
    <w:p w14:paraId="21365E6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（5）按</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要求提供和交付的货物和服务的投标报价详见开标一览表；</w:t>
      </w:r>
    </w:p>
    <w:p w14:paraId="223A55F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（6）保证忠实地执行双方所签订的合同，并承担合同规定的责任和义务；</w:t>
      </w:r>
    </w:p>
    <w:p w14:paraId="698C44E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（7）保证遵守</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中的其他有关规定。</w:t>
      </w:r>
    </w:p>
    <w:p w14:paraId="42E96D6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4、投标有效期内不撤销投标文件，如中标，有效期将延至合同终止日为止。</w:t>
      </w:r>
    </w:p>
    <w:p w14:paraId="395146E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5、我方完全理解贵方不一定要接受最低价的投标。</w:t>
      </w:r>
    </w:p>
    <w:p w14:paraId="3ECF793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6、如中标，按</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规定与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签订合同。如拒绝签订合同，承诺按本项目预算金额的2%对</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进行赔偿；赔偿金额不足以弥补</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损失的，承诺继续承担超过部分的损失。</w:t>
      </w:r>
    </w:p>
    <w:p w14:paraId="225BA3D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7、如中标，按</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规定的招标代理服务费标准，在领取中标通知书时向</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支付招标代理服务费。</w:t>
      </w:r>
    </w:p>
    <w:p w14:paraId="4BB371C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8、我方愿意向贵方提供任何与该项投标有关的数据、情况和服务资料。若贵方需要，我方愿意提供我方作出的一切承诺的证明材料。</w:t>
      </w:r>
    </w:p>
    <w:p w14:paraId="1960B25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9、我方已详细审核全部</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，包括</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修改书（如有的话）、参考资料及有关附件，确认无误。我方完全理解并接受</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的各项规定和要求，对</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的合理性、合法性不再有异议。</w:t>
      </w:r>
    </w:p>
    <w:p w14:paraId="62462A6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063A40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（1）提供虚假材料谋取中标、成交的；</w:t>
      </w:r>
    </w:p>
    <w:p w14:paraId="3400448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（2）采取不正当手段诋毁、排挤其他投标人的；</w:t>
      </w:r>
    </w:p>
    <w:p w14:paraId="6F722BF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、其它投标人或者</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恶意串通的；</w:t>
      </w:r>
    </w:p>
    <w:p w14:paraId="5E6E49E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行贿或者提供其他不正当利益的；</w:t>
      </w:r>
    </w:p>
    <w:p w14:paraId="308D1CF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（5）在招标采购过程中与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进行协商谈判的；</w:t>
      </w:r>
    </w:p>
    <w:p w14:paraId="2B5181A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（6）拒绝有关部门监督检查或提供虚假情况的。</w:t>
      </w:r>
    </w:p>
    <w:p w14:paraId="0E3DE0A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投标人有前款第（1）至（5）项情形之一的，中标、成交无效。</w:t>
      </w:r>
    </w:p>
    <w:p w14:paraId="51D833C4">
      <w:pPr>
        <w:spacing w:line="460" w:lineRule="exact"/>
        <w:rPr>
          <w:rFonts w:hint="eastAsia" w:ascii="新宋体" w:hAnsi="新宋体" w:eastAsia="新宋体" w:cs="新宋体"/>
          <w:color w:val="auto"/>
          <w:sz w:val="22"/>
          <w:szCs w:val="22"/>
          <w:highlight w:val="none"/>
          <w:lang w:val="zh-CN"/>
        </w:rPr>
      </w:pPr>
    </w:p>
    <w:p w14:paraId="3243B7FE">
      <w:pPr>
        <w:keepNext w:val="0"/>
        <w:keepLines w:val="0"/>
        <w:pageBreakBefore w:val="0"/>
        <w:widowControl/>
        <w:kinsoku/>
        <w:wordWrap/>
        <w:overflowPunct/>
        <w:topLinePunct w:val="0"/>
        <w:autoSpaceDE/>
        <w:autoSpaceDN/>
        <w:bidi w:val="0"/>
        <w:adjustRightInd/>
        <w:spacing w:line="460" w:lineRule="exact"/>
        <w:textAlignment w:val="auto"/>
        <w:rPr>
          <w:rFonts w:hint="default" w:ascii="新宋体" w:hAnsi="新宋体" w:eastAsia="新宋体" w:cs="新宋体"/>
          <w:color w:val="auto"/>
          <w:kern w:val="0"/>
          <w:sz w:val="22"/>
          <w:szCs w:val="22"/>
          <w:highlight w:val="none"/>
          <w:u w:val="single"/>
          <w:lang w:val="en-US" w:eastAsia="zh-CN"/>
        </w:rPr>
      </w:pPr>
      <w:r>
        <w:rPr>
          <w:rFonts w:hint="eastAsia" w:ascii="新宋体" w:hAnsi="新宋体" w:eastAsia="新宋体" w:cs="新宋体"/>
          <w:color w:val="auto"/>
          <w:kern w:val="0"/>
          <w:sz w:val="22"/>
          <w:szCs w:val="22"/>
          <w:highlight w:val="none"/>
          <w:lang w:eastAsia="zh-CN"/>
        </w:rPr>
        <w:t>投标人全称（盖章） ：</w:t>
      </w:r>
      <w:r>
        <w:rPr>
          <w:rFonts w:hint="eastAsia" w:ascii="新宋体" w:hAnsi="新宋体" w:eastAsia="新宋体" w:cs="新宋体"/>
          <w:color w:val="auto"/>
          <w:kern w:val="0"/>
          <w:sz w:val="22"/>
          <w:szCs w:val="22"/>
          <w:highlight w:val="none"/>
          <w:u w:val="single"/>
          <w:lang w:val="en-US" w:eastAsia="zh-CN"/>
        </w:rPr>
        <w:t xml:space="preserve">                                                </w:t>
      </w:r>
    </w:p>
    <w:p w14:paraId="0D7D1FA8">
      <w:pPr>
        <w:keepNext w:val="0"/>
        <w:keepLines w:val="0"/>
        <w:pageBreakBefore w:val="0"/>
        <w:widowControl/>
        <w:kinsoku/>
        <w:wordWrap/>
        <w:overflowPunct/>
        <w:topLinePunct w:val="0"/>
        <w:autoSpaceDE/>
        <w:autoSpaceDN/>
        <w:bidi w:val="0"/>
        <w:adjustRightInd/>
        <w:spacing w:line="460" w:lineRule="exact"/>
        <w:textAlignment w:val="auto"/>
        <w:rPr>
          <w:rFonts w:hint="default" w:ascii="新宋体" w:hAnsi="新宋体" w:eastAsia="新宋体" w:cs="新宋体"/>
          <w:color w:val="auto"/>
          <w:kern w:val="0"/>
          <w:sz w:val="22"/>
          <w:szCs w:val="22"/>
          <w:highlight w:val="none"/>
          <w:u w:val="single"/>
          <w:lang w:val="en-US" w:eastAsia="zh-CN"/>
        </w:rPr>
      </w:pPr>
      <w:r>
        <w:rPr>
          <w:rFonts w:hint="eastAsia" w:ascii="新宋体" w:hAnsi="新宋体" w:eastAsia="新宋体" w:cs="新宋体"/>
          <w:color w:val="auto"/>
          <w:kern w:val="0"/>
          <w:sz w:val="22"/>
          <w:szCs w:val="22"/>
          <w:highlight w:val="none"/>
        </w:rPr>
        <w:t>法定代表人或其授权代表（签字或盖章）：</w:t>
      </w:r>
      <w:r>
        <w:rPr>
          <w:rFonts w:hint="eastAsia" w:ascii="新宋体" w:hAnsi="新宋体" w:eastAsia="新宋体" w:cs="新宋体"/>
          <w:color w:val="auto"/>
          <w:kern w:val="0"/>
          <w:sz w:val="22"/>
          <w:szCs w:val="22"/>
          <w:highlight w:val="none"/>
          <w:u w:val="single"/>
          <w:lang w:val="en-US" w:eastAsia="zh-CN"/>
        </w:rPr>
        <w:t xml:space="preserve">                               </w:t>
      </w:r>
    </w:p>
    <w:p w14:paraId="135B467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lang w:val="zh-CN"/>
        </w:rPr>
        <w:t>联系电话：</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传真：</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电子邮件：</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p>
    <w:p w14:paraId="5ED086A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联系地址：</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ab/>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p>
    <w:p w14:paraId="06D3A595">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邮政编码：</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 xml:space="preserve"> </w:t>
      </w:r>
    </w:p>
    <w:p w14:paraId="3CC75896">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日</w:t>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val="zh-CN"/>
        </w:rPr>
        <w:t>期</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lang w:val="zh-CN"/>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lang w:val="zh-CN"/>
        </w:rPr>
        <w:t>月</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日</w:t>
      </w:r>
    </w:p>
    <w:p w14:paraId="235A4932">
      <w:pPr>
        <w:spacing w:line="46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注：未按照本投标响应函要求填报的将被视为非实质性响应，从而可能导致该投标文件被拒绝。</w:t>
      </w:r>
    </w:p>
    <w:p w14:paraId="31D27155">
      <w:pPr>
        <w:pStyle w:val="24"/>
        <w:ind w:left="862" w:hanging="442"/>
        <w:rPr>
          <w:rFonts w:hint="eastAsia" w:ascii="新宋体" w:hAnsi="新宋体" w:eastAsia="新宋体" w:cs="新宋体"/>
          <w:b/>
          <w:bCs/>
          <w:color w:val="auto"/>
          <w:kern w:val="0"/>
          <w:sz w:val="22"/>
          <w:szCs w:val="22"/>
          <w:highlight w:val="none"/>
          <w:lang w:val="zh-CN"/>
        </w:rPr>
      </w:pPr>
    </w:p>
    <w:p w14:paraId="2938947B">
      <w:pPr>
        <w:pStyle w:val="24"/>
        <w:ind w:left="862" w:hanging="442"/>
        <w:rPr>
          <w:rFonts w:hint="eastAsia" w:ascii="新宋体" w:hAnsi="新宋体" w:eastAsia="新宋体" w:cs="新宋体"/>
          <w:b/>
          <w:bCs/>
          <w:color w:val="auto"/>
          <w:kern w:val="0"/>
          <w:sz w:val="22"/>
          <w:szCs w:val="22"/>
          <w:highlight w:val="none"/>
          <w:lang w:val="zh-CN"/>
        </w:rPr>
      </w:pPr>
    </w:p>
    <w:p w14:paraId="41BC37B0">
      <w:pPr>
        <w:pStyle w:val="24"/>
        <w:ind w:left="862" w:hanging="442"/>
        <w:rPr>
          <w:rFonts w:hint="eastAsia" w:ascii="新宋体" w:hAnsi="新宋体" w:eastAsia="新宋体" w:cs="新宋体"/>
          <w:b/>
          <w:bCs/>
          <w:color w:val="auto"/>
          <w:kern w:val="0"/>
          <w:sz w:val="22"/>
          <w:szCs w:val="22"/>
          <w:highlight w:val="none"/>
          <w:lang w:val="zh-CN"/>
        </w:rPr>
      </w:pPr>
    </w:p>
    <w:p w14:paraId="3E11F2B1">
      <w:pPr>
        <w:pStyle w:val="24"/>
        <w:ind w:left="862" w:hanging="442"/>
        <w:rPr>
          <w:rFonts w:hint="eastAsia" w:ascii="新宋体" w:hAnsi="新宋体" w:eastAsia="新宋体" w:cs="新宋体"/>
          <w:b/>
          <w:bCs/>
          <w:color w:val="auto"/>
          <w:kern w:val="0"/>
          <w:sz w:val="22"/>
          <w:szCs w:val="22"/>
          <w:highlight w:val="none"/>
          <w:lang w:val="zh-CN"/>
        </w:rPr>
      </w:pPr>
    </w:p>
    <w:p w14:paraId="4B18A4AF">
      <w:pP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br w:type="page"/>
      </w:r>
    </w:p>
    <w:p w14:paraId="77C4C8FA">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2、法定代表人授权书</w:t>
      </w:r>
    </w:p>
    <w:p w14:paraId="73561D2B">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温州市中医院</w:t>
      </w:r>
      <w:r>
        <w:rPr>
          <w:rFonts w:hint="eastAsia" w:ascii="新宋体" w:hAnsi="新宋体" w:eastAsia="新宋体" w:cs="新宋体"/>
          <w:color w:val="auto"/>
          <w:sz w:val="22"/>
          <w:szCs w:val="22"/>
          <w:highlight w:val="none"/>
        </w:rPr>
        <w:t>：</w:t>
      </w:r>
    </w:p>
    <w:p w14:paraId="45C16B8C">
      <w:pPr>
        <w:spacing w:line="460" w:lineRule="exact"/>
        <w:rPr>
          <w:rFonts w:hint="eastAsia" w:ascii="新宋体" w:hAnsi="新宋体" w:eastAsia="新宋体" w:cs="新宋体"/>
          <w:color w:val="auto"/>
          <w:sz w:val="22"/>
          <w:szCs w:val="22"/>
          <w:highlight w:val="none"/>
          <w:u w:val="single"/>
        </w:rPr>
      </w:pPr>
    </w:p>
    <w:p w14:paraId="42607406">
      <w:pPr>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（投标人全称）法定代表人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（全权代表姓名）为全权代表，参加贵处组织的（项目名称：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）的招标活动，全权代表我方处理招标活动中的一切事宜。</w:t>
      </w:r>
    </w:p>
    <w:p w14:paraId="3B21C7E4">
      <w:pPr>
        <w:spacing w:line="460" w:lineRule="exact"/>
        <w:ind w:firstLine="2955"/>
        <w:rPr>
          <w:rFonts w:hint="eastAsia" w:ascii="新宋体" w:hAnsi="新宋体" w:eastAsia="新宋体" w:cs="新宋体"/>
          <w:color w:val="auto"/>
          <w:sz w:val="22"/>
          <w:szCs w:val="22"/>
          <w:highlight w:val="none"/>
        </w:rPr>
      </w:pPr>
    </w:p>
    <w:p w14:paraId="7945B38C">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4F482FAA">
      <w:pPr>
        <w:keepNext w:val="0"/>
        <w:keepLines w:val="0"/>
        <w:pageBreakBefore w:val="0"/>
        <w:widowControl w:val="0"/>
        <w:kinsoku/>
        <w:wordWrap/>
        <w:overflowPunct/>
        <w:topLinePunct w:val="0"/>
        <w:autoSpaceDE/>
        <w:autoSpaceDN/>
        <w:bidi w:val="0"/>
        <w:adjustRightInd/>
        <w:snapToGrid/>
        <w:spacing w:line="460" w:lineRule="exact"/>
        <w:ind w:firstLine="3740" w:firstLineChars="17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val="0"/>
          <w:color w:val="auto"/>
          <w:sz w:val="22"/>
          <w:szCs w:val="22"/>
          <w:highlight w:val="none"/>
        </w:rPr>
        <w:t>法定代表人</w:t>
      </w:r>
      <w:r>
        <w:rPr>
          <w:rFonts w:hint="eastAsia" w:ascii="新宋体" w:hAnsi="新宋体" w:eastAsia="新宋体" w:cs="新宋体"/>
          <w:b/>
          <w:bCs/>
          <w:color w:val="auto"/>
          <w:sz w:val="22"/>
          <w:szCs w:val="22"/>
          <w:highlight w:val="none"/>
        </w:rPr>
        <w:t>（法定代表人签字或盖法定代表人名章）：</w:t>
      </w:r>
    </w:p>
    <w:p w14:paraId="70FE61B6">
      <w:pPr>
        <w:keepNext w:val="0"/>
        <w:keepLines w:val="0"/>
        <w:pageBreakBefore w:val="0"/>
        <w:widowControl w:val="0"/>
        <w:kinsoku/>
        <w:wordWrap/>
        <w:overflowPunct/>
        <w:topLinePunct w:val="0"/>
        <w:autoSpaceDE/>
        <w:autoSpaceDN/>
        <w:bidi w:val="0"/>
        <w:adjustRightInd/>
        <w:snapToGrid/>
        <w:spacing w:line="460" w:lineRule="exact"/>
        <w:ind w:firstLine="3740" w:firstLineChars="17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投标人全称（公章）：</w:t>
      </w:r>
    </w:p>
    <w:p w14:paraId="5B76CBAE">
      <w:pPr>
        <w:keepNext w:val="0"/>
        <w:keepLines w:val="0"/>
        <w:pageBreakBefore w:val="0"/>
        <w:widowControl w:val="0"/>
        <w:kinsoku/>
        <w:wordWrap/>
        <w:overflowPunct/>
        <w:topLinePunct w:val="0"/>
        <w:autoSpaceDE/>
        <w:autoSpaceDN/>
        <w:bidi w:val="0"/>
        <w:adjustRightInd/>
        <w:snapToGrid/>
        <w:spacing w:line="460" w:lineRule="exact"/>
        <w:ind w:firstLine="3740" w:firstLineChars="17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tbl>
      <w:tblPr>
        <w:tblStyle w:val="54"/>
        <w:tblpPr w:leftFromText="180" w:rightFromText="180" w:vertAnchor="text" w:horzAnchor="page" w:tblpX="1230" w:tblpY="26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14:paraId="0668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9629" w:type="dxa"/>
            <w:vAlign w:val="center"/>
          </w:tcPr>
          <w:p w14:paraId="4AFBF12D">
            <w:pPr>
              <w:pStyle w:val="24"/>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b/>
                <w:bCs/>
                <w:color w:val="auto"/>
                <w:sz w:val="28"/>
                <w:szCs w:val="28"/>
                <w:highlight w:val="none"/>
                <w:u w:val="single"/>
                <w:vertAlign w:val="baseline"/>
                <w:lang w:val="en-US" w:eastAsia="zh-CN"/>
              </w:rPr>
              <w:t>注意事项：上处由</w:t>
            </w:r>
            <w:r>
              <w:rPr>
                <w:rFonts w:hint="eastAsia" w:ascii="新宋体" w:hAnsi="新宋体" w:eastAsia="新宋体" w:cs="新宋体"/>
                <w:b/>
                <w:bCs/>
                <w:color w:val="auto"/>
                <w:sz w:val="40"/>
                <w:szCs w:val="40"/>
                <w:highlight w:val="none"/>
                <w:u w:val="single"/>
                <w:vertAlign w:val="baseline"/>
                <w:lang w:val="en-US" w:eastAsia="zh-CN"/>
              </w:rPr>
              <w:t>法定代表人</w:t>
            </w:r>
            <w:r>
              <w:rPr>
                <w:rFonts w:hint="eastAsia" w:ascii="新宋体" w:hAnsi="新宋体" w:eastAsia="新宋体" w:cs="新宋体"/>
                <w:b/>
                <w:bCs/>
                <w:color w:val="auto"/>
                <w:sz w:val="28"/>
                <w:szCs w:val="28"/>
                <w:highlight w:val="none"/>
                <w:u w:val="single"/>
                <w:vertAlign w:val="baseline"/>
                <w:lang w:val="en-US" w:eastAsia="zh-CN"/>
              </w:rPr>
              <w:t>签字或盖</w:t>
            </w:r>
            <w:r>
              <w:rPr>
                <w:rFonts w:hint="eastAsia" w:ascii="新宋体" w:hAnsi="新宋体" w:eastAsia="新宋体" w:cs="新宋体"/>
                <w:b/>
                <w:bCs/>
                <w:color w:val="auto"/>
                <w:sz w:val="40"/>
                <w:szCs w:val="40"/>
                <w:highlight w:val="none"/>
                <w:u w:val="single"/>
                <w:vertAlign w:val="baseline"/>
                <w:lang w:val="en-US" w:eastAsia="zh-CN"/>
              </w:rPr>
              <w:t>法定代表人</w:t>
            </w:r>
            <w:r>
              <w:rPr>
                <w:rFonts w:hint="eastAsia" w:ascii="新宋体" w:hAnsi="新宋体" w:eastAsia="新宋体" w:cs="新宋体"/>
                <w:b/>
                <w:bCs/>
                <w:color w:val="auto"/>
                <w:sz w:val="28"/>
                <w:szCs w:val="28"/>
                <w:highlight w:val="none"/>
                <w:u w:val="single"/>
                <w:vertAlign w:val="baseline"/>
                <w:lang w:val="en-US" w:eastAsia="zh-CN"/>
              </w:rPr>
              <w:t>名章</w:t>
            </w:r>
          </w:p>
        </w:tc>
      </w:tr>
    </w:tbl>
    <w:p w14:paraId="3A4DED69">
      <w:pPr>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8"/>
          <w:highlight w:val="none"/>
        </w:rPr>
        <mc:AlternateContent>
          <mc:Choice Requires="wps">
            <w:drawing>
              <wp:anchor distT="0" distB="0" distL="114300" distR="114300" simplePos="0" relativeHeight="251662336" behindDoc="0" locked="0" layoutInCell="1" allowOverlap="1">
                <wp:simplePos x="0" y="0"/>
                <wp:positionH relativeFrom="column">
                  <wp:posOffset>5811520</wp:posOffset>
                </wp:positionH>
                <wp:positionV relativeFrom="paragraph">
                  <wp:posOffset>132080</wp:posOffset>
                </wp:positionV>
                <wp:extent cx="156210" cy="468630"/>
                <wp:effectExtent l="12700" t="12700" r="21590" b="13970"/>
                <wp:wrapNone/>
                <wp:docPr id="8" name="上箭头 8"/>
                <wp:cNvGraphicFramePr/>
                <a:graphic xmlns:a="http://schemas.openxmlformats.org/drawingml/2006/main">
                  <a:graphicData uri="http://schemas.microsoft.com/office/word/2010/wordprocessingShape">
                    <wps:wsp>
                      <wps:cNvSpPr/>
                      <wps:spPr>
                        <a:xfrm>
                          <a:off x="6586220" y="4848860"/>
                          <a:ext cx="156210" cy="468630"/>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8" type="#_x0000_t68" style="position:absolute;left:0pt;margin-left:457.6pt;margin-top:10.4pt;height:36.9pt;width:12.3pt;z-index:251662336;v-text-anchor:middle;mso-width-relative:page;mso-height-relative:page;" fillcolor="#000000 [3200]" filled="t" stroked="t" coordsize="21600,21600" o:gfxdata="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0ZJrwNgAAAAJAQAADwAAAAAAAAABACAA&#10;AAAiAAAAZHJzL2Rvd25yZXYueG1sUEsBAhQAFAAAAAgAh07iQHeI8jB/AgAADwUAAA4AAAAAAAAA&#10;AQAgAAAAJwEAAGRycy9lMm9Eb2MueG1sUEsFBgAAAAAGAAYAWQEAABgGAAAAAA==&#10;" adj="3600,5400">
                <v:fill on="t" focussize="0,0"/>
                <v:stroke weight="2pt" color="#000000 [3200]" joinstyle="round"/>
                <v:imagedata o:title=""/>
                <o:lock v:ext="edit" aspectratio="f"/>
              </v:shape>
            </w:pict>
          </mc:Fallback>
        </mc:AlternateContent>
      </w:r>
    </w:p>
    <w:p w14:paraId="73F2DDFB">
      <w:pPr>
        <w:bidi w:val="0"/>
        <w:rPr>
          <w:rFonts w:hint="eastAsia" w:ascii="新宋体" w:hAnsi="新宋体" w:eastAsia="新宋体" w:cs="新宋体"/>
          <w:color w:val="auto"/>
          <w:highlight w:val="none"/>
        </w:rPr>
      </w:pPr>
    </w:p>
    <w:p w14:paraId="624F32C1">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w:t>
      </w:r>
    </w:p>
    <w:p w14:paraId="19D6D06F">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 xml:space="preserve">授权代表姓名：  </w:t>
      </w:r>
    </w:p>
    <w:p w14:paraId="3731F166">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职务：</w:t>
      </w:r>
    </w:p>
    <w:p w14:paraId="5EE6C777">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详细通讯地址：</w:t>
      </w:r>
    </w:p>
    <w:p w14:paraId="4DA16ED1">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电话：</w:t>
      </w:r>
    </w:p>
    <w:p w14:paraId="7F31497E">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传真：</w:t>
      </w:r>
    </w:p>
    <w:p w14:paraId="7B1E48ED">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p w14:paraId="67A456EE">
      <w:pPr>
        <w:pStyle w:val="9"/>
        <w:ind w:firstLine="440"/>
        <w:rPr>
          <w:rFonts w:hint="eastAsia" w:ascii="新宋体" w:hAnsi="新宋体" w:eastAsia="新宋体" w:cs="新宋体"/>
          <w:color w:val="auto"/>
          <w:sz w:val="22"/>
          <w:szCs w:val="22"/>
          <w:highlight w:val="none"/>
        </w:rPr>
      </w:pPr>
    </w:p>
    <w:p w14:paraId="7FF916C7">
      <w:pPr>
        <w:rPr>
          <w:rFonts w:hint="eastAsia" w:ascii="新宋体" w:hAnsi="新宋体" w:eastAsia="新宋体" w:cs="新宋体"/>
          <w:color w:val="auto"/>
          <w:sz w:val="22"/>
          <w:szCs w:val="22"/>
          <w:highlight w:val="none"/>
        </w:rPr>
      </w:pPr>
    </w:p>
    <w:p w14:paraId="7CBF1575">
      <w:pPr>
        <w:pStyle w:val="9"/>
        <w:ind w:firstLine="440"/>
        <w:rPr>
          <w:rFonts w:hint="eastAsia" w:ascii="新宋体" w:hAnsi="新宋体" w:eastAsia="新宋体" w:cs="新宋体"/>
          <w:color w:val="auto"/>
          <w:sz w:val="22"/>
          <w:szCs w:val="22"/>
          <w:highlight w:val="none"/>
        </w:rPr>
      </w:pPr>
    </w:p>
    <w:p w14:paraId="3BFE4488">
      <w:pPr>
        <w:rPr>
          <w:rFonts w:hint="eastAsia" w:ascii="新宋体" w:hAnsi="新宋体" w:eastAsia="新宋体" w:cs="新宋体"/>
          <w:color w:val="auto"/>
          <w:sz w:val="22"/>
          <w:szCs w:val="22"/>
          <w:highlight w:val="none"/>
        </w:rPr>
      </w:pPr>
    </w:p>
    <w:p w14:paraId="6C7C6378">
      <w:pPr>
        <w:pStyle w:val="9"/>
        <w:ind w:firstLine="440"/>
        <w:rPr>
          <w:rFonts w:hint="eastAsia" w:ascii="新宋体" w:hAnsi="新宋体" w:eastAsia="新宋体" w:cs="新宋体"/>
          <w:color w:val="auto"/>
          <w:sz w:val="22"/>
          <w:szCs w:val="22"/>
          <w:highlight w:val="none"/>
        </w:rPr>
      </w:pPr>
    </w:p>
    <w:p w14:paraId="72F75FAB">
      <w:pPr>
        <w:rPr>
          <w:rFonts w:hint="eastAsia" w:ascii="新宋体" w:hAnsi="新宋体" w:eastAsia="新宋体" w:cs="新宋体"/>
          <w:color w:val="auto"/>
          <w:sz w:val="22"/>
          <w:szCs w:val="22"/>
          <w:highlight w:val="none"/>
        </w:rPr>
      </w:pPr>
    </w:p>
    <w:p w14:paraId="11F506A8">
      <w:pPr>
        <w:pStyle w:val="9"/>
        <w:ind w:firstLine="440"/>
        <w:rPr>
          <w:rFonts w:hint="eastAsia" w:ascii="新宋体" w:hAnsi="新宋体" w:eastAsia="新宋体" w:cs="新宋体"/>
          <w:color w:val="auto"/>
          <w:sz w:val="22"/>
          <w:szCs w:val="22"/>
          <w:highlight w:val="none"/>
        </w:rPr>
      </w:pPr>
    </w:p>
    <w:p w14:paraId="4FBA7811">
      <w:pPr>
        <w:rPr>
          <w:rFonts w:hint="eastAsia" w:ascii="新宋体" w:hAnsi="新宋体" w:eastAsia="新宋体" w:cs="新宋体"/>
          <w:color w:val="auto"/>
          <w:highlight w:val="none"/>
        </w:rPr>
      </w:pPr>
    </w:p>
    <w:p w14:paraId="2999EAC6">
      <w:pPr>
        <w:pStyle w:val="9"/>
        <w:ind w:firstLine="440"/>
        <w:rPr>
          <w:rFonts w:hint="eastAsia" w:ascii="新宋体" w:hAnsi="新宋体" w:eastAsia="新宋体" w:cs="新宋体"/>
          <w:color w:val="auto"/>
          <w:sz w:val="22"/>
          <w:szCs w:val="22"/>
          <w:highlight w:val="none"/>
        </w:rPr>
      </w:pPr>
    </w:p>
    <w:p w14:paraId="12B87A47">
      <w:pPr>
        <w:rPr>
          <w:rFonts w:hint="eastAsia" w:ascii="新宋体" w:hAnsi="新宋体" w:eastAsia="新宋体" w:cs="新宋体"/>
          <w:color w:val="auto"/>
          <w:sz w:val="22"/>
          <w:szCs w:val="22"/>
          <w:highlight w:val="none"/>
        </w:rPr>
      </w:pPr>
    </w:p>
    <w:p w14:paraId="41AB69C6">
      <w:pPr>
        <w:pStyle w:val="24"/>
        <w:ind w:left="860" w:hanging="440"/>
        <w:rPr>
          <w:rFonts w:hint="eastAsia" w:ascii="新宋体" w:hAnsi="新宋体" w:eastAsia="新宋体" w:cs="新宋体"/>
          <w:color w:val="auto"/>
          <w:sz w:val="22"/>
          <w:szCs w:val="22"/>
          <w:highlight w:val="none"/>
        </w:rPr>
      </w:pPr>
    </w:p>
    <w:p w14:paraId="0D553EB4">
      <w:pPr>
        <w:pStyle w:val="24"/>
        <w:ind w:left="860" w:hanging="440"/>
        <w:rPr>
          <w:rFonts w:hint="eastAsia" w:ascii="新宋体" w:hAnsi="新宋体" w:eastAsia="新宋体" w:cs="新宋体"/>
          <w:color w:val="auto"/>
          <w:sz w:val="22"/>
          <w:szCs w:val="22"/>
          <w:highlight w:val="none"/>
        </w:rPr>
      </w:pPr>
    </w:p>
    <w:p w14:paraId="32ED5C0A">
      <w:pPr>
        <w:pStyle w:val="24"/>
        <w:ind w:left="860" w:hanging="440"/>
        <w:rPr>
          <w:rFonts w:hint="eastAsia" w:ascii="新宋体" w:hAnsi="新宋体" w:eastAsia="新宋体" w:cs="新宋体"/>
          <w:color w:val="auto"/>
          <w:sz w:val="22"/>
          <w:szCs w:val="22"/>
          <w:highlight w:val="none"/>
        </w:rPr>
      </w:pPr>
    </w:p>
    <w:p w14:paraId="4B256D89">
      <w:pPr>
        <w:rPr>
          <w:rFonts w:hint="eastAsia" w:ascii="新宋体" w:hAnsi="新宋体" w:eastAsia="新宋体" w:cs="新宋体"/>
          <w:color w:val="auto"/>
          <w:highlight w:val="none"/>
        </w:rPr>
      </w:pPr>
    </w:p>
    <w:p w14:paraId="6CFCDE38">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54115" cy="3004185"/>
                        </a:xfrm>
                        <a:prstGeom prst="rect">
                          <a:avLst/>
                        </a:prstGeom>
                        <a:solidFill>
                          <a:srgbClr val="FFFFFF"/>
                        </a:solidFill>
                        <a:ln w="9525" cmpd="sng">
                          <a:solidFill>
                            <a:srgbClr val="000000"/>
                          </a:solidFill>
                          <a:miter lim="800000"/>
                        </a:ln>
                        <a:effectLst/>
                      </wps:spPr>
                      <wps:txbx>
                        <w:txbxContent>
                          <w:p w14:paraId="13DEA969">
                            <w:r>
                              <w:rPr>
                                <w:rFonts w:hint="eastAsia" w:ascii="新宋体" w:hAnsi="新宋体" w:eastAsia="新宋体"/>
                                <w:sz w:val="22"/>
                                <w:szCs w:val="22"/>
                              </w:rPr>
                              <w:t xml:space="preserve">  法定代表人身份证（正反面）：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X3CNo2AAAAAoBAAAPAAAA&#10;AAAAAAEAIAAAACIAAABkcnMvZG93bnJldi54bWxQSwECFAAUAAAACACHTuJAdbpxhU4CAAChBAAA&#10;DgAAAAAAAAABACAAAAAnAQAAZHJzL2Uyb0RvYy54bWxQSwUGAAAAAAYABgBZAQAA5wUAAAAA&#10;">
                <v:fill on="t" focussize="0,0"/>
                <v:stroke color="#000000" miterlimit="8" joinstyle="miter"/>
                <v:imagedata o:title=""/>
                <o:lock v:ext="edit" aspectratio="f"/>
                <v:textbox>
                  <w:txbxContent>
                    <w:p w14:paraId="13DEA969">
                      <w:r>
                        <w:rPr>
                          <w:rFonts w:hint="eastAsia" w:ascii="新宋体" w:hAnsi="新宋体" w:eastAsia="新宋体"/>
                          <w:sz w:val="22"/>
                          <w:szCs w:val="22"/>
                        </w:rPr>
                        <w:t xml:space="preserve">  法定代表人身份证（正反面）：</w:t>
                      </w:r>
                    </w:p>
                  </w:txbxContent>
                </v:textbox>
              </v:shape>
            </w:pict>
          </mc:Fallback>
        </mc:AlternateContent>
      </w:r>
    </w:p>
    <w:p w14:paraId="0F4088FB">
      <w:pPr>
        <w:spacing w:line="460" w:lineRule="exact"/>
        <w:jc w:val="center"/>
        <w:rPr>
          <w:rFonts w:hint="eastAsia" w:ascii="新宋体" w:hAnsi="新宋体" w:eastAsia="新宋体" w:cs="新宋体"/>
          <w:b/>
          <w:bCs/>
          <w:color w:val="auto"/>
          <w:sz w:val="28"/>
          <w:szCs w:val="28"/>
          <w:highlight w:val="none"/>
        </w:rPr>
      </w:pPr>
    </w:p>
    <w:p w14:paraId="5B460892">
      <w:pPr>
        <w:spacing w:line="460" w:lineRule="exact"/>
        <w:jc w:val="center"/>
        <w:rPr>
          <w:rFonts w:hint="eastAsia" w:ascii="新宋体" w:hAnsi="新宋体" w:eastAsia="新宋体" w:cs="新宋体"/>
          <w:b/>
          <w:bCs/>
          <w:color w:val="auto"/>
          <w:sz w:val="28"/>
          <w:szCs w:val="28"/>
          <w:highlight w:val="none"/>
        </w:rPr>
      </w:pPr>
    </w:p>
    <w:p w14:paraId="046BE86E">
      <w:pPr>
        <w:spacing w:line="460" w:lineRule="exact"/>
        <w:jc w:val="center"/>
        <w:rPr>
          <w:rFonts w:hint="eastAsia" w:ascii="新宋体" w:hAnsi="新宋体" w:eastAsia="新宋体" w:cs="新宋体"/>
          <w:b/>
          <w:bCs/>
          <w:color w:val="auto"/>
          <w:sz w:val="28"/>
          <w:szCs w:val="28"/>
          <w:highlight w:val="none"/>
        </w:rPr>
      </w:pPr>
    </w:p>
    <w:p w14:paraId="7C546B26">
      <w:pPr>
        <w:spacing w:line="460" w:lineRule="exact"/>
        <w:jc w:val="center"/>
        <w:rPr>
          <w:rFonts w:hint="eastAsia" w:ascii="新宋体" w:hAnsi="新宋体" w:eastAsia="新宋体" w:cs="新宋体"/>
          <w:b/>
          <w:bCs/>
          <w:color w:val="auto"/>
          <w:sz w:val="28"/>
          <w:szCs w:val="28"/>
          <w:highlight w:val="none"/>
        </w:rPr>
      </w:pPr>
    </w:p>
    <w:p w14:paraId="7F897101">
      <w:pPr>
        <w:spacing w:line="460" w:lineRule="exact"/>
        <w:jc w:val="center"/>
        <w:rPr>
          <w:rFonts w:hint="eastAsia" w:ascii="新宋体" w:hAnsi="新宋体" w:eastAsia="新宋体" w:cs="新宋体"/>
          <w:b/>
          <w:bCs/>
          <w:color w:val="auto"/>
          <w:sz w:val="28"/>
          <w:szCs w:val="28"/>
          <w:highlight w:val="none"/>
        </w:rPr>
      </w:pPr>
    </w:p>
    <w:p w14:paraId="6DEE48D7">
      <w:pPr>
        <w:spacing w:line="460" w:lineRule="exact"/>
        <w:jc w:val="center"/>
        <w:rPr>
          <w:rFonts w:hint="eastAsia" w:ascii="新宋体" w:hAnsi="新宋体" w:eastAsia="新宋体" w:cs="新宋体"/>
          <w:b/>
          <w:bCs/>
          <w:color w:val="auto"/>
          <w:sz w:val="28"/>
          <w:szCs w:val="28"/>
          <w:highlight w:val="none"/>
        </w:rPr>
      </w:pPr>
    </w:p>
    <w:p w14:paraId="75AB5A09">
      <w:pPr>
        <w:spacing w:line="460" w:lineRule="exact"/>
        <w:jc w:val="center"/>
        <w:rPr>
          <w:rFonts w:hint="eastAsia" w:ascii="新宋体" w:hAnsi="新宋体" w:eastAsia="新宋体" w:cs="新宋体"/>
          <w:b/>
          <w:bCs/>
          <w:color w:val="auto"/>
          <w:sz w:val="28"/>
          <w:szCs w:val="28"/>
          <w:highlight w:val="none"/>
        </w:rPr>
      </w:pPr>
    </w:p>
    <w:p w14:paraId="3D000B24">
      <w:pPr>
        <w:spacing w:line="460" w:lineRule="exact"/>
        <w:jc w:val="center"/>
        <w:rPr>
          <w:rFonts w:hint="eastAsia" w:ascii="新宋体" w:hAnsi="新宋体" w:eastAsia="新宋体" w:cs="新宋体"/>
          <w:b/>
          <w:bCs/>
          <w:color w:val="auto"/>
          <w:sz w:val="28"/>
          <w:szCs w:val="28"/>
          <w:highlight w:val="none"/>
        </w:rPr>
      </w:pPr>
    </w:p>
    <w:p w14:paraId="4582D69B">
      <w:pPr>
        <w:spacing w:line="460" w:lineRule="exact"/>
        <w:jc w:val="center"/>
        <w:rPr>
          <w:rFonts w:hint="eastAsia" w:ascii="新宋体" w:hAnsi="新宋体" w:eastAsia="新宋体" w:cs="新宋体"/>
          <w:b/>
          <w:bCs/>
          <w:color w:val="auto"/>
          <w:sz w:val="28"/>
          <w:szCs w:val="28"/>
          <w:highlight w:val="none"/>
        </w:rPr>
      </w:pPr>
    </w:p>
    <w:p w14:paraId="70D8820F">
      <w:pPr>
        <w:spacing w:line="460" w:lineRule="exact"/>
        <w:jc w:val="center"/>
        <w:rPr>
          <w:rFonts w:hint="eastAsia" w:ascii="新宋体" w:hAnsi="新宋体" w:eastAsia="新宋体" w:cs="新宋体"/>
          <w:b/>
          <w:bCs/>
          <w:color w:val="auto"/>
          <w:sz w:val="28"/>
          <w:szCs w:val="28"/>
          <w:highlight w:val="none"/>
        </w:rPr>
      </w:pPr>
    </w:p>
    <w:p w14:paraId="7C5A2C90">
      <w:pPr>
        <w:spacing w:line="460" w:lineRule="exact"/>
        <w:jc w:val="center"/>
        <w:rPr>
          <w:rFonts w:hint="eastAsia" w:ascii="新宋体" w:hAnsi="新宋体" w:eastAsia="新宋体" w:cs="新宋体"/>
          <w:b/>
          <w:bCs/>
          <w:color w:val="auto"/>
          <w:sz w:val="28"/>
          <w:szCs w:val="28"/>
          <w:highlight w:val="none"/>
        </w:rPr>
      </w:pPr>
    </w:p>
    <w:p w14:paraId="55278A9F">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60288" behindDoc="0" locked="0" layoutInCell="1" allowOverlap="1">
                <wp:simplePos x="0" y="0"/>
                <wp:positionH relativeFrom="column">
                  <wp:posOffset>145415</wp:posOffset>
                </wp:positionH>
                <wp:positionV relativeFrom="paragraph">
                  <wp:posOffset>238125</wp:posOffset>
                </wp:positionV>
                <wp:extent cx="6246495" cy="3913505"/>
                <wp:effectExtent l="4445" t="4445" r="1651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46495" cy="3913505"/>
                        </a:xfrm>
                        <a:prstGeom prst="rect">
                          <a:avLst/>
                        </a:prstGeom>
                        <a:solidFill>
                          <a:srgbClr val="FFFFFF"/>
                        </a:solidFill>
                        <a:ln w="9525" cmpd="sng">
                          <a:solidFill>
                            <a:srgbClr val="000000"/>
                          </a:solidFill>
                          <a:miter lim="800000"/>
                        </a:ln>
                        <a:effectLst/>
                      </wps:spPr>
                      <wps:txbx>
                        <w:txbxContent>
                          <w:p w14:paraId="70B5CA94">
                            <w:r>
                              <w:rPr>
                                <w:rFonts w:hint="eastAsia" w:ascii="新宋体" w:hAnsi="新宋体" w:eastAsia="新宋体"/>
                                <w:sz w:val="22"/>
                                <w:szCs w:val="22"/>
                              </w:rPr>
                              <w:t xml:space="preserve">  授权代表身份证（正反面）：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45pt;margin-top:18.75pt;height:308.15pt;width:491.85pt;z-index:251660288;mso-width-relative:page;mso-height-relative:page;" fillcolor="#FFFFFF" filled="t" stroked="t" coordsize="21600,21600" o:gfxdata="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QlNcXZAAAACgEAAA8A&#10;AAAAAAAAAQAgAAAAIgAAAGRycy9kb3ducmV2LnhtbFBLAQIUABQAAAAIAIdO4kC7fB4aTwIAAKEE&#10;AAAOAAAAAAAAAAEAIAAAACgBAABkcnMvZTJvRG9jLnhtbFBLBQYAAAAABgAGAFkBAADpBQAAAAA=&#10;">
                <v:fill on="t" focussize="0,0"/>
                <v:stroke color="#000000" miterlimit="8" joinstyle="miter"/>
                <v:imagedata o:title=""/>
                <o:lock v:ext="edit" aspectratio="f"/>
                <v:textbox>
                  <w:txbxContent>
                    <w:p w14:paraId="70B5CA94">
                      <w:r>
                        <w:rPr>
                          <w:rFonts w:hint="eastAsia" w:ascii="新宋体" w:hAnsi="新宋体" w:eastAsia="新宋体"/>
                          <w:sz w:val="22"/>
                          <w:szCs w:val="22"/>
                        </w:rPr>
                        <w:t xml:space="preserve">  授权代表身份证（正反面）：</w:t>
                      </w:r>
                    </w:p>
                  </w:txbxContent>
                </v:textbox>
              </v:shape>
            </w:pict>
          </mc:Fallback>
        </mc:AlternateContent>
      </w:r>
    </w:p>
    <w:p w14:paraId="323888C7">
      <w:pPr>
        <w:spacing w:line="460" w:lineRule="exact"/>
        <w:jc w:val="center"/>
        <w:rPr>
          <w:rFonts w:hint="eastAsia" w:ascii="新宋体" w:hAnsi="新宋体" w:eastAsia="新宋体" w:cs="新宋体"/>
          <w:b/>
          <w:bCs/>
          <w:color w:val="auto"/>
          <w:sz w:val="28"/>
          <w:szCs w:val="28"/>
          <w:highlight w:val="none"/>
        </w:rPr>
      </w:pPr>
    </w:p>
    <w:p w14:paraId="377320A5">
      <w:pPr>
        <w:spacing w:line="460" w:lineRule="exact"/>
        <w:jc w:val="center"/>
        <w:rPr>
          <w:rFonts w:hint="eastAsia" w:ascii="新宋体" w:hAnsi="新宋体" w:eastAsia="新宋体" w:cs="新宋体"/>
          <w:b/>
          <w:bCs/>
          <w:color w:val="auto"/>
          <w:sz w:val="28"/>
          <w:szCs w:val="28"/>
          <w:highlight w:val="none"/>
        </w:rPr>
      </w:pPr>
    </w:p>
    <w:p w14:paraId="0D92C4E5">
      <w:pPr>
        <w:spacing w:line="460" w:lineRule="exact"/>
        <w:jc w:val="center"/>
        <w:rPr>
          <w:rFonts w:hint="eastAsia" w:ascii="新宋体" w:hAnsi="新宋体" w:eastAsia="新宋体" w:cs="新宋体"/>
          <w:b/>
          <w:bCs/>
          <w:color w:val="auto"/>
          <w:sz w:val="28"/>
          <w:szCs w:val="28"/>
          <w:highlight w:val="none"/>
        </w:rPr>
      </w:pPr>
    </w:p>
    <w:p w14:paraId="6AE59FC3">
      <w:pPr>
        <w:spacing w:line="460" w:lineRule="exact"/>
        <w:jc w:val="center"/>
        <w:rPr>
          <w:rFonts w:hint="eastAsia" w:ascii="新宋体" w:hAnsi="新宋体" w:eastAsia="新宋体" w:cs="新宋体"/>
          <w:b/>
          <w:bCs/>
          <w:color w:val="auto"/>
          <w:sz w:val="28"/>
          <w:szCs w:val="28"/>
          <w:highlight w:val="none"/>
        </w:rPr>
      </w:pPr>
    </w:p>
    <w:p w14:paraId="58E50857">
      <w:pPr>
        <w:spacing w:line="460" w:lineRule="exact"/>
        <w:jc w:val="center"/>
        <w:rPr>
          <w:rFonts w:hint="eastAsia" w:ascii="新宋体" w:hAnsi="新宋体" w:eastAsia="新宋体" w:cs="新宋体"/>
          <w:b/>
          <w:bCs/>
          <w:color w:val="auto"/>
          <w:sz w:val="28"/>
          <w:szCs w:val="28"/>
          <w:highlight w:val="none"/>
        </w:rPr>
      </w:pPr>
    </w:p>
    <w:p w14:paraId="4C6A8C86">
      <w:pPr>
        <w:spacing w:line="460" w:lineRule="exact"/>
        <w:jc w:val="center"/>
        <w:rPr>
          <w:rFonts w:hint="eastAsia" w:ascii="新宋体" w:hAnsi="新宋体" w:eastAsia="新宋体" w:cs="新宋体"/>
          <w:b/>
          <w:bCs/>
          <w:color w:val="auto"/>
          <w:sz w:val="28"/>
          <w:szCs w:val="28"/>
          <w:highlight w:val="none"/>
        </w:rPr>
      </w:pPr>
    </w:p>
    <w:p w14:paraId="52072C82">
      <w:pPr>
        <w:spacing w:line="460" w:lineRule="exact"/>
        <w:jc w:val="center"/>
        <w:rPr>
          <w:rFonts w:hint="eastAsia" w:ascii="新宋体" w:hAnsi="新宋体" w:eastAsia="新宋体" w:cs="新宋体"/>
          <w:b/>
          <w:bCs/>
          <w:color w:val="auto"/>
          <w:sz w:val="28"/>
          <w:szCs w:val="28"/>
          <w:highlight w:val="none"/>
        </w:rPr>
      </w:pPr>
    </w:p>
    <w:p w14:paraId="3D2F29D3">
      <w:pPr>
        <w:spacing w:line="460" w:lineRule="exact"/>
        <w:jc w:val="center"/>
        <w:rPr>
          <w:rFonts w:hint="eastAsia" w:ascii="新宋体" w:hAnsi="新宋体" w:eastAsia="新宋体" w:cs="新宋体"/>
          <w:b/>
          <w:bCs/>
          <w:color w:val="auto"/>
          <w:sz w:val="28"/>
          <w:szCs w:val="28"/>
          <w:highlight w:val="none"/>
        </w:rPr>
      </w:pPr>
    </w:p>
    <w:p w14:paraId="037A74F9">
      <w:pPr>
        <w:spacing w:line="460" w:lineRule="exact"/>
        <w:jc w:val="center"/>
        <w:rPr>
          <w:rFonts w:hint="eastAsia" w:ascii="新宋体" w:hAnsi="新宋体" w:eastAsia="新宋体" w:cs="新宋体"/>
          <w:b/>
          <w:bCs/>
          <w:color w:val="auto"/>
          <w:sz w:val="28"/>
          <w:szCs w:val="28"/>
          <w:highlight w:val="none"/>
        </w:rPr>
      </w:pPr>
    </w:p>
    <w:p w14:paraId="34CE49B7">
      <w:pPr>
        <w:spacing w:line="460" w:lineRule="exact"/>
        <w:jc w:val="center"/>
        <w:rPr>
          <w:rFonts w:hint="eastAsia" w:ascii="新宋体" w:hAnsi="新宋体" w:eastAsia="新宋体" w:cs="新宋体"/>
          <w:b/>
          <w:bCs/>
          <w:color w:val="auto"/>
          <w:sz w:val="28"/>
          <w:szCs w:val="28"/>
          <w:highlight w:val="none"/>
        </w:rPr>
      </w:pPr>
    </w:p>
    <w:p w14:paraId="5D7C08F4">
      <w:pPr>
        <w:spacing w:line="460" w:lineRule="exact"/>
        <w:jc w:val="center"/>
        <w:rPr>
          <w:rFonts w:hint="eastAsia" w:ascii="新宋体" w:hAnsi="新宋体" w:eastAsia="新宋体" w:cs="新宋体"/>
          <w:b/>
          <w:bCs/>
          <w:color w:val="auto"/>
          <w:sz w:val="28"/>
          <w:szCs w:val="28"/>
          <w:highlight w:val="none"/>
        </w:rPr>
      </w:pPr>
    </w:p>
    <w:p w14:paraId="24F72B6B">
      <w:pPr>
        <w:spacing w:line="460" w:lineRule="exact"/>
        <w:jc w:val="center"/>
        <w:rPr>
          <w:rFonts w:hint="eastAsia" w:ascii="新宋体" w:hAnsi="新宋体" w:eastAsia="新宋体" w:cs="新宋体"/>
          <w:b/>
          <w:bCs/>
          <w:color w:val="auto"/>
          <w:sz w:val="28"/>
          <w:szCs w:val="28"/>
          <w:highlight w:val="none"/>
        </w:rPr>
      </w:pPr>
    </w:p>
    <w:p w14:paraId="623E758D">
      <w:pPr>
        <w:spacing w:line="460" w:lineRule="exact"/>
        <w:jc w:val="center"/>
        <w:rPr>
          <w:rFonts w:hint="eastAsia" w:ascii="新宋体" w:hAnsi="新宋体" w:eastAsia="新宋体" w:cs="新宋体"/>
          <w:b/>
          <w:bCs/>
          <w:color w:val="auto"/>
          <w:sz w:val="28"/>
          <w:szCs w:val="28"/>
          <w:highlight w:val="none"/>
        </w:rPr>
      </w:pPr>
    </w:p>
    <w:p w14:paraId="04573D7E">
      <w:pPr>
        <w:spacing w:line="460" w:lineRule="exact"/>
        <w:jc w:val="center"/>
        <w:rPr>
          <w:rFonts w:hint="eastAsia" w:ascii="新宋体" w:hAnsi="新宋体" w:eastAsia="新宋体" w:cs="新宋体"/>
          <w:b/>
          <w:bCs/>
          <w:color w:val="auto"/>
          <w:sz w:val="28"/>
          <w:szCs w:val="28"/>
          <w:highlight w:val="none"/>
        </w:rPr>
      </w:pPr>
    </w:p>
    <w:p w14:paraId="2DB69C49">
      <w:pPr>
        <w:spacing w:line="460" w:lineRule="exact"/>
        <w:jc w:val="center"/>
        <w:rPr>
          <w:rFonts w:hint="eastAsia" w:ascii="新宋体" w:hAnsi="新宋体" w:eastAsia="新宋体" w:cs="新宋体"/>
          <w:b/>
          <w:bCs/>
          <w:color w:val="auto"/>
          <w:sz w:val="28"/>
          <w:szCs w:val="28"/>
          <w:highlight w:val="none"/>
        </w:rPr>
      </w:pPr>
    </w:p>
    <w:p w14:paraId="40F67B91">
      <w:pPr>
        <w:spacing w:line="460" w:lineRule="exact"/>
        <w:jc w:val="center"/>
        <w:rPr>
          <w:rFonts w:hint="eastAsia" w:ascii="新宋体" w:hAnsi="新宋体" w:eastAsia="新宋体" w:cs="新宋体"/>
          <w:b/>
          <w:bCs/>
          <w:color w:val="auto"/>
          <w:sz w:val="28"/>
          <w:szCs w:val="28"/>
          <w:highlight w:val="none"/>
        </w:rPr>
      </w:pPr>
    </w:p>
    <w:p w14:paraId="2619EABC">
      <w:pPr>
        <w:spacing w:line="460" w:lineRule="exact"/>
        <w:jc w:val="center"/>
        <w:rPr>
          <w:rFonts w:hint="eastAsia" w:ascii="新宋体" w:hAnsi="新宋体" w:eastAsia="新宋体" w:cs="新宋体"/>
          <w:b/>
          <w:bCs/>
          <w:color w:val="auto"/>
          <w:sz w:val="28"/>
          <w:szCs w:val="28"/>
          <w:highlight w:val="none"/>
        </w:rPr>
        <w:sectPr>
          <w:headerReference r:id="rId6" w:type="first"/>
          <w:footerReference r:id="rId8" w:type="first"/>
          <w:footerReference r:id="rId7" w:type="default"/>
          <w:pgSz w:w="11907" w:h="16840"/>
          <w:pgMar w:top="1134" w:right="1134" w:bottom="1134" w:left="1134" w:header="851" w:footer="992" w:gutter="0"/>
          <w:pgBorders>
            <w:top w:val="none" w:sz="0" w:space="0"/>
            <w:left w:val="none" w:sz="0" w:space="0"/>
            <w:bottom w:val="none" w:sz="0" w:space="0"/>
            <w:right w:val="none" w:sz="0" w:space="0"/>
          </w:pgBorders>
          <w:cols w:space="720" w:num="1"/>
          <w:titlePg/>
          <w:docGrid w:linePitch="312" w:charSpace="0"/>
        </w:sectPr>
      </w:pPr>
    </w:p>
    <w:p w14:paraId="3315D1E9">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3、投标人情况表</w:t>
      </w:r>
    </w:p>
    <w:p w14:paraId="371C8EA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项目名称：</w:t>
      </w:r>
    </w:p>
    <w:p w14:paraId="616E38A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val="0"/>
          <w:color w:val="auto"/>
          <w:sz w:val="22"/>
          <w:szCs w:val="22"/>
          <w:highlight w:val="none"/>
        </w:rPr>
        <w:t>项目编号：</w:t>
      </w:r>
    </w:p>
    <w:tbl>
      <w:tblPr>
        <w:tblStyle w:val="53"/>
        <w:tblW w:w="1478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14:paraId="3FFB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79FBFBA5">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单位名称（盖章）</w:t>
            </w:r>
          </w:p>
        </w:tc>
        <w:tc>
          <w:tcPr>
            <w:tcW w:w="2804" w:type="dxa"/>
            <w:gridSpan w:val="2"/>
          </w:tcPr>
          <w:p w14:paraId="483AC9CB">
            <w:pPr>
              <w:spacing w:line="480" w:lineRule="exact"/>
              <w:rPr>
                <w:rFonts w:hint="eastAsia" w:ascii="新宋体" w:hAnsi="新宋体" w:eastAsia="新宋体" w:cs="新宋体"/>
                <w:color w:val="auto"/>
                <w:sz w:val="22"/>
                <w:szCs w:val="22"/>
                <w:highlight w:val="none"/>
              </w:rPr>
            </w:pPr>
          </w:p>
        </w:tc>
        <w:tc>
          <w:tcPr>
            <w:tcW w:w="1115" w:type="dxa"/>
            <w:gridSpan w:val="2"/>
          </w:tcPr>
          <w:p w14:paraId="4C0A4E40">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 话</w:t>
            </w:r>
          </w:p>
        </w:tc>
        <w:tc>
          <w:tcPr>
            <w:tcW w:w="2588" w:type="dxa"/>
            <w:gridSpan w:val="2"/>
          </w:tcPr>
          <w:p w14:paraId="606FA14F">
            <w:pPr>
              <w:spacing w:line="480" w:lineRule="exact"/>
              <w:rPr>
                <w:rFonts w:hint="eastAsia" w:ascii="新宋体" w:hAnsi="新宋体" w:eastAsia="新宋体" w:cs="新宋体"/>
                <w:color w:val="auto"/>
                <w:sz w:val="22"/>
                <w:szCs w:val="22"/>
                <w:highlight w:val="none"/>
              </w:rPr>
            </w:pPr>
          </w:p>
        </w:tc>
        <w:tc>
          <w:tcPr>
            <w:tcW w:w="1488" w:type="dxa"/>
          </w:tcPr>
          <w:p w14:paraId="2B370D4F">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主管部门</w:t>
            </w:r>
          </w:p>
        </w:tc>
        <w:tc>
          <w:tcPr>
            <w:tcW w:w="1502" w:type="dxa"/>
          </w:tcPr>
          <w:p w14:paraId="115F1E36">
            <w:pPr>
              <w:spacing w:line="480" w:lineRule="exact"/>
              <w:rPr>
                <w:rFonts w:hint="eastAsia" w:ascii="新宋体" w:hAnsi="新宋体" w:eastAsia="新宋体" w:cs="新宋体"/>
                <w:color w:val="auto"/>
                <w:sz w:val="22"/>
                <w:szCs w:val="22"/>
                <w:highlight w:val="none"/>
              </w:rPr>
            </w:pPr>
          </w:p>
        </w:tc>
        <w:tc>
          <w:tcPr>
            <w:tcW w:w="1488" w:type="dxa"/>
          </w:tcPr>
          <w:p w14:paraId="0A0D6A06">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企业负责人</w:t>
            </w:r>
          </w:p>
        </w:tc>
        <w:tc>
          <w:tcPr>
            <w:tcW w:w="1115" w:type="dxa"/>
          </w:tcPr>
          <w:p w14:paraId="7C899A22">
            <w:pPr>
              <w:spacing w:line="480" w:lineRule="exact"/>
              <w:rPr>
                <w:rFonts w:hint="eastAsia" w:ascii="新宋体" w:hAnsi="新宋体" w:eastAsia="新宋体" w:cs="新宋体"/>
                <w:color w:val="auto"/>
                <w:sz w:val="22"/>
                <w:szCs w:val="22"/>
                <w:highlight w:val="none"/>
              </w:rPr>
            </w:pPr>
          </w:p>
        </w:tc>
        <w:tc>
          <w:tcPr>
            <w:tcW w:w="1461" w:type="dxa"/>
            <w:gridSpan w:val="2"/>
          </w:tcPr>
          <w:p w14:paraId="3475A22C">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14:paraId="3C043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153C7508">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w:t>
            </w:r>
          </w:p>
        </w:tc>
        <w:tc>
          <w:tcPr>
            <w:tcW w:w="2804" w:type="dxa"/>
            <w:gridSpan w:val="2"/>
          </w:tcPr>
          <w:p w14:paraId="61C600DA">
            <w:pPr>
              <w:spacing w:line="480" w:lineRule="exact"/>
              <w:rPr>
                <w:rFonts w:hint="eastAsia" w:ascii="新宋体" w:hAnsi="新宋体" w:eastAsia="新宋体" w:cs="新宋体"/>
                <w:color w:val="auto"/>
                <w:sz w:val="22"/>
                <w:szCs w:val="22"/>
                <w:highlight w:val="none"/>
              </w:rPr>
            </w:pPr>
          </w:p>
        </w:tc>
        <w:tc>
          <w:tcPr>
            <w:tcW w:w="1115" w:type="dxa"/>
            <w:gridSpan w:val="2"/>
          </w:tcPr>
          <w:p w14:paraId="2EE5FE9F">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tc>
        <w:tc>
          <w:tcPr>
            <w:tcW w:w="2588" w:type="dxa"/>
            <w:gridSpan w:val="2"/>
          </w:tcPr>
          <w:p w14:paraId="4E12217D">
            <w:pPr>
              <w:spacing w:line="480" w:lineRule="exact"/>
              <w:rPr>
                <w:rFonts w:hint="eastAsia" w:ascii="新宋体" w:hAnsi="新宋体" w:eastAsia="新宋体" w:cs="新宋体"/>
                <w:color w:val="auto"/>
                <w:sz w:val="22"/>
                <w:szCs w:val="22"/>
                <w:highlight w:val="none"/>
              </w:rPr>
            </w:pPr>
          </w:p>
        </w:tc>
        <w:tc>
          <w:tcPr>
            <w:tcW w:w="1488" w:type="dxa"/>
          </w:tcPr>
          <w:p w14:paraId="5C101AA8">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企业性质</w:t>
            </w:r>
          </w:p>
        </w:tc>
        <w:tc>
          <w:tcPr>
            <w:tcW w:w="1502" w:type="dxa"/>
          </w:tcPr>
          <w:p w14:paraId="24370D3E">
            <w:pPr>
              <w:spacing w:line="480" w:lineRule="exact"/>
              <w:rPr>
                <w:rFonts w:hint="eastAsia" w:ascii="新宋体" w:hAnsi="新宋体" w:eastAsia="新宋体" w:cs="新宋体"/>
                <w:color w:val="auto"/>
                <w:sz w:val="22"/>
                <w:szCs w:val="22"/>
                <w:highlight w:val="none"/>
              </w:rPr>
            </w:pPr>
          </w:p>
        </w:tc>
        <w:tc>
          <w:tcPr>
            <w:tcW w:w="1488" w:type="dxa"/>
          </w:tcPr>
          <w:p w14:paraId="59226237">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授权代表</w:t>
            </w:r>
          </w:p>
        </w:tc>
        <w:tc>
          <w:tcPr>
            <w:tcW w:w="1115" w:type="dxa"/>
          </w:tcPr>
          <w:p w14:paraId="2D7CACCC">
            <w:pPr>
              <w:spacing w:line="480" w:lineRule="exact"/>
              <w:rPr>
                <w:rFonts w:hint="eastAsia" w:ascii="新宋体" w:hAnsi="新宋体" w:eastAsia="新宋体" w:cs="新宋体"/>
                <w:color w:val="auto"/>
                <w:sz w:val="22"/>
                <w:szCs w:val="22"/>
                <w:highlight w:val="none"/>
              </w:rPr>
            </w:pPr>
          </w:p>
        </w:tc>
        <w:tc>
          <w:tcPr>
            <w:tcW w:w="1461" w:type="dxa"/>
            <w:gridSpan w:val="2"/>
          </w:tcPr>
          <w:p w14:paraId="558C103A">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14:paraId="6134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14:paraId="7DCF1C30">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单位简介</w:t>
            </w:r>
          </w:p>
          <w:p w14:paraId="1FB289EF">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及机构</w:t>
            </w:r>
          </w:p>
        </w:tc>
        <w:tc>
          <w:tcPr>
            <w:tcW w:w="6507" w:type="dxa"/>
            <w:gridSpan w:val="6"/>
            <w:vAlign w:val="center"/>
          </w:tcPr>
          <w:p w14:paraId="066A8843">
            <w:pPr>
              <w:spacing w:line="480" w:lineRule="exact"/>
              <w:jc w:val="center"/>
              <w:rPr>
                <w:rFonts w:hint="eastAsia" w:ascii="新宋体" w:hAnsi="新宋体" w:eastAsia="新宋体" w:cs="新宋体"/>
                <w:color w:val="auto"/>
                <w:sz w:val="22"/>
                <w:szCs w:val="22"/>
                <w:highlight w:val="none"/>
              </w:rPr>
            </w:pPr>
          </w:p>
        </w:tc>
        <w:tc>
          <w:tcPr>
            <w:tcW w:w="1488" w:type="dxa"/>
            <w:vAlign w:val="center"/>
          </w:tcPr>
          <w:p w14:paraId="104B957F">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单位优势</w:t>
            </w:r>
          </w:p>
          <w:p w14:paraId="175A7DE8">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及特长</w:t>
            </w:r>
          </w:p>
        </w:tc>
        <w:tc>
          <w:tcPr>
            <w:tcW w:w="5566" w:type="dxa"/>
            <w:gridSpan w:val="5"/>
          </w:tcPr>
          <w:p w14:paraId="2AD85FE9">
            <w:pPr>
              <w:spacing w:line="480" w:lineRule="exact"/>
              <w:rPr>
                <w:rFonts w:hint="eastAsia" w:ascii="新宋体" w:hAnsi="新宋体" w:eastAsia="新宋体" w:cs="新宋体"/>
                <w:color w:val="auto"/>
                <w:sz w:val="22"/>
                <w:szCs w:val="22"/>
                <w:highlight w:val="none"/>
              </w:rPr>
            </w:pPr>
          </w:p>
        </w:tc>
      </w:tr>
      <w:tr w14:paraId="14BF4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14:paraId="40F1ABEA">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单位概况</w:t>
            </w:r>
          </w:p>
        </w:tc>
        <w:tc>
          <w:tcPr>
            <w:tcW w:w="1115" w:type="dxa"/>
            <w:vMerge w:val="restart"/>
          </w:tcPr>
          <w:p w14:paraId="394974B1">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职工总数</w:t>
            </w:r>
          </w:p>
        </w:tc>
        <w:tc>
          <w:tcPr>
            <w:tcW w:w="1689" w:type="dxa"/>
            <w:vMerge w:val="restart"/>
          </w:tcPr>
          <w:p w14:paraId="13E39B82">
            <w:pPr>
              <w:spacing w:line="480" w:lineRule="exact"/>
              <w:ind w:firstLine="1540" w:firstLineChars="700"/>
              <w:rPr>
                <w:rFonts w:hint="eastAsia" w:ascii="新宋体" w:hAnsi="新宋体" w:eastAsia="新宋体" w:cs="新宋体"/>
                <w:color w:val="auto"/>
                <w:sz w:val="22"/>
                <w:szCs w:val="22"/>
                <w:highlight w:val="none"/>
              </w:rPr>
            </w:pPr>
          </w:p>
        </w:tc>
        <w:tc>
          <w:tcPr>
            <w:tcW w:w="3703" w:type="dxa"/>
            <w:gridSpan w:val="4"/>
            <w:vMerge w:val="restart"/>
          </w:tcPr>
          <w:p w14:paraId="48D3E177">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各人员构成情况</w:t>
            </w:r>
          </w:p>
        </w:tc>
        <w:tc>
          <w:tcPr>
            <w:tcW w:w="1488" w:type="dxa"/>
            <w:vMerge w:val="restart"/>
            <w:vAlign w:val="center"/>
          </w:tcPr>
          <w:p w14:paraId="04A1759A">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上一年主要  经济指标</w:t>
            </w:r>
          </w:p>
        </w:tc>
        <w:tc>
          <w:tcPr>
            <w:tcW w:w="1502" w:type="dxa"/>
            <w:vAlign w:val="center"/>
          </w:tcPr>
          <w:p w14:paraId="45D88DCC">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指标名称</w:t>
            </w:r>
          </w:p>
        </w:tc>
        <w:tc>
          <w:tcPr>
            <w:tcW w:w="1488" w:type="dxa"/>
            <w:tcBorders>
              <w:tr2bl w:val="single" w:color="auto" w:sz="4" w:space="0"/>
            </w:tcBorders>
            <w:vAlign w:val="center"/>
          </w:tcPr>
          <w:p w14:paraId="1AC1850F">
            <w:pPr>
              <w:spacing w:line="480" w:lineRule="exact"/>
              <w:jc w:val="center"/>
              <w:rPr>
                <w:rFonts w:hint="eastAsia" w:ascii="新宋体" w:hAnsi="新宋体" w:eastAsia="新宋体" w:cs="新宋体"/>
                <w:color w:val="auto"/>
                <w:sz w:val="22"/>
                <w:szCs w:val="22"/>
                <w:highlight w:val="none"/>
              </w:rPr>
            </w:pPr>
          </w:p>
        </w:tc>
        <w:tc>
          <w:tcPr>
            <w:tcW w:w="1470" w:type="dxa"/>
            <w:gridSpan w:val="2"/>
            <w:vAlign w:val="center"/>
          </w:tcPr>
          <w:p w14:paraId="6F451641">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实际完成</w:t>
            </w:r>
          </w:p>
        </w:tc>
        <w:tc>
          <w:tcPr>
            <w:tcW w:w="1106" w:type="dxa"/>
            <w:tcBorders>
              <w:tr2bl w:val="single" w:color="auto" w:sz="4" w:space="0"/>
            </w:tcBorders>
            <w:vAlign w:val="center"/>
          </w:tcPr>
          <w:p w14:paraId="2E61D8CE">
            <w:pPr>
              <w:spacing w:line="480" w:lineRule="exact"/>
              <w:jc w:val="center"/>
              <w:rPr>
                <w:rFonts w:hint="eastAsia" w:ascii="新宋体" w:hAnsi="新宋体" w:eastAsia="新宋体" w:cs="新宋体"/>
                <w:color w:val="auto"/>
                <w:sz w:val="22"/>
                <w:szCs w:val="22"/>
                <w:highlight w:val="none"/>
              </w:rPr>
            </w:pPr>
          </w:p>
        </w:tc>
      </w:tr>
      <w:tr w14:paraId="76FA4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14:paraId="073B93D0">
            <w:pPr>
              <w:spacing w:line="480" w:lineRule="exact"/>
              <w:rPr>
                <w:rFonts w:hint="eastAsia" w:ascii="新宋体" w:hAnsi="新宋体" w:eastAsia="新宋体" w:cs="新宋体"/>
                <w:color w:val="auto"/>
                <w:sz w:val="22"/>
                <w:szCs w:val="22"/>
                <w:highlight w:val="none"/>
              </w:rPr>
            </w:pPr>
          </w:p>
        </w:tc>
        <w:tc>
          <w:tcPr>
            <w:tcW w:w="1115" w:type="dxa"/>
            <w:vMerge w:val="continue"/>
          </w:tcPr>
          <w:p w14:paraId="03186951">
            <w:pPr>
              <w:spacing w:line="480" w:lineRule="exact"/>
              <w:rPr>
                <w:rFonts w:hint="eastAsia" w:ascii="新宋体" w:hAnsi="新宋体" w:eastAsia="新宋体" w:cs="新宋体"/>
                <w:color w:val="auto"/>
                <w:sz w:val="22"/>
                <w:szCs w:val="22"/>
                <w:highlight w:val="none"/>
              </w:rPr>
            </w:pPr>
          </w:p>
        </w:tc>
        <w:tc>
          <w:tcPr>
            <w:tcW w:w="1689" w:type="dxa"/>
            <w:vMerge w:val="continue"/>
          </w:tcPr>
          <w:p w14:paraId="61C9C708">
            <w:pPr>
              <w:spacing w:line="480" w:lineRule="exact"/>
              <w:rPr>
                <w:rFonts w:hint="eastAsia" w:ascii="新宋体" w:hAnsi="新宋体" w:eastAsia="新宋体" w:cs="新宋体"/>
                <w:color w:val="auto"/>
                <w:sz w:val="22"/>
                <w:szCs w:val="22"/>
                <w:highlight w:val="none"/>
              </w:rPr>
            </w:pPr>
          </w:p>
        </w:tc>
        <w:tc>
          <w:tcPr>
            <w:tcW w:w="3703" w:type="dxa"/>
            <w:gridSpan w:val="4"/>
            <w:vMerge w:val="continue"/>
          </w:tcPr>
          <w:p w14:paraId="3923EF87">
            <w:pPr>
              <w:spacing w:line="480" w:lineRule="exact"/>
              <w:rPr>
                <w:rFonts w:hint="eastAsia" w:ascii="新宋体" w:hAnsi="新宋体" w:eastAsia="新宋体" w:cs="新宋体"/>
                <w:color w:val="auto"/>
                <w:sz w:val="22"/>
                <w:szCs w:val="22"/>
                <w:highlight w:val="none"/>
              </w:rPr>
            </w:pPr>
          </w:p>
        </w:tc>
        <w:tc>
          <w:tcPr>
            <w:tcW w:w="1488" w:type="dxa"/>
            <w:vMerge w:val="continue"/>
          </w:tcPr>
          <w:p w14:paraId="0639E838">
            <w:pPr>
              <w:spacing w:line="480" w:lineRule="exact"/>
              <w:rPr>
                <w:rFonts w:hint="eastAsia" w:ascii="新宋体" w:hAnsi="新宋体" w:eastAsia="新宋体" w:cs="新宋体"/>
                <w:color w:val="auto"/>
                <w:sz w:val="22"/>
                <w:szCs w:val="22"/>
                <w:highlight w:val="none"/>
              </w:rPr>
            </w:pPr>
          </w:p>
        </w:tc>
        <w:tc>
          <w:tcPr>
            <w:tcW w:w="1502" w:type="dxa"/>
            <w:vAlign w:val="center"/>
          </w:tcPr>
          <w:p w14:paraId="2AB350B7">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488" w:type="dxa"/>
            <w:vAlign w:val="center"/>
          </w:tcPr>
          <w:p w14:paraId="772252BF">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vAlign w:val="center"/>
          </w:tcPr>
          <w:p w14:paraId="1FF57D74">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106" w:type="dxa"/>
            <w:vAlign w:val="center"/>
          </w:tcPr>
          <w:p w14:paraId="23608CC7">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14:paraId="275C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14:paraId="75623F09">
            <w:pPr>
              <w:spacing w:line="480" w:lineRule="exact"/>
              <w:rPr>
                <w:rFonts w:hint="eastAsia" w:ascii="新宋体" w:hAnsi="新宋体" w:eastAsia="新宋体" w:cs="新宋体"/>
                <w:color w:val="auto"/>
                <w:sz w:val="22"/>
                <w:szCs w:val="22"/>
                <w:highlight w:val="none"/>
              </w:rPr>
            </w:pPr>
          </w:p>
        </w:tc>
        <w:tc>
          <w:tcPr>
            <w:tcW w:w="1115" w:type="dxa"/>
            <w:vMerge w:val="restart"/>
          </w:tcPr>
          <w:p w14:paraId="3B93C018">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流动资金</w:t>
            </w:r>
          </w:p>
        </w:tc>
        <w:tc>
          <w:tcPr>
            <w:tcW w:w="1689" w:type="dxa"/>
            <w:vMerge w:val="restart"/>
          </w:tcPr>
          <w:p w14:paraId="6E603DE6">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1D78656E">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万元 </w:t>
            </w:r>
          </w:p>
        </w:tc>
        <w:tc>
          <w:tcPr>
            <w:tcW w:w="728" w:type="dxa"/>
            <w:vMerge w:val="restart"/>
          </w:tcPr>
          <w:p w14:paraId="6ABF232B">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w:t>
            </w:r>
          </w:p>
          <w:p w14:paraId="4C58D21C">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来源</w:t>
            </w:r>
          </w:p>
        </w:tc>
        <w:tc>
          <w:tcPr>
            <w:tcW w:w="1487" w:type="dxa"/>
            <w:gridSpan w:val="2"/>
            <w:vAlign w:val="center"/>
          </w:tcPr>
          <w:p w14:paraId="4EA7691F">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自有资金</w:t>
            </w:r>
          </w:p>
        </w:tc>
        <w:tc>
          <w:tcPr>
            <w:tcW w:w="1488" w:type="dxa"/>
            <w:vAlign w:val="center"/>
          </w:tcPr>
          <w:p w14:paraId="0DBD6F7A">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Pr>
          <w:p w14:paraId="609B9435">
            <w:pPr>
              <w:spacing w:line="480" w:lineRule="exact"/>
              <w:rPr>
                <w:rFonts w:hint="eastAsia" w:ascii="新宋体" w:hAnsi="新宋体" w:eastAsia="新宋体" w:cs="新宋体"/>
                <w:color w:val="auto"/>
                <w:sz w:val="22"/>
                <w:szCs w:val="22"/>
                <w:highlight w:val="none"/>
              </w:rPr>
            </w:pPr>
          </w:p>
        </w:tc>
        <w:tc>
          <w:tcPr>
            <w:tcW w:w="1502" w:type="dxa"/>
            <w:vAlign w:val="center"/>
          </w:tcPr>
          <w:p w14:paraId="6B1BA4E2">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488" w:type="dxa"/>
            <w:vAlign w:val="center"/>
          </w:tcPr>
          <w:p w14:paraId="622889A0">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vAlign w:val="center"/>
          </w:tcPr>
          <w:p w14:paraId="0B644E81">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106" w:type="dxa"/>
            <w:vAlign w:val="center"/>
          </w:tcPr>
          <w:p w14:paraId="6900C18B">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14:paraId="6FA8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14:paraId="778D7964">
            <w:pPr>
              <w:spacing w:line="480" w:lineRule="exact"/>
              <w:rPr>
                <w:rFonts w:hint="eastAsia" w:ascii="新宋体" w:hAnsi="新宋体" w:eastAsia="新宋体" w:cs="新宋体"/>
                <w:color w:val="auto"/>
                <w:sz w:val="22"/>
                <w:szCs w:val="22"/>
                <w:highlight w:val="none"/>
              </w:rPr>
            </w:pPr>
          </w:p>
        </w:tc>
        <w:tc>
          <w:tcPr>
            <w:tcW w:w="1115" w:type="dxa"/>
            <w:vMerge w:val="continue"/>
            <w:tcBorders>
              <w:bottom w:val="single" w:color="auto" w:sz="4" w:space="0"/>
            </w:tcBorders>
          </w:tcPr>
          <w:p w14:paraId="703900F7">
            <w:pPr>
              <w:spacing w:line="480" w:lineRule="exact"/>
              <w:rPr>
                <w:rFonts w:hint="eastAsia" w:ascii="新宋体" w:hAnsi="新宋体" w:eastAsia="新宋体" w:cs="新宋体"/>
                <w:color w:val="auto"/>
                <w:sz w:val="22"/>
                <w:szCs w:val="22"/>
                <w:highlight w:val="none"/>
              </w:rPr>
            </w:pPr>
          </w:p>
        </w:tc>
        <w:tc>
          <w:tcPr>
            <w:tcW w:w="1689" w:type="dxa"/>
            <w:vMerge w:val="continue"/>
            <w:tcBorders>
              <w:bottom w:val="single" w:color="auto" w:sz="4" w:space="0"/>
            </w:tcBorders>
          </w:tcPr>
          <w:p w14:paraId="5DDA0006">
            <w:pPr>
              <w:spacing w:line="480" w:lineRule="exact"/>
              <w:rPr>
                <w:rFonts w:hint="eastAsia" w:ascii="新宋体" w:hAnsi="新宋体" w:eastAsia="新宋体" w:cs="新宋体"/>
                <w:color w:val="auto"/>
                <w:sz w:val="22"/>
                <w:szCs w:val="22"/>
                <w:highlight w:val="none"/>
              </w:rPr>
            </w:pPr>
          </w:p>
        </w:tc>
        <w:tc>
          <w:tcPr>
            <w:tcW w:w="728" w:type="dxa"/>
            <w:vMerge w:val="continue"/>
            <w:tcBorders>
              <w:bottom w:val="single" w:color="auto" w:sz="4" w:space="0"/>
            </w:tcBorders>
          </w:tcPr>
          <w:p w14:paraId="6EA1A493">
            <w:pPr>
              <w:spacing w:line="480" w:lineRule="exact"/>
              <w:rPr>
                <w:rFonts w:hint="eastAsia" w:ascii="新宋体" w:hAnsi="新宋体" w:eastAsia="新宋体" w:cs="新宋体"/>
                <w:color w:val="auto"/>
                <w:sz w:val="22"/>
                <w:szCs w:val="22"/>
                <w:highlight w:val="none"/>
              </w:rPr>
            </w:pPr>
          </w:p>
        </w:tc>
        <w:tc>
          <w:tcPr>
            <w:tcW w:w="1487" w:type="dxa"/>
            <w:gridSpan w:val="2"/>
            <w:tcBorders>
              <w:bottom w:val="single" w:color="auto" w:sz="4" w:space="0"/>
            </w:tcBorders>
          </w:tcPr>
          <w:p w14:paraId="5A8204D8">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银行贷款</w:t>
            </w:r>
          </w:p>
        </w:tc>
        <w:tc>
          <w:tcPr>
            <w:tcW w:w="1488" w:type="dxa"/>
            <w:tcBorders>
              <w:bottom w:val="single" w:color="auto" w:sz="4" w:space="0"/>
            </w:tcBorders>
          </w:tcPr>
          <w:p w14:paraId="6A14FD6C">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Borders>
              <w:bottom w:val="single" w:color="auto" w:sz="4" w:space="0"/>
            </w:tcBorders>
          </w:tcPr>
          <w:p w14:paraId="3D184995">
            <w:pPr>
              <w:spacing w:line="480" w:lineRule="exact"/>
              <w:rPr>
                <w:rFonts w:hint="eastAsia" w:ascii="新宋体" w:hAnsi="新宋体" w:eastAsia="新宋体" w:cs="新宋体"/>
                <w:color w:val="auto"/>
                <w:sz w:val="22"/>
                <w:szCs w:val="22"/>
                <w:highlight w:val="none"/>
              </w:rPr>
            </w:pPr>
          </w:p>
        </w:tc>
        <w:tc>
          <w:tcPr>
            <w:tcW w:w="1502" w:type="dxa"/>
            <w:vMerge w:val="restart"/>
            <w:tcBorders>
              <w:bottom w:val="single" w:color="auto" w:sz="4" w:space="0"/>
            </w:tcBorders>
            <w:vAlign w:val="center"/>
          </w:tcPr>
          <w:p w14:paraId="30CDE8D8">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主要业绩</w:t>
            </w:r>
          </w:p>
        </w:tc>
        <w:tc>
          <w:tcPr>
            <w:tcW w:w="4064" w:type="dxa"/>
            <w:gridSpan w:val="4"/>
            <w:vMerge w:val="restart"/>
            <w:tcBorders>
              <w:bottom w:val="single" w:color="auto" w:sz="4" w:space="0"/>
            </w:tcBorders>
            <w:vAlign w:val="center"/>
          </w:tcPr>
          <w:p w14:paraId="2D93E3E9">
            <w:pPr>
              <w:spacing w:line="480" w:lineRule="exact"/>
              <w:jc w:val="center"/>
              <w:rPr>
                <w:rFonts w:hint="eastAsia" w:ascii="新宋体" w:hAnsi="新宋体" w:eastAsia="新宋体" w:cs="新宋体"/>
                <w:color w:val="auto"/>
                <w:sz w:val="22"/>
                <w:szCs w:val="22"/>
                <w:highlight w:val="none"/>
              </w:rPr>
            </w:pPr>
          </w:p>
        </w:tc>
      </w:tr>
      <w:tr w14:paraId="49AB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14:paraId="3AC8641C">
            <w:pPr>
              <w:spacing w:line="480" w:lineRule="exact"/>
              <w:rPr>
                <w:rFonts w:hint="eastAsia" w:ascii="新宋体" w:hAnsi="新宋体" w:eastAsia="新宋体" w:cs="新宋体"/>
                <w:color w:val="auto"/>
                <w:sz w:val="22"/>
                <w:szCs w:val="22"/>
                <w:highlight w:val="none"/>
              </w:rPr>
            </w:pPr>
          </w:p>
        </w:tc>
        <w:tc>
          <w:tcPr>
            <w:tcW w:w="1115" w:type="dxa"/>
            <w:vMerge w:val="restart"/>
          </w:tcPr>
          <w:p w14:paraId="22375B75">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固定资产</w:t>
            </w:r>
          </w:p>
        </w:tc>
        <w:tc>
          <w:tcPr>
            <w:tcW w:w="1689" w:type="dxa"/>
            <w:vMerge w:val="restart"/>
          </w:tcPr>
          <w:p w14:paraId="299D1327">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原值   万元</w:t>
            </w:r>
          </w:p>
          <w:p w14:paraId="46C6BE7A">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净值   万元</w:t>
            </w:r>
          </w:p>
        </w:tc>
        <w:tc>
          <w:tcPr>
            <w:tcW w:w="728" w:type="dxa"/>
            <w:vMerge w:val="restart"/>
          </w:tcPr>
          <w:p w14:paraId="51D365CD">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w:t>
            </w:r>
          </w:p>
          <w:p w14:paraId="775D9FBE">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性质</w:t>
            </w:r>
          </w:p>
        </w:tc>
        <w:tc>
          <w:tcPr>
            <w:tcW w:w="1487" w:type="dxa"/>
            <w:gridSpan w:val="2"/>
          </w:tcPr>
          <w:p w14:paraId="7A8AE99A">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生产性</w:t>
            </w:r>
          </w:p>
        </w:tc>
        <w:tc>
          <w:tcPr>
            <w:tcW w:w="1488" w:type="dxa"/>
          </w:tcPr>
          <w:p w14:paraId="3297B385">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Pr>
          <w:p w14:paraId="6A700BA4">
            <w:pPr>
              <w:spacing w:line="480" w:lineRule="exact"/>
              <w:rPr>
                <w:rFonts w:hint="eastAsia" w:ascii="新宋体" w:hAnsi="新宋体" w:eastAsia="新宋体" w:cs="新宋体"/>
                <w:color w:val="auto"/>
                <w:sz w:val="22"/>
                <w:szCs w:val="22"/>
                <w:highlight w:val="none"/>
              </w:rPr>
            </w:pPr>
          </w:p>
        </w:tc>
        <w:tc>
          <w:tcPr>
            <w:tcW w:w="1502" w:type="dxa"/>
            <w:vMerge w:val="continue"/>
          </w:tcPr>
          <w:p w14:paraId="01BF96B4">
            <w:pPr>
              <w:spacing w:line="480" w:lineRule="exact"/>
              <w:rPr>
                <w:rFonts w:hint="eastAsia" w:ascii="新宋体" w:hAnsi="新宋体" w:eastAsia="新宋体" w:cs="新宋体"/>
                <w:color w:val="auto"/>
                <w:sz w:val="22"/>
                <w:szCs w:val="22"/>
                <w:highlight w:val="none"/>
              </w:rPr>
            </w:pPr>
          </w:p>
        </w:tc>
        <w:tc>
          <w:tcPr>
            <w:tcW w:w="4064" w:type="dxa"/>
            <w:gridSpan w:val="4"/>
            <w:vMerge w:val="continue"/>
          </w:tcPr>
          <w:p w14:paraId="102A857D">
            <w:pPr>
              <w:spacing w:line="480" w:lineRule="exact"/>
              <w:rPr>
                <w:rFonts w:hint="eastAsia" w:ascii="新宋体" w:hAnsi="新宋体" w:eastAsia="新宋体" w:cs="新宋体"/>
                <w:color w:val="auto"/>
                <w:sz w:val="22"/>
                <w:szCs w:val="22"/>
                <w:highlight w:val="none"/>
              </w:rPr>
            </w:pPr>
          </w:p>
        </w:tc>
      </w:tr>
      <w:tr w14:paraId="15964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14:paraId="1127E835">
            <w:pPr>
              <w:spacing w:line="480" w:lineRule="exact"/>
              <w:rPr>
                <w:rFonts w:hint="eastAsia" w:ascii="新宋体" w:hAnsi="新宋体" w:eastAsia="新宋体" w:cs="新宋体"/>
                <w:color w:val="auto"/>
                <w:sz w:val="22"/>
                <w:szCs w:val="22"/>
                <w:highlight w:val="none"/>
              </w:rPr>
            </w:pPr>
          </w:p>
        </w:tc>
        <w:tc>
          <w:tcPr>
            <w:tcW w:w="1115" w:type="dxa"/>
            <w:vMerge w:val="continue"/>
          </w:tcPr>
          <w:p w14:paraId="2A9EB49E">
            <w:pPr>
              <w:spacing w:line="480" w:lineRule="exact"/>
              <w:rPr>
                <w:rFonts w:hint="eastAsia" w:ascii="新宋体" w:hAnsi="新宋体" w:eastAsia="新宋体" w:cs="新宋体"/>
                <w:color w:val="auto"/>
                <w:sz w:val="22"/>
                <w:szCs w:val="22"/>
                <w:highlight w:val="none"/>
              </w:rPr>
            </w:pPr>
          </w:p>
        </w:tc>
        <w:tc>
          <w:tcPr>
            <w:tcW w:w="1689" w:type="dxa"/>
            <w:vMerge w:val="continue"/>
          </w:tcPr>
          <w:p w14:paraId="3094597B">
            <w:pPr>
              <w:spacing w:line="480" w:lineRule="exact"/>
              <w:rPr>
                <w:rFonts w:hint="eastAsia" w:ascii="新宋体" w:hAnsi="新宋体" w:eastAsia="新宋体" w:cs="新宋体"/>
                <w:color w:val="auto"/>
                <w:sz w:val="22"/>
                <w:szCs w:val="22"/>
                <w:highlight w:val="none"/>
              </w:rPr>
            </w:pPr>
          </w:p>
        </w:tc>
        <w:tc>
          <w:tcPr>
            <w:tcW w:w="728" w:type="dxa"/>
            <w:vMerge w:val="continue"/>
          </w:tcPr>
          <w:p w14:paraId="047B5EF4">
            <w:pPr>
              <w:spacing w:line="480" w:lineRule="exact"/>
              <w:rPr>
                <w:rFonts w:hint="eastAsia" w:ascii="新宋体" w:hAnsi="新宋体" w:eastAsia="新宋体" w:cs="新宋体"/>
                <w:color w:val="auto"/>
                <w:sz w:val="22"/>
                <w:szCs w:val="22"/>
                <w:highlight w:val="none"/>
              </w:rPr>
            </w:pPr>
          </w:p>
        </w:tc>
        <w:tc>
          <w:tcPr>
            <w:tcW w:w="1487" w:type="dxa"/>
            <w:gridSpan w:val="2"/>
          </w:tcPr>
          <w:p w14:paraId="6783E16D">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非生产性</w:t>
            </w:r>
          </w:p>
        </w:tc>
        <w:tc>
          <w:tcPr>
            <w:tcW w:w="1488" w:type="dxa"/>
          </w:tcPr>
          <w:p w14:paraId="3E94D31C">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Pr>
          <w:p w14:paraId="49630BED">
            <w:pPr>
              <w:spacing w:line="480" w:lineRule="exact"/>
              <w:rPr>
                <w:rFonts w:hint="eastAsia" w:ascii="新宋体" w:hAnsi="新宋体" w:eastAsia="新宋体" w:cs="新宋体"/>
                <w:color w:val="auto"/>
                <w:sz w:val="22"/>
                <w:szCs w:val="22"/>
                <w:highlight w:val="none"/>
              </w:rPr>
            </w:pPr>
          </w:p>
        </w:tc>
        <w:tc>
          <w:tcPr>
            <w:tcW w:w="1502" w:type="dxa"/>
            <w:vMerge w:val="continue"/>
          </w:tcPr>
          <w:p w14:paraId="2676C42B">
            <w:pPr>
              <w:spacing w:line="480" w:lineRule="exact"/>
              <w:rPr>
                <w:rFonts w:hint="eastAsia" w:ascii="新宋体" w:hAnsi="新宋体" w:eastAsia="新宋体" w:cs="新宋体"/>
                <w:color w:val="auto"/>
                <w:sz w:val="22"/>
                <w:szCs w:val="22"/>
                <w:highlight w:val="none"/>
              </w:rPr>
            </w:pPr>
          </w:p>
        </w:tc>
        <w:tc>
          <w:tcPr>
            <w:tcW w:w="4064" w:type="dxa"/>
            <w:gridSpan w:val="4"/>
            <w:vMerge w:val="continue"/>
          </w:tcPr>
          <w:p w14:paraId="10A49754">
            <w:pPr>
              <w:spacing w:line="480" w:lineRule="exact"/>
              <w:rPr>
                <w:rFonts w:hint="eastAsia" w:ascii="新宋体" w:hAnsi="新宋体" w:eastAsia="新宋体" w:cs="新宋体"/>
                <w:color w:val="auto"/>
                <w:sz w:val="22"/>
                <w:szCs w:val="22"/>
                <w:highlight w:val="none"/>
              </w:rPr>
            </w:pPr>
          </w:p>
        </w:tc>
      </w:tr>
    </w:tbl>
    <w:p w14:paraId="051DB8DA">
      <w:pPr>
        <w:spacing w:line="460" w:lineRule="exact"/>
        <w:rPr>
          <w:rFonts w:hint="eastAsia" w:ascii="新宋体" w:hAnsi="新宋体" w:eastAsia="新宋体" w:cs="新宋体"/>
          <w:color w:val="auto"/>
          <w:sz w:val="22"/>
          <w:szCs w:val="22"/>
          <w:highlight w:val="none"/>
        </w:rPr>
        <w:sectPr>
          <w:pgSz w:w="16840" w:h="11907" w:orient="landscape"/>
          <w:pgMar w:top="1134" w:right="1134" w:bottom="1134" w:left="1134" w:header="851" w:footer="992" w:gutter="0"/>
          <w:pgBorders>
            <w:top w:val="none" w:sz="0" w:space="0"/>
            <w:left w:val="none" w:sz="0" w:space="0"/>
            <w:bottom w:val="none" w:sz="0" w:space="0"/>
            <w:right w:val="none" w:sz="0" w:space="0"/>
          </w:pgBorders>
          <w:cols w:space="720" w:num="1"/>
          <w:titlePg/>
          <w:docGrid w:linePitch="312" w:charSpace="0"/>
        </w:sectPr>
      </w:pPr>
    </w:p>
    <w:p w14:paraId="123D4C66">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4、廉政承诺书</w:t>
      </w:r>
    </w:p>
    <w:p w14:paraId="0EA12224">
      <w:pPr>
        <w:tabs>
          <w:tab w:val="left" w:pos="360"/>
        </w:tabs>
        <w:spacing w:line="46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温州市中医院</w:t>
      </w:r>
      <w:r>
        <w:rPr>
          <w:rFonts w:hint="eastAsia" w:ascii="新宋体" w:hAnsi="新宋体" w:eastAsia="新宋体" w:cs="新宋体"/>
          <w:color w:val="auto"/>
          <w:sz w:val="22"/>
          <w:highlight w:val="none"/>
        </w:rPr>
        <w:t>、温州历程招标有限公司：</w:t>
      </w:r>
    </w:p>
    <w:p w14:paraId="47E5F217">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为加强采购活动中的廉政建设，防止发生违法违纪行为，体现公开、公平、公正的原则，根据国家有关法律、法规和廉政建设责任制的规定，本投标人特作如下承诺：</w:t>
      </w:r>
    </w:p>
    <w:p w14:paraId="75BD9015">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一、不与</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及其他投标人私下串通协商，进行围标、串标、抬标、控制投标价格。</w:t>
      </w:r>
    </w:p>
    <w:p w14:paraId="0631770F">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二、不向</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、评标专家行贿，以不正当手段谋取中标。</w:t>
      </w:r>
    </w:p>
    <w:p w14:paraId="7F80A130">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三、不向监管人员请客、送礼及组织其他有可能影响客观公正监管的活动。</w:t>
      </w:r>
    </w:p>
    <w:p w14:paraId="23200100">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四、自觉遵守开标、评标现场工作纪律，不私下接触评标专家，不干扰正常的开标评标秩序。</w:t>
      </w:r>
    </w:p>
    <w:p w14:paraId="1918CD88">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五、不给责任人的违法违规行为说情、解脱。</w:t>
      </w:r>
    </w:p>
    <w:p w14:paraId="7474DB0B">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如违反上述承诺，你方有权立即取消我单位投标、中标或在建项目的履约资格，有权拒绝我单位在一定时期内进入你方进行政府采购或其他经营活动，并通报监督管理部门、纪检监察部门或司法机关调查处理。由此引起的相应损失均由我单位承担。</w:t>
      </w:r>
    </w:p>
    <w:p w14:paraId="06EC6DFC">
      <w:pPr>
        <w:tabs>
          <w:tab w:val="left" w:pos="360"/>
        </w:tabs>
        <w:spacing w:line="460" w:lineRule="exact"/>
        <w:rPr>
          <w:rFonts w:hint="eastAsia" w:ascii="新宋体" w:hAnsi="新宋体" w:eastAsia="新宋体" w:cs="新宋体"/>
          <w:color w:val="auto"/>
          <w:sz w:val="22"/>
          <w:highlight w:val="none"/>
        </w:rPr>
      </w:pPr>
    </w:p>
    <w:p w14:paraId="7B2A7A87">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特此承诺！</w:t>
      </w:r>
    </w:p>
    <w:p w14:paraId="0AB83FE6">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p>
    <w:p w14:paraId="3C32A811">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投标人全称（盖章） ：</w:t>
      </w:r>
    </w:p>
    <w:p w14:paraId="0D556E46">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14:paraId="23C6ACA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4FD14E10">
      <w:pPr>
        <w:pStyle w:val="9"/>
        <w:ind w:firstLine="440"/>
        <w:rPr>
          <w:rFonts w:hint="eastAsia" w:ascii="新宋体" w:hAnsi="新宋体" w:eastAsia="新宋体" w:cs="新宋体"/>
          <w:color w:val="auto"/>
          <w:sz w:val="22"/>
          <w:szCs w:val="22"/>
          <w:highlight w:val="none"/>
        </w:rPr>
      </w:pPr>
    </w:p>
    <w:p w14:paraId="409FCD60">
      <w:pPr>
        <w:rPr>
          <w:rFonts w:hint="eastAsia" w:ascii="新宋体" w:hAnsi="新宋体" w:eastAsia="新宋体" w:cs="新宋体"/>
          <w:color w:val="auto"/>
          <w:sz w:val="22"/>
          <w:szCs w:val="22"/>
          <w:highlight w:val="none"/>
        </w:rPr>
      </w:pPr>
    </w:p>
    <w:p w14:paraId="7ABC08C2">
      <w:pPr>
        <w:pStyle w:val="9"/>
        <w:ind w:firstLine="440"/>
        <w:rPr>
          <w:rFonts w:hint="eastAsia" w:ascii="新宋体" w:hAnsi="新宋体" w:eastAsia="新宋体" w:cs="新宋体"/>
          <w:color w:val="auto"/>
          <w:sz w:val="22"/>
          <w:szCs w:val="22"/>
          <w:highlight w:val="none"/>
        </w:rPr>
      </w:pPr>
    </w:p>
    <w:p w14:paraId="74ABEF0D">
      <w:pPr>
        <w:rPr>
          <w:rFonts w:hint="eastAsia" w:ascii="新宋体" w:hAnsi="新宋体" w:eastAsia="新宋体" w:cs="新宋体"/>
          <w:color w:val="auto"/>
          <w:sz w:val="22"/>
          <w:szCs w:val="22"/>
          <w:highlight w:val="none"/>
        </w:rPr>
      </w:pPr>
    </w:p>
    <w:p w14:paraId="6A160385">
      <w:pPr>
        <w:pStyle w:val="9"/>
        <w:ind w:firstLine="440"/>
        <w:rPr>
          <w:rFonts w:hint="eastAsia" w:ascii="新宋体" w:hAnsi="新宋体" w:eastAsia="新宋体" w:cs="新宋体"/>
          <w:color w:val="auto"/>
          <w:sz w:val="22"/>
          <w:szCs w:val="22"/>
          <w:highlight w:val="none"/>
        </w:rPr>
      </w:pPr>
    </w:p>
    <w:p w14:paraId="1FE90F17">
      <w:pPr>
        <w:rPr>
          <w:rFonts w:hint="eastAsia" w:ascii="新宋体" w:hAnsi="新宋体" w:eastAsia="新宋体" w:cs="新宋体"/>
          <w:color w:val="auto"/>
          <w:sz w:val="22"/>
          <w:szCs w:val="22"/>
          <w:highlight w:val="none"/>
        </w:rPr>
      </w:pPr>
    </w:p>
    <w:p w14:paraId="4095CD3A">
      <w:pPr>
        <w:pStyle w:val="9"/>
        <w:ind w:firstLine="440"/>
        <w:rPr>
          <w:rFonts w:hint="eastAsia" w:ascii="新宋体" w:hAnsi="新宋体" w:eastAsia="新宋体" w:cs="新宋体"/>
          <w:color w:val="auto"/>
          <w:sz w:val="22"/>
          <w:szCs w:val="22"/>
          <w:highlight w:val="none"/>
        </w:rPr>
      </w:pPr>
    </w:p>
    <w:p w14:paraId="6C50587B">
      <w:pPr>
        <w:rPr>
          <w:rFonts w:hint="eastAsia" w:ascii="新宋体" w:hAnsi="新宋体" w:eastAsia="新宋体" w:cs="新宋体"/>
          <w:color w:val="auto"/>
          <w:sz w:val="22"/>
          <w:szCs w:val="22"/>
          <w:highlight w:val="none"/>
        </w:rPr>
      </w:pPr>
    </w:p>
    <w:p w14:paraId="36247486">
      <w:pPr>
        <w:pStyle w:val="9"/>
        <w:ind w:firstLine="440"/>
        <w:rPr>
          <w:rFonts w:hint="eastAsia" w:ascii="新宋体" w:hAnsi="新宋体" w:eastAsia="新宋体" w:cs="新宋体"/>
          <w:color w:val="auto"/>
          <w:sz w:val="22"/>
          <w:szCs w:val="22"/>
          <w:highlight w:val="none"/>
        </w:rPr>
      </w:pPr>
    </w:p>
    <w:p w14:paraId="75FC62F2">
      <w:pPr>
        <w:rPr>
          <w:rFonts w:hint="eastAsia" w:ascii="新宋体" w:hAnsi="新宋体" w:eastAsia="新宋体" w:cs="新宋体"/>
          <w:color w:val="auto"/>
          <w:sz w:val="22"/>
          <w:szCs w:val="22"/>
          <w:highlight w:val="none"/>
        </w:rPr>
      </w:pPr>
    </w:p>
    <w:p w14:paraId="1F29BB56">
      <w:pPr>
        <w:pStyle w:val="9"/>
        <w:ind w:firstLine="440"/>
        <w:rPr>
          <w:rFonts w:hint="eastAsia" w:ascii="新宋体" w:hAnsi="新宋体" w:eastAsia="新宋体" w:cs="新宋体"/>
          <w:color w:val="auto"/>
          <w:sz w:val="22"/>
          <w:szCs w:val="22"/>
          <w:highlight w:val="none"/>
        </w:rPr>
      </w:pPr>
    </w:p>
    <w:p w14:paraId="66850798">
      <w:pPr>
        <w:rPr>
          <w:rFonts w:hint="eastAsia" w:ascii="新宋体" w:hAnsi="新宋体" w:eastAsia="新宋体" w:cs="新宋体"/>
          <w:color w:val="auto"/>
          <w:sz w:val="22"/>
          <w:szCs w:val="22"/>
          <w:highlight w:val="none"/>
        </w:rPr>
      </w:pPr>
    </w:p>
    <w:p w14:paraId="1AD8704F">
      <w:pPr>
        <w:pStyle w:val="9"/>
        <w:ind w:firstLine="440"/>
        <w:rPr>
          <w:rFonts w:hint="eastAsia" w:ascii="新宋体" w:hAnsi="新宋体" w:eastAsia="新宋体" w:cs="新宋体"/>
          <w:color w:val="auto"/>
          <w:sz w:val="22"/>
          <w:szCs w:val="22"/>
          <w:highlight w:val="none"/>
        </w:rPr>
      </w:pPr>
    </w:p>
    <w:p w14:paraId="15A2AAA6">
      <w:pPr>
        <w:rPr>
          <w:rFonts w:hint="eastAsia" w:ascii="新宋体" w:hAnsi="新宋体" w:eastAsia="新宋体" w:cs="新宋体"/>
          <w:color w:val="auto"/>
          <w:sz w:val="22"/>
          <w:szCs w:val="22"/>
          <w:highlight w:val="none"/>
        </w:rPr>
      </w:pPr>
    </w:p>
    <w:p w14:paraId="3554E20C">
      <w:pPr>
        <w:pStyle w:val="9"/>
        <w:ind w:firstLine="440"/>
        <w:rPr>
          <w:rFonts w:hint="eastAsia" w:ascii="新宋体" w:hAnsi="新宋体" w:eastAsia="新宋体" w:cs="新宋体"/>
          <w:color w:val="auto"/>
          <w:sz w:val="22"/>
          <w:szCs w:val="22"/>
          <w:highlight w:val="none"/>
        </w:rPr>
      </w:pPr>
    </w:p>
    <w:p w14:paraId="2477C394">
      <w:pPr>
        <w:rPr>
          <w:rFonts w:hint="eastAsia" w:ascii="新宋体" w:hAnsi="新宋体" w:eastAsia="新宋体" w:cs="新宋体"/>
          <w:color w:val="auto"/>
          <w:highlight w:val="none"/>
        </w:rPr>
      </w:pPr>
    </w:p>
    <w:p w14:paraId="09D574D2">
      <w:pP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br w:type="page"/>
      </w:r>
    </w:p>
    <w:p w14:paraId="02940EE4">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5、偏离表</w:t>
      </w:r>
      <w:r>
        <w:rPr>
          <w:rFonts w:hint="eastAsia" w:ascii="新宋体" w:hAnsi="新宋体" w:eastAsia="新宋体" w:cs="新宋体"/>
          <w:b/>
          <w:bCs/>
          <w:color w:val="auto"/>
          <w:sz w:val="28"/>
          <w:szCs w:val="28"/>
          <w:highlight w:val="none"/>
          <w:lang w:val="zh-CN" w:eastAsia="zh-CN"/>
        </w:rPr>
        <w:t>（</w:t>
      </w:r>
      <w:r>
        <w:rPr>
          <w:rFonts w:hint="eastAsia" w:ascii="新宋体" w:hAnsi="新宋体" w:eastAsia="新宋体" w:cs="新宋体"/>
          <w:b/>
          <w:bCs/>
          <w:color w:val="auto"/>
          <w:sz w:val="28"/>
          <w:szCs w:val="28"/>
          <w:highlight w:val="none"/>
          <w:lang w:val="en-US" w:eastAsia="zh-CN"/>
        </w:rPr>
        <w:t>商务、技术偏离</w:t>
      </w:r>
      <w:r>
        <w:rPr>
          <w:rFonts w:hint="eastAsia" w:ascii="新宋体" w:hAnsi="新宋体" w:eastAsia="新宋体" w:cs="新宋体"/>
          <w:b/>
          <w:bCs/>
          <w:color w:val="auto"/>
          <w:sz w:val="28"/>
          <w:szCs w:val="28"/>
          <w:highlight w:val="none"/>
          <w:lang w:val="zh-CN" w:eastAsia="zh-CN"/>
        </w:rPr>
        <w:t>）</w:t>
      </w:r>
    </w:p>
    <w:p w14:paraId="3FB6BFE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项目名称：</w:t>
      </w:r>
    </w:p>
    <w:p w14:paraId="6CB6904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val="0"/>
          <w:bCs w:val="0"/>
          <w:color w:val="auto"/>
          <w:sz w:val="22"/>
          <w:szCs w:val="22"/>
          <w:highlight w:val="none"/>
        </w:rPr>
        <w:t>项目编号：</w:t>
      </w:r>
    </w:p>
    <w:tbl>
      <w:tblPr>
        <w:tblStyle w:val="53"/>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44"/>
        <w:gridCol w:w="3402"/>
        <w:gridCol w:w="1843"/>
      </w:tblGrid>
      <w:tr w14:paraId="0D585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34" w:type="dxa"/>
            <w:shd w:val="clear" w:color="auto" w:fill="FFFFFF"/>
            <w:vAlign w:val="center"/>
          </w:tcPr>
          <w:p w14:paraId="4C2F4DA2">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  号</w:t>
            </w:r>
          </w:p>
        </w:tc>
        <w:tc>
          <w:tcPr>
            <w:tcW w:w="3544" w:type="dxa"/>
            <w:shd w:val="clear" w:color="auto" w:fill="FFFFFF"/>
            <w:vAlign w:val="center"/>
          </w:tcPr>
          <w:p w14:paraId="15CEE793">
            <w:pPr>
              <w:jc w:val="center"/>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color w:val="auto"/>
                <w:sz w:val="22"/>
                <w:szCs w:val="22"/>
                <w:highlight w:val="none"/>
                <w:lang w:eastAsia="zh-CN"/>
              </w:rPr>
              <w:t>采购文件</w:t>
            </w:r>
          </w:p>
          <w:p w14:paraId="06D7C43D">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规格要求</w:t>
            </w:r>
          </w:p>
        </w:tc>
        <w:tc>
          <w:tcPr>
            <w:tcW w:w="3402" w:type="dxa"/>
            <w:shd w:val="clear" w:color="auto" w:fill="FFFFFF"/>
            <w:vAlign w:val="center"/>
          </w:tcPr>
          <w:p w14:paraId="2030B09D">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投标文件</w:t>
            </w:r>
          </w:p>
          <w:p w14:paraId="2AE4FAE9">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对应规格</w:t>
            </w:r>
          </w:p>
        </w:tc>
        <w:tc>
          <w:tcPr>
            <w:tcW w:w="1843" w:type="dxa"/>
            <w:shd w:val="clear" w:color="auto" w:fill="FFFFFF"/>
            <w:vAlign w:val="center"/>
          </w:tcPr>
          <w:p w14:paraId="4041BF7A">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   明</w:t>
            </w:r>
          </w:p>
          <w:p w14:paraId="09AA2E48">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（偏离情况）</w:t>
            </w:r>
          </w:p>
        </w:tc>
      </w:tr>
      <w:tr w14:paraId="340C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134" w:type="dxa"/>
            <w:vAlign w:val="center"/>
          </w:tcPr>
          <w:p w14:paraId="74FCEAF4">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544" w:type="dxa"/>
            <w:vAlign w:val="center"/>
          </w:tcPr>
          <w:p w14:paraId="4143CD06">
            <w:pPr>
              <w:jc w:val="center"/>
              <w:rPr>
                <w:rFonts w:hint="eastAsia" w:ascii="新宋体" w:hAnsi="新宋体" w:eastAsia="新宋体" w:cs="新宋体"/>
                <w:color w:val="auto"/>
                <w:sz w:val="22"/>
                <w:szCs w:val="22"/>
                <w:highlight w:val="none"/>
              </w:rPr>
            </w:pPr>
          </w:p>
        </w:tc>
        <w:tc>
          <w:tcPr>
            <w:tcW w:w="3402" w:type="dxa"/>
            <w:vAlign w:val="center"/>
          </w:tcPr>
          <w:p w14:paraId="7DBBF83C">
            <w:pPr>
              <w:jc w:val="center"/>
              <w:rPr>
                <w:rFonts w:hint="eastAsia" w:ascii="新宋体" w:hAnsi="新宋体" w:eastAsia="新宋体" w:cs="新宋体"/>
                <w:color w:val="auto"/>
                <w:sz w:val="22"/>
                <w:szCs w:val="22"/>
                <w:highlight w:val="none"/>
              </w:rPr>
            </w:pPr>
          </w:p>
        </w:tc>
        <w:tc>
          <w:tcPr>
            <w:tcW w:w="1843" w:type="dxa"/>
            <w:vAlign w:val="center"/>
          </w:tcPr>
          <w:p w14:paraId="2B320629">
            <w:pPr>
              <w:jc w:val="center"/>
              <w:rPr>
                <w:rFonts w:hint="eastAsia" w:ascii="新宋体" w:hAnsi="新宋体" w:eastAsia="新宋体" w:cs="新宋体"/>
                <w:color w:val="auto"/>
                <w:sz w:val="22"/>
                <w:szCs w:val="22"/>
                <w:highlight w:val="none"/>
              </w:rPr>
            </w:pPr>
          </w:p>
        </w:tc>
      </w:tr>
      <w:tr w14:paraId="764B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51756549">
            <w:pPr>
              <w:jc w:val="center"/>
              <w:rPr>
                <w:rFonts w:hint="eastAsia" w:ascii="新宋体" w:hAnsi="新宋体" w:eastAsia="新宋体" w:cs="新宋体"/>
                <w:color w:val="auto"/>
                <w:sz w:val="22"/>
                <w:szCs w:val="22"/>
                <w:highlight w:val="none"/>
              </w:rPr>
            </w:pPr>
          </w:p>
        </w:tc>
        <w:tc>
          <w:tcPr>
            <w:tcW w:w="3544" w:type="dxa"/>
            <w:vAlign w:val="center"/>
          </w:tcPr>
          <w:p w14:paraId="107E9169">
            <w:pPr>
              <w:jc w:val="center"/>
              <w:rPr>
                <w:rFonts w:hint="eastAsia" w:ascii="新宋体" w:hAnsi="新宋体" w:eastAsia="新宋体" w:cs="新宋体"/>
                <w:color w:val="auto"/>
                <w:sz w:val="22"/>
                <w:szCs w:val="22"/>
                <w:highlight w:val="none"/>
              </w:rPr>
            </w:pPr>
          </w:p>
        </w:tc>
        <w:tc>
          <w:tcPr>
            <w:tcW w:w="3402" w:type="dxa"/>
            <w:vAlign w:val="center"/>
          </w:tcPr>
          <w:p w14:paraId="39E8DE19">
            <w:pPr>
              <w:jc w:val="center"/>
              <w:rPr>
                <w:rFonts w:hint="eastAsia" w:ascii="新宋体" w:hAnsi="新宋体" w:eastAsia="新宋体" w:cs="新宋体"/>
                <w:color w:val="auto"/>
                <w:sz w:val="22"/>
                <w:szCs w:val="22"/>
                <w:highlight w:val="none"/>
              </w:rPr>
            </w:pPr>
          </w:p>
        </w:tc>
        <w:tc>
          <w:tcPr>
            <w:tcW w:w="1843" w:type="dxa"/>
            <w:vAlign w:val="center"/>
          </w:tcPr>
          <w:p w14:paraId="07929727">
            <w:pPr>
              <w:jc w:val="center"/>
              <w:rPr>
                <w:rFonts w:hint="eastAsia" w:ascii="新宋体" w:hAnsi="新宋体" w:eastAsia="新宋体" w:cs="新宋体"/>
                <w:color w:val="auto"/>
                <w:sz w:val="22"/>
                <w:szCs w:val="22"/>
                <w:highlight w:val="none"/>
              </w:rPr>
            </w:pPr>
          </w:p>
        </w:tc>
      </w:tr>
      <w:tr w14:paraId="7B4E6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33B8E987">
            <w:pPr>
              <w:jc w:val="center"/>
              <w:rPr>
                <w:rFonts w:hint="eastAsia" w:ascii="新宋体" w:hAnsi="新宋体" w:eastAsia="新宋体" w:cs="新宋体"/>
                <w:color w:val="auto"/>
                <w:sz w:val="22"/>
                <w:szCs w:val="22"/>
                <w:highlight w:val="none"/>
              </w:rPr>
            </w:pPr>
          </w:p>
        </w:tc>
        <w:tc>
          <w:tcPr>
            <w:tcW w:w="3544" w:type="dxa"/>
            <w:vAlign w:val="center"/>
          </w:tcPr>
          <w:p w14:paraId="728F8872">
            <w:pPr>
              <w:jc w:val="center"/>
              <w:rPr>
                <w:rFonts w:hint="eastAsia" w:ascii="新宋体" w:hAnsi="新宋体" w:eastAsia="新宋体" w:cs="新宋体"/>
                <w:color w:val="auto"/>
                <w:sz w:val="22"/>
                <w:szCs w:val="22"/>
                <w:highlight w:val="none"/>
              </w:rPr>
            </w:pPr>
          </w:p>
        </w:tc>
        <w:tc>
          <w:tcPr>
            <w:tcW w:w="3402" w:type="dxa"/>
            <w:vAlign w:val="center"/>
          </w:tcPr>
          <w:p w14:paraId="30B2DB14">
            <w:pPr>
              <w:jc w:val="center"/>
              <w:rPr>
                <w:rFonts w:hint="eastAsia" w:ascii="新宋体" w:hAnsi="新宋体" w:eastAsia="新宋体" w:cs="新宋体"/>
                <w:color w:val="auto"/>
                <w:sz w:val="22"/>
                <w:szCs w:val="22"/>
                <w:highlight w:val="none"/>
              </w:rPr>
            </w:pPr>
          </w:p>
        </w:tc>
        <w:tc>
          <w:tcPr>
            <w:tcW w:w="1843" w:type="dxa"/>
            <w:vAlign w:val="center"/>
          </w:tcPr>
          <w:p w14:paraId="61D4E360">
            <w:pPr>
              <w:jc w:val="center"/>
              <w:rPr>
                <w:rFonts w:hint="eastAsia" w:ascii="新宋体" w:hAnsi="新宋体" w:eastAsia="新宋体" w:cs="新宋体"/>
                <w:color w:val="auto"/>
                <w:sz w:val="22"/>
                <w:szCs w:val="22"/>
                <w:highlight w:val="none"/>
              </w:rPr>
            </w:pPr>
          </w:p>
        </w:tc>
      </w:tr>
      <w:tr w14:paraId="2B65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4C5D325C">
            <w:pPr>
              <w:jc w:val="center"/>
              <w:rPr>
                <w:rFonts w:hint="eastAsia" w:ascii="新宋体" w:hAnsi="新宋体" w:eastAsia="新宋体" w:cs="新宋体"/>
                <w:color w:val="auto"/>
                <w:sz w:val="22"/>
                <w:szCs w:val="22"/>
                <w:highlight w:val="none"/>
              </w:rPr>
            </w:pPr>
          </w:p>
        </w:tc>
        <w:tc>
          <w:tcPr>
            <w:tcW w:w="3544" w:type="dxa"/>
            <w:vAlign w:val="center"/>
          </w:tcPr>
          <w:p w14:paraId="4C4301E4">
            <w:pPr>
              <w:jc w:val="center"/>
              <w:rPr>
                <w:rFonts w:hint="eastAsia" w:ascii="新宋体" w:hAnsi="新宋体" w:eastAsia="新宋体" w:cs="新宋体"/>
                <w:color w:val="auto"/>
                <w:sz w:val="22"/>
                <w:szCs w:val="22"/>
                <w:highlight w:val="none"/>
              </w:rPr>
            </w:pPr>
          </w:p>
        </w:tc>
        <w:tc>
          <w:tcPr>
            <w:tcW w:w="3402" w:type="dxa"/>
            <w:vAlign w:val="center"/>
          </w:tcPr>
          <w:p w14:paraId="7DBC1330">
            <w:pPr>
              <w:jc w:val="center"/>
              <w:rPr>
                <w:rFonts w:hint="eastAsia" w:ascii="新宋体" w:hAnsi="新宋体" w:eastAsia="新宋体" w:cs="新宋体"/>
                <w:color w:val="auto"/>
                <w:sz w:val="22"/>
                <w:szCs w:val="22"/>
                <w:highlight w:val="none"/>
              </w:rPr>
            </w:pPr>
          </w:p>
        </w:tc>
        <w:tc>
          <w:tcPr>
            <w:tcW w:w="1843" w:type="dxa"/>
            <w:vAlign w:val="center"/>
          </w:tcPr>
          <w:p w14:paraId="00EBED80">
            <w:pPr>
              <w:jc w:val="center"/>
              <w:rPr>
                <w:rFonts w:hint="eastAsia" w:ascii="新宋体" w:hAnsi="新宋体" w:eastAsia="新宋体" w:cs="新宋体"/>
                <w:color w:val="auto"/>
                <w:sz w:val="22"/>
                <w:szCs w:val="22"/>
                <w:highlight w:val="none"/>
              </w:rPr>
            </w:pPr>
          </w:p>
        </w:tc>
      </w:tr>
      <w:tr w14:paraId="7687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7E530E00">
            <w:pPr>
              <w:jc w:val="center"/>
              <w:rPr>
                <w:rFonts w:hint="eastAsia" w:ascii="新宋体" w:hAnsi="新宋体" w:eastAsia="新宋体" w:cs="新宋体"/>
                <w:color w:val="auto"/>
                <w:sz w:val="22"/>
                <w:szCs w:val="22"/>
                <w:highlight w:val="none"/>
              </w:rPr>
            </w:pPr>
          </w:p>
        </w:tc>
        <w:tc>
          <w:tcPr>
            <w:tcW w:w="3544" w:type="dxa"/>
            <w:vAlign w:val="center"/>
          </w:tcPr>
          <w:p w14:paraId="3AA12B59">
            <w:pPr>
              <w:jc w:val="center"/>
              <w:rPr>
                <w:rFonts w:hint="eastAsia" w:ascii="新宋体" w:hAnsi="新宋体" w:eastAsia="新宋体" w:cs="新宋体"/>
                <w:color w:val="auto"/>
                <w:sz w:val="22"/>
                <w:szCs w:val="22"/>
                <w:highlight w:val="none"/>
              </w:rPr>
            </w:pPr>
          </w:p>
        </w:tc>
        <w:tc>
          <w:tcPr>
            <w:tcW w:w="3402" w:type="dxa"/>
            <w:vAlign w:val="center"/>
          </w:tcPr>
          <w:p w14:paraId="0FD85811">
            <w:pPr>
              <w:jc w:val="center"/>
              <w:rPr>
                <w:rFonts w:hint="eastAsia" w:ascii="新宋体" w:hAnsi="新宋体" w:eastAsia="新宋体" w:cs="新宋体"/>
                <w:color w:val="auto"/>
                <w:sz w:val="22"/>
                <w:szCs w:val="22"/>
                <w:highlight w:val="none"/>
              </w:rPr>
            </w:pPr>
          </w:p>
        </w:tc>
        <w:tc>
          <w:tcPr>
            <w:tcW w:w="1843" w:type="dxa"/>
            <w:vAlign w:val="center"/>
          </w:tcPr>
          <w:p w14:paraId="15160367">
            <w:pPr>
              <w:jc w:val="center"/>
              <w:rPr>
                <w:rFonts w:hint="eastAsia" w:ascii="新宋体" w:hAnsi="新宋体" w:eastAsia="新宋体" w:cs="新宋体"/>
                <w:color w:val="auto"/>
                <w:sz w:val="22"/>
                <w:szCs w:val="22"/>
                <w:highlight w:val="none"/>
              </w:rPr>
            </w:pPr>
          </w:p>
        </w:tc>
      </w:tr>
      <w:tr w14:paraId="76444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03E4F8B4">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544" w:type="dxa"/>
            <w:vAlign w:val="center"/>
          </w:tcPr>
          <w:p w14:paraId="444216F7">
            <w:pPr>
              <w:jc w:val="center"/>
              <w:rPr>
                <w:rFonts w:hint="eastAsia" w:ascii="新宋体" w:hAnsi="新宋体" w:eastAsia="新宋体" w:cs="新宋体"/>
                <w:color w:val="auto"/>
                <w:sz w:val="22"/>
                <w:szCs w:val="22"/>
                <w:highlight w:val="none"/>
              </w:rPr>
            </w:pPr>
          </w:p>
        </w:tc>
        <w:tc>
          <w:tcPr>
            <w:tcW w:w="3402" w:type="dxa"/>
            <w:vAlign w:val="center"/>
          </w:tcPr>
          <w:p w14:paraId="292D0C3D">
            <w:pPr>
              <w:jc w:val="center"/>
              <w:rPr>
                <w:rFonts w:hint="eastAsia" w:ascii="新宋体" w:hAnsi="新宋体" w:eastAsia="新宋体" w:cs="新宋体"/>
                <w:color w:val="auto"/>
                <w:sz w:val="22"/>
                <w:szCs w:val="22"/>
                <w:highlight w:val="none"/>
              </w:rPr>
            </w:pPr>
          </w:p>
        </w:tc>
        <w:tc>
          <w:tcPr>
            <w:tcW w:w="1843" w:type="dxa"/>
            <w:vAlign w:val="center"/>
          </w:tcPr>
          <w:p w14:paraId="051B503D">
            <w:pPr>
              <w:jc w:val="center"/>
              <w:rPr>
                <w:rFonts w:hint="eastAsia" w:ascii="新宋体" w:hAnsi="新宋体" w:eastAsia="新宋体" w:cs="新宋体"/>
                <w:color w:val="auto"/>
                <w:sz w:val="22"/>
                <w:szCs w:val="22"/>
                <w:highlight w:val="none"/>
              </w:rPr>
            </w:pPr>
          </w:p>
        </w:tc>
      </w:tr>
      <w:tr w14:paraId="2FE9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03C28A51">
            <w:pPr>
              <w:jc w:val="center"/>
              <w:rPr>
                <w:rFonts w:hint="eastAsia" w:ascii="新宋体" w:hAnsi="新宋体" w:eastAsia="新宋体" w:cs="新宋体"/>
                <w:color w:val="auto"/>
                <w:sz w:val="22"/>
                <w:szCs w:val="22"/>
                <w:highlight w:val="none"/>
              </w:rPr>
            </w:pPr>
          </w:p>
        </w:tc>
        <w:tc>
          <w:tcPr>
            <w:tcW w:w="3544" w:type="dxa"/>
            <w:vAlign w:val="center"/>
          </w:tcPr>
          <w:p w14:paraId="471C2F30">
            <w:pPr>
              <w:jc w:val="center"/>
              <w:rPr>
                <w:rFonts w:hint="eastAsia" w:ascii="新宋体" w:hAnsi="新宋体" w:eastAsia="新宋体" w:cs="新宋体"/>
                <w:color w:val="auto"/>
                <w:sz w:val="22"/>
                <w:szCs w:val="22"/>
                <w:highlight w:val="none"/>
              </w:rPr>
            </w:pPr>
          </w:p>
        </w:tc>
        <w:tc>
          <w:tcPr>
            <w:tcW w:w="3402" w:type="dxa"/>
            <w:vAlign w:val="center"/>
          </w:tcPr>
          <w:p w14:paraId="37CF27A3">
            <w:pPr>
              <w:jc w:val="center"/>
              <w:rPr>
                <w:rFonts w:hint="eastAsia" w:ascii="新宋体" w:hAnsi="新宋体" w:eastAsia="新宋体" w:cs="新宋体"/>
                <w:color w:val="auto"/>
                <w:sz w:val="22"/>
                <w:szCs w:val="22"/>
                <w:highlight w:val="none"/>
              </w:rPr>
            </w:pPr>
          </w:p>
        </w:tc>
        <w:tc>
          <w:tcPr>
            <w:tcW w:w="1843" w:type="dxa"/>
            <w:vAlign w:val="center"/>
          </w:tcPr>
          <w:p w14:paraId="785894C0">
            <w:pPr>
              <w:jc w:val="center"/>
              <w:rPr>
                <w:rFonts w:hint="eastAsia" w:ascii="新宋体" w:hAnsi="新宋体" w:eastAsia="新宋体" w:cs="新宋体"/>
                <w:color w:val="auto"/>
                <w:sz w:val="22"/>
                <w:szCs w:val="22"/>
                <w:highlight w:val="none"/>
              </w:rPr>
            </w:pPr>
          </w:p>
        </w:tc>
      </w:tr>
      <w:tr w14:paraId="5041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205346F4">
            <w:pPr>
              <w:jc w:val="center"/>
              <w:rPr>
                <w:rFonts w:hint="eastAsia" w:ascii="新宋体" w:hAnsi="新宋体" w:eastAsia="新宋体" w:cs="新宋体"/>
                <w:color w:val="auto"/>
                <w:sz w:val="22"/>
                <w:szCs w:val="22"/>
                <w:highlight w:val="none"/>
              </w:rPr>
            </w:pPr>
          </w:p>
        </w:tc>
        <w:tc>
          <w:tcPr>
            <w:tcW w:w="3544" w:type="dxa"/>
            <w:vAlign w:val="center"/>
          </w:tcPr>
          <w:p w14:paraId="5D181BB0">
            <w:pPr>
              <w:jc w:val="center"/>
              <w:rPr>
                <w:rFonts w:hint="eastAsia" w:ascii="新宋体" w:hAnsi="新宋体" w:eastAsia="新宋体" w:cs="新宋体"/>
                <w:color w:val="auto"/>
                <w:sz w:val="22"/>
                <w:szCs w:val="22"/>
                <w:highlight w:val="none"/>
              </w:rPr>
            </w:pPr>
          </w:p>
        </w:tc>
        <w:tc>
          <w:tcPr>
            <w:tcW w:w="3402" w:type="dxa"/>
            <w:vAlign w:val="center"/>
          </w:tcPr>
          <w:p w14:paraId="739B0906">
            <w:pPr>
              <w:jc w:val="center"/>
              <w:rPr>
                <w:rFonts w:hint="eastAsia" w:ascii="新宋体" w:hAnsi="新宋体" w:eastAsia="新宋体" w:cs="新宋体"/>
                <w:color w:val="auto"/>
                <w:sz w:val="22"/>
                <w:szCs w:val="22"/>
                <w:highlight w:val="none"/>
              </w:rPr>
            </w:pPr>
          </w:p>
        </w:tc>
        <w:tc>
          <w:tcPr>
            <w:tcW w:w="1843" w:type="dxa"/>
            <w:vAlign w:val="center"/>
          </w:tcPr>
          <w:p w14:paraId="4A73C161">
            <w:pPr>
              <w:jc w:val="center"/>
              <w:rPr>
                <w:rFonts w:hint="eastAsia" w:ascii="新宋体" w:hAnsi="新宋体" w:eastAsia="新宋体" w:cs="新宋体"/>
                <w:color w:val="auto"/>
                <w:sz w:val="22"/>
                <w:szCs w:val="22"/>
                <w:highlight w:val="none"/>
              </w:rPr>
            </w:pPr>
          </w:p>
        </w:tc>
      </w:tr>
      <w:tr w14:paraId="5CB75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24DCBDAC">
            <w:pPr>
              <w:jc w:val="center"/>
              <w:rPr>
                <w:rFonts w:hint="eastAsia" w:ascii="新宋体" w:hAnsi="新宋体" w:eastAsia="新宋体" w:cs="新宋体"/>
                <w:color w:val="auto"/>
                <w:sz w:val="22"/>
                <w:szCs w:val="22"/>
                <w:highlight w:val="none"/>
              </w:rPr>
            </w:pPr>
          </w:p>
        </w:tc>
        <w:tc>
          <w:tcPr>
            <w:tcW w:w="3544" w:type="dxa"/>
            <w:vAlign w:val="center"/>
          </w:tcPr>
          <w:p w14:paraId="42318EDA">
            <w:pPr>
              <w:jc w:val="center"/>
              <w:rPr>
                <w:rFonts w:hint="eastAsia" w:ascii="新宋体" w:hAnsi="新宋体" w:eastAsia="新宋体" w:cs="新宋体"/>
                <w:color w:val="auto"/>
                <w:sz w:val="22"/>
                <w:szCs w:val="22"/>
                <w:highlight w:val="none"/>
              </w:rPr>
            </w:pPr>
          </w:p>
        </w:tc>
        <w:tc>
          <w:tcPr>
            <w:tcW w:w="3402" w:type="dxa"/>
            <w:vAlign w:val="center"/>
          </w:tcPr>
          <w:p w14:paraId="38596763">
            <w:pPr>
              <w:jc w:val="center"/>
              <w:rPr>
                <w:rFonts w:hint="eastAsia" w:ascii="新宋体" w:hAnsi="新宋体" w:eastAsia="新宋体" w:cs="新宋体"/>
                <w:color w:val="auto"/>
                <w:sz w:val="22"/>
                <w:szCs w:val="22"/>
                <w:highlight w:val="none"/>
              </w:rPr>
            </w:pPr>
          </w:p>
        </w:tc>
        <w:tc>
          <w:tcPr>
            <w:tcW w:w="1843" w:type="dxa"/>
            <w:vAlign w:val="center"/>
          </w:tcPr>
          <w:p w14:paraId="09EA604A">
            <w:pPr>
              <w:jc w:val="center"/>
              <w:rPr>
                <w:rFonts w:hint="eastAsia" w:ascii="新宋体" w:hAnsi="新宋体" w:eastAsia="新宋体" w:cs="新宋体"/>
                <w:color w:val="auto"/>
                <w:sz w:val="22"/>
                <w:szCs w:val="22"/>
                <w:highlight w:val="none"/>
              </w:rPr>
            </w:pPr>
          </w:p>
        </w:tc>
      </w:tr>
      <w:tr w14:paraId="0FE63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20353C6D">
            <w:pPr>
              <w:jc w:val="center"/>
              <w:rPr>
                <w:rFonts w:hint="eastAsia" w:ascii="新宋体" w:hAnsi="新宋体" w:eastAsia="新宋体" w:cs="新宋体"/>
                <w:color w:val="auto"/>
                <w:sz w:val="22"/>
                <w:szCs w:val="22"/>
                <w:highlight w:val="none"/>
              </w:rPr>
            </w:pPr>
          </w:p>
        </w:tc>
        <w:tc>
          <w:tcPr>
            <w:tcW w:w="3544" w:type="dxa"/>
            <w:vAlign w:val="center"/>
          </w:tcPr>
          <w:p w14:paraId="4B758838">
            <w:pPr>
              <w:jc w:val="center"/>
              <w:rPr>
                <w:rFonts w:hint="eastAsia" w:ascii="新宋体" w:hAnsi="新宋体" w:eastAsia="新宋体" w:cs="新宋体"/>
                <w:color w:val="auto"/>
                <w:sz w:val="22"/>
                <w:szCs w:val="22"/>
                <w:highlight w:val="none"/>
              </w:rPr>
            </w:pPr>
          </w:p>
        </w:tc>
        <w:tc>
          <w:tcPr>
            <w:tcW w:w="3402" w:type="dxa"/>
            <w:vAlign w:val="center"/>
          </w:tcPr>
          <w:p w14:paraId="0454C21F">
            <w:pPr>
              <w:jc w:val="center"/>
              <w:rPr>
                <w:rFonts w:hint="eastAsia" w:ascii="新宋体" w:hAnsi="新宋体" w:eastAsia="新宋体" w:cs="新宋体"/>
                <w:color w:val="auto"/>
                <w:sz w:val="22"/>
                <w:szCs w:val="22"/>
                <w:highlight w:val="none"/>
              </w:rPr>
            </w:pPr>
          </w:p>
        </w:tc>
        <w:tc>
          <w:tcPr>
            <w:tcW w:w="1843" w:type="dxa"/>
            <w:vAlign w:val="center"/>
          </w:tcPr>
          <w:p w14:paraId="526ADB7B">
            <w:pPr>
              <w:jc w:val="center"/>
              <w:rPr>
                <w:rFonts w:hint="eastAsia" w:ascii="新宋体" w:hAnsi="新宋体" w:eastAsia="新宋体" w:cs="新宋体"/>
                <w:color w:val="auto"/>
                <w:sz w:val="22"/>
                <w:szCs w:val="22"/>
                <w:highlight w:val="none"/>
              </w:rPr>
            </w:pPr>
          </w:p>
        </w:tc>
      </w:tr>
    </w:tbl>
    <w:p w14:paraId="04983D46">
      <w:pPr>
        <w:pStyle w:val="31"/>
        <w:spacing w:line="400" w:lineRule="atLeas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注：如有偏离，必须在偏离表中进行详细对比说明并注明正偏离（负偏离），如不说明偏离情况，视为完全响应</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要求无偏离。</w:t>
      </w:r>
    </w:p>
    <w:p w14:paraId="5EE7D8CB">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投标人全称（盖章） ：</w:t>
      </w:r>
    </w:p>
    <w:p w14:paraId="1B9B0F59">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14:paraId="7D6CC4D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596FB2BC">
      <w:pPr>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br w:type="page"/>
      </w:r>
    </w:p>
    <w:p w14:paraId="54811940">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6、其他必要提供的资料</w:t>
      </w:r>
    </w:p>
    <w:p w14:paraId="0E0BA5E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项目名称：</w:t>
      </w:r>
    </w:p>
    <w:p w14:paraId="79BF75B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highlight w:val="none"/>
        </w:rPr>
      </w:pPr>
      <w:r>
        <w:rPr>
          <w:rFonts w:hint="eastAsia" w:ascii="新宋体" w:hAnsi="新宋体" w:eastAsia="新宋体" w:cs="新宋体"/>
          <w:b w:val="0"/>
          <w:bCs w:val="0"/>
          <w:color w:val="auto"/>
          <w:sz w:val="22"/>
          <w:szCs w:val="22"/>
          <w:highlight w:val="none"/>
        </w:rPr>
        <w:t>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14:paraId="03C4F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jc w:val="center"/>
        </w:trPr>
        <w:tc>
          <w:tcPr>
            <w:tcW w:w="9181" w:type="dxa"/>
            <w:vAlign w:val="top"/>
          </w:tcPr>
          <w:p w14:paraId="2DE91590">
            <w:pPr>
              <w:pStyle w:val="313"/>
              <w:spacing w:after="0"/>
              <w:jc w:val="center"/>
              <w:rPr>
                <w:rFonts w:hint="eastAsia" w:ascii="新宋体" w:hAnsi="新宋体" w:eastAsia="新宋体" w:cs="新宋体"/>
                <w:color w:val="auto"/>
                <w:highlight w:val="none"/>
              </w:rPr>
            </w:pPr>
            <w:r>
              <w:rPr>
                <w:rFonts w:hint="eastAsia" w:ascii="新宋体" w:hAnsi="新宋体" w:eastAsia="新宋体" w:cs="新宋体"/>
                <w:b/>
                <w:bCs/>
                <w:color w:val="auto"/>
                <w:sz w:val="22"/>
                <w:szCs w:val="22"/>
                <w:highlight w:val="none"/>
                <w:u w:val="single"/>
                <w:lang w:val="en-US" w:eastAsia="zh-CN"/>
              </w:rPr>
              <w:t>根据</w:t>
            </w:r>
            <w:r>
              <w:rPr>
                <w:rFonts w:hint="eastAsia" w:ascii="新宋体" w:hAnsi="新宋体" w:eastAsia="新宋体" w:cs="新宋体"/>
                <w:b/>
                <w:bCs/>
                <w:color w:val="auto"/>
                <w:sz w:val="22"/>
                <w:szCs w:val="22"/>
                <w:highlight w:val="none"/>
                <w:u w:val="single"/>
              </w:rPr>
              <w:t>评</w:t>
            </w:r>
            <w:r>
              <w:rPr>
                <w:rFonts w:hint="eastAsia" w:ascii="新宋体" w:hAnsi="新宋体" w:eastAsia="新宋体" w:cs="新宋体"/>
                <w:b/>
                <w:bCs/>
                <w:color w:val="auto"/>
                <w:sz w:val="22"/>
                <w:szCs w:val="22"/>
                <w:highlight w:val="none"/>
                <w:u w:val="single"/>
                <w:lang w:val="en-US" w:eastAsia="zh-CN"/>
              </w:rPr>
              <w:t>分</w:t>
            </w:r>
            <w:r>
              <w:rPr>
                <w:rFonts w:hint="eastAsia" w:ascii="新宋体" w:hAnsi="新宋体" w:eastAsia="新宋体" w:cs="新宋体"/>
                <w:b/>
                <w:bCs/>
                <w:color w:val="auto"/>
                <w:sz w:val="22"/>
                <w:szCs w:val="22"/>
                <w:highlight w:val="none"/>
                <w:u w:val="single"/>
              </w:rPr>
              <w:t>标准</w:t>
            </w:r>
            <w:r>
              <w:rPr>
                <w:rFonts w:hint="eastAsia" w:ascii="新宋体" w:hAnsi="新宋体" w:eastAsia="新宋体" w:cs="新宋体"/>
                <w:b/>
                <w:bCs/>
                <w:color w:val="auto"/>
                <w:sz w:val="22"/>
                <w:szCs w:val="22"/>
                <w:highlight w:val="none"/>
                <w:u w:val="single"/>
                <w:lang w:val="en-US" w:eastAsia="zh-CN"/>
              </w:rPr>
              <w:t>自行提供</w:t>
            </w:r>
          </w:p>
        </w:tc>
      </w:tr>
    </w:tbl>
    <w:p w14:paraId="799465D0">
      <w:pPr>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8"/>
          <w:highlight w:val="none"/>
        </w:rPr>
        <w:t xml:space="preserve">  </w:t>
      </w:r>
    </w:p>
    <w:p w14:paraId="15C0E99B">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投标人全称（盖章） ：</w:t>
      </w:r>
    </w:p>
    <w:p w14:paraId="37BBA8B0">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14:paraId="43F1238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1E7835AE">
      <w:pPr>
        <w:pStyle w:val="9"/>
        <w:ind w:firstLine="400"/>
        <w:rPr>
          <w:rFonts w:hint="eastAsia" w:ascii="新宋体" w:hAnsi="新宋体" w:eastAsia="新宋体" w:cs="新宋体"/>
          <w:color w:val="auto"/>
          <w:highlight w:val="none"/>
        </w:rPr>
      </w:pPr>
    </w:p>
    <w:p w14:paraId="7E65DF38">
      <w:pPr>
        <w:rPr>
          <w:rFonts w:hint="eastAsia" w:ascii="新宋体" w:hAnsi="新宋体" w:eastAsia="新宋体" w:cs="新宋体"/>
          <w:color w:val="auto"/>
          <w:highlight w:val="none"/>
        </w:rPr>
      </w:pPr>
    </w:p>
    <w:p w14:paraId="23BC7923">
      <w:pPr>
        <w:pStyle w:val="9"/>
        <w:ind w:firstLine="400"/>
        <w:rPr>
          <w:rFonts w:hint="eastAsia" w:ascii="新宋体" w:hAnsi="新宋体" w:eastAsia="新宋体" w:cs="新宋体"/>
          <w:color w:val="auto"/>
          <w:highlight w:val="none"/>
        </w:rPr>
      </w:pPr>
    </w:p>
    <w:p w14:paraId="3F135213">
      <w:pPr>
        <w:rPr>
          <w:rFonts w:hint="eastAsia" w:ascii="新宋体" w:hAnsi="新宋体" w:eastAsia="新宋体" w:cs="新宋体"/>
          <w:color w:val="auto"/>
          <w:highlight w:val="none"/>
        </w:rPr>
      </w:pPr>
    </w:p>
    <w:p w14:paraId="611FB33C">
      <w:pPr>
        <w:pStyle w:val="24"/>
        <w:spacing w:after="0" w:line="460" w:lineRule="exact"/>
        <w:ind w:left="0" w:left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bookmarkStart w:id="32" w:name="_Toc22370"/>
      <w:r>
        <w:rPr>
          <w:rFonts w:hint="eastAsia" w:ascii="新宋体" w:hAnsi="新宋体" w:eastAsia="新宋体" w:cs="新宋体"/>
          <w:b/>
          <w:color w:val="auto"/>
          <w:sz w:val="30"/>
          <w:highlight w:val="none"/>
        </w:rPr>
        <w:t>第四部分   项目技术规范和服务要求</w:t>
      </w:r>
      <w:bookmarkEnd w:id="32"/>
    </w:p>
    <w:p w14:paraId="2A35F4A7">
      <w:pPr>
        <w:keepNext w:val="0"/>
        <w:keepLines w:val="0"/>
        <w:pageBreakBefore w:val="0"/>
        <w:tabs>
          <w:tab w:val="left" w:pos="360"/>
        </w:tabs>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一、项目名称：</w:t>
      </w:r>
      <w:r>
        <w:rPr>
          <w:rFonts w:hint="eastAsia" w:ascii="新宋体" w:hAnsi="新宋体" w:eastAsia="新宋体" w:cs="新宋体"/>
          <w:color w:val="auto"/>
          <w:sz w:val="22"/>
          <w:szCs w:val="22"/>
          <w:highlight w:val="none"/>
          <w:lang w:eastAsia="zh-CN"/>
        </w:rPr>
        <w:t>GE 1.5T 磁共振维保</w:t>
      </w:r>
    </w:p>
    <w:p w14:paraId="618CBE41">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二、采购内容：</w:t>
      </w:r>
    </w:p>
    <w:tbl>
      <w:tblPr>
        <w:tblStyle w:val="53"/>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3480"/>
        <w:gridCol w:w="735"/>
        <w:gridCol w:w="1305"/>
        <w:gridCol w:w="2325"/>
        <w:gridCol w:w="1010"/>
      </w:tblGrid>
      <w:tr w14:paraId="5F713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00144950">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233F2F0E">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项目内容</w:t>
            </w:r>
          </w:p>
        </w:tc>
        <w:tc>
          <w:tcPr>
            <w:tcW w:w="735" w:type="dxa"/>
            <w:tcBorders>
              <w:top w:val="single" w:color="auto" w:sz="4" w:space="0"/>
              <w:left w:val="single" w:color="auto" w:sz="4" w:space="0"/>
              <w:bottom w:val="single" w:color="auto" w:sz="4" w:space="0"/>
              <w:right w:val="single" w:color="auto" w:sz="4" w:space="0"/>
            </w:tcBorders>
            <w:vAlign w:val="center"/>
          </w:tcPr>
          <w:p w14:paraId="1349C966">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数量</w:t>
            </w:r>
          </w:p>
        </w:tc>
        <w:tc>
          <w:tcPr>
            <w:tcW w:w="1305" w:type="dxa"/>
            <w:tcBorders>
              <w:top w:val="single" w:color="auto" w:sz="4" w:space="0"/>
              <w:left w:val="single" w:color="auto" w:sz="4" w:space="0"/>
              <w:bottom w:val="single" w:color="auto" w:sz="4" w:space="0"/>
              <w:right w:val="single" w:color="auto" w:sz="4" w:space="0"/>
            </w:tcBorders>
            <w:vAlign w:val="center"/>
          </w:tcPr>
          <w:p w14:paraId="31481C9F">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rPr>
              <w:t>预算金额</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元</w:t>
            </w:r>
            <w:r>
              <w:rPr>
                <w:rFonts w:hint="eastAsia" w:ascii="新宋体" w:hAnsi="新宋体" w:eastAsia="新宋体" w:cs="新宋体"/>
                <w:color w:val="auto"/>
                <w:kern w:val="0"/>
                <w:sz w:val="22"/>
                <w:szCs w:val="22"/>
                <w:highlight w:val="none"/>
                <w:lang w:eastAsia="zh-CN"/>
              </w:rPr>
              <w:t>）</w:t>
            </w:r>
          </w:p>
        </w:tc>
        <w:tc>
          <w:tcPr>
            <w:tcW w:w="2325" w:type="dxa"/>
            <w:tcBorders>
              <w:top w:val="single" w:color="auto" w:sz="4" w:space="0"/>
              <w:left w:val="single" w:color="auto" w:sz="4" w:space="0"/>
              <w:bottom w:val="single" w:color="auto" w:sz="4" w:space="0"/>
              <w:right w:val="single" w:color="auto" w:sz="4" w:space="0"/>
            </w:tcBorders>
            <w:vAlign w:val="center"/>
          </w:tcPr>
          <w:p w14:paraId="076617CA">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简要技术要求、用途</w:t>
            </w:r>
          </w:p>
        </w:tc>
        <w:tc>
          <w:tcPr>
            <w:tcW w:w="1010" w:type="dxa"/>
            <w:tcBorders>
              <w:top w:val="single" w:color="auto" w:sz="4" w:space="0"/>
              <w:left w:val="single" w:color="auto" w:sz="4" w:space="0"/>
              <w:bottom w:val="single" w:color="auto" w:sz="4" w:space="0"/>
              <w:right w:val="single" w:color="auto" w:sz="4" w:space="0"/>
            </w:tcBorders>
            <w:vAlign w:val="center"/>
          </w:tcPr>
          <w:p w14:paraId="7F1D821E">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备注</w:t>
            </w:r>
          </w:p>
        </w:tc>
      </w:tr>
      <w:tr w14:paraId="6DF9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4C366E4D">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1</w:t>
            </w:r>
          </w:p>
        </w:tc>
        <w:tc>
          <w:tcPr>
            <w:tcW w:w="3480" w:type="dxa"/>
            <w:tcBorders>
              <w:top w:val="single" w:color="auto" w:sz="4" w:space="0"/>
              <w:left w:val="single" w:color="auto" w:sz="4" w:space="0"/>
              <w:bottom w:val="single" w:color="auto" w:sz="4" w:space="0"/>
              <w:right w:val="single" w:color="auto" w:sz="4" w:space="0"/>
            </w:tcBorders>
            <w:vAlign w:val="center"/>
          </w:tcPr>
          <w:p w14:paraId="6BADE146">
            <w:pPr>
              <w:keepNext w:val="0"/>
              <w:keepLines w:val="0"/>
              <w:pageBreakBefore w:val="0"/>
              <w:widowControl/>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color w:val="auto"/>
                <w:sz w:val="22"/>
                <w:szCs w:val="22"/>
                <w:highlight w:val="none"/>
                <w:lang w:eastAsia="zh-CN"/>
              </w:rPr>
              <w:t>GE</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b w:val="0"/>
                <w:bCs w:val="0"/>
                <w:color w:val="auto"/>
                <w:sz w:val="22"/>
                <w:szCs w:val="22"/>
                <w:highlight w:val="none"/>
                <w:lang w:eastAsia="zh-CN"/>
              </w:rPr>
              <w:t>MR 1.5T Signa HDXT整机全保服务（第三方产品不包含）</w:t>
            </w:r>
          </w:p>
        </w:tc>
        <w:tc>
          <w:tcPr>
            <w:tcW w:w="735" w:type="dxa"/>
            <w:tcBorders>
              <w:top w:val="single" w:color="auto" w:sz="4" w:space="0"/>
              <w:left w:val="single" w:color="auto" w:sz="4" w:space="0"/>
              <w:bottom w:val="single" w:color="auto" w:sz="4" w:space="0"/>
              <w:right w:val="single" w:color="auto" w:sz="4" w:space="0"/>
            </w:tcBorders>
            <w:vAlign w:val="center"/>
          </w:tcPr>
          <w:p w14:paraId="0A06E808">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1项</w:t>
            </w:r>
          </w:p>
        </w:tc>
        <w:tc>
          <w:tcPr>
            <w:tcW w:w="1305" w:type="dxa"/>
            <w:tcBorders>
              <w:top w:val="single" w:color="auto" w:sz="4" w:space="0"/>
              <w:left w:val="single" w:color="auto" w:sz="4" w:space="0"/>
              <w:bottom w:val="single" w:color="auto" w:sz="4" w:space="0"/>
              <w:right w:val="single" w:color="auto" w:sz="4" w:space="0"/>
            </w:tcBorders>
            <w:vAlign w:val="center"/>
          </w:tcPr>
          <w:p w14:paraId="17B6EA6C">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650000</w:t>
            </w:r>
          </w:p>
        </w:tc>
        <w:tc>
          <w:tcPr>
            <w:tcW w:w="2325" w:type="dxa"/>
            <w:tcBorders>
              <w:top w:val="single" w:color="auto" w:sz="4" w:space="0"/>
              <w:left w:val="single" w:color="auto" w:sz="4" w:space="0"/>
              <w:bottom w:val="single" w:color="auto" w:sz="4" w:space="0"/>
              <w:right w:val="single" w:color="auto" w:sz="4" w:space="0"/>
            </w:tcBorders>
            <w:vAlign w:val="center"/>
          </w:tcPr>
          <w:p w14:paraId="4B79060C">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详见招标文件“项目技术规范和服务要求”</w:t>
            </w:r>
          </w:p>
        </w:tc>
        <w:tc>
          <w:tcPr>
            <w:tcW w:w="1010" w:type="dxa"/>
            <w:tcBorders>
              <w:left w:val="single" w:color="auto" w:sz="4" w:space="0"/>
              <w:right w:val="single" w:color="auto" w:sz="4" w:space="0"/>
            </w:tcBorders>
            <w:vAlign w:val="center"/>
          </w:tcPr>
          <w:p w14:paraId="7B762382">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服务期：1年</w:t>
            </w:r>
          </w:p>
        </w:tc>
      </w:tr>
    </w:tbl>
    <w:p w14:paraId="4A405E8C">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b/>
          <w:bCs/>
          <w:color w:val="auto"/>
          <w:sz w:val="22"/>
          <w:szCs w:val="22"/>
          <w:highlight w:val="none"/>
          <w:shd w:val="clear" w:color="auto" w:fill="auto"/>
        </w:rPr>
        <w:t>如投标人报价超过预算金额按无效标处理</w:t>
      </w:r>
      <w:r>
        <w:rPr>
          <w:rFonts w:hint="eastAsia" w:ascii="新宋体" w:hAnsi="新宋体" w:eastAsia="新宋体" w:cs="新宋体"/>
          <w:b/>
          <w:color w:val="auto"/>
          <w:sz w:val="22"/>
          <w:szCs w:val="22"/>
          <w:highlight w:val="none"/>
        </w:rPr>
        <w:t>。</w:t>
      </w:r>
    </w:p>
    <w:p w14:paraId="17EA460C">
      <w:pPr>
        <w:keepNext w:val="0"/>
        <w:keepLines w:val="0"/>
        <w:pageBreakBefore w:val="0"/>
        <w:widowControl w:val="0"/>
        <w:tabs>
          <w:tab w:val="left" w:pos="36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三、技术服务要求</w:t>
      </w:r>
    </w:p>
    <w:tbl>
      <w:tblPr>
        <w:tblStyle w:val="53"/>
        <w:tblW w:w="9657"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9"/>
        <w:gridCol w:w="8838"/>
      </w:tblGrid>
      <w:tr w14:paraId="329A79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vAlign w:val="center"/>
          </w:tcPr>
          <w:p w14:paraId="3D2899A6">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8838" w:type="dxa"/>
            <w:vAlign w:val="center"/>
          </w:tcPr>
          <w:p w14:paraId="599B3704">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采购内容：</w:t>
            </w:r>
            <w:r>
              <w:rPr>
                <w:rFonts w:hint="eastAsia" w:ascii="新宋体" w:hAnsi="新宋体" w:eastAsia="新宋体" w:cs="新宋体"/>
                <w:color w:val="auto"/>
                <w:sz w:val="22"/>
                <w:szCs w:val="22"/>
                <w:highlight w:val="none"/>
                <w:lang w:eastAsia="zh-CN"/>
              </w:rPr>
              <w:t>GE</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 xml:space="preserve">MR </w:t>
            </w:r>
            <w:r>
              <w:rPr>
                <w:rFonts w:hint="eastAsia" w:ascii="新宋体" w:hAnsi="新宋体" w:eastAsia="新宋体" w:cs="新宋体"/>
                <w:color w:val="auto"/>
                <w:kern w:val="0"/>
                <w:sz w:val="22"/>
                <w:szCs w:val="22"/>
                <w:highlight w:val="none"/>
                <w:lang w:bidi="ar"/>
              </w:rPr>
              <w:t xml:space="preserve">1.5T </w:t>
            </w:r>
            <w:r>
              <w:rPr>
                <w:rFonts w:hint="eastAsia" w:ascii="新宋体" w:hAnsi="新宋体" w:eastAsia="新宋体" w:cs="新宋体"/>
                <w:color w:val="auto"/>
                <w:sz w:val="22"/>
                <w:szCs w:val="22"/>
                <w:highlight w:val="none"/>
              </w:rPr>
              <w:t>Signa</w:t>
            </w:r>
            <w:r>
              <w:rPr>
                <w:rFonts w:hint="eastAsia" w:ascii="新宋体" w:hAnsi="新宋体" w:eastAsia="新宋体" w:cs="新宋体"/>
                <w:color w:val="auto"/>
                <w:kern w:val="0"/>
                <w:sz w:val="22"/>
                <w:szCs w:val="22"/>
                <w:highlight w:val="none"/>
                <w:lang w:bidi="ar"/>
              </w:rPr>
              <w:t xml:space="preserve"> HDXT</w:t>
            </w:r>
            <w:r>
              <w:rPr>
                <w:rFonts w:hint="eastAsia" w:ascii="新宋体" w:hAnsi="新宋体" w:eastAsia="新宋体" w:cs="新宋体"/>
                <w:color w:val="auto"/>
                <w:sz w:val="22"/>
                <w:szCs w:val="22"/>
                <w:highlight w:val="none"/>
              </w:rPr>
              <w:t>整机全保服务（第三方产品不包含）</w:t>
            </w:r>
            <w:r>
              <w:rPr>
                <w:rFonts w:hint="eastAsia" w:ascii="新宋体" w:hAnsi="新宋体" w:eastAsia="新宋体" w:cs="新宋体"/>
                <w:color w:val="auto"/>
                <w:sz w:val="22"/>
                <w:szCs w:val="22"/>
                <w:highlight w:val="none"/>
                <w:lang w:eastAsia="zh-CN"/>
              </w:rPr>
              <w:t>，</w:t>
            </w:r>
            <w:r>
              <w:rPr>
                <w:rFonts w:hint="eastAsia"/>
                <w:color w:val="auto"/>
                <w:highlight w:val="none"/>
                <w:lang w:val="en-US" w:eastAsia="zh-CN"/>
              </w:rPr>
              <w:t>合同期内，中标人确保设备正常运行，出现任何故障，均由中标人负责修复，达到设备相关性能和功能的标准，不再额外收费。</w:t>
            </w:r>
          </w:p>
        </w:tc>
      </w:tr>
      <w:tr w14:paraId="5DC8EA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vAlign w:val="center"/>
          </w:tcPr>
          <w:p w14:paraId="6B3DD121">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8838" w:type="dxa"/>
            <w:vAlign w:val="center"/>
          </w:tcPr>
          <w:p w14:paraId="3D8CCE08">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合同期限：</w:t>
            </w:r>
            <w:r>
              <w:rPr>
                <w:rFonts w:hint="eastAsia" w:ascii="新宋体" w:hAnsi="新宋体" w:eastAsia="新宋体" w:cs="新宋体"/>
                <w:color w:val="auto"/>
                <w:sz w:val="22"/>
                <w:szCs w:val="22"/>
                <w:highlight w:val="none"/>
                <w:lang w:val="en-US" w:eastAsia="zh-CN"/>
              </w:rPr>
              <w:t>合同签订之日起1</w:t>
            </w:r>
            <w:r>
              <w:rPr>
                <w:rFonts w:hint="eastAsia" w:ascii="新宋体" w:hAnsi="新宋体" w:eastAsia="新宋体" w:cs="新宋体"/>
                <w:color w:val="auto"/>
                <w:sz w:val="22"/>
                <w:szCs w:val="22"/>
                <w:highlight w:val="none"/>
              </w:rPr>
              <w:t>年</w:t>
            </w:r>
          </w:p>
        </w:tc>
      </w:tr>
      <w:tr w14:paraId="3D7B35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vAlign w:val="center"/>
          </w:tcPr>
          <w:p w14:paraId="7FCEFE1F">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8838" w:type="dxa"/>
            <w:vAlign w:val="center"/>
          </w:tcPr>
          <w:p w14:paraId="42F7F4E8">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开机率：在保修服务期内全年</w:t>
            </w:r>
            <w:r>
              <w:rPr>
                <w:rFonts w:hint="eastAsia" w:ascii="新宋体" w:hAnsi="新宋体" w:eastAsia="新宋体" w:cs="新宋体"/>
                <w:color w:val="auto"/>
                <w:sz w:val="22"/>
                <w:szCs w:val="22"/>
                <w:highlight w:val="none"/>
                <w:lang w:eastAsia="zh-CN"/>
              </w:rPr>
              <w:t>（按每年365日历日计算）</w:t>
            </w:r>
            <w:r>
              <w:rPr>
                <w:rFonts w:hint="eastAsia" w:ascii="新宋体" w:hAnsi="新宋体" w:eastAsia="新宋体" w:cs="新宋体"/>
                <w:color w:val="auto"/>
                <w:sz w:val="22"/>
                <w:szCs w:val="22"/>
                <w:highlight w:val="none"/>
              </w:rPr>
              <w:t>开机率保证95%以上。若所保设备未达到以上开机率保证，则停机每超过1个日历日则维修合同期限将相应延长7个日历日。</w:t>
            </w:r>
          </w:p>
        </w:tc>
      </w:tr>
      <w:tr w14:paraId="254EBC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vAlign w:val="center"/>
          </w:tcPr>
          <w:p w14:paraId="3AC74667">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4</w:t>
            </w:r>
          </w:p>
        </w:tc>
        <w:tc>
          <w:tcPr>
            <w:tcW w:w="8838" w:type="dxa"/>
            <w:vAlign w:val="center"/>
          </w:tcPr>
          <w:p w14:paraId="09E4B05E">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维修响应时间：在保修服务期内接报修电话后，在2小时内响应，在24小时内派工程师到现场实施维修；维修备件在确认后72小时内送达维修现场；每周提供24小时*7天电话技术支持服务</w:t>
            </w:r>
          </w:p>
        </w:tc>
      </w:tr>
      <w:tr w14:paraId="48CA09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vAlign w:val="center"/>
          </w:tcPr>
          <w:p w14:paraId="58A41BC0">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5</w:t>
            </w:r>
          </w:p>
        </w:tc>
        <w:tc>
          <w:tcPr>
            <w:tcW w:w="8838" w:type="dxa"/>
            <w:vAlign w:val="center"/>
          </w:tcPr>
          <w:p w14:paraId="113C13A3">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量保障：保修期内提供MR设备预防性维护保养服务4次，提供详细的设备预防性维护保养计划，根据计划在保修服务期内定期做预防性维护保养，并提供详细记录报告。确保系统能按照制造商的产品白皮书或国家、国际标准要求运行。</w:t>
            </w:r>
          </w:p>
        </w:tc>
      </w:tr>
      <w:tr w14:paraId="14111F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vAlign w:val="center"/>
          </w:tcPr>
          <w:p w14:paraId="09E37F7C">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8838" w:type="dxa"/>
            <w:vAlign w:val="center"/>
          </w:tcPr>
          <w:p w14:paraId="779E6EE4">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整机保修范围包含：水冷机组，精密空调，氦气压缩机，患者床系统，梯度放大器，射频放大器，操作计算机系统，梯度线圈，磁体，线圈，电路板等</w:t>
            </w:r>
            <w:r>
              <w:rPr>
                <w:rFonts w:hint="eastAsia" w:ascii="新宋体" w:hAnsi="新宋体" w:eastAsia="新宋体" w:cs="新宋体"/>
                <w:color w:val="auto"/>
                <w:sz w:val="22"/>
                <w:szCs w:val="22"/>
                <w:highlight w:val="none"/>
                <w:lang w:val="en-US" w:eastAsia="zh-CN"/>
              </w:rPr>
              <w:t>除第三方产品外的所有配件</w:t>
            </w:r>
            <w:r>
              <w:rPr>
                <w:rFonts w:hint="eastAsia" w:ascii="新宋体" w:hAnsi="新宋体" w:eastAsia="新宋体" w:cs="新宋体"/>
                <w:color w:val="auto"/>
                <w:sz w:val="22"/>
                <w:szCs w:val="22"/>
                <w:highlight w:val="none"/>
              </w:rPr>
              <w:t>。</w:t>
            </w:r>
          </w:p>
        </w:tc>
      </w:tr>
      <w:tr w14:paraId="623946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vAlign w:val="center"/>
          </w:tcPr>
          <w:p w14:paraId="6FF3843D">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8838" w:type="dxa"/>
            <w:vAlign w:val="center"/>
          </w:tcPr>
          <w:p w14:paraId="6C24FE36">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在设备故障更换</w:t>
            </w:r>
            <w:r>
              <w:rPr>
                <w:rFonts w:hint="eastAsia" w:ascii="新宋体" w:hAnsi="新宋体" w:eastAsia="新宋体" w:cs="新宋体"/>
                <w:color w:val="auto"/>
                <w:sz w:val="22"/>
                <w:szCs w:val="22"/>
                <w:highlight w:val="none"/>
                <w:lang w:val="en-US" w:eastAsia="zh-CN"/>
              </w:rPr>
              <w:t>配件</w:t>
            </w:r>
            <w:r>
              <w:rPr>
                <w:rFonts w:hint="eastAsia" w:ascii="新宋体" w:hAnsi="新宋体" w:eastAsia="新宋体" w:cs="新宋体"/>
                <w:color w:val="auto"/>
                <w:sz w:val="22"/>
                <w:szCs w:val="22"/>
                <w:highlight w:val="none"/>
              </w:rPr>
              <w:t>时须更换</w:t>
            </w:r>
            <w:r>
              <w:rPr>
                <w:rFonts w:hint="eastAsia" w:ascii="新宋体" w:hAnsi="新宋体" w:eastAsia="新宋体" w:cs="新宋体"/>
                <w:color w:val="auto"/>
                <w:sz w:val="22"/>
                <w:szCs w:val="22"/>
                <w:highlight w:val="none"/>
                <w:lang w:val="en-US" w:eastAsia="zh-CN"/>
              </w:rPr>
              <w:t>设备</w:t>
            </w:r>
            <w:r>
              <w:rPr>
                <w:rFonts w:hint="eastAsia" w:ascii="新宋体" w:hAnsi="新宋体" w:eastAsia="新宋体" w:cs="新宋体"/>
                <w:color w:val="auto"/>
                <w:sz w:val="22"/>
                <w:szCs w:val="22"/>
                <w:highlight w:val="none"/>
              </w:rPr>
              <w:t>原厂</w:t>
            </w:r>
            <w:r>
              <w:rPr>
                <w:rFonts w:hint="eastAsia" w:ascii="新宋体" w:hAnsi="新宋体" w:eastAsia="新宋体" w:cs="新宋体"/>
                <w:color w:val="auto"/>
                <w:sz w:val="22"/>
                <w:szCs w:val="22"/>
                <w:highlight w:val="none"/>
                <w:lang w:val="en-US" w:eastAsia="zh-CN"/>
              </w:rPr>
              <w:t>配件</w:t>
            </w:r>
            <w:r>
              <w:rPr>
                <w:rFonts w:hint="eastAsia" w:ascii="新宋体" w:hAnsi="新宋体" w:eastAsia="新宋体" w:cs="新宋体"/>
                <w:color w:val="auto"/>
                <w:sz w:val="22"/>
                <w:szCs w:val="22"/>
                <w:highlight w:val="none"/>
              </w:rPr>
              <w:t>；同时提供磁体与AW工作站的保修，提供证明资料。</w:t>
            </w:r>
          </w:p>
        </w:tc>
      </w:tr>
      <w:tr w14:paraId="35240C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vAlign w:val="center"/>
          </w:tcPr>
          <w:p w14:paraId="4A5BBADE">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8838" w:type="dxa"/>
            <w:vAlign w:val="center"/>
          </w:tcPr>
          <w:p w14:paraId="3C1CBA4E">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维修工具：投标人须配备相关专用工具和设备</w:t>
            </w:r>
          </w:p>
        </w:tc>
      </w:tr>
      <w:tr w14:paraId="2930E5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19" w:type="dxa"/>
            <w:vAlign w:val="center"/>
          </w:tcPr>
          <w:p w14:paraId="42F297B2">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8.1</w:t>
            </w:r>
          </w:p>
        </w:tc>
        <w:tc>
          <w:tcPr>
            <w:tcW w:w="8838" w:type="dxa"/>
            <w:vAlign w:val="center"/>
          </w:tcPr>
          <w:p w14:paraId="6FB2609A">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投标人需具有MR专用励磁、匀场工具≥1套</w:t>
            </w:r>
          </w:p>
        </w:tc>
      </w:tr>
      <w:tr w14:paraId="2BD38B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vAlign w:val="center"/>
          </w:tcPr>
          <w:p w14:paraId="53D1619F">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8.2</w:t>
            </w:r>
          </w:p>
        </w:tc>
        <w:tc>
          <w:tcPr>
            <w:tcW w:w="8838" w:type="dxa"/>
            <w:vAlign w:val="center"/>
          </w:tcPr>
          <w:p w14:paraId="229AE86E">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投标人需具有MR梯度涡流校正工具≥1套，提供相应资料证明。</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图片及</w:t>
            </w:r>
            <w:r>
              <w:rPr>
                <w:rFonts w:hint="eastAsia" w:ascii="新宋体" w:hAnsi="新宋体" w:eastAsia="新宋体" w:cs="新宋体"/>
                <w:color w:val="auto"/>
                <w:sz w:val="22"/>
                <w:szCs w:val="22"/>
                <w:highlight w:val="none"/>
                <w:lang w:val="en-US" w:eastAsia="zh-CN"/>
              </w:rPr>
              <w:t>设备原厂</w:t>
            </w:r>
            <w:r>
              <w:rPr>
                <w:rFonts w:hint="eastAsia" w:ascii="新宋体" w:hAnsi="新宋体" w:eastAsia="新宋体" w:cs="新宋体"/>
                <w:color w:val="auto"/>
                <w:sz w:val="22"/>
                <w:szCs w:val="22"/>
                <w:highlight w:val="none"/>
                <w:lang w:val="en-US" w:eastAsia="zh-CN"/>
              </w:rPr>
              <w:t>证明</w:t>
            </w:r>
            <w:r>
              <w:rPr>
                <w:rFonts w:hint="eastAsia" w:ascii="新宋体" w:hAnsi="新宋体" w:eastAsia="新宋体" w:cs="新宋体"/>
                <w:color w:val="auto"/>
                <w:sz w:val="22"/>
                <w:szCs w:val="22"/>
                <w:highlight w:val="none"/>
                <w:lang w:eastAsia="zh-CN"/>
              </w:rPr>
              <w:t>）</w:t>
            </w:r>
          </w:p>
        </w:tc>
      </w:tr>
      <w:tr w14:paraId="053966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vAlign w:val="center"/>
          </w:tcPr>
          <w:p w14:paraId="6D9672F5">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8.3</w:t>
            </w:r>
          </w:p>
        </w:tc>
        <w:tc>
          <w:tcPr>
            <w:tcW w:w="8838" w:type="dxa"/>
            <w:vAlign w:val="center"/>
          </w:tcPr>
          <w:p w14:paraId="3FC50ABA">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投标人需具有MR专用射频调试工具≥1套，提供相应资料证明。</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图片及</w:t>
            </w:r>
            <w:r>
              <w:rPr>
                <w:rFonts w:hint="eastAsia" w:ascii="新宋体" w:hAnsi="新宋体" w:eastAsia="新宋体" w:cs="新宋体"/>
                <w:color w:val="auto"/>
                <w:sz w:val="22"/>
                <w:szCs w:val="22"/>
                <w:highlight w:val="none"/>
                <w:lang w:val="en-US" w:eastAsia="zh-CN"/>
              </w:rPr>
              <w:t>设备原厂</w:t>
            </w:r>
            <w:r>
              <w:rPr>
                <w:rFonts w:hint="eastAsia" w:ascii="新宋体" w:hAnsi="新宋体" w:eastAsia="新宋体" w:cs="新宋体"/>
                <w:color w:val="auto"/>
                <w:sz w:val="22"/>
                <w:szCs w:val="22"/>
                <w:highlight w:val="none"/>
                <w:lang w:val="en-US" w:eastAsia="zh-CN"/>
              </w:rPr>
              <w:t>证明</w:t>
            </w:r>
            <w:r>
              <w:rPr>
                <w:rFonts w:hint="eastAsia" w:ascii="新宋体" w:hAnsi="新宋体" w:eastAsia="新宋体" w:cs="新宋体"/>
                <w:color w:val="auto"/>
                <w:sz w:val="22"/>
                <w:szCs w:val="22"/>
                <w:highlight w:val="none"/>
                <w:lang w:eastAsia="zh-CN"/>
              </w:rPr>
              <w:t>）</w:t>
            </w:r>
          </w:p>
        </w:tc>
      </w:tr>
      <w:tr w14:paraId="7890AB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vAlign w:val="center"/>
          </w:tcPr>
          <w:p w14:paraId="0629892A">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8.4</w:t>
            </w:r>
          </w:p>
        </w:tc>
        <w:tc>
          <w:tcPr>
            <w:tcW w:w="8838" w:type="dxa"/>
            <w:vAlign w:val="center"/>
          </w:tcPr>
          <w:p w14:paraId="027FB6B3">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投标人需具有MR白噪声排查工具≥1套，提供相应资料证明。</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图片及</w:t>
            </w:r>
            <w:r>
              <w:rPr>
                <w:rFonts w:hint="eastAsia" w:ascii="新宋体" w:hAnsi="新宋体" w:eastAsia="新宋体" w:cs="新宋体"/>
                <w:color w:val="auto"/>
                <w:sz w:val="22"/>
                <w:szCs w:val="22"/>
                <w:highlight w:val="none"/>
                <w:lang w:val="en-US" w:eastAsia="zh-CN"/>
              </w:rPr>
              <w:t>设备原厂</w:t>
            </w:r>
            <w:r>
              <w:rPr>
                <w:rFonts w:hint="eastAsia" w:ascii="新宋体" w:hAnsi="新宋体" w:eastAsia="新宋体" w:cs="新宋体"/>
                <w:color w:val="auto"/>
                <w:sz w:val="22"/>
                <w:szCs w:val="22"/>
                <w:highlight w:val="none"/>
                <w:lang w:val="en-US" w:eastAsia="zh-CN"/>
              </w:rPr>
              <w:t>证明</w:t>
            </w:r>
            <w:r>
              <w:rPr>
                <w:rFonts w:hint="eastAsia" w:ascii="新宋体" w:hAnsi="新宋体" w:eastAsia="新宋体" w:cs="新宋体"/>
                <w:color w:val="auto"/>
                <w:sz w:val="22"/>
                <w:szCs w:val="22"/>
                <w:highlight w:val="none"/>
                <w:lang w:eastAsia="zh-CN"/>
              </w:rPr>
              <w:t>）</w:t>
            </w:r>
          </w:p>
        </w:tc>
      </w:tr>
      <w:tr w14:paraId="5019BC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vAlign w:val="center"/>
          </w:tcPr>
          <w:p w14:paraId="610F0E82">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8838" w:type="dxa"/>
            <w:vAlign w:val="center"/>
          </w:tcPr>
          <w:p w14:paraId="0A03D547">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技术支持：投标人须具有全职的MR应用培训专家≥2人，满足MR设备维修应用保障服务，并能以现场的和远程的形式，提供临床扫描、图像处理和相应业务拓展的专业支持。提供人员姓名、学历、培训证明和近3个月内任意一个月的社保证明。</w:t>
            </w:r>
          </w:p>
        </w:tc>
      </w:tr>
      <w:tr w14:paraId="0F49FC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vAlign w:val="center"/>
          </w:tcPr>
          <w:p w14:paraId="066B78FC">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8838" w:type="dxa"/>
            <w:vAlign w:val="center"/>
          </w:tcPr>
          <w:p w14:paraId="640CFD7D">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维修人员：</w:t>
            </w:r>
          </w:p>
          <w:p w14:paraId="6165891D">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投标人须具有专业MR设备维修工程师≥2名，具有MR设备的考核合格的、在有效期内的</w:t>
            </w:r>
            <w:r>
              <w:rPr>
                <w:rFonts w:hint="eastAsia" w:ascii="新宋体" w:hAnsi="新宋体" w:eastAsia="新宋体" w:cs="新宋体"/>
                <w:color w:val="auto"/>
                <w:sz w:val="22"/>
                <w:szCs w:val="22"/>
                <w:highlight w:val="none"/>
                <w:lang w:val="en-US" w:eastAsia="zh-CN"/>
              </w:rPr>
              <w:t>设备</w:t>
            </w:r>
            <w:r>
              <w:rPr>
                <w:rFonts w:hint="eastAsia" w:ascii="新宋体" w:hAnsi="新宋体" w:eastAsia="新宋体" w:cs="新宋体"/>
                <w:color w:val="auto"/>
                <w:sz w:val="22"/>
                <w:szCs w:val="22"/>
                <w:highlight w:val="none"/>
              </w:rPr>
              <w:t>原厂</w:t>
            </w:r>
            <w:r>
              <w:rPr>
                <w:rFonts w:hint="eastAsia" w:ascii="新宋体" w:hAnsi="新宋体" w:eastAsia="新宋体" w:cs="新宋体"/>
                <w:color w:val="auto"/>
                <w:sz w:val="22"/>
                <w:szCs w:val="22"/>
                <w:highlight w:val="none"/>
              </w:rPr>
              <w:t>服务工程师资质证书和近3个月内任意一个月的社保证明。</w:t>
            </w:r>
          </w:p>
        </w:tc>
      </w:tr>
      <w:tr w14:paraId="23161D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vAlign w:val="center"/>
          </w:tcPr>
          <w:p w14:paraId="245BE746">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8838" w:type="dxa"/>
            <w:vAlign w:val="center"/>
          </w:tcPr>
          <w:p w14:paraId="74C42040">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1.5T磁共振生命周期拓展以下功能要求</w:t>
            </w:r>
          </w:p>
        </w:tc>
      </w:tr>
      <w:tr w14:paraId="0D1A3A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vAlign w:val="center"/>
          </w:tcPr>
          <w:p w14:paraId="2274BBB1">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11.1</w:t>
            </w:r>
          </w:p>
        </w:tc>
        <w:tc>
          <w:tcPr>
            <w:tcW w:w="8838" w:type="dxa"/>
            <w:vAlign w:val="center"/>
          </w:tcPr>
          <w:p w14:paraId="735132E4">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硬件</w:t>
            </w:r>
            <w:r>
              <w:rPr>
                <w:rFonts w:hint="eastAsia" w:ascii="新宋体" w:hAnsi="新宋体" w:eastAsia="新宋体" w:cs="新宋体"/>
                <w:color w:val="auto"/>
                <w:sz w:val="22"/>
                <w:szCs w:val="22"/>
                <w:highlight w:val="none"/>
                <w:lang w:val="en-US" w:eastAsia="zh-CN"/>
              </w:rPr>
              <w:t>更新升级</w:t>
            </w:r>
            <w:r>
              <w:rPr>
                <w:rFonts w:hint="eastAsia" w:ascii="新宋体" w:hAnsi="新宋体" w:eastAsia="新宋体" w:cs="新宋体"/>
                <w:color w:val="auto"/>
                <w:sz w:val="22"/>
                <w:szCs w:val="22"/>
                <w:highlight w:val="none"/>
              </w:rPr>
              <w:t>：实时智能的T5820主控平台、第七代刀锋引擎数据传输重建系统、全反馈自校准梯度控制模块、24英寸宽屏LCD 液晶显示器系统、磁共振射频系统</w:t>
            </w:r>
            <w:r>
              <w:rPr>
                <w:rFonts w:hint="eastAsia" w:ascii="新宋体" w:hAnsi="新宋体" w:eastAsia="新宋体" w:cs="新宋体"/>
                <w:color w:val="auto"/>
                <w:sz w:val="22"/>
                <w:szCs w:val="22"/>
                <w:highlight w:val="none"/>
                <w:lang w:val="en-US" w:eastAsia="zh-CN"/>
              </w:rPr>
              <w:t>更新</w:t>
            </w:r>
            <w:r>
              <w:rPr>
                <w:rFonts w:hint="eastAsia" w:ascii="新宋体" w:hAnsi="新宋体" w:eastAsia="新宋体" w:cs="新宋体"/>
                <w:color w:val="auto"/>
                <w:sz w:val="22"/>
                <w:szCs w:val="22"/>
                <w:highlight w:val="none"/>
              </w:rPr>
              <w:t>：1套</w:t>
            </w:r>
          </w:p>
        </w:tc>
      </w:tr>
      <w:tr w14:paraId="7E76A6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vAlign w:val="center"/>
          </w:tcPr>
          <w:p w14:paraId="4243536F">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11.2</w:t>
            </w:r>
          </w:p>
        </w:tc>
        <w:tc>
          <w:tcPr>
            <w:tcW w:w="8838" w:type="dxa"/>
            <w:vAlign w:val="center"/>
          </w:tcPr>
          <w:p w14:paraId="2BE4AABC">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Signa 16.1扫描平台</w:t>
            </w:r>
            <w:r>
              <w:rPr>
                <w:rFonts w:hint="eastAsia" w:ascii="新宋体" w:hAnsi="新宋体" w:eastAsia="新宋体" w:cs="新宋体"/>
                <w:color w:val="auto"/>
                <w:sz w:val="22"/>
                <w:szCs w:val="22"/>
                <w:highlight w:val="none"/>
                <w:lang w:val="en-US" w:eastAsia="zh-CN"/>
              </w:rPr>
              <w:t>升级</w:t>
            </w:r>
            <w:r>
              <w:rPr>
                <w:rFonts w:hint="eastAsia" w:ascii="新宋体" w:hAnsi="新宋体" w:eastAsia="新宋体" w:cs="新宋体"/>
                <w:color w:val="auto"/>
                <w:sz w:val="22"/>
                <w:szCs w:val="22"/>
                <w:highlight w:val="none"/>
              </w:rPr>
              <w:t>：1套</w:t>
            </w:r>
          </w:p>
        </w:tc>
      </w:tr>
      <w:tr w14:paraId="7B5E21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vAlign w:val="center"/>
          </w:tcPr>
          <w:p w14:paraId="28EC71CF">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11.3</w:t>
            </w:r>
          </w:p>
        </w:tc>
        <w:tc>
          <w:tcPr>
            <w:tcW w:w="8838" w:type="dxa"/>
            <w:vAlign w:val="center"/>
          </w:tcPr>
          <w:p w14:paraId="11D6E00E">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高级临床应用软件包</w:t>
            </w:r>
            <w:r>
              <w:rPr>
                <w:rFonts w:hint="eastAsia" w:ascii="新宋体" w:hAnsi="新宋体" w:eastAsia="新宋体" w:cs="新宋体"/>
                <w:color w:val="auto"/>
                <w:sz w:val="22"/>
                <w:szCs w:val="22"/>
                <w:highlight w:val="none"/>
                <w:lang w:val="en-US" w:eastAsia="zh-CN"/>
              </w:rPr>
              <w:t>升级</w:t>
            </w:r>
            <w:r>
              <w:rPr>
                <w:rFonts w:hint="eastAsia" w:ascii="新宋体" w:hAnsi="新宋体" w:eastAsia="新宋体" w:cs="新宋体"/>
                <w:color w:val="auto"/>
                <w:sz w:val="22"/>
                <w:szCs w:val="22"/>
                <w:highlight w:val="none"/>
              </w:rPr>
              <w:t>：1套</w:t>
            </w:r>
          </w:p>
        </w:tc>
      </w:tr>
      <w:tr w14:paraId="098B64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vAlign w:val="center"/>
          </w:tcPr>
          <w:p w14:paraId="3F74B3DC">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8838" w:type="dxa"/>
            <w:vAlign w:val="center"/>
          </w:tcPr>
          <w:p w14:paraId="4D607C3F">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备品备件：投标人具备至少1个专门的零备件仓库，提供配件储备仓库房产证明或租赁合同等文件；提供维修服务网点信息。</w:t>
            </w:r>
          </w:p>
        </w:tc>
      </w:tr>
      <w:tr w14:paraId="010023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19" w:type="dxa"/>
            <w:vAlign w:val="center"/>
          </w:tcPr>
          <w:p w14:paraId="43A756EE">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w:t>
            </w:r>
          </w:p>
        </w:tc>
        <w:tc>
          <w:tcPr>
            <w:tcW w:w="8838" w:type="dxa"/>
            <w:vAlign w:val="center"/>
          </w:tcPr>
          <w:p w14:paraId="05BEBA5D">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合同期内，包含中标人对招标人相关人员提供1人次/年标准</w:t>
            </w:r>
            <w:r>
              <w:rPr>
                <w:rFonts w:hint="eastAsia" w:ascii="新宋体" w:hAnsi="新宋体" w:eastAsia="新宋体" w:cs="新宋体"/>
                <w:color w:val="auto"/>
                <w:sz w:val="22"/>
                <w:szCs w:val="22"/>
                <w:highlight w:val="none"/>
                <w:lang w:val="en-US" w:eastAsia="zh-CN"/>
              </w:rPr>
              <w:t>设备</w:t>
            </w:r>
            <w:r>
              <w:rPr>
                <w:rFonts w:hint="eastAsia" w:ascii="新宋体" w:hAnsi="新宋体" w:eastAsia="新宋体" w:cs="新宋体"/>
                <w:color w:val="auto"/>
                <w:sz w:val="22"/>
                <w:szCs w:val="22"/>
                <w:highlight w:val="none"/>
              </w:rPr>
              <w:t>原厂</w:t>
            </w:r>
            <w:r>
              <w:rPr>
                <w:rFonts w:hint="eastAsia" w:ascii="新宋体" w:hAnsi="新宋体" w:eastAsia="新宋体" w:cs="新宋体"/>
                <w:color w:val="auto"/>
                <w:sz w:val="22"/>
                <w:szCs w:val="22"/>
                <w:highlight w:val="none"/>
              </w:rPr>
              <w:t>培训。培训内容为临床应用课堂培训/现场应用培训/工程师技术培训/医学工程管理培训四选一。</w:t>
            </w:r>
          </w:p>
        </w:tc>
      </w:tr>
      <w:tr w14:paraId="41E252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19" w:type="dxa"/>
            <w:vAlign w:val="center"/>
          </w:tcPr>
          <w:p w14:paraId="4E26E3F4">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p>
        </w:tc>
        <w:tc>
          <w:tcPr>
            <w:tcW w:w="8838" w:type="dxa"/>
            <w:vAlign w:val="center"/>
          </w:tcPr>
          <w:p w14:paraId="4503E7D9">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具备培训基地，拥有专职技术培训讲师团队，提供多名培训师社保缴交证明，（老师简介及照片）</w:t>
            </w:r>
          </w:p>
        </w:tc>
      </w:tr>
      <w:tr w14:paraId="2F71C1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19" w:type="dxa"/>
            <w:vAlign w:val="center"/>
          </w:tcPr>
          <w:p w14:paraId="561EF698">
            <w:pPr>
              <w:keepNext w:val="0"/>
              <w:keepLines w:val="0"/>
              <w:pageBreakBefore w:val="0"/>
              <w:kinsoku/>
              <w:wordWrap/>
              <w:overflowPunct/>
              <w:topLinePunct w:val="0"/>
              <w:autoSpaceDE/>
              <w:autoSpaceDN/>
              <w:bidi w:val="0"/>
              <w:adjustRightInd/>
              <w:snapToGrid/>
              <w:spacing w:line="460" w:lineRule="exact"/>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15</w:t>
            </w:r>
          </w:p>
        </w:tc>
        <w:tc>
          <w:tcPr>
            <w:tcW w:w="8838" w:type="dxa"/>
            <w:shd w:val="clear" w:color="auto" w:fill="auto"/>
            <w:vAlign w:val="center"/>
          </w:tcPr>
          <w:p w14:paraId="456AE479">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有远程服务团队，包括硬件设施建设，提供文字及照片证明；配置专职远程技术工程师，提供人员档案及劳务合同</w:t>
            </w:r>
          </w:p>
        </w:tc>
      </w:tr>
      <w:tr w14:paraId="5CB4E2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19" w:type="dxa"/>
            <w:vAlign w:val="center"/>
          </w:tcPr>
          <w:p w14:paraId="494AC01F">
            <w:pPr>
              <w:keepNext w:val="0"/>
              <w:keepLines w:val="0"/>
              <w:pageBreakBefore w:val="0"/>
              <w:kinsoku/>
              <w:wordWrap/>
              <w:overflowPunct/>
              <w:topLinePunct w:val="0"/>
              <w:autoSpaceDE/>
              <w:autoSpaceDN/>
              <w:bidi w:val="0"/>
              <w:adjustRightInd/>
              <w:snapToGrid/>
              <w:spacing w:line="460" w:lineRule="exact"/>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16</w:t>
            </w:r>
          </w:p>
        </w:tc>
        <w:tc>
          <w:tcPr>
            <w:tcW w:w="8838" w:type="dxa"/>
            <w:shd w:val="clear" w:color="auto" w:fill="auto"/>
            <w:vAlign w:val="center"/>
          </w:tcPr>
          <w:p w14:paraId="7E9570CA">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 xml:space="preserve">设有稳定的零备件仓库：备件库存数据良好、能证明满足维保所需，能提供良好的备件库运营管理制度方案 </w:t>
            </w:r>
          </w:p>
        </w:tc>
      </w:tr>
      <w:tr w14:paraId="383086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19" w:type="dxa"/>
            <w:vAlign w:val="center"/>
          </w:tcPr>
          <w:p w14:paraId="13D817B9">
            <w:pPr>
              <w:keepNext w:val="0"/>
              <w:keepLines w:val="0"/>
              <w:pageBreakBefore w:val="0"/>
              <w:kinsoku/>
              <w:wordWrap/>
              <w:overflowPunct/>
              <w:topLinePunct w:val="0"/>
              <w:autoSpaceDE/>
              <w:autoSpaceDN/>
              <w:bidi w:val="0"/>
              <w:adjustRightInd/>
              <w:snapToGrid/>
              <w:spacing w:line="460" w:lineRule="exact"/>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17</w:t>
            </w:r>
          </w:p>
        </w:tc>
        <w:tc>
          <w:tcPr>
            <w:tcW w:w="8838" w:type="dxa"/>
            <w:shd w:val="clear" w:color="auto" w:fill="auto"/>
            <w:vAlign w:val="center"/>
          </w:tcPr>
          <w:p w14:paraId="39035131">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与知名物流企业签有备件供应合作协议，确保备件供应的安全及时效</w:t>
            </w:r>
          </w:p>
        </w:tc>
      </w:tr>
      <w:tr w14:paraId="398B9C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19" w:type="dxa"/>
            <w:vAlign w:val="center"/>
          </w:tcPr>
          <w:p w14:paraId="64AF10FD">
            <w:pPr>
              <w:keepNext w:val="0"/>
              <w:keepLines w:val="0"/>
              <w:pageBreakBefore w:val="0"/>
              <w:kinsoku/>
              <w:wordWrap/>
              <w:overflowPunct/>
              <w:topLinePunct w:val="0"/>
              <w:autoSpaceDE/>
              <w:autoSpaceDN/>
              <w:bidi w:val="0"/>
              <w:adjustRightInd/>
              <w:snapToGrid/>
              <w:spacing w:line="460" w:lineRule="exact"/>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18</w:t>
            </w:r>
          </w:p>
        </w:tc>
        <w:tc>
          <w:tcPr>
            <w:tcW w:w="8838" w:type="dxa"/>
            <w:shd w:val="clear" w:color="auto" w:fill="auto"/>
            <w:vAlign w:val="center"/>
          </w:tcPr>
          <w:p w14:paraId="0EC08B91">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配备相关专用工具和设备，包括维修、校正及质控工具，确保工具的功能完好、需定期校验的工具具备合格的校验证明。</w:t>
            </w:r>
          </w:p>
        </w:tc>
      </w:tr>
      <w:tr w14:paraId="4D075B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19" w:type="dxa"/>
            <w:vAlign w:val="center"/>
          </w:tcPr>
          <w:p w14:paraId="3F53EB24">
            <w:pPr>
              <w:keepNext w:val="0"/>
              <w:keepLines w:val="0"/>
              <w:pageBreakBefore w:val="0"/>
              <w:kinsoku/>
              <w:wordWrap/>
              <w:overflowPunct/>
              <w:topLinePunct w:val="0"/>
              <w:autoSpaceDE/>
              <w:autoSpaceDN/>
              <w:bidi w:val="0"/>
              <w:adjustRightInd/>
              <w:snapToGrid/>
              <w:spacing w:line="460" w:lineRule="exact"/>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19</w:t>
            </w:r>
          </w:p>
        </w:tc>
        <w:tc>
          <w:tcPr>
            <w:tcW w:w="8838" w:type="dxa"/>
            <w:shd w:val="clear" w:color="auto" w:fill="auto"/>
            <w:vAlign w:val="center"/>
          </w:tcPr>
          <w:p w14:paraId="53A54684">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具备远程网络维修诊断系统认证证书，及信息安全等级保护备案凭证证书，提供加盖公章的扫描件</w:t>
            </w:r>
          </w:p>
        </w:tc>
      </w:tr>
      <w:tr w14:paraId="46BCB0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19" w:type="dxa"/>
            <w:vAlign w:val="center"/>
          </w:tcPr>
          <w:p w14:paraId="01DE54EC">
            <w:pPr>
              <w:keepNext w:val="0"/>
              <w:keepLines w:val="0"/>
              <w:pageBreakBefore w:val="0"/>
              <w:kinsoku/>
              <w:wordWrap/>
              <w:overflowPunct/>
              <w:topLinePunct w:val="0"/>
              <w:autoSpaceDE/>
              <w:autoSpaceDN/>
              <w:bidi w:val="0"/>
              <w:adjustRightInd/>
              <w:snapToGrid/>
              <w:spacing w:line="460" w:lineRule="exact"/>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20</w:t>
            </w:r>
          </w:p>
        </w:tc>
        <w:tc>
          <w:tcPr>
            <w:tcW w:w="8838" w:type="dxa"/>
            <w:shd w:val="clear" w:color="auto" w:fill="auto"/>
            <w:vAlign w:val="center"/>
          </w:tcPr>
          <w:p w14:paraId="1CCC7C1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付款方式：</w:t>
            </w:r>
            <w:r>
              <w:rPr>
                <w:rFonts w:hint="eastAsia" w:ascii="新宋体" w:hAnsi="新宋体" w:eastAsia="新宋体" w:cs="新宋体"/>
                <w:color w:val="auto"/>
                <w:sz w:val="22"/>
                <w:szCs w:val="22"/>
                <w:highlight w:val="none"/>
                <w:lang w:val="en-US" w:eastAsia="zh-CN"/>
              </w:rPr>
              <w:t>合同签订后分2次支付维保款，具体为：合同签订并具备实施条件后，支付维保款金额的50%，在合同结束，验收合格后，支付剩余维保款金额的50%</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每次付款，中标人须出具等额发票，采购人收到发票后7个工作日内支付款项。</w:t>
            </w:r>
          </w:p>
        </w:tc>
      </w:tr>
    </w:tbl>
    <w:p w14:paraId="071E8EC2">
      <w:pPr>
        <w:pStyle w:val="24"/>
        <w:keepNext w:val="0"/>
        <w:keepLines w:val="0"/>
        <w:pageBreakBefore w:val="0"/>
        <w:kinsoku/>
        <w:wordWrap/>
        <w:overflowPunct/>
        <w:topLinePunct w:val="0"/>
        <w:autoSpaceDE/>
        <w:autoSpaceDN/>
        <w:bidi w:val="0"/>
        <w:adjustRightInd/>
        <w:snapToGrid/>
        <w:spacing w:line="460" w:lineRule="exact"/>
        <w:ind w:left="0" w:left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22"/>
          <w:szCs w:val="22"/>
          <w:highlight w:val="none"/>
        </w:rPr>
        <w:br w:type="page"/>
      </w:r>
      <w:bookmarkStart w:id="33" w:name="_Toc23704"/>
      <w:r>
        <w:rPr>
          <w:rFonts w:hint="eastAsia" w:ascii="新宋体" w:hAnsi="新宋体" w:eastAsia="新宋体" w:cs="新宋体"/>
          <w:b/>
          <w:color w:val="auto"/>
          <w:sz w:val="30"/>
          <w:highlight w:val="none"/>
        </w:rPr>
        <w:t>第五部分   评标原则及方法</w:t>
      </w:r>
      <w:bookmarkEnd w:id="33"/>
    </w:p>
    <w:p w14:paraId="7351B727">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14:paraId="0700E470">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outlineLvl w:val="1"/>
        <w:rPr>
          <w:rFonts w:hint="eastAsia" w:ascii="新宋体" w:hAnsi="新宋体" w:eastAsia="新宋体" w:cs="新宋体"/>
          <w:b/>
          <w:color w:val="auto"/>
          <w:sz w:val="22"/>
          <w:szCs w:val="22"/>
          <w:highlight w:val="none"/>
        </w:rPr>
      </w:pPr>
      <w:bookmarkStart w:id="34" w:name="_Toc19243"/>
      <w:r>
        <w:rPr>
          <w:rFonts w:hint="eastAsia" w:ascii="新宋体" w:hAnsi="新宋体" w:eastAsia="新宋体" w:cs="新宋体"/>
          <w:b/>
          <w:color w:val="auto"/>
          <w:sz w:val="22"/>
          <w:szCs w:val="22"/>
          <w:highlight w:val="none"/>
        </w:rPr>
        <w:t>一、总 则</w:t>
      </w:r>
      <w:bookmarkEnd w:id="34"/>
    </w:p>
    <w:p w14:paraId="6835053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4BEF2E6C">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outlineLvl w:val="1"/>
        <w:rPr>
          <w:rFonts w:hint="eastAsia" w:ascii="新宋体" w:hAnsi="新宋体" w:eastAsia="新宋体" w:cs="新宋体"/>
          <w:b/>
          <w:color w:val="auto"/>
          <w:sz w:val="22"/>
          <w:szCs w:val="22"/>
          <w:highlight w:val="none"/>
        </w:rPr>
      </w:pPr>
      <w:bookmarkStart w:id="35" w:name="_Toc7106"/>
      <w:r>
        <w:rPr>
          <w:rFonts w:hint="eastAsia" w:ascii="新宋体" w:hAnsi="新宋体" w:eastAsia="新宋体" w:cs="新宋体"/>
          <w:b/>
          <w:color w:val="auto"/>
          <w:sz w:val="22"/>
          <w:szCs w:val="22"/>
          <w:highlight w:val="none"/>
        </w:rPr>
        <w:t>二、</w:t>
      </w:r>
      <w:r>
        <w:rPr>
          <w:rFonts w:hint="eastAsia" w:ascii="新宋体" w:hAnsi="新宋体" w:eastAsia="新宋体" w:cs="新宋体"/>
          <w:b/>
          <w:bCs/>
          <w:color w:val="auto"/>
          <w:sz w:val="22"/>
          <w:szCs w:val="22"/>
          <w:highlight w:val="none"/>
        </w:rPr>
        <w:t>评标</w:t>
      </w:r>
      <w:r>
        <w:rPr>
          <w:rFonts w:hint="eastAsia" w:ascii="新宋体" w:hAnsi="新宋体" w:eastAsia="新宋体" w:cs="新宋体"/>
          <w:b/>
          <w:color w:val="auto"/>
          <w:sz w:val="22"/>
          <w:szCs w:val="22"/>
          <w:highlight w:val="none"/>
        </w:rPr>
        <w:t>组织</w:t>
      </w:r>
      <w:bookmarkEnd w:id="35"/>
    </w:p>
    <w:p w14:paraId="76D8C12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组建的评标委员会负责，评标全过程由有关部门指导监督。</w:t>
      </w:r>
    </w:p>
    <w:p w14:paraId="4AC01FEC">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outlineLvl w:val="1"/>
        <w:rPr>
          <w:rFonts w:hint="eastAsia" w:ascii="新宋体" w:hAnsi="新宋体" w:eastAsia="新宋体" w:cs="新宋体"/>
          <w:b/>
          <w:color w:val="auto"/>
          <w:sz w:val="22"/>
          <w:szCs w:val="22"/>
          <w:highlight w:val="none"/>
        </w:rPr>
      </w:pPr>
      <w:bookmarkStart w:id="36" w:name="_Toc31481"/>
      <w:r>
        <w:rPr>
          <w:rFonts w:hint="eastAsia" w:ascii="新宋体" w:hAnsi="新宋体" w:eastAsia="新宋体" w:cs="新宋体"/>
          <w:b/>
          <w:color w:val="auto"/>
          <w:sz w:val="22"/>
          <w:szCs w:val="22"/>
          <w:highlight w:val="none"/>
        </w:rPr>
        <w:t>三、</w:t>
      </w:r>
      <w:r>
        <w:rPr>
          <w:rFonts w:hint="eastAsia" w:ascii="新宋体" w:hAnsi="新宋体" w:eastAsia="新宋体" w:cs="新宋体"/>
          <w:b/>
          <w:bCs/>
          <w:color w:val="auto"/>
          <w:sz w:val="22"/>
          <w:szCs w:val="22"/>
          <w:highlight w:val="none"/>
        </w:rPr>
        <w:t>评标</w:t>
      </w:r>
      <w:r>
        <w:rPr>
          <w:rFonts w:hint="eastAsia" w:ascii="新宋体" w:hAnsi="新宋体" w:eastAsia="新宋体" w:cs="新宋体"/>
          <w:b/>
          <w:color w:val="auto"/>
          <w:sz w:val="22"/>
          <w:szCs w:val="22"/>
          <w:highlight w:val="none"/>
        </w:rPr>
        <w:t>程序</w:t>
      </w:r>
      <w:bookmarkEnd w:id="36"/>
    </w:p>
    <w:p w14:paraId="76DEC40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评标委员按照招标文件中规定的评标方法和标准，对投标文件进行商务和技术评估，综合比较与评价</w:t>
      </w:r>
      <w:r>
        <w:rPr>
          <w:rFonts w:hint="eastAsia" w:ascii="新宋体" w:hAnsi="新宋体" w:eastAsia="新宋体" w:cs="新宋体"/>
          <w:color w:val="auto"/>
          <w:sz w:val="22"/>
          <w:szCs w:val="22"/>
          <w:highlight w:val="none"/>
        </w:rPr>
        <w:t>，根据综合评审结果，提交评审报告。</w:t>
      </w:r>
    </w:p>
    <w:p w14:paraId="00802BF3">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outlineLvl w:val="1"/>
        <w:rPr>
          <w:rFonts w:hint="eastAsia" w:ascii="新宋体" w:hAnsi="新宋体" w:eastAsia="新宋体" w:cs="新宋体"/>
          <w:b/>
          <w:color w:val="auto"/>
          <w:sz w:val="22"/>
          <w:szCs w:val="22"/>
          <w:highlight w:val="none"/>
        </w:rPr>
      </w:pPr>
      <w:bookmarkStart w:id="37" w:name="_Toc14475"/>
      <w:r>
        <w:rPr>
          <w:rFonts w:hint="eastAsia" w:ascii="新宋体" w:hAnsi="新宋体" w:eastAsia="新宋体" w:cs="新宋体"/>
          <w:b/>
          <w:color w:val="auto"/>
          <w:sz w:val="22"/>
          <w:szCs w:val="22"/>
          <w:highlight w:val="none"/>
        </w:rPr>
        <w:t>四、评标办法</w:t>
      </w:r>
      <w:bookmarkEnd w:id="37"/>
    </w:p>
    <w:p w14:paraId="7931DF5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次采购采用百分制综合评分法，即投标人最大限度地满足招标文件实质性要求的基础上，按照招标文件的各项因素进行综合评审后，按评审后得分（即商务技术分与报价分之和）由高到低顺序排序，确定中标候选人的评标方法。根据采购要求，</w:t>
      </w:r>
      <w:r>
        <w:rPr>
          <w:rFonts w:hint="eastAsia" w:ascii="新宋体" w:hAnsi="新宋体" w:eastAsia="新宋体" w:cs="新宋体"/>
          <w:b/>
          <w:color w:val="auto"/>
          <w:sz w:val="22"/>
          <w:szCs w:val="22"/>
          <w:highlight w:val="none"/>
        </w:rPr>
        <w:t>总分设定为100分：商务技术</w:t>
      </w:r>
      <w:r>
        <w:rPr>
          <w:rFonts w:hint="eastAsia" w:ascii="新宋体" w:hAnsi="新宋体" w:eastAsia="新宋体" w:cs="新宋体"/>
          <w:b/>
          <w:color w:val="auto"/>
          <w:sz w:val="22"/>
          <w:szCs w:val="22"/>
          <w:highlight w:val="none"/>
          <w:lang w:val="en-US" w:eastAsia="zh-CN"/>
        </w:rPr>
        <w:t>9</w:t>
      </w:r>
      <w:r>
        <w:rPr>
          <w:rFonts w:hint="eastAsia" w:ascii="新宋体" w:hAnsi="新宋体" w:eastAsia="新宋体" w:cs="新宋体"/>
          <w:b/>
          <w:color w:val="auto"/>
          <w:sz w:val="22"/>
          <w:szCs w:val="22"/>
          <w:highlight w:val="none"/>
        </w:rPr>
        <w:t>0分（权值</w:t>
      </w:r>
      <w:r>
        <w:rPr>
          <w:rFonts w:hint="eastAsia" w:ascii="新宋体" w:hAnsi="新宋体" w:eastAsia="新宋体" w:cs="新宋体"/>
          <w:b/>
          <w:color w:val="auto"/>
          <w:sz w:val="22"/>
          <w:szCs w:val="22"/>
          <w:highlight w:val="none"/>
          <w:lang w:val="en-US" w:eastAsia="zh-CN"/>
        </w:rPr>
        <w:t>9</w:t>
      </w:r>
      <w:r>
        <w:rPr>
          <w:rFonts w:hint="eastAsia" w:ascii="新宋体" w:hAnsi="新宋体" w:eastAsia="新宋体" w:cs="新宋体"/>
          <w:b/>
          <w:color w:val="auto"/>
          <w:sz w:val="22"/>
          <w:szCs w:val="22"/>
          <w:highlight w:val="none"/>
        </w:rPr>
        <w:t>0%），报价</w:t>
      </w:r>
      <w:r>
        <w:rPr>
          <w:rFonts w:hint="eastAsia" w:ascii="新宋体" w:hAnsi="新宋体" w:eastAsia="新宋体" w:cs="新宋体"/>
          <w:b/>
          <w:color w:val="auto"/>
          <w:sz w:val="22"/>
          <w:szCs w:val="22"/>
          <w:highlight w:val="none"/>
          <w:lang w:val="en-US" w:eastAsia="zh-CN"/>
        </w:rPr>
        <w:t>1</w:t>
      </w:r>
      <w:r>
        <w:rPr>
          <w:rFonts w:hint="eastAsia" w:ascii="新宋体" w:hAnsi="新宋体" w:eastAsia="新宋体" w:cs="新宋体"/>
          <w:b/>
          <w:color w:val="auto"/>
          <w:sz w:val="22"/>
          <w:szCs w:val="22"/>
          <w:highlight w:val="none"/>
        </w:rPr>
        <w:t>0分（权值</w:t>
      </w:r>
      <w:r>
        <w:rPr>
          <w:rFonts w:hint="eastAsia" w:ascii="新宋体" w:hAnsi="新宋体" w:eastAsia="新宋体" w:cs="新宋体"/>
          <w:b/>
          <w:color w:val="auto"/>
          <w:sz w:val="22"/>
          <w:szCs w:val="22"/>
          <w:highlight w:val="none"/>
          <w:lang w:val="en-US" w:eastAsia="zh-CN"/>
        </w:rPr>
        <w:t>1</w:t>
      </w:r>
      <w:r>
        <w:rPr>
          <w:rFonts w:hint="eastAsia" w:ascii="新宋体" w:hAnsi="新宋体" w:eastAsia="新宋体" w:cs="新宋体"/>
          <w:b/>
          <w:color w:val="auto"/>
          <w:sz w:val="22"/>
          <w:szCs w:val="22"/>
          <w:highlight w:val="none"/>
        </w:rPr>
        <w:t>0%）。</w:t>
      </w:r>
    </w:p>
    <w:p w14:paraId="25C1D9D2">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outlineLvl w:val="1"/>
        <w:rPr>
          <w:rFonts w:hint="eastAsia" w:ascii="新宋体" w:hAnsi="新宋体" w:eastAsia="新宋体" w:cs="新宋体"/>
          <w:b/>
          <w:color w:val="auto"/>
          <w:sz w:val="22"/>
          <w:szCs w:val="22"/>
          <w:highlight w:val="none"/>
        </w:rPr>
      </w:pPr>
      <w:bookmarkStart w:id="38" w:name="_Toc17313"/>
      <w:r>
        <w:rPr>
          <w:rFonts w:hint="eastAsia" w:ascii="新宋体" w:hAnsi="新宋体" w:eastAsia="新宋体" w:cs="新宋体"/>
          <w:b/>
          <w:color w:val="auto"/>
          <w:sz w:val="22"/>
          <w:szCs w:val="22"/>
          <w:highlight w:val="none"/>
        </w:rPr>
        <w:t>五、</w:t>
      </w:r>
      <w:r>
        <w:rPr>
          <w:rFonts w:hint="eastAsia" w:ascii="新宋体" w:hAnsi="新宋体" w:eastAsia="新宋体" w:cs="新宋体"/>
          <w:b/>
          <w:bCs/>
          <w:color w:val="auto"/>
          <w:sz w:val="22"/>
          <w:szCs w:val="22"/>
          <w:highlight w:val="none"/>
        </w:rPr>
        <w:t>评分</w:t>
      </w:r>
      <w:r>
        <w:rPr>
          <w:rFonts w:hint="eastAsia" w:ascii="新宋体" w:hAnsi="新宋体" w:eastAsia="新宋体" w:cs="新宋体"/>
          <w:b/>
          <w:color w:val="auto"/>
          <w:sz w:val="22"/>
          <w:szCs w:val="22"/>
          <w:highlight w:val="none"/>
        </w:rPr>
        <w:t>细则</w:t>
      </w:r>
      <w:bookmarkEnd w:id="38"/>
    </w:p>
    <w:p w14:paraId="39E79C40">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1、技术分的评定：商务技术</w:t>
      </w:r>
      <w:r>
        <w:rPr>
          <w:rFonts w:hint="eastAsia" w:ascii="新宋体" w:hAnsi="新宋体" w:eastAsia="新宋体" w:cs="新宋体"/>
          <w:b/>
          <w:color w:val="auto"/>
          <w:sz w:val="22"/>
          <w:szCs w:val="22"/>
          <w:highlight w:val="none"/>
          <w:lang w:val="en-US" w:eastAsia="zh-CN"/>
        </w:rPr>
        <w:t>9</w:t>
      </w:r>
      <w:r>
        <w:rPr>
          <w:rFonts w:hint="eastAsia" w:ascii="新宋体" w:hAnsi="新宋体" w:eastAsia="新宋体" w:cs="新宋体"/>
          <w:b/>
          <w:color w:val="auto"/>
          <w:sz w:val="22"/>
          <w:szCs w:val="22"/>
          <w:highlight w:val="none"/>
        </w:rPr>
        <w:t>0分（权值</w:t>
      </w:r>
      <w:r>
        <w:rPr>
          <w:rFonts w:hint="eastAsia" w:ascii="新宋体" w:hAnsi="新宋体" w:eastAsia="新宋体" w:cs="新宋体"/>
          <w:b/>
          <w:color w:val="auto"/>
          <w:sz w:val="22"/>
          <w:szCs w:val="22"/>
          <w:highlight w:val="none"/>
          <w:lang w:val="en-US" w:eastAsia="zh-CN"/>
        </w:rPr>
        <w:t>9</w:t>
      </w:r>
      <w:r>
        <w:rPr>
          <w:rFonts w:hint="eastAsia" w:ascii="新宋体" w:hAnsi="新宋体" w:eastAsia="新宋体" w:cs="新宋体"/>
          <w:b/>
          <w:color w:val="auto"/>
          <w:sz w:val="22"/>
          <w:szCs w:val="22"/>
          <w:highlight w:val="none"/>
        </w:rPr>
        <w:t>0%）</w:t>
      </w:r>
    </w:p>
    <w:p w14:paraId="1F9B423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各评标委员会成员对各投标人的各项评分内容评分的算术平均值为各投标人技术分得分（小数点后按四舍五入保留2位）。</w:t>
      </w:r>
    </w:p>
    <w:tbl>
      <w:tblPr>
        <w:tblStyle w:val="53"/>
        <w:tblW w:w="48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440"/>
        <w:gridCol w:w="6739"/>
        <w:gridCol w:w="726"/>
      </w:tblGrid>
      <w:tr w14:paraId="6483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14:paraId="67917FB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750" w:type="pct"/>
            <w:tcBorders>
              <w:top w:val="single" w:color="auto" w:sz="4" w:space="0"/>
              <w:left w:val="single" w:color="auto" w:sz="4" w:space="0"/>
              <w:bottom w:val="single" w:color="auto" w:sz="4" w:space="0"/>
              <w:right w:val="single" w:color="auto" w:sz="4" w:space="0"/>
            </w:tcBorders>
            <w:vAlign w:val="center"/>
          </w:tcPr>
          <w:p w14:paraId="15E817F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评审因素</w:t>
            </w:r>
          </w:p>
        </w:tc>
        <w:tc>
          <w:tcPr>
            <w:tcW w:w="3511" w:type="pct"/>
            <w:tcBorders>
              <w:top w:val="single" w:color="auto" w:sz="4" w:space="0"/>
              <w:left w:val="nil"/>
              <w:bottom w:val="single" w:color="auto" w:sz="4" w:space="0"/>
              <w:right w:val="single" w:color="auto" w:sz="4" w:space="0"/>
            </w:tcBorders>
            <w:vAlign w:val="center"/>
          </w:tcPr>
          <w:p w14:paraId="6ED6A91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评分标准说明</w:t>
            </w:r>
          </w:p>
        </w:tc>
        <w:tc>
          <w:tcPr>
            <w:tcW w:w="378" w:type="pct"/>
            <w:tcBorders>
              <w:top w:val="single" w:color="auto" w:sz="4" w:space="0"/>
              <w:left w:val="nil"/>
              <w:bottom w:val="single" w:color="auto" w:sz="4" w:space="0"/>
              <w:right w:val="single" w:color="auto" w:sz="4" w:space="0"/>
            </w:tcBorders>
            <w:vAlign w:val="center"/>
          </w:tcPr>
          <w:p w14:paraId="59E5C7C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分值</w:t>
            </w:r>
          </w:p>
        </w:tc>
      </w:tr>
      <w:tr w14:paraId="48C14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60" w:type="pct"/>
            <w:shd w:val="clear" w:color="auto" w:fill="auto"/>
            <w:vAlign w:val="center"/>
          </w:tcPr>
          <w:p w14:paraId="1701B37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1</w:t>
            </w:r>
          </w:p>
        </w:tc>
        <w:tc>
          <w:tcPr>
            <w:tcW w:w="750" w:type="pct"/>
            <w:vAlign w:val="center"/>
          </w:tcPr>
          <w:p w14:paraId="222480AD">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采购需求响应</w:t>
            </w:r>
          </w:p>
        </w:tc>
        <w:tc>
          <w:tcPr>
            <w:tcW w:w="3511" w:type="pct"/>
            <w:vAlign w:val="center"/>
          </w:tcPr>
          <w:p w14:paraId="526A327D">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投标人完全响应招标文件中“服务要求”的得</w:t>
            </w:r>
            <w:r>
              <w:rPr>
                <w:rFonts w:hint="eastAsia" w:ascii="新宋体" w:hAnsi="新宋体" w:eastAsia="新宋体" w:cs="新宋体"/>
                <w:color w:val="auto"/>
                <w:sz w:val="22"/>
                <w:szCs w:val="22"/>
                <w:highlight w:val="none"/>
                <w:lang w:val="en-US" w:eastAsia="zh-CN"/>
              </w:rPr>
              <w:t>41</w:t>
            </w:r>
            <w:r>
              <w:rPr>
                <w:rFonts w:hint="eastAsia" w:ascii="新宋体" w:hAnsi="新宋体" w:eastAsia="新宋体" w:cs="新宋体"/>
                <w:color w:val="auto"/>
                <w:sz w:val="22"/>
                <w:szCs w:val="22"/>
                <w:highlight w:val="none"/>
              </w:rPr>
              <w:t>分。标注“★”条款每负偏离一条的扣</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w:t>
            </w:r>
            <w:r>
              <w:rPr>
                <w:rFonts w:hint="eastAsia" w:ascii="新宋体" w:hAnsi="新宋体" w:eastAsia="新宋体" w:cs="新宋体"/>
                <w:color w:val="auto"/>
                <w:sz w:val="22"/>
                <w:szCs w:val="22"/>
                <w:highlight w:val="none"/>
                <w:lang w:val="en-US" w:eastAsia="zh-CN"/>
              </w:rPr>
              <w:t>其他</w:t>
            </w:r>
            <w:r>
              <w:rPr>
                <w:rFonts w:hint="eastAsia" w:ascii="新宋体" w:hAnsi="新宋体" w:eastAsia="新宋体" w:cs="新宋体"/>
                <w:color w:val="auto"/>
                <w:sz w:val="22"/>
                <w:szCs w:val="22"/>
                <w:highlight w:val="none"/>
              </w:rPr>
              <w:t>条款每负偏离一条的扣</w:t>
            </w:r>
            <w:r>
              <w:rPr>
                <w:rFonts w:hint="eastAsia" w:ascii="新宋体" w:hAnsi="新宋体" w:eastAsia="新宋体" w:cs="新宋体"/>
                <w:color w:val="auto"/>
                <w:sz w:val="22"/>
                <w:szCs w:val="22"/>
                <w:highlight w:val="none"/>
                <w:lang w:val="en-US" w:eastAsia="zh-CN"/>
              </w:rPr>
              <w:t>1.5</w:t>
            </w:r>
            <w:r>
              <w:rPr>
                <w:rFonts w:hint="eastAsia" w:ascii="新宋体" w:hAnsi="新宋体" w:eastAsia="新宋体" w:cs="新宋体"/>
                <w:color w:val="auto"/>
                <w:sz w:val="22"/>
                <w:szCs w:val="22"/>
                <w:highlight w:val="none"/>
              </w:rPr>
              <w:t>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扣完为止。</w:t>
            </w:r>
          </w:p>
        </w:tc>
        <w:tc>
          <w:tcPr>
            <w:tcW w:w="378" w:type="pct"/>
            <w:vAlign w:val="center"/>
          </w:tcPr>
          <w:p w14:paraId="11C6B740">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41分</w:t>
            </w:r>
          </w:p>
        </w:tc>
      </w:tr>
      <w:tr w14:paraId="4F76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360" w:type="pct"/>
            <w:shd w:val="clear" w:color="auto" w:fill="auto"/>
            <w:vAlign w:val="center"/>
          </w:tcPr>
          <w:p w14:paraId="0F350DD4">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w:t>
            </w:r>
          </w:p>
        </w:tc>
        <w:tc>
          <w:tcPr>
            <w:tcW w:w="750" w:type="pct"/>
            <w:vAlign w:val="center"/>
          </w:tcPr>
          <w:p w14:paraId="03CDB96B">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供应商综合情况</w:t>
            </w:r>
          </w:p>
        </w:tc>
        <w:tc>
          <w:tcPr>
            <w:tcW w:w="3511" w:type="pct"/>
            <w:vAlign w:val="center"/>
          </w:tcPr>
          <w:p w14:paraId="598781E9">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服务商具有有效的ISO9001证书、ISO13485证书、</w:t>
            </w:r>
            <w:r>
              <w:rPr>
                <w:rFonts w:hint="eastAsia" w:ascii="新宋体" w:hAnsi="新宋体" w:eastAsia="新宋体" w:cs="新宋体"/>
                <w:color w:val="auto"/>
                <w:sz w:val="22"/>
                <w:szCs w:val="22"/>
                <w:highlight w:val="none"/>
              </w:rPr>
              <w:t>GB/T27922</w:t>
            </w:r>
            <w:r>
              <w:rPr>
                <w:rFonts w:hint="eastAsia" w:ascii="新宋体" w:hAnsi="新宋体" w:eastAsia="新宋体" w:cs="新宋体"/>
                <w:color w:val="auto"/>
                <w:sz w:val="22"/>
                <w:szCs w:val="22"/>
                <w:highlight w:val="none"/>
              </w:rPr>
              <w:t>售后服务五星认证证书，具有辐射安全许可证证书；每提供以上一个证书得1分，满分为4分（投标文件中提供以上有效的认证证书扫描件加盖公章）。</w:t>
            </w:r>
          </w:p>
        </w:tc>
        <w:tc>
          <w:tcPr>
            <w:tcW w:w="378" w:type="pct"/>
            <w:vAlign w:val="center"/>
          </w:tcPr>
          <w:p w14:paraId="13A82052">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4分</w:t>
            </w:r>
          </w:p>
        </w:tc>
      </w:tr>
      <w:tr w14:paraId="75D85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60" w:type="pct"/>
            <w:shd w:val="clear" w:color="auto" w:fill="auto"/>
            <w:vAlign w:val="center"/>
          </w:tcPr>
          <w:p w14:paraId="7758988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3</w:t>
            </w:r>
          </w:p>
        </w:tc>
        <w:tc>
          <w:tcPr>
            <w:tcW w:w="750" w:type="pct"/>
            <w:vAlign w:val="center"/>
          </w:tcPr>
          <w:p w14:paraId="4C9AC6FC">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0"/>
                <w:sz w:val="22"/>
                <w:szCs w:val="22"/>
                <w:highlight w:val="none"/>
                <w:lang w:eastAsia="zh-CN"/>
              </w:rPr>
              <w:t>维保服务方案</w:t>
            </w:r>
          </w:p>
        </w:tc>
        <w:tc>
          <w:tcPr>
            <w:tcW w:w="3511" w:type="pct"/>
            <w:vAlign w:val="center"/>
          </w:tcPr>
          <w:p w14:paraId="3DCDAFF2">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0"/>
                <w:sz w:val="22"/>
                <w:szCs w:val="22"/>
                <w:highlight w:val="none"/>
                <w:lang w:eastAsia="zh-CN"/>
              </w:rPr>
              <w:t>在满足招标文件维保服务详细要求的基础上，对服务商提供的维保服务方案进行评议，方案中应体现针对本项目的设备进行系统、全面的维保所需要的具体措施进行</w:t>
            </w:r>
            <w:r>
              <w:rPr>
                <w:rFonts w:hint="eastAsia" w:ascii="新宋体" w:hAnsi="新宋体" w:eastAsia="新宋体" w:cs="新宋体"/>
                <w:color w:val="auto"/>
                <w:sz w:val="22"/>
                <w:szCs w:val="22"/>
                <w:highlight w:val="none"/>
                <w:lang w:val="en-US" w:eastAsia="zh-CN"/>
              </w:rPr>
              <w:t>综合评审</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评分范围5，3，1，0</w:t>
            </w:r>
            <w:r>
              <w:rPr>
                <w:rFonts w:hint="eastAsia" w:ascii="新宋体" w:hAnsi="新宋体" w:eastAsia="新宋体" w:cs="新宋体"/>
                <w:color w:val="auto"/>
                <w:kern w:val="0"/>
                <w:sz w:val="22"/>
                <w:szCs w:val="22"/>
                <w:highlight w:val="none"/>
                <w:lang w:eastAsia="zh-CN"/>
              </w:rPr>
              <w:t>）</w:t>
            </w:r>
          </w:p>
        </w:tc>
        <w:tc>
          <w:tcPr>
            <w:tcW w:w="378" w:type="pct"/>
            <w:vAlign w:val="center"/>
          </w:tcPr>
          <w:p w14:paraId="3B7546A2">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5分</w:t>
            </w:r>
          </w:p>
        </w:tc>
      </w:tr>
      <w:tr w14:paraId="5382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0" w:type="pct"/>
            <w:shd w:val="clear" w:color="auto" w:fill="auto"/>
            <w:vAlign w:val="center"/>
          </w:tcPr>
          <w:p w14:paraId="43181F4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4</w:t>
            </w:r>
          </w:p>
        </w:tc>
        <w:tc>
          <w:tcPr>
            <w:tcW w:w="750" w:type="pct"/>
            <w:vAlign w:val="center"/>
          </w:tcPr>
          <w:p w14:paraId="44AFF500">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sz w:val="22"/>
                <w:szCs w:val="22"/>
                <w:highlight w:val="none"/>
              </w:rPr>
              <w:t>重点、难点分析</w:t>
            </w:r>
          </w:p>
        </w:tc>
        <w:tc>
          <w:tcPr>
            <w:tcW w:w="3511" w:type="pct"/>
            <w:vAlign w:val="center"/>
          </w:tcPr>
          <w:p w14:paraId="5A9D862E">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根据服务商提供的本项目的重点、难点分析和解决措施进行</w:t>
            </w:r>
            <w:r>
              <w:rPr>
                <w:rFonts w:hint="eastAsia" w:ascii="新宋体" w:hAnsi="新宋体" w:eastAsia="新宋体" w:cs="新宋体"/>
                <w:color w:val="auto"/>
                <w:sz w:val="22"/>
                <w:szCs w:val="22"/>
                <w:highlight w:val="none"/>
                <w:lang w:val="en-US" w:eastAsia="zh-CN"/>
              </w:rPr>
              <w:t>综合评审。</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评分范围5，3，1，0</w:t>
            </w:r>
            <w:r>
              <w:rPr>
                <w:rFonts w:hint="eastAsia" w:ascii="新宋体" w:hAnsi="新宋体" w:eastAsia="新宋体" w:cs="新宋体"/>
                <w:color w:val="auto"/>
                <w:kern w:val="0"/>
                <w:sz w:val="22"/>
                <w:szCs w:val="22"/>
                <w:highlight w:val="none"/>
                <w:lang w:eastAsia="zh-CN"/>
              </w:rPr>
              <w:t>）</w:t>
            </w:r>
          </w:p>
        </w:tc>
        <w:tc>
          <w:tcPr>
            <w:tcW w:w="378" w:type="pct"/>
            <w:vAlign w:val="center"/>
          </w:tcPr>
          <w:p w14:paraId="7FA71D9D">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5分</w:t>
            </w:r>
          </w:p>
        </w:tc>
      </w:tr>
      <w:tr w14:paraId="5B3E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360" w:type="pct"/>
            <w:shd w:val="clear" w:color="auto" w:fill="auto"/>
            <w:vAlign w:val="center"/>
          </w:tcPr>
          <w:p w14:paraId="7C34B69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5</w:t>
            </w:r>
          </w:p>
        </w:tc>
        <w:tc>
          <w:tcPr>
            <w:tcW w:w="750" w:type="pct"/>
            <w:vAlign w:val="center"/>
          </w:tcPr>
          <w:p w14:paraId="66332800">
            <w:pPr>
              <w:keepNext w:val="0"/>
              <w:keepLines w:val="0"/>
              <w:pageBreakBefore w:val="0"/>
              <w:kinsoku/>
              <w:wordWrap/>
              <w:overflowPunct/>
              <w:topLinePunct w:val="0"/>
              <w:autoSpaceDE/>
              <w:autoSpaceDN/>
              <w:bidi w:val="0"/>
              <w:adjustRightInd/>
              <w:snapToGrid/>
              <w:spacing w:line="460" w:lineRule="exact"/>
              <w:textAlignment w:val="auto"/>
              <w:rPr>
                <w:rFonts w:hint="default"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技术规范性</w:t>
            </w:r>
          </w:p>
        </w:tc>
        <w:tc>
          <w:tcPr>
            <w:tcW w:w="3511" w:type="pct"/>
            <w:vAlign w:val="center"/>
          </w:tcPr>
          <w:p w14:paraId="0F722B9E">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根据服务商维保服务基本技术规范、流程，包括不仅限于服务过程是否符合及满足产品</w:t>
            </w:r>
            <w:r>
              <w:rPr>
                <w:rFonts w:hint="eastAsia" w:ascii="新宋体" w:hAnsi="新宋体" w:eastAsia="新宋体" w:cs="新宋体"/>
                <w:color w:val="auto"/>
                <w:sz w:val="22"/>
                <w:szCs w:val="22"/>
                <w:highlight w:val="none"/>
                <w:lang w:val="en-US" w:eastAsia="zh-CN"/>
              </w:rPr>
              <w:t>设备</w:t>
            </w:r>
            <w:r>
              <w:rPr>
                <w:rFonts w:hint="eastAsia" w:ascii="新宋体" w:hAnsi="新宋体" w:eastAsia="新宋体" w:cs="新宋体"/>
                <w:color w:val="auto"/>
                <w:kern w:val="0"/>
                <w:sz w:val="22"/>
                <w:szCs w:val="22"/>
                <w:highlight w:val="none"/>
                <w:lang w:val="en-US" w:eastAsia="zh-CN" w:bidi="ar-SA"/>
              </w:rPr>
              <w:t>原厂</w:t>
            </w:r>
            <w:r>
              <w:rPr>
                <w:rFonts w:hint="eastAsia" w:ascii="新宋体" w:hAnsi="新宋体" w:eastAsia="新宋体" w:cs="新宋体"/>
                <w:color w:val="auto"/>
                <w:kern w:val="0"/>
                <w:sz w:val="22"/>
                <w:szCs w:val="22"/>
                <w:highlight w:val="none"/>
                <w:lang w:val="en-US" w:eastAsia="zh-CN" w:bidi="ar-SA"/>
              </w:rPr>
              <w:t>维修保养手册的要求，总体架构设置合理性</w:t>
            </w:r>
            <w:r>
              <w:rPr>
                <w:rFonts w:hint="eastAsia" w:ascii="新宋体" w:hAnsi="新宋体" w:eastAsia="新宋体" w:cs="新宋体"/>
                <w:color w:val="auto"/>
                <w:sz w:val="22"/>
                <w:szCs w:val="22"/>
                <w:highlight w:val="none"/>
              </w:rPr>
              <w:t>进行</w:t>
            </w:r>
            <w:r>
              <w:rPr>
                <w:rFonts w:hint="eastAsia" w:ascii="新宋体" w:hAnsi="新宋体" w:eastAsia="新宋体" w:cs="新宋体"/>
                <w:color w:val="auto"/>
                <w:sz w:val="22"/>
                <w:szCs w:val="22"/>
                <w:highlight w:val="none"/>
                <w:lang w:val="en-US" w:eastAsia="zh-CN"/>
              </w:rPr>
              <w:t>综合评审。</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评分范围5，3，1，0</w:t>
            </w:r>
            <w:r>
              <w:rPr>
                <w:rFonts w:hint="eastAsia" w:ascii="新宋体" w:hAnsi="新宋体" w:eastAsia="新宋体" w:cs="新宋体"/>
                <w:color w:val="auto"/>
                <w:kern w:val="0"/>
                <w:sz w:val="22"/>
                <w:szCs w:val="22"/>
                <w:highlight w:val="none"/>
                <w:lang w:eastAsia="zh-CN"/>
              </w:rPr>
              <w:t>）</w:t>
            </w:r>
          </w:p>
        </w:tc>
        <w:tc>
          <w:tcPr>
            <w:tcW w:w="378" w:type="pct"/>
            <w:vAlign w:val="center"/>
          </w:tcPr>
          <w:p w14:paraId="4811DF6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5分</w:t>
            </w:r>
          </w:p>
        </w:tc>
      </w:tr>
      <w:tr w14:paraId="1C3FC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360" w:type="pct"/>
            <w:shd w:val="clear" w:color="auto" w:fill="auto"/>
            <w:vAlign w:val="center"/>
          </w:tcPr>
          <w:p w14:paraId="06241B8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6</w:t>
            </w:r>
          </w:p>
        </w:tc>
        <w:tc>
          <w:tcPr>
            <w:tcW w:w="750" w:type="pct"/>
            <w:vAlign w:val="center"/>
          </w:tcPr>
          <w:p w14:paraId="5E3C24B9">
            <w:pPr>
              <w:keepNext w:val="0"/>
              <w:keepLines w:val="0"/>
              <w:pageBreakBefore w:val="0"/>
              <w:kinsoku/>
              <w:wordWrap/>
              <w:overflowPunct/>
              <w:topLinePunct w:val="0"/>
              <w:autoSpaceDE/>
              <w:autoSpaceDN/>
              <w:bidi w:val="0"/>
              <w:adjustRightInd/>
              <w:snapToGrid/>
              <w:spacing w:line="460" w:lineRule="exact"/>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专业维修工具</w:t>
            </w:r>
          </w:p>
        </w:tc>
        <w:tc>
          <w:tcPr>
            <w:tcW w:w="3511" w:type="pct"/>
            <w:vAlign w:val="center"/>
          </w:tcPr>
          <w:p w14:paraId="13F2E7DA">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根据服务商提供的专业维修工具配备方案（包括专业维修工具的种类、专业维修工具的数量、专业维修工具的状况）</w:t>
            </w:r>
            <w:r>
              <w:rPr>
                <w:rFonts w:hint="eastAsia" w:ascii="新宋体" w:hAnsi="新宋体" w:eastAsia="新宋体" w:cs="新宋体"/>
                <w:color w:val="auto"/>
                <w:sz w:val="22"/>
                <w:szCs w:val="22"/>
                <w:highlight w:val="none"/>
              </w:rPr>
              <w:t>进行</w:t>
            </w:r>
            <w:r>
              <w:rPr>
                <w:rFonts w:hint="eastAsia" w:ascii="新宋体" w:hAnsi="新宋体" w:eastAsia="新宋体" w:cs="新宋体"/>
                <w:color w:val="auto"/>
                <w:sz w:val="22"/>
                <w:szCs w:val="22"/>
                <w:highlight w:val="none"/>
                <w:lang w:val="en-US" w:eastAsia="zh-CN"/>
              </w:rPr>
              <w:t>综合评审。</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评分范围5，3，1，0</w:t>
            </w:r>
            <w:r>
              <w:rPr>
                <w:rFonts w:hint="eastAsia" w:ascii="新宋体" w:hAnsi="新宋体" w:eastAsia="新宋体" w:cs="新宋体"/>
                <w:color w:val="auto"/>
                <w:kern w:val="0"/>
                <w:sz w:val="22"/>
                <w:szCs w:val="22"/>
                <w:highlight w:val="none"/>
                <w:lang w:eastAsia="zh-CN"/>
              </w:rPr>
              <w:t>）</w:t>
            </w:r>
          </w:p>
        </w:tc>
        <w:tc>
          <w:tcPr>
            <w:tcW w:w="378" w:type="pct"/>
            <w:vAlign w:val="center"/>
          </w:tcPr>
          <w:p w14:paraId="2587D8AC">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5分</w:t>
            </w:r>
          </w:p>
        </w:tc>
      </w:tr>
      <w:tr w14:paraId="331D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360" w:type="pct"/>
            <w:shd w:val="clear" w:color="auto" w:fill="auto"/>
            <w:vAlign w:val="center"/>
          </w:tcPr>
          <w:p w14:paraId="48F9922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7</w:t>
            </w:r>
          </w:p>
        </w:tc>
        <w:tc>
          <w:tcPr>
            <w:tcW w:w="750" w:type="pct"/>
            <w:vAlign w:val="center"/>
          </w:tcPr>
          <w:p w14:paraId="72E74300">
            <w:pPr>
              <w:keepNext w:val="0"/>
              <w:keepLines w:val="0"/>
              <w:pageBreakBefore w:val="0"/>
              <w:kinsoku/>
              <w:wordWrap/>
              <w:overflowPunct/>
              <w:topLinePunct w:val="0"/>
              <w:autoSpaceDE/>
              <w:autoSpaceDN/>
              <w:bidi w:val="0"/>
              <w:adjustRightInd/>
              <w:snapToGrid/>
              <w:spacing w:line="460" w:lineRule="exact"/>
              <w:textAlignment w:val="auto"/>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人员配置</w:t>
            </w:r>
          </w:p>
        </w:tc>
        <w:tc>
          <w:tcPr>
            <w:tcW w:w="3511" w:type="pct"/>
            <w:vAlign w:val="center"/>
          </w:tcPr>
          <w:p w14:paraId="35F5B418">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根据服务商提供的针对本项目的组织和实施计划维修人员配置的合理性、专业性</w:t>
            </w:r>
            <w:r>
              <w:rPr>
                <w:rFonts w:hint="eastAsia" w:ascii="新宋体" w:hAnsi="新宋体" w:eastAsia="新宋体" w:cs="新宋体"/>
                <w:color w:val="auto"/>
                <w:sz w:val="22"/>
                <w:szCs w:val="22"/>
                <w:highlight w:val="none"/>
              </w:rPr>
              <w:t>进行</w:t>
            </w:r>
            <w:r>
              <w:rPr>
                <w:rFonts w:hint="eastAsia" w:ascii="新宋体" w:hAnsi="新宋体" w:eastAsia="新宋体" w:cs="新宋体"/>
                <w:color w:val="auto"/>
                <w:sz w:val="22"/>
                <w:szCs w:val="22"/>
                <w:highlight w:val="none"/>
                <w:lang w:val="en-US" w:eastAsia="zh-CN"/>
              </w:rPr>
              <w:t>综合评审。</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评分范围5，3，1，0</w:t>
            </w:r>
            <w:r>
              <w:rPr>
                <w:rFonts w:hint="eastAsia" w:ascii="新宋体" w:hAnsi="新宋体" w:eastAsia="新宋体" w:cs="新宋体"/>
                <w:color w:val="auto"/>
                <w:kern w:val="0"/>
                <w:sz w:val="22"/>
                <w:szCs w:val="22"/>
                <w:highlight w:val="none"/>
                <w:lang w:eastAsia="zh-CN"/>
              </w:rPr>
              <w:t>）</w:t>
            </w:r>
          </w:p>
        </w:tc>
        <w:tc>
          <w:tcPr>
            <w:tcW w:w="378" w:type="pct"/>
            <w:vAlign w:val="center"/>
          </w:tcPr>
          <w:p w14:paraId="14E3C22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5分</w:t>
            </w:r>
          </w:p>
        </w:tc>
      </w:tr>
      <w:tr w14:paraId="66CC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60" w:type="pct"/>
            <w:shd w:val="clear" w:color="auto" w:fill="auto"/>
            <w:vAlign w:val="center"/>
          </w:tcPr>
          <w:p w14:paraId="79260B9D">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8</w:t>
            </w:r>
          </w:p>
        </w:tc>
        <w:tc>
          <w:tcPr>
            <w:tcW w:w="750" w:type="pct"/>
            <w:vAlign w:val="center"/>
          </w:tcPr>
          <w:p w14:paraId="0FB45768">
            <w:pPr>
              <w:keepNext w:val="0"/>
              <w:keepLines w:val="0"/>
              <w:pageBreakBefore w:val="0"/>
              <w:kinsoku/>
              <w:wordWrap/>
              <w:overflowPunct/>
              <w:topLinePunct w:val="0"/>
              <w:autoSpaceDE/>
              <w:autoSpaceDN/>
              <w:bidi w:val="0"/>
              <w:adjustRightInd/>
              <w:snapToGrid/>
              <w:spacing w:line="460" w:lineRule="exact"/>
              <w:textAlignment w:val="auto"/>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质量保证</w:t>
            </w:r>
          </w:p>
        </w:tc>
        <w:tc>
          <w:tcPr>
            <w:tcW w:w="3511" w:type="pct"/>
            <w:vAlign w:val="center"/>
          </w:tcPr>
          <w:p w14:paraId="4F7F22FE">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新宋体" w:hAnsi="新宋体" w:eastAsia="新宋体" w:cs="新宋体"/>
                <w:color w:val="auto"/>
                <w:kern w:val="2"/>
                <w:sz w:val="22"/>
                <w:szCs w:val="22"/>
                <w:highlight w:val="none"/>
                <w:lang w:val="en-US" w:eastAsia="zh-CN" w:bidi="ar-SA"/>
              </w:rPr>
            </w:pPr>
            <w:r>
              <w:rPr>
                <w:rFonts w:hint="default" w:ascii="新宋体" w:hAnsi="新宋体" w:eastAsia="新宋体" w:cs="新宋体"/>
                <w:color w:val="auto"/>
                <w:kern w:val="2"/>
                <w:sz w:val="22"/>
                <w:szCs w:val="22"/>
                <w:highlight w:val="none"/>
                <w:lang w:val="en-US" w:eastAsia="zh-CN" w:bidi="ar-SA"/>
              </w:rPr>
              <w:t>在满足招标文件维保服务详细要求的基础上，根据服务商所提供的质量保证措施及质量违约承诺具体、合规程度、完善程度</w:t>
            </w:r>
            <w:r>
              <w:rPr>
                <w:rFonts w:hint="eastAsia" w:ascii="新宋体" w:hAnsi="新宋体" w:eastAsia="新宋体" w:cs="新宋体"/>
                <w:color w:val="auto"/>
                <w:sz w:val="22"/>
                <w:szCs w:val="22"/>
                <w:highlight w:val="none"/>
              </w:rPr>
              <w:t>进行</w:t>
            </w:r>
            <w:r>
              <w:rPr>
                <w:rFonts w:hint="eastAsia" w:ascii="新宋体" w:hAnsi="新宋体" w:eastAsia="新宋体" w:cs="新宋体"/>
                <w:color w:val="auto"/>
                <w:sz w:val="22"/>
                <w:szCs w:val="22"/>
                <w:highlight w:val="none"/>
                <w:lang w:val="en-US" w:eastAsia="zh-CN"/>
              </w:rPr>
              <w:t>综合评审。</w:t>
            </w:r>
            <w:r>
              <w:rPr>
                <w:rFonts w:hint="default" w:ascii="新宋体" w:hAnsi="新宋体" w:eastAsia="新宋体" w:cs="新宋体"/>
                <w:color w:val="auto"/>
                <w:kern w:val="2"/>
                <w:sz w:val="22"/>
                <w:szCs w:val="22"/>
                <w:highlight w:val="none"/>
                <w:lang w:val="en-US" w:eastAsia="zh-CN" w:bidi="ar-SA"/>
              </w:rPr>
              <w:t>（</w:t>
            </w:r>
            <w:r>
              <w:rPr>
                <w:rFonts w:hint="eastAsia" w:ascii="新宋体" w:hAnsi="新宋体" w:eastAsia="新宋体" w:cs="新宋体"/>
                <w:color w:val="auto"/>
                <w:kern w:val="0"/>
                <w:sz w:val="22"/>
                <w:szCs w:val="22"/>
                <w:highlight w:val="none"/>
                <w:lang w:val="en-US" w:eastAsia="zh-CN"/>
              </w:rPr>
              <w:t>评分范围5，3，1，0</w:t>
            </w:r>
            <w:r>
              <w:rPr>
                <w:rFonts w:hint="default" w:ascii="新宋体" w:hAnsi="新宋体" w:eastAsia="新宋体" w:cs="新宋体"/>
                <w:color w:val="auto"/>
                <w:kern w:val="2"/>
                <w:sz w:val="22"/>
                <w:szCs w:val="22"/>
                <w:highlight w:val="none"/>
                <w:lang w:val="en-US" w:eastAsia="zh-CN" w:bidi="ar-SA"/>
              </w:rPr>
              <w:t>）</w:t>
            </w:r>
          </w:p>
        </w:tc>
        <w:tc>
          <w:tcPr>
            <w:tcW w:w="378" w:type="pct"/>
            <w:vAlign w:val="center"/>
          </w:tcPr>
          <w:p w14:paraId="74AE8C15">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5分</w:t>
            </w:r>
          </w:p>
        </w:tc>
      </w:tr>
      <w:tr w14:paraId="70FB5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60" w:type="pct"/>
            <w:shd w:val="clear" w:color="auto" w:fill="auto"/>
            <w:vAlign w:val="center"/>
          </w:tcPr>
          <w:p w14:paraId="6F43B2D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9</w:t>
            </w:r>
          </w:p>
        </w:tc>
        <w:tc>
          <w:tcPr>
            <w:tcW w:w="750" w:type="pct"/>
            <w:shd w:val="clear" w:color="auto" w:fill="auto"/>
            <w:vAlign w:val="center"/>
          </w:tcPr>
          <w:p w14:paraId="1976B984">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lang w:val="en-US" w:eastAsia="zh-CN"/>
              </w:rPr>
              <w:t>配件、备品</w:t>
            </w:r>
          </w:p>
        </w:tc>
        <w:tc>
          <w:tcPr>
            <w:tcW w:w="3511" w:type="pct"/>
            <w:shd w:val="clear" w:color="auto" w:fill="auto"/>
            <w:vAlign w:val="center"/>
          </w:tcPr>
          <w:p w14:paraId="4EDF8493">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新宋体" w:hAnsi="新宋体" w:eastAsia="新宋体" w:cs="新宋体"/>
                <w:color w:val="auto"/>
                <w:kern w:val="2"/>
                <w:sz w:val="22"/>
                <w:szCs w:val="22"/>
                <w:highlight w:val="none"/>
                <w:lang w:val="en-US" w:eastAsia="zh-CN" w:bidi="ar-SA"/>
              </w:rPr>
            </w:pPr>
            <w:r>
              <w:rPr>
                <w:rFonts w:hint="default" w:ascii="新宋体" w:hAnsi="新宋体" w:eastAsia="新宋体" w:cs="新宋体"/>
                <w:color w:val="auto"/>
                <w:kern w:val="2"/>
                <w:sz w:val="22"/>
                <w:szCs w:val="22"/>
                <w:highlight w:val="none"/>
                <w:lang w:val="en-US" w:eastAsia="zh-CN" w:bidi="ar-SA"/>
              </w:rPr>
              <w:t>根据服务商提供的</w:t>
            </w:r>
            <w:r>
              <w:rPr>
                <w:rFonts w:hint="eastAsia" w:ascii="新宋体" w:hAnsi="新宋体" w:eastAsia="新宋体" w:cs="新宋体"/>
                <w:color w:val="auto"/>
                <w:sz w:val="22"/>
                <w:szCs w:val="22"/>
                <w:highlight w:val="none"/>
                <w:lang w:val="en-US" w:eastAsia="zh-CN"/>
              </w:rPr>
              <w:t>设备</w:t>
            </w:r>
            <w:r>
              <w:rPr>
                <w:rFonts w:hint="default" w:ascii="新宋体" w:hAnsi="新宋体" w:eastAsia="新宋体" w:cs="新宋体"/>
                <w:color w:val="auto"/>
                <w:kern w:val="2"/>
                <w:sz w:val="22"/>
                <w:szCs w:val="22"/>
                <w:highlight w:val="none"/>
                <w:lang w:val="en-US" w:eastAsia="zh-CN" w:bidi="ar-SA"/>
              </w:rPr>
              <w:t>原厂</w:t>
            </w:r>
            <w:r>
              <w:rPr>
                <w:rFonts w:hint="default" w:ascii="新宋体" w:hAnsi="新宋体" w:eastAsia="新宋体" w:cs="新宋体"/>
                <w:color w:val="auto"/>
                <w:kern w:val="2"/>
                <w:sz w:val="22"/>
                <w:szCs w:val="22"/>
                <w:highlight w:val="none"/>
                <w:lang w:val="en-US" w:eastAsia="zh-CN" w:bidi="ar-SA"/>
              </w:rPr>
              <w:t>球管零配件、备品备件方案</w:t>
            </w:r>
            <w:r>
              <w:rPr>
                <w:rFonts w:hint="eastAsia" w:ascii="新宋体" w:hAnsi="新宋体" w:eastAsia="新宋体" w:cs="新宋体"/>
                <w:color w:val="auto"/>
                <w:sz w:val="22"/>
                <w:szCs w:val="22"/>
                <w:highlight w:val="none"/>
              </w:rPr>
              <w:t>进行</w:t>
            </w:r>
            <w:r>
              <w:rPr>
                <w:rFonts w:hint="eastAsia" w:ascii="新宋体" w:hAnsi="新宋体" w:eastAsia="新宋体" w:cs="新宋体"/>
                <w:color w:val="auto"/>
                <w:sz w:val="22"/>
                <w:szCs w:val="22"/>
                <w:highlight w:val="none"/>
                <w:lang w:val="en-US" w:eastAsia="zh-CN"/>
              </w:rPr>
              <w:t>综合评审。</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评分范围5，3，1，0</w:t>
            </w:r>
            <w:r>
              <w:rPr>
                <w:rFonts w:hint="eastAsia" w:ascii="新宋体" w:hAnsi="新宋体" w:eastAsia="新宋体" w:cs="新宋体"/>
                <w:color w:val="auto"/>
                <w:kern w:val="0"/>
                <w:sz w:val="22"/>
                <w:szCs w:val="22"/>
                <w:highlight w:val="none"/>
                <w:lang w:eastAsia="zh-CN"/>
              </w:rPr>
              <w:t>）</w:t>
            </w:r>
          </w:p>
        </w:tc>
        <w:tc>
          <w:tcPr>
            <w:tcW w:w="378" w:type="pct"/>
            <w:shd w:val="clear" w:color="auto" w:fill="auto"/>
            <w:vAlign w:val="center"/>
          </w:tcPr>
          <w:p w14:paraId="02D1713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5分</w:t>
            </w:r>
          </w:p>
        </w:tc>
      </w:tr>
      <w:tr w14:paraId="5193F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60" w:type="pct"/>
            <w:shd w:val="clear" w:color="auto" w:fill="auto"/>
            <w:vAlign w:val="center"/>
          </w:tcPr>
          <w:p w14:paraId="6B2423DD">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10</w:t>
            </w:r>
          </w:p>
        </w:tc>
        <w:tc>
          <w:tcPr>
            <w:tcW w:w="750" w:type="pct"/>
            <w:vAlign w:val="center"/>
          </w:tcPr>
          <w:p w14:paraId="6CDCE056">
            <w:pPr>
              <w:keepNext w:val="0"/>
              <w:keepLines w:val="0"/>
              <w:pageBreakBefore w:val="0"/>
              <w:kinsoku/>
              <w:wordWrap/>
              <w:overflowPunct/>
              <w:topLinePunct w:val="0"/>
              <w:autoSpaceDE/>
              <w:autoSpaceDN/>
              <w:bidi w:val="0"/>
              <w:adjustRightInd/>
              <w:snapToGrid/>
              <w:spacing w:line="460" w:lineRule="exact"/>
              <w:textAlignment w:val="auto"/>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培训方案</w:t>
            </w:r>
          </w:p>
        </w:tc>
        <w:tc>
          <w:tcPr>
            <w:tcW w:w="3511" w:type="pct"/>
            <w:vAlign w:val="center"/>
          </w:tcPr>
          <w:p w14:paraId="4D371813">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新宋体" w:hAnsi="新宋体" w:eastAsia="新宋体" w:cs="新宋体"/>
                <w:color w:val="auto"/>
                <w:kern w:val="2"/>
                <w:sz w:val="22"/>
                <w:szCs w:val="22"/>
                <w:highlight w:val="none"/>
                <w:lang w:val="en-US" w:eastAsia="zh-CN" w:bidi="ar-SA"/>
              </w:rPr>
            </w:pPr>
            <w:r>
              <w:rPr>
                <w:rFonts w:hint="default" w:ascii="新宋体" w:hAnsi="新宋体" w:eastAsia="新宋体" w:cs="新宋体"/>
                <w:color w:val="auto"/>
                <w:kern w:val="2"/>
                <w:sz w:val="22"/>
                <w:szCs w:val="22"/>
                <w:highlight w:val="none"/>
                <w:lang w:val="en-US" w:eastAsia="zh-CN" w:bidi="ar-SA"/>
              </w:rPr>
              <w:t>根据服务商提出的针对本项目的培训方案，师资力量安排、培训时间安排、培训方式等进行评议等</w:t>
            </w:r>
            <w:r>
              <w:rPr>
                <w:rFonts w:hint="eastAsia" w:ascii="新宋体" w:hAnsi="新宋体" w:eastAsia="新宋体" w:cs="新宋体"/>
                <w:color w:val="auto"/>
                <w:sz w:val="22"/>
                <w:szCs w:val="22"/>
                <w:highlight w:val="none"/>
              </w:rPr>
              <w:t>进行</w:t>
            </w:r>
            <w:r>
              <w:rPr>
                <w:rFonts w:hint="eastAsia" w:ascii="新宋体" w:hAnsi="新宋体" w:eastAsia="新宋体" w:cs="新宋体"/>
                <w:color w:val="auto"/>
                <w:sz w:val="22"/>
                <w:szCs w:val="22"/>
                <w:highlight w:val="none"/>
                <w:lang w:val="en-US" w:eastAsia="zh-CN"/>
              </w:rPr>
              <w:t>综合评审。</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评分范围5，3，1，0</w:t>
            </w:r>
            <w:r>
              <w:rPr>
                <w:rFonts w:hint="eastAsia" w:ascii="新宋体" w:hAnsi="新宋体" w:eastAsia="新宋体" w:cs="新宋体"/>
                <w:color w:val="auto"/>
                <w:kern w:val="0"/>
                <w:sz w:val="22"/>
                <w:szCs w:val="22"/>
                <w:highlight w:val="none"/>
                <w:lang w:eastAsia="zh-CN"/>
              </w:rPr>
              <w:t>）</w:t>
            </w:r>
          </w:p>
        </w:tc>
        <w:tc>
          <w:tcPr>
            <w:tcW w:w="378" w:type="pct"/>
            <w:vAlign w:val="center"/>
          </w:tcPr>
          <w:p w14:paraId="5118A23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5分</w:t>
            </w:r>
          </w:p>
        </w:tc>
      </w:tr>
      <w:tr w14:paraId="0098E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60" w:type="pct"/>
            <w:shd w:val="clear" w:color="auto" w:fill="auto"/>
            <w:vAlign w:val="center"/>
          </w:tcPr>
          <w:p w14:paraId="66B18B4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11</w:t>
            </w:r>
          </w:p>
        </w:tc>
        <w:tc>
          <w:tcPr>
            <w:tcW w:w="750" w:type="pct"/>
            <w:shd w:val="clear" w:color="auto" w:fill="auto"/>
            <w:vAlign w:val="center"/>
          </w:tcPr>
          <w:p w14:paraId="2851D52F">
            <w:pPr>
              <w:keepNext w:val="0"/>
              <w:keepLines w:val="0"/>
              <w:pageBreakBefore w:val="0"/>
              <w:kinsoku/>
              <w:wordWrap/>
              <w:overflowPunct/>
              <w:topLinePunct w:val="0"/>
              <w:autoSpaceDE/>
              <w:autoSpaceDN/>
              <w:bidi w:val="0"/>
              <w:adjustRightInd/>
              <w:snapToGrid/>
              <w:spacing w:line="460" w:lineRule="exact"/>
              <w:textAlignment w:val="auto"/>
              <w:rPr>
                <w:rFonts w:hint="default"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lang w:val="en-US" w:eastAsia="zh-CN"/>
              </w:rPr>
              <w:t>应急措施</w:t>
            </w:r>
          </w:p>
        </w:tc>
        <w:tc>
          <w:tcPr>
            <w:tcW w:w="3511" w:type="pct"/>
            <w:shd w:val="clear" w:color="auto" w:fill="auto"/>
            <w:vAlign w:val="center"/>
          </w:tcPr>
          <w:p w14:paraId="6AA14CEC">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新宋体" w:hAnsi="新宋体" w:eastAsia="新宋体" w:cs="新宋体"/>
                <w:color w:val="auto"/>
                <w:kern w:val="2"/>
                <w:sz w:val="22"/>
                <w:szCs w:val="22"/>
                <w:highlight w:val="none"/>
                <w:lang w:val="en-US" w:eastAsia="zh-CN" w:bidi="ar-SA"/>
              </w:rPr>
            </w:pPr>
            <w:r>
              <w:rPr>
                <w:rFonts w:hint="default" w:ascii="新宋体" w:hAnsi="新宋体" w:eastAsia="新宋体" w:cs="新宋体"/>
                <w:color w:val="auto"/>
                <w:kern w:val="2"/>
                <w:sz w:val="22"/>
                <w:szCs w:val="22"/>
                <w:highlight w:val="none"/>
                <w:lang w:val="en-US" w:eastAsia="zh-CN" w:bidi="ar-SA"/>
              </w:rPr>
              <w:t>根据服务商提供的针对本项目服务期间突发事件的应急措施方案，应急维修时间安排、处理办法专业性、应急处理的及时性、应对措施有效性</w:t>
            </w:r>
            <w:r>
              <w:rPr>
                <w:rFonts w:hint="eastAsia" w:ascii="新宋体" w:hAnsi="新宋体" w:eastAsia="新宋体" w:cs="新宋体"/>
                <w:color w:val="auto"/>
                <w:sz w:val="22"/>
                <w:szCs w:val="22"/>
                <w:highlight w:val="none"/>
              </w:rPr>
              <w:t>进行</w:t>
            </w:r>
            <w:r>
              <w:rPr>
                <w:rFonts w:hint="eastAsia" w:ascii="新宋体" w:hAnsi="新宋体" w:eastAsia="新宋体" w:cs="新宋体"/>
                <w:color w:val="auto"/>
                <w:sz w:val="22"/>
                <w:szCs w:val="22"/>
                <w:highlight w:val="none"/>
                <w:lang w:val="en-US" w:eastAsia="zh-CN"/>
              </w:rPr>
              <w:t>综合评审。</w:t>
            </w:r>
            <w:r>
              <w:rPr>
                <w:rFonts w:hint="default" w:ascii="新宋体" w:hAnsi="新宋体" w:eastAsia="新宋体" w:cs="新宋体"/>
                <w:color w:val="auto"/>
                <w:kern w:val="2"/>
                <w:sz w:val="22"/>
                <w:szCs w:val="22"/>
                <w:highlight w:val="none"/>
                <w:lang w:val="en-US" w:eastAsia="zh-CN" w:bidi="ar-SA"/>
              </w:rPr>
              <w:t>（</w:t>
            </w:r>
            <w:r>
              <w:rPr>
                <w:rFonts w:hint="eastAsia" w:ascii="新宋体" w:hAnsi="新宋体" w:eastAsia="新宋体" w:cs="新宋体"/>
                <w:color w:val="auto"/>
                <w:kern w:val="0"/>
                <w:sz w:val="22"/>
                <w:szCs w:val="22"/>
                <w:highlight w:val="none"/>
                <w:lang w:val="en-US" w:eastAsia="zh-CN"/>
              </w:rPr>
              <w:t>评分范围4，2，1，0</w:t>
            </w:r>
            <w:r>
              <w:rPr>
                <w:rFonts w:hint="default" w:ascii="新宋体" w:hAnsi="新宋体" w:eastAsia="新宋体" w:cs="新宋体"/>
                <w:color w:val="auto"/>
                <w:kern w:val="2"/>
                <w:sz w:val="22"/>
                <w:szCs w:val="22"/>
                <w:highlight w:val="none"/>
                <w:lang w:val="en-US" w:eastAsia="zh-CN" w:bidi="ar-SA"/>
              </w:rPr>
              <w:t>）</w:t>
            </w:r>
          </w:p>
        </w:tc>
        <w:tc>
          <w:tcPr>
            <w:tcW w:w="378" w:type="pct"/>
            <w:shd w:val="clear" w:color="auto" w:fill="auto"/>
            <w:vAlign w:val="center"/>
          </w:tcPr>
          <w:p w14:paraId="2B9A5A67">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4分</w:t>
            </w:r>
          </w:p>
        </w:tc>
      </w:tr>
      <w:tr w14:paraId="1A28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60" w:type="pct"/>
            <w:vAlign w:val="center"/>
          </w:tcPr>
          <w:p w14:paraId="42BF2595">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12</w:t>
            </w:r>
          </w:p>
        </w:tc>
        <w:tc>
          <w:tcPr>
            <w:tcW w:w="750" w:type="pct"/>
            <w:vAlign w:val="center"/>
          </w:tcPr>
          <w:p w14:paraId="240C9C8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shd w:val="clear" w:color="auto" w:fill="auto"/>
              </w:rPr>
              <w:t>同类业绩</w:t>
            </w:r>
          </w:p>
        </w:tc>
        <w:tc>
          <w:tcPr>
            <w:tcW w:w="3511" w:type="pct"/>
            <w:vAlign w:val="center"/>
          </w:tcPr>
          <w:p w14:paraId="185CEB7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rPr>
              <w:t>2022年1月1日至今（以合同签订时间为准），</w:t>
            </w:r>
            <w:r>
              <w:rPr>
                <w:rFonts w:hint="eastAsia" w:ascii="新宋体" w:hAnsi="新宋体" w:eastAsia="新宋体" w:cs="新宋体"/>
                <w:color w:val="auto"/>
                <w:sz w:val="22"/>
                <w:szCs w:val="22"/>
                <w:highlight w:val="none"/>
                <w:shd w:val="clear" w:color="auto" w:fill="auto"/>
                <w:lang w:val="en-US" w:eastAsia="zh-CN"/>
              </w:rPr>
              <w:t>投标人</w:t>
            </w:r>
            <w:r>
              <w:rPr>
                <w:rFonts w:hint="eastAsia" w:ascii="新宋体" w:hAnsi="新宋体" w:eastAsia="新宋体" w:cs="新宋体"/>
                <w:color w:val="auto"/>
                <w:sz w:val="22"/>
                <w:szCs w:val="22"/>
                <w:highlight w:val="none"/>
                <w:shd w:val="clear" w:color="auto" w:fill="auto"/>
              </w:rPr>
              <w:t>承接过同品牌型号的维保服务业绩的，每个得</w:t>
            </w:r>
            <w:r>
              <w:rPr>
                <w:rFonts w:hint="eastAsia" w:ascii="新宋体" w:hAnsi="新宋体" w:eastAsia="新宋体" w:cs="新宋体"/>
                <w:color w:val="auto"/>
                <w:sz w:val="22"/>
                <w:szCs w:val="22"/>
                <w:highlight w:val="none"/>
                <w:shd w:val="clear" w:color="auto" w:fill="auto"/>
                <w:lang w:val="en-US" w:eastAsia="zh-CN"/>
              </w:rPr>
              <w:t>0.5</w:t>
            </w:r>
            <w:r>
              <w:rPr>
                <w:rFonts w:hint="eastAsia" w:ascii="新宋体" w:hAnsi="新宋体" w:eastAsia="新宋体" w:cs="新宋体"/>
                <w:color w:val="auto"/>
                <w:sz w:val="22"/>
                <w:szCs w:val="22"/>
                <w:highlight w:val="none"/>
                <w:shd w:val="clear" w:color="auto" w:fill="auto"/>
              </w:rPr>
              <w:t>分，最高得</w:t>
            </w:r>
            <w:r>
              <w:rPr>
                <w:rFonts w:hint="eastAsia" w:ascii="新宋体" w:hAnsi="新宋体" w:eastAsia="新宋体" w:cs="新宋体"/>
                <w:color w:val="auto"/>
                <w:sz w:val="22"/>
                <w:szCs w:val="22"/>
                <w:highlight w:val="none"/>
                <w:shd w:val="clear" w:color="auto" w:fill="auto"/>
                <w:lang w:val="en-US" w:eastAsia="zh-CN"/>
              </w:rPr>
              <w:t>1</w:t>
            </w:r>
            <w:r>
              <w:rPr>
                <w:rFonts w:hint="eastAsia" w:ascii="新宋体" w:hAnsi="新宋体" w:eastAsia="新宋体" w:cs="新宋体"/>
                <w:color w:val="auto"/>
                <w:sz w:val="22"/>
                <w:szCs w:val="22"/>
                <w:highlight w:val="none"/>
                <w:shd w:val="clear" w:color="auto" w:fill="auto"/>
              </w:rPr>
              <w:t>分；同一业主不累计得分</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rPr>
              <w:t>投标人必须提供项目合同复印件</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rPr>
              <w:t>合同内容应清楚可见维修保养的机型、维修保养的范围内容</w:t>
            </w:r>
            <w:r>
              <w:rPr>
                <w:rFonts w:hint="eastAsia" w:ascii="新宋体" w:hAnsi="新宋体" w:eastAsia="新宋体" w:cs="新宋体"/>
                <w:color w:val="auto"/>
                <w:sz w:val="22"/>
                <w:szCs w:val="22"/>
                <w:highlight w:val="none"/>
                <w:lang w:eastAsia="zh-CN"/>
              </w:rPr>
              <w:t>。</w:t>
            </w:r>
          </w:p>
          <w:p w14:paraId="204A815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shd w:val="clear" w:color="auto" w:fill="auto"/>
              </w:rPr>
              <w:t>根据《浙江省财政厅关于进一步加大政府采购支持中小企业力度助力扎实稳住经济的通知》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该项得分为满分，须提供证明材料。</w:t>
            </w:r>
          </w:p>
        </w:tc>
        <w:tc>
          <w:tcPr>
            <w:tcW w:w="378" w:type="pct"/>
            <w:vAlign w:val="center"/>
          </w:tcPr>
          <w:p w14:paraId="36DDBAC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lang w:val="en-US" w:eastAsia="zh-CN"/>
              </w:rPr>
              <w:t>1分</w:t>
            </w:r>
          </w:p>
        </w:tc>
      </w:tr>
    </w:tbl>
    <w:p w14:paraId="2EC4366B">
      <w:pPr>
        <w:spacing w:line="460" w:lineRule="exact"/>
        <w:ind w:firstLine="442" w:firstLineChars="200"/>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color w:val="auto"/>
          <w:sz w:val="22"/>
          <w:szCs w:val="22"/>
          <w:highlight w:val="none"/>
        </w:rPr>
        <w:t>2、报价评分（权值</w:t>
      </w:r>
      <w:r>
        <w:rPr>
          <w:rFonts w:hint="eastAsia" w:ascii="新宋体" w:hAnsi="新宋体" w:eastAsia="新宋体" w:cs="新宋体"/>
          <w:b/>
          <w:color w:val="auto"/>
          <w:sz w:val="22"/>
          <w:szCs w:val="22"/>
          <w:highlight w:val="none"/>
          <w:lang w:val="en-US" w:eastAsia="zh-CN"/>
        </w:rPr>
        <w:t>10</w:t>
      </w:r>
      <w:r>
        <w:rPr>
          <w:rFonts w:hint="eastAsia" w:ascii="新宋体" w:hAnsi="新宋体" w:eastAsia="新宋体" w:cs="新宋体"/>
          <w:b/>
          <w:color w:val="auto"/>
          <w:sz w:val="22"/>
          <w:szCs w:val="22"/>
          <w:highlight w:val="none"/>
        </w:rPr>
        <w:t>%）：</w:t>
      </w:r>
    </w:p>
    <w:p w14:paraId="107A411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满足招标文件要求且投标报价最低的投标报价为评标基准价，其余投标人投标报价与该基准价对比，计算出商务报价评分值（保留小数2位）：</w:t>
      </w:r>
    </w:p>
    <w:p w14:paraId="089FF83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1）有效投标人的投标报价等于评标基准价时其报价分为满分</w:t>
      </w:r>
      <w:r>
        <w:rPr>
          <w:rFonts w:hint="eastAsia" w:ascii="新宋体" w:hAnsi="新宋体" w:eastAsia="新宋体" w:cs="新宋体"/>
          <w:color w:val="auto"/>
          <w:sz w:val="22"/>
          <w:szCs w:val="22"/>
          <w:highlight w:val="none"/>
          <w:shd w:val="clear" w:color="auto" w:fill="auto"/>
          <w:lang w:val="en-US" w:eastAsia="zh-CN"/>
        </w:rPr>
        <w:t>1</w:t>
      </w:r>
      <w:r>
        <w:rPr>
          <w:rFonts w:hint="eastAsia" w:ascii="新宋体" w:hAnsi="新宋体" w:eastAsia="新宋体" w:cs="新宋体"/>
          <w:color w:val="auto"/>
          <w:sz w:val="22"/>
          <w:szCs w:val="22"/>
          <w:highlight w:val="none"/>
          <w:shd w:val="clear" w:color="auto" w:fill="auto"/>
        </w:rPr>
        <w:t>0分；</w:t>
      </w:r>
    </w:p>
    <w:p w14:paraId="034AC45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2）其他投标人的价格分按以下公式计算：</w:t>
      </w:r>
    </w:p>
    <w:p w14:paraId="303D553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投标报价得分=（评分基准价/投标人投标报价）× 价格权值 ×100（保留小数2位）</w:t>
      </w:r>
    </w:p>
    <w:p w14:paraId="0F62758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shd w:val="clear" w:color="auto" w:fill="auto"/>
          <w:lang w:val="zh-CN"/>
        </w:rPr>
      </w:pPr>
      <w:r>
        <w:rPr>
          <w:rFonts w:hint="eastAsia" w:ascii="新宋体" w:hAnsi="新宋体" w:eastAsia="新宋体" w:cs="新宋体"/>
          <w:color w:val="auto"/>
          <w:sz w:val="22"/>
          <w:szCs w:val="22"/>
          <w:highlight w:val="none"/>
          <w:shd w:val="clear" w:color="auto" w:fill="auto"/>
          <w:lang w:val="zh-CN"/>
        </w:rPr>
        <w:t>根据《政府采购促进中小企业发展管理办法》（财库〔2020〕46号）、《财政部关于进一步加大政府采购支持中小企业力度的通知》（财库〔2022〕19号）有关规定，对货物类项目投标产品为小型或微型企业生产的，工程、服务类项目由小型或微型企业承建、承接的，</w:t>
      </w:r>
      <w:r>
        <w:rPr>
          <w:rFonts w:hint="eastAsia" w:ascii="新宋体" w:hAnsi="新宋体" w:eastAsia="新宋体" w:cs="新宋体"/>
          <w:b/>
          <w:bCs/>
          <w:color w:val="auto"/>
          <w:sz w:val="22"/>
          <w:szCs w:val="22"/>
          <w:highlight w:val="none"/>
          <w:u w:val="single"/>
          <w:shd w:val="clear" w:color="auto" w:fill="auto"/>
          <w:lang w:val="zh-CN"/>
        </w:rPr>
        <w:t>价格给予</w:t>
      </w:r>
      <w:r>
        <w:rPr>
          <w:rFonts w:hint="eastAsia" w:ascii="新宋体" w:hAnsi="新宋体" w:eastAsia="新宋体" w:cs="新宋体"/>
          <w:b/>
          <w:bCs/>
          <w:color w:val="auto"/>
          <w:sz w:val="22"/>
          <w:szCs w:val="22"/>
          <w:highlight w:val="none"/>
          <w:u w:val="single"/>
          <w:shd w:val="clear" w:color="auto" w:fill="auto"/>
        </w:rPr>
        <w:t>10</w:t>
      </w:r>
      <w:r>
        <w:rPr>
          <w:rFonts w:hint="eastAsia" w:ascii="新宋体" w:hAnsi="新宋体" w:eastAsia="新宋体" w:cs="新宋体"/>
          <w:b/>
          <w:bCs/>
          <w:color w:val="auto"/>
          <w:sz w:val="22"/>
          <w:szCs w:val="22"/>
          <w:highlight w:val="none"/>
          <w:u w:val="single"/>
          <w:shd w:val="clear" w:color="auto" w:fill="auto"/>
          <w:lang w:val="zh-CN"/>
        </w:rPr>
        <w:t>%的扣除</w:t>
      </w:r>
      <w:r>
        <w:rPr>
          <w:rFonts w:hint="eastAsia" w:ascii="新宋体" w:hAnsi="新宋体" w:eastAsia="新宋体" w:cs="新宋体"/>
          <w:color w:val="auto"/>
          <w:sz w:val="22"/>
          <w:szCs w:val="22"/>
          <w:highlight w:val="none"/>
          <w:shd w:val="clear" w:color="auto" w:fill="auto"/>
          <w:lang w:val="zh-CN"/>
        </w:rPr>
        <w:t>，用扣除后的价格参与价格评分。</w:t>
      </w:r>
    </w:p>
    <w:p w14:paraId="43A3FE12">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b/>
          <w:bCs/>
          <w:color w:val="auto"/>
          <w:sz w:val="22"/>
          <w:szCs w:val="22"/>
          <w:highlight w:val="none"/>
          <w:shd w:val="clear" w:color="auto" w:fill="auto"/>
          <w:lang w:val="zh-CN"/>
        </w:rPr>
        <w:t>监狱企业、</w:t>
      </w:r>
      <w:r>
        <w:rPr>
          <w:rFonts w:hint="eastAsia" w:ascii="新宋体" w:hAnsi="新宋体" w:eastAsia="新宋体" w:cs="新宋体"/>
          <w:b/>
          <w:color w:val="auto"/>
          <w:sz w:val="22"/>
          <w:szCs w:val="22"/>
          <w:highlight w:val="none"/>
          <w:shd w:val="clear" w:color="auto" w:fill="auto"/>
        </w:rPr>
        <w:t>残疾人福利性单位</w:t>
      </w:r>
      <w:r>
        <w:rPr>
          <w:rFonts w:hint="eastAsia" w:ascii="新宋体" w:hAnsi="新宋体" w:eastAsia="新宋体" w:cs="新宋体"/>
          <w:b/>
          <w:bCs/>
          <w:color w:val="auto"/>
          <w:sz w:val="22"/>
          <w:szCs w:val="22"/>
          <w:highlight w:val="none"/>
          <w:shd w:val="clear" w:color="auto" w:fill="auto"/>
          <w:lang w:val="zh-CN"/>
        </w:rPr>
        <w:t>视同小微企业，其产品参加本项目投标的，享受小微企业同等的价格扣除。</w:t>
      </w:r>
    </w:p>
    <w:p w14:paraId="51052FE0">
      <w:pPr>
        <w:spacing w:line="460" w:lineRule="exact"/>
        <w:ind w:firstLine="440" w:firstLineChars="200"/>
        <w:rPr>
          <w:rFonts w:hint="eastAsia" w:ascii="新宋体" w:hAnsi="新宋体" w:eastAsia="新宋体" w:cs="新宋体"/>
          <w:color w:val="auto"/>
          <w:sz w:val="22"/>
          <w:szCs w:val="22"/>
          <w:highlight w:val="none"/>
        </w:rPr>
      </w:pPr>
      <w:r>
        <w:rPr>
          <w:rFonts w:hint="eastAsia" w:ascii="宋体" w:hAnsi="宋体" w:cs="黑体"/>
          <w:color w:val="auto"/>
          <w:sz w:val="22"/>
          <w:szCs w:val="22"/>
          <w:highlight w:val="none"/>
        </w:rPr>
        <w:t>满足</w:t>
      </w:r>
      <w:r>
        <w:rPr>
          <w:rFonts w:hint="eastAsia" w:ascii="宋体" w:hAnsi="宋体" w:cs="黑体"/>
          <w:color w:val="auto"/>
          <w:sz w:val="22"/>
          <w:szCs w:val="22"/>
          <w:highlight w:val="none"/>
          <w:lang w:val="en-US" w:eastAsia="zh-CN"/>
        </w:rPr>
        <w:t>小微企业</w:t>
      </w:r>
      <w:r>
        <w:rPr>
          <w:rFonts w:hint="eastAsia" w:ascii="宋体" w:hAnsi="宋体" w:cs="黑体"/>
          <w:color w:val="auto"/>
          <w:sz w:val="22"/>
          <w:szCs w:val="22"/>
          <w:highlight w:val="none"/>
        </w:rPr>
        <w:t>折扣条件的</w:t>
      </w:r>
      <w:r>
        <w:rPr>
          <w:rFonts w:hint="eastAsia" w:ascii="新宋体" w:hAnsi="新宋体" w:eastAsia="新宋体" w:cs="新宋体"/>
          <w:color w:val="auto"/>
          <w:sz w:val="22"/>
          <w:szCs w:val="22"/>
          <w:highlight w:val="none"/>
        </w:rPr>
        <w:t>价格得分</w:t>
      </w:r>
      <w:r>
        <w:rPr>
          <w:rFonts w:hint="eastAsia" w:ascii="宋体" w:hAnsi="宋体" w:cs="黑体"/>
          <w:color w:val="auto"/>
          <w:sz w:val="22"/>
          <w:szCs w:val="22"/>
          <w:highlight w:val="none"/>
        </w:rPr>
        <w:t>=[评标基准价/(投标报价*</w:t>
      </w:r>
      <w:r>
        <w:rPr>
          <w:rFonts w:hint="eastAsia" w:ascii="宋体" w:hAnsi="宋体" w:cs="黑体"/>
          <w:color w:val="auto"/>
          <w:sz w:val="22"/>
          <w:szCs w:val="22"/>
          <w:highlight w:val="none"/>
          <w:lang w:val="en-US" w:eastAsia="zh-CN"/>
        </w:rPr>
        <w:t>9</w:t>
      </w:r>
      <w:r>
        <w:rPr>
          <w:rFonts w:hint="eastAsia" w:ascii="宋体" w:hAnsi="宋体" w:cs="黑体"/>
          <w:color w:val="auto"/>
          <w:sz w:val="22"/>
          <w:szCs w:val="22"/>
          <w:highlight w:val="none"/>
        </w:rPr>
        <w:t>0%)]×</w:t>
      </w:r>
      <w:r>
        <w:rPr>
          <w:rFonts w:hint="eastAsia" w:ascii="宋体" w:hAnsi="宋体" w:cs="黑体"/>
          <w:color w:val="auto"/>
          <w:sz w:val="22"/>
          <w:szCs w:val="22"/>
          <w:highlight w:val="none"/>
          <w:lang w:val="en-US" w:eastAsia="zh-CN"/>
        </w:rPr>
        <w:t>10</w:t>
      </w:r>
      <w:r>
        <w:rPr>
          <w:rFonts w:hint="eastAsia" w:ascii="宋体" w:hAnsi="宋体" w:cs="黑体"/>
          <w:color w:val="auto"/>
          <w:sz w:val="22"/>
          <w:szCs w:val="22"/>
          <w:highlight w:val="none"/>
        </w:rPr>
        <w:t>。</w:t>
      </w:r>
    </w:p>
    <w:p w14:paraId="37834314">
      <w:pPr>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宋体" w:hAnsi="宋体" w:cs="黑体"/>
          <w:color w:val="auto"/>
          <w:sz w:val="22"/>
          <w:szCs w:val="22"/>
          <w:highlight w:val="none"/>
        </w:rPr>
        <w:t>满足</w:t>
      </w:r>
      <w:r>
        <w:rPr>
          <w:rFonts w:hint="eastAsia" w:ascii="宋体" w:hAnsi="宋体" w:cs="黑体"/>
          <w:color w:val="auto"/>
          <w:sz w:val="22"/>
          <w:szCs w:val="22"/>
          <w:highlight w:val="none"/>
          <w:lang w:val="en-US" w:eastAsia="zh-CN"/>
        </w:rPr>
        <w:t>联合体</w:t>
      </w:r>
      <w:r>
        <w:rPr>
          <w:rFonts w:hint="eastAsia" w:ascii="宋体" w:hAnsi="宋体" w:cs="黑体"/>
          <w:color w:val="auto"/>
          <w:sz w:val="22"/>
          <w:szCs w:val="22"/>
          <w:highlight w:val="none"/>
        </w:rPr>
        <w:t>折扣条件的</w:t>
      </w:r>
      <w:r>
        <w:rPr>
          <w:rFonts w:hint="eastAsia" w:ascii="新宋体" w:hAnsi="新宋体" w:eastAsia="新宋体" w:cs="新宋体"/>
          <w:color w:val="auto"/>
          <w:sz w:val="22"/>
          <w:szCs w:val="22"/>
          <w:highlight w:val="none"/>
        </w:rPr>
        <w:t>价格得分</w:t>
      </w:r>
      <w:r>
        <w:rPr>
          <w:rFonts w:hint="eastAsia" w:ascii="宋体" w:hAnsi="宋体" w:cs="黑体"/>
          <w:color w:val="auto"/>
          <w:sz w:val="22"/>
          <w:szCs w:val="22"/>
          <w:highlight w:val="none"/>
        </w:rPr>
        <w:t>=[评标基准价/(投标报价*</w:t>
      </w:r>
      <w:r>
        <w:rPr>
          <w:rFonts w:hint="eastAsia" w:ascii="宋体" w:hAnsi="宋体" w:cs="黑体"/>
          <w:color w:val="auto"/>
          <w:sz w:val="22"/>
          <w:szCs w:val="22"/>
          <w:highlight w:val="none"/>
          <w:lang w:val="en-US" w:eastAsia="zh-CN"/>
        </w:rPr>
        <w:t>96</w:t>
      </w:r>
      <w:r>
        <w:rPr>
          <w:rFonts w:hint="eastAsia" w:ascii="宋体" w:hAnsi="宋体" w:cs="黑体"/>
          <w:color w:val="auto"/>
          <w:sz w:val="22"/>
          <w:szCs w:val="22"/>
          <w:highlight w:val="none"/>
        </w:rPr>
        <w:t>%)]×</w:t>
      </w:r>
      <w:r>
        <w:rPr>
          <w:rFonts w:hint="eastAsia" w:ascii="宋体" w:hAnsi="宋体" w:cs="黑体"/>
          <w:color w:val="auto"/>
          <w:sz w:val="22"/>
          <w:szCs w:val="22"/>
          <w:highlight w:val="none"/>
          <w:lang w:val="en-US" w:eastAsia="zh-CN"/>
        </w:rPr>
        <w:t>10</w:t>
      </w:r>
      <w:r>
        <w:rPr>
          <w:rFonts w:hint="eastAsia" w:ascii="宋体" w:hAnsi="宋体" w:cs="黑体"/>
          <w:color w:val="auto"/>
          <w:sz w:val="22"/>
          <w:szCs w:val="22"/>
          <w:highlight w:val="none"/>
        </w:rPr>
        <w:t>。</w:t>
      </w:r>
    </w:p>
    <w:p w14:paraId="4BD7A61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3、有效投标人的综合得分为商务技术分和报价分的总和。</w:t>
      </w:r>
    </w:p>
    <w:p w14:paraId="3CC39C80">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B5A036C">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outlineLvl w:val="1"/>
        <w:rPr>
          <w:rFonts w:hint="eastAsia" w:ascii="新宋体" w:hAnsi="新宋体" w:eastAsia="新宋体" w:cs="新宋体"/>
          <w:b/>
          <w:bCs/>
          <w:color w:val="auto"/>
          <w:sz w:val="22"/>
          <w:szCs w:val="22"/>
          <w:highlight w:val="none"/>
        </w:rPr>
      </w:pPr>
      <w:bookmarkStart w:id="39" w:name="_Toc5804"/>
      <w:r>
        <w:rPr>
          <w:rFonts w:hint="eastAsia" w:ascii="新宋体" w:hAnsi="新宋体" w:eastAsia="新宋体" w:cs="新宋体"/>
          <w:b/>
          <w:bCs/>
          <w:color w:val="auto"/>
          <w:sz w:val="22"/>
          <w:szCs w:val="22"/>
          <w:highlight w:val="none"/>
        </w:rPr>
        <w:t>六、定标办法</w:t>
      </w:r>
      <w:bookmarkEnd w:id="39"/>
    </w:p>
    <w:p w14:paraId="581909E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30A65AA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1.1由评标委员会确定中标候选人。</w:t>
      </w:r>
    </w:p>
    <w:p w14:paraId="7CAB7A8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评标委员会依据法律、法规及招标文件有关规定按评审后得分（即商务技术分与报价分之和）由高到低顺序排序，得分前二名的投标人确定为该项目的第一和第二中标候选人（得分相同的，按投标报价由低到高顺序排列，得分且投标报价相同的并列。）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推荐。</w:t>
      </w:r>
    </w:p>
    <w:p w14:paraId="30688AF3">
      <w:pPr>
        <w:keepNext w:val="0"/>
        <w:keepLines w:val="0"/>
        <w:pageBreakBefore w:val="0"/>
        <w:kinsoku/>
        <w:wordWrap/>
        <w:overflowPunct/>
        <w:topLinePunct w:val="0"/>
        <w:autoSpaceDE/>
        <w:autoSpaceDN/>
        <w:bidi w:val="0"/>
        <w:adjustRightIn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2、确定中标人</w:t>
      </w:r>
    </w:p>
    <w:p w14:paraId="16092494">
      <w:pPr>
        <w:keepNext w:val="0"/>
        <w:keepLines w:val="0"/>
        <w:pageBreakBefore w:val="0"/>
        <w:kinsoku/>
        <w:wordWrap/>
        <w:overflowPunct/>
        <w:topLinePunct w:val="0"/>
        <w:autoSpaceDE/>
        <w:autoSpaceDN/>
        <w:bidi w:val="0"/>
        <w:adjustRightInd/>
        <w:spacing w:line="460" w:lineRule="exact"/>
        <w:ind w:firstLine="442"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2.1</w:t>
      </w:r>
      <w:r>
        <w:rPr>
          <w:rFonts w:hint="eastAsia" w:ascii="新宋体" w:hAnsi="新宋体" w:eastAsia="新宋体" w:cs="新宋体"/>
          <w:b/>
          <w:bCs/>
          <w:color w:val="auto"/>
          <w:sz w:val="22"/>
          <w:szCs w:val="22"/>
          <w:highlight w:val="none"/>
          <w:lang w:eastAsia="zh-CN"/>
        </w:rPr>
        <w:t>采购人</w:t>
      </w:r>
      <w:r>
        <w:rPr>
          <w:rFonts w:hint="eastAsia" w:ascii="新宋体" w:hAnsi="新宋体" w:eastAsia="新宋体" w:cs="新宋体"/>
          <w:b/>
          <w:bCs/>
          <w:color w:val="auto"/>
          <w:sz w:val="22"/>
          <w:szCs w:val="22"/>
          <w:highlight w:val="none"/>
        </w:rPr>
        <w:t>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180914CB">
      <w:pPr>
        <w:keepNext w:val="0"/>
        <w:keepLines w:val="0"/>
        <w:pageBreakBefore w:val="0"/>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2.2如中标人放弃中标；或未能在规定时间内与采购单位签订合同的；或者经质疑，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审查后，确因排名第一的候选人在本次采购活动中存在违法违规行为或其他原因使质疑成立的，</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可以视情况直接确定排名第二的候选人为中标人或重新组织招标。</w:t>
      </w:r>
    </w:p>
    <w:p w14:paraId="6AA62B2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3、中标人确定后，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将在指定媒体公告中标结果，</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向中标人发出中标通知书。</w:t>
      </w:r>
    </w:p>
    <w:p w14:paraId="6B2ED23F">
      <w:pPr>
        <w:spacing w:line="460" w:lineRule="exact"/>
        <w:ind w:firstLine="442" w:firstLineChars="200"/>
        <w:outlineLvl w:val="1"/>
        <w:rPr>
          <w:rFonts w:hint="eastAsia" w:ascii="新宋体" w:hAnsi="新宋体" w:eastAsia="新宋体" w:cs="新宋体"/>
          <w:b/>
          <w:color w:val="auto"/>
          <w:sz w:val="22"/>
          <w:szCs w:val="22"/>
          <w:highlight w:val="none"/>
        </w:rPr>
      </w:pPr>
      <w:bookmarkStart w:id="40" w:name="_Toc16791"/>
      <w:r>
        <w:rPr>
          <w:rFonts w:hint="eastAsia" w:ascii="新宋体" w:hAnsi="新宋体" w:eastAsia="新宋体" w:cs="新宋体"/>
          <w:b/>
          <w:color w:val="auto"/>
          <w:sz w:val="22"/>
          <w:szCs w:val="22"/>
          <w:highlight w:val="none"/>
        </w:rPr>
        <w:t>七、投标人义务</w:t>
      </w:r>
      <w:bookmarkEnd w:id="40"/>
    </w:p>
    <w:p w14:paraId="6F7A88D5">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投标人应随时接受评标委员会的询标，解答包括有关的商务技术、报价问题等。评标结束，所有评标资料存招标机构备查。</w:t>
      </w:r>
    </w:p>
    <w:sectPr>
      <w:headerReference r:id="rId9" w:type="default"/>
      <w:footerReference r:id="rId10" w:type="default"/>
      <w:pgSz w:w="11907" w:h="16840"/>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elvetica">
    <w:altName w:val="Arial"/>
    <w:panose1 w:val="020B0604020202020204"/>
    <w:charset w:val="00"/>
    <w:family w:val="swiss"/>
    <w:pitch w:val="default"/>
    <w:sig w:usb0="00000000" w:usb1="00000000" w:usb2="00000000" w:usb3="00000000" w:csb0="00000000"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7A964">
    <w:pPr>
      <w:pStyle w:val="37"/>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8282E">
    <w:pPr>
      <w:pStyle w:val="37"/>
      <w:ind w:right="360" w:firstLine="4500" w:firstLineChars="25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a:effectLst/>
                    </wps:spPr>
                    <wps:txbx>
                      <w:txbxContent>
                        <w:p w14:paraId="15298737">
                          <w:pPr>
                            <w:pStyle w:val="37"/>
                          </w:pPr>
                          <w:r>
                            <w:fldChar w:fldCharType="begin"/>
                          </w:r>
                          <w:r>
                            <w:instrText xml:space="preserve"> PAGE  \* MERGEFORMAT </w:instrText>
                          </w:r>
                          <w:r>
                            <w:fldChar w:fldCharType="separate"/>
                          </w:r>
                          <w:r>
                            <w:t>40</w:t>
                          </w:r>
                          <w:r>
                            <w:fldChar w:fldCharType="end"/>
                          </w:r>
                        </w:p>
                      </w:txbxContent>
                    </wps:txbx>
                    <wps:bodyPr vert="horz" wrap="none" lIns="0" tIns="0" rIns="0" bIns="0" anchor="t" anchorCtr="0">
                      <a:spAutoFit/>
                    </wps:bodyPr>
                  </wps:wsp>
                </a:graphicData>
              </a:graphic>
            </wp:anchor>
          </w:drawing>
        </mc:Choice>
        <mc:Fallback>
          <w:pict>
            <v:shape id="文本框 9"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YulhTQAAAAAwEAAA8AAAAAAAAA&#10;AQAgAAAAIgAAAGRycy9kb3ducmV2LnhtbFBLAQIUABQAAAAIAIdO4kCZabV54AEAAL4DAAAOAAAA&#10;AAAAAAEAIAAAAB8BAABkcnMvZTJvRG9jLnhtbFBLBQYAAAAABgAGAFkBAABxBQAAAAA=&#10;">
              <v:fill on="f" focussize="0,0"/>
              <v:stroke on="f"/>
              <v:imagedata o:title=""/>
              <o:lock v:ext="edit" aspectratio="f"/>
              <v:textbox inset="0mm,0mm,0mm,0mm" style="mso-fit-shape-to-text:t;">
                <w:txbxContent>
                  <w:p w14:paraId="15298737">
                    <w:pPr>
                      <w:pStyle w:val="3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57A91">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a:effectLst/>
                    </wps:spPr>
                    <wps:txbx>
                      <w:txbxContent>
                        <w:p w14:paraId="263835B9">
                          <w:pPr>
                            <w:pStyle w:val="37"/>
                          </w:pPr>
                          <w:r>
                            <w:fldChar w:fldCharType="begin"/>
                          </w:r>
                          <w:r>
                            <w:instrText xml:space="preserve"> PAGE  \* MERGEFORMAT </w:instrText>
                          </w:r>
                          <w:r>
                            <w:fldChar w:fldCharType="separate"/>
                          </w:r>
                          <w:r>
                            <w:t>41</w:t>
                          </w:r>
                          <w:r>
                            <w:fldChar w:fldCharType="end"/>
                          </w:r>
                        </w:p>
                      </w:txbxContent>
                    </wps:txbx>
                    <wps:bodyPr vert="horz" wrap="none" lIns="0" tIns="0" rIns="0" bIns="0" anchor="t" anchorCtr="0">
                      <a:spAutoFit/>
                    </wps:bodyPr>
                  </wps:wsp>
                </a:graphicData>
              </a:graphic>
            </wp:anchor>
          </w:drawing>
        </mc:Choice>
        <mc:Fallback>
          <w:pict>
            <v:shape id="文本框 10"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YulhTQAAAAAwEAAA8AAAAAAAAA&#10;AQAgAAAAIgAAAGRycy9kb3ducmV2LnhtbFBLAQIUABQAAAAIAIdO4kB4I41f4AEAAL8DAAAOAAAA&#10;AAAAAAEAIAAAAB8BAABkcnMvZTJvRG9jLnhtbFBLBQYAAAAABgAGAFkBAABxBQAAAAA=&#10;">
              <v:fill on="f" focussize="0,0"/>
              <v:stroke on="f"/>
              <v:imagedata o:title=""/>
              <o:lock v:ext="edit" aspectratio="f"/>
              <v:textbox inset="0mm,0mm,0mm,0mm" style="mso-fit-shape-to-text:t;">
                <w:txbxContent>
                  <w:p w14:paraId="263835B9">
                    <w:pPr>
                      <w:pStyle w:val="3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B3756">
    <w:pPr>
      <w:pStyle w:val="37"/>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a:effectLst/>
                    </wps:spPr>
                    <wps:txbx>
                      <w:txbxContent>
                        <w:p w14:paraId="501049B3">
                          <w:pPr>
                            <w:pStyle w:val="37"/>
                          </w:pPr>
                          <w:r>
                            <w:fldChar w:fldCharType="begin"/>
                          </w:r>
                          <w:r>
                            <w:instrText xml:space="preserve"> PAGE  \* MERGEFORMAT </w:instrText>
                          </w:r>
                          <w:r>
                            <w:fldChar w:fldCharType="separate"/>
                          </w:r>
                          <w:r>
                            <w:t>57</w:t>
                          </w:r>
                          <w:r>
                            <w:fldChar w:fldCharType="end"/>
                          </w:r>
                        </w:p>
                      </w:txbxContent>
                    </wps:txbx>
                    <wps:bodyPr vert="horz" wrap="none" lIns="0" tIns="0" rIns="0" bIns="0" anchor="t" anchorCtr="0">
                      <a:spAutoFit/>
                    </wps:bodyPr>
                  </wps:wsp>
                </a:graphicData>
              </a:graphic>
            </wp:anchor>
          </w:drawing>
        </mc:Choice>
        <mc:Fallback>
          <w:pict>
            <v:shape id="文本框 12" o:spid="_x0000_s1026"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GLpYU0AAAAAMBAAAPAAAAAAAA&#10;AAEAIAAAACIAAABkcnMvZG93bnJldi54bWxQSwECFAAUAAAACACHTuJA9p05HOEBAAC/AwAADgAA&#10;AAAAAAABACAAAAAfAQAAZHJzL2Uyb0RvYy54bWxQSwUGAAAAAAYABgBZAQAAcgUAAAAA&#10;">
              <v:fill on="f" focussize="0,0"/>
              <v:stroke on="f"/>
              <v:imagedata o:title=""/>
              <o:lock v:ext="edit" aspectratio="f"/>
              <v:textbox inset="0mm,0mm,0mm,0mm" style="mso-fit-shape-to-text:t;">
                <w:txbxContent>
                  <w:p w14:paraId="501049B3">
                    <w:pPr>
                      <w:pStyle w:val="3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E0F85">
    <w:pPr>
      <w:pStyle w:val="39"/>
      <w:jc w:val="both"/>
      <w:rPr>
        <w:rFonts w:hint="eastAsia" w:eastAsia="宋体"/>
        <w:lang w:eastAsia="zh-CN"/>
      </w:rPr>
    </w:pPr>
    <w:r>
      <w:rPr>
        <w:rFonts w:hint="eastAsia" w:ascii="新宋体" w:hAnsi="新宋体" w:eastAsia="新宋体" w:cs="新宋体"/>
        <w:lang w:eastAsia="zh-CN"/>
      </w:rPr>
      <w:t>温州市政府（分散）采购采购文件</w:t>
    </w:r>
    <w:r>
      <w:rPr>
        <w:rFonts w:hint="eastAsia" w:ascii="新宋体" w:hAnsi="新宋体" w:eastAsia="新宋体" w:cs="新宋体"/>
      </w:rPr>
      <w:t xml:space="preserve">                                        项目编号：</w:t>
    </w:r>
    <w:r>
      <w:rPr>
        <w:rFonts w:hint="eastAsia" w:ascii="新宋体" w:hAnsi="新宋体" w:eastAsia="新宋体" w:cs="新宋体"/>
        <w:lang w:eastAsia="zh-CN"/>
      </w:rPr>
      <w:t>WZLCZB（L）-2025-07008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3AA74">
    <w:pPr>
      <w:pStyle w:val="3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39A3F">
    <w:pPr>
      <w:pStyle w:val="39"/>
      <w:pBdr>
        <w:bottom w:val="single" w:color="auto" w:sz="4" w:space="1"/>
      </w:pBdr>
      <w:jc w:val="both"/>
      <w:rPr>
        <w:rFonts w:hint="eastAsia" w:eastAsia="宋体"/>
        <w:lang w:eastAsia="zh-CN"/>
      </w:rPr>
    </w:pPr>
    <w:r>
      <w:rPr>
        <w:rFonts w:hint="eastAsia" w:ascii="新宋体" w:hAnsi="新宋体" w:eastAsia="新宋体" w:cs="新宋体"/>
        <w:lang w:eastAsia="zh-CN"/>
      </w:rPr>
      <w:t>温州市政府（分散）采购采购文件</w:t>
    </w:r>
    <w:r>
      <w:rPr>
        <w:rFonts w:hint="eastAsia" w:ascii="新宋体" w:hAnsi="新宋体" w:eastAsia="新宋体" w:cs="新宋体"/>
      </w:rPr>
      <w:t xml:space="preserve">                                        项目编号：</w:t>
    </w:r>
    <w:r>
      <w:rPr>
        <w:rFonts w:hint="eastAsia" w:ascii="新宋体" w:hAnsi="新宋体" w:eastAsia="新宋体" w:cs="新宋体"/>
        <w:lang w:eastAsia="zh-CN"/>
      </w:rPr>
      <w:t>WZLCZB（L）-2025-07008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72F75">
    <w:pPr>
      <w:pStyle w:val="39"/>
      <w:pBdr>
        <w:bottom w:val="single" w:color="auto" w:sz="4" w:space="0"/>
      </w:pBdr>
      <w:jc w:val="both"/>
      <w:rPr>
        <w:rFonts w:hint="eastAsia" w:eastAsia="宋体"/>
        <w:lang w:eastAsia="zh-CN"/>
      </w:rPr>
    </w:pPr>
    <w:r>
      <w:rPr>
        <w:rFonts w:hint="eastAsia" w:ascii="新宋体" w:hAnsi="新宋体" w:eastAsia="新宋体" w:cs="新宋体"/>
        <w:lang w:eastAsia="zh-CN"/>
      </w:rPr>
      <w:t>温州市政府（分散）采购采购文件</w:t>
    </w:r>
    <w:r>
      <w:rPr>
        <w:rFonts w:hint="eastAsia" w:ascii="新宋体" w:hAnsi="新宋体" w:eastAsia="新宋体" w:cs="新宋体"/>
      </w:rPr>
      <w:t xml:space="preserve">                                        项目编号：</w:t>
    </w:r>
    <w:r>
      <w:rPr>
        <w:rFonts w:hint="eastAsia" w:ascii="新宋体" w:hAnsi="新宋体" w:eastAsia="新宋体" w:cs="新宋体"/>
        <w:lang w:eastAsia="zh-CN"/>
      </w:rPr>
      <w:t>WZLCZB（L）-2025-07008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D7A3B6"/>
    <w:multiLevelType w:val="singleLevel"/>
    <w:tmpl w:val="52D7A3B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YTVjYmYwZTlkYjdhYjA2YzdkM2U2ZmIwODI4MDcifQ=="/>
  </w:docVars>
  <w:rsids>
    <w:rsidRoot w:val="0023016B"/>
    <w:rsid w:val="00006464"/>
    <w:rsid w:val="00007B69"/>
    <w:rsid w:val="00007E5B"/>
    <w:rsid w:val="0002703B"/>
    <w:rsid w:val="00040406"/>
    <w:rsid w:val="00045A7B"/>
    <w:rsid w:val="0006674B"/>
    <w:rsid w:val="00073447"/>
    <w:rsid w:val="00085CF1"/>
    <w:rsid w:val="000A3176"/>
    <w:rsid w:val="000B7740"/>
    <w:rsid w:val="000C3156"/>
    <w:rsid w:val="000C343F"/>
    <w:rsid w:val="000E6551"/>
    <w:rsid w:val="000F7425"/>
    <w:rsid w:val="000F785E"/>
    <w:rsid w:val="00114F8F"/>
    <w:rsid w:val="001247D2"/>
    <w:rsid w:val="00133BFE"/>
    <w:rsid w:val="001434CE"/>
    <w:rsid w:val="001520E7"/>
    <w:rsid w:val="0016386F"/>
    <w:rsid w:val="001756A6"/>
    <w:rsid w:val="00182B8B"/>
    <w:rsid w:val="00191903"/>
    <w:rsid w:val="00193295"/>
    <w:rsid w:val="001938DB"/>
    <w:rsid w:val="00197D68"/>
    <w:rsid w:val="001A75A0"/>
    <w:rsid w:val="001B5A72"/>
    <w:rsid w:val="001B7475"/>
    <w:rsid w:val="001C04FD"/>
    <w:rsid w:val="001C0F4B"/>
    <w:rsid w:val="001D02EF"/>
    <w:rsid w:val="001E21D7"/>
    <w:rsid w:val="001F0303"/>
    <w:rsid w:val="001F1D02"/>
    <w:rsid w:val="0020501B"/>
    <w:rsid w:val="0023016B"/>
    <w:rsid w:val="0024135E"/>
    <w:rsid w:val="00256D25"/>
    <w:rsid w:val="002671EE"/>
    <w:rsid w:val="002909A4"/>
    <w:rsid w:val="00293114"/>
    <w:rsid w:val="002A79BA"/>
    <w:rsid w:val="002D4AC8"/>
    <w:rsid w:val="002D589D"/>
    <w:rsid w:val="002F482C"/>
    <w:rsid w:val="00300FAF"/>
    <w:rsid w:val="00315973"/>
    <w:rsid w:val="00324956"/>
    <w:rsid w:val="0033783C"/>
    <w:rsid w:val="0036058E"/>
    <w:rsid w:val="00366FA4"/>
    <w:rsid w:val="00373EA4"/>
    <w:rsid w:val="00382A9B"/>
    <w:rsid w:val="0039345C"/>
    <w:rsid w:val="00394956"/>
    <w:rsid w:val="003A253F"/>
    <w:rsid w:val="003A4AC0"/>
    <w:rsid w:val="003A5047"/>
    <w:rsid w:val="003A61BD"/>
    <w:rsid w:val="003B7092"/>
    <w:rsid w:val="003C17E8"/>
    <w:rsid w:val="003C1B8E"/>
    <w:rsid w:val="003C58F4"/>
    <w:rsid w:val="003C5D6A"/>
    <w:rsid w:val="003C7A50"/>
    <w:rsid w:val="003D61E5"/>
    <w:rsid w:val="003E5B8F"/>
    <w:rsid w:val="003F0B48"/>
    <w:rsid w:val="00413731"/>
    <w:rsid w:val="004167B9"/>
    <w:rsid w:val="004259D3"/>
    <w:rsid w:val="004376E4"/>
    <w:rsid w:val="0045252D"/>
    <w:rsid w:val="00461E5D"/>
    <w:rsid w:val="004755C1"/>
    <w:rsid w:val="004761BF"/>
    <w:rsid w:val="004C2F10"/>
    <w:rsid w:val="004C7355"/>
    <w:rsid w:val="004D4D92"/>
    <w:rsid w:val="004F38A8"/>
    <w:rsid w:val="0050192E"/>
    <w:rsid w:val="00514B33"/>
    <w:rsid w:val="00515EDA"/>
    <w:rsid w:val="0052093C"/>
    <w:rsid w:val="0052303E"/>
    <w:rsid w:val="00553434"/>
    <w:rsid w:val="005552CD"/>
    <w:rsid w:val="00563A88"/>
    <w:rsid w:val="00566E05"/>
    <w:rsid w:val="005A1959"/>
    <w:rsid w:val="005B70F8"/>
    <w:rsid w:val="005D6717"/>
    <w:rsid w:val="005D691C"/>
    <w:rsid w:val="006062E4"/>
    <w:rsid w:val="00607BC3"/>
    <w:rsid w:val="00614721"/>
    <w:rsid w:val="00615EB8"/>
    <w:rsid w:val="00622EBE"/>
    <w:rsid w:val="00646482"/>
    <w:rsid w:val="00663F29"/>
    <w:rsid w:val="00671D76"/>
    <w:rsid w:val="00673D48"/>
    <w:rsid w:val="00682C8D"/>
    <w:rsid w:val="00682CDF"/>
    <w:rsid w:val="00685BCD"/>
    <w:rsid w:val="006C1E10"/>
    <w:rsid w:val="00707C13"/>
    <w:rsid w:val="00725B4D"/>
    <w:rsid w:val="00735D24"/>
    <w:rsid w:val="00736815"/>
    <w:rsid w:val="00736F0B"/>
    <w:rsid w:val="00771B8F"/>
    <w:rsid w:val="0078237D"/>
    <w:rsid w:val="00794A96"/>
    <w:rsid w:val="00796C50"/>
    <w:rsid w:val="007B3A19"/>
    <w:rsid w:val="007B70D7"/>
    <w:rsid w:val="007C4878"/>
    <w:rsid w:val="007D38F4"/>
    <w:rsid w:val="007E657E"/>
    <w:rsid w:val="00814C9C"/>
    <w:rsid w:val="008226D3"/>
    <w:rsid w:val="008314E6"/>
    <w:rsid w:val="00837B0E"/>
    <w:rsid w:val="008908E9"/>
    <w:rsid w:val="008B58FD"/>
    <w:rsid w:val="008B5C6B"/>
    <w:rsid w:val="008C2830"/>
    <w:rsid w:val="008D1115"/>
    <w:rsid w:val="008D1DFF"/>
    <w:rsid w:val="008D2667"/>
    <w:rsid w:val="008D64B4"/>
    <w:rsid w:val="008D74D3"/>
    <w:rsid w:val="008E54EB"/>
    <w:rsid w:val="008E5C50"/>
    <w:rsid w:val="008E5E6E"/>
    <w:rsid w:val="00912DEC"/>
    <w:rsid w:val="009223A7"/>
    <w:rsid w:val="009341B7"/>
    <w:rsid w:val="00936A15"/>
    <w:rsid w:val="00952B6A"/>
    <w:rsid w:val="00967530"/>
    <w:rsid w:val="0097281B"/>
    <w:rsid w:val="0097459E"/>
    <w:rsid w:val="009954B6"/>
    <w:rsid w:val="009A7C49"/>
    <w:rsid w:val="009B2623"/>
    <w:rsid w:val="009C5587"/>
    <w:rsid w:val="009D1704"/>
    <w:rsid w:val="00A134AF"/>
    <w:rsid w:val="00A21536"/>
    <w:rsid w:val="00A24236"/>
    <w:rsid w:val="00A26EF5"/>
    <w:rsid w:val="00A8036E"/>
    <w:rsid w:val="00A8362E"/>
    <w:rsid w:val="00A9057C"/>
    <w:rsid w:val="00AA2932"/>
    <w:rsid w:val="00AA35BB"/>
    <w:rsid w:val="00AA3A60"/>
    <w:rsid w:val="00AA6AA6"/>
    <w:rsid w:val="00AC1023"/>
    <w:rsid w:val="00AC19A9"/>
    <w:rsid w:val="00AD00A5"/>
    <w:rsid w:val="00AF0066"/>
    <w:rsid w:val="00AF1028"/>
    <w:rsid w:val="00AF120C"/>
    <w:rsid w:val="00AF2015"/>
    <w:rsid w:val="00B02BF4"/>
    <w:rsid w:val="00B1392D"/>
    <w:rsid w:val="00B77AFF"/>
    <w:rsid w:val="00B8120C"/>
    <w:rsid w:val="00B959B4"/>
    <w:rsid w:val="00BB15BC"/>
    <w:rsid w:val="00BB1858"/>
    <w:rsid w:val="00BB35F7"/>
    <w:rsid w:val="00BB3B7A"/>
    <w:rsid w:val="00BD05C0"/>
    <w:rsid w:val="00BF30EF"/>
    <w:rsid w:val="00BF5765"/>
    <w:rsid w:val="00C22D19"/>
    <w:rsid w:val="00C3468A"/>
    <w:rsid w:val="00C51371"/>
    <w:rsid w:val="00C64900"/>
    <w:rsid w:val="00C71627"/>
    <w:rsid w:val="00C80AD9"/>
    <w:rsid w:val="00C903FF"/>
    <w:rsid w:val="00CA7FEF"/>
    <w:rsid w:val="00CC4E22"/>
    <w:rsid w:val="00CC755F"/>
    <w:rsid w:val="00CC76A3"/>
    <w:rsid w:val="00CD124F"/>
    <w:rsid w:val="00CD68F5"/>
    <w:rsid w:val="00CE6DD8"/>
    <w:rsid w:val="00CE7E72"/>
    <w:rsid w:val="00CF5067"/>
    <w:rsid w:val="00CF5E54"/>
    <w:rsid w:val="00CF7CFF"/>
    <w:rsid w:val="00D00DC8"/>
    <w:rsid w:val="00D06F22"/>
    <w:rsid w:val="00D13234"/>
    <w:rsid w:val="00D238DF"/>
    <w:rsid w:val="00D31CF9"/>
    <w:rsid w:val="00D32D45"/>
    <w:rsid w:val="00D378CA"/>
    <w:rsid w:val="00D55307"/>
    <w:rsid w:val="00D85F60"/>
    <w:rsid w:val="00D94D28"/>
    <w:rsid w:val="00DA0B56"/>
    <w:rsid w:val="00DA252A"/>
    <w:rsid w:val="00DA45FD"/>
    <w:rsid w:val="00DA5511"/>
    <w:rsid w:val="00DA7134"/>
    <w:rsid w:val="00DC01DA"/>
    <w:rsid w:val="00DE6665"/>
    <w:rsid w:val="00DF3740"/>
    <w:rsid w:val="00DF3D70"/>
    <w:rsid w:val="00E07FB7"/>
    <w:rsid w:val="00E15473"/>
    <w:rsid w:val="00E2289D"/>
    <w:rsid w:val="00E24506"/>
    <w:rsid w:val="00E40A4F"/>
    <w:rsid w:val="00E922CE"/>
    <w:rsid w:val="00E94F49"/>
    <w:rsid w:val="00EA49D5"/>
    <w:rsid w:val="00EB30CC"/>
    <w:rsid w:val="00EB602C"/>
    <w:rsid w:val="00EC4972"/>
    <w:rsid w:val="00EE4223"/>
    <w:rsid w:val="00EF170E"/>
    <w:rsid w:val="00EF36EE"/>
    <w:rsid w:val="00EF3DD0"/>
    <w:rsid w:val="00EF6E2E"/>
    <w:rsid w:val="00F02BFE"/>
    <w:rsid w:val="00F25987"/>
    <w:rsid w:val="00F25C44"/>
    <w:rsid w:val="00F37CE6"/>
    <w:rsid w:val="00F52B44"/>
    <w:rsid w:val="00F60BA4"/>
    <w:rsid w:val="00F6186D"/>
    <w:rsid w:val="00F94FFC"/>
    <w:rsid w:val="00FA54A2"/>
    <w:rsid w:val="00FB1B26"/>
    <w:rsid w:val="00FB2E73"/>
    <w:rsid w:val="00FB6B26"/>
    <w:rsid w:val="00FE103E"/>
    <w:rsid w:val="00FF7FAD"/>
    <w:rsid w:val="011F0D85"/>
    <w:rsid w:val="01704A7F"/>
    <w:rsid w:val="018467BF"/>
    <w:rsid w:val="01D81374"/>
    <w:rsid w:val="01DA06AE"/>
    <w:rsid w:val="022218C6"/>
    <w:rsid w:val="024B0329"/>
    <w:rsid w:val="024B6CB8"/>
    <w:rsid w:val="0275330C"/>
    <w:rsid w:val="02D11050"/>
    <w:rsid w:val="02FB7318"/>
    <w:rsid w:val="03002655"/>
    <w:rsid w:val="03024EE8"/>
    <w:rsid w:val="032E2252"/>
    <w:rsid w:val="03402AA1"/>
    <w:rsid w:val="03A85E0D"/>
    <w:rsid w:val="03DE3D2B"/>
    <w:rsid w:val="03F34262"/>
    <w:rsid w:val="03FD6292"/>
    <w:rsid w:val="04001A85"/>
    <w:rsid w:val="04080D1B"/>
    <w:rsid w:val="045C452F"/>
    <w:rsid w:val="047C4CC6"/>
    <w:rsid w:val="04994F9B"/>
    <w:rsid w:val="04A92D3F"/>
    <w:rsid w:val="04D51825"/>
    <w:rsid w:val="04F00233"/>
    <w:rsid w:val="05092FAB"/>
    <w:rsid w:val="05427BAF"/>
    <w:rsid w:val="059E4F18"/>
    <w:rsid w:val="05F568B9"/>
    <w:rsid w:val="06832D4A"/>
    <w:rsid w:val="06B84730"/>
    <w:rsid w:val="06C21F22"/>
    <w:rsid w:val="06FF67F7"/>
    <w:rsid w:val="083111A7"/>
    <w:rsid w:val="08602DD3"/>
    <w:rsid w:val="08882FDF"/>
    <w:rsid w:val="08C47176"/>
    <w:rsid w:val="08C806A7"/>
    <w:rsid w:val="08FB50A9"/>
    <w:rsid w:val="090F7036"/>
    <w:rsid w:val="097D163D"/>
    <w:rsid w:val="09A8678D"/>
    <w:rsid w:val="09B92103"/>
    <w:rsid w:val="09D3113D"/>
    <w:rsid w:val="09D316C9"/>
    <w:rsid w:val="0A4C1E6C"/>
    <w:rsid w:val="0A551B3B"/>
    <w:rsid w:val="0A5B2676"/>
    <w:rsid w:val="0A6C3303"/>
    <w:rsid w:val="0A725BE7"/>
    <w:rsid w:val="0A7A61FD"/>
    <w:rsid w:val="0A8E79C4"/>
    <w:rsid w:val="0AC52104"/>
    <w:rsid w:val="0ACB0384"/>
    <w:rsid w:val="0AD450BF"/>
    <w:rsid w:val="0B0D7095"/>
    <w:rsid w:val="0B152972"/>
    <w:rsid w:val="0B3545A0"/>
    <w:rsid w:val="0B4062C1"/>
    <w:rsid w:val="0B477D2E"/>
    <w:rsid w:val="0B513A86"/>
    <w:rsid w:val="0BC72D02"/>
    <w:rsid w:val="0C213118"/>
    <w:rsid w:val="0C637445"/>
    <w:rsid w:val="0C730CF8"/>
    <w:rsid w:val="0C8560BE"/>
    <w:rsid w:val="0CAB711C"/>
    <w:rsid w:val="0CCA7209"/>
    <w:rsid w:val="0CEB522F"/>
    <w:rsid w:val="0D3137EF"/>
    <w:rsid w:val="0D4C1F43"/>
    <w:rsid w:val="0D551C83"/>
    <w:rsid w:val="0D896FCB"/>
    <w:rsid w:val="0DF60623"/>
    <w:rsid w:val="0E232D13"/>
    <w:rsid w:val="0EC7671B"/>
    <w:rsid w:val="0EFC5C18"/>
    <w:rsid w:val="0F262DDB"/>
    <w:rsid w:val="0F2C4641"/>
    <w:rsid w:val="0F3A448D"/>
    <w:rsid w:val="0F3C1D3E"/>
    <w:rsid w:val="0F4D282E"/>
    <w:rsid w:val="0F8965FD"/>
    <w:rsid w:val="0FE973B7"/>
    <w:rsid w:val="0FF565C1"/>
    <w:rsid w:val="100345B8"/>
    <w:rsid w:val="10593DE8"/>
    <w:rsid w:val="10652C78"/>
    <w:rsid w:val="108F2E02"/>
    <w:rsid w:val="10CC55B8"/>
    <w:rsid w:val="10F1215E"/>
    <w:rsid w:val="110D07AC"/>
    <w:rsid w:val="116548EA"/>
    <w:rsid w:val="11A3291C"/>
    <w:rsid w:val="11AE3567"/>
    <w:rsid w:val="120945EA"/>
    <w:rsid w:val="121D3373"/>
    <w:rsid w:val="122C65DA"/>
    <w:rsid w:val="125C7B7B"/>
    <w:rsid w:val="126B2156"/>
    <w:rsid w:val="12901575"/>
    <w:rsid w:val="129F0AAB"/>
    <w:rsid w:val="12C3021C"/>
    <w:rsid w:val="130101D8"/>
    <w:rsid w:val="138E17E9"/>
    <w:rsid w:val="13FC62F2"/>
    <w:rsid w:val="1401770D"/>
    <w:rsid w:val="140F6C16"/>
    <w:rsid w:val="14A12D99"/>
    <w:rsid w:val="14B042BE"/>
    <w:rsid w:val="14B5157D"/>
    <w:rsid w:val="14DA1D98"/>
    <w:rsid w:val="1521120D"/>
    <w:rsid w:val="157A1950"/>
    <w:rsid w:val="15901EBB"/>
    <w:rsid w:val="159C38EA"/>
    <w:rsid w:val="15BC58B2"/>
    <w:rsid w:val="15DA6115"/>
    <w:rsid w:val="15EC6B3C"/>
    <w:rsid w:val="1616705E"/>
    <w:rsid w:val="162F4FD4"/>
    <w:rsid w:val="1633675E"/>
    <w:rsid w:val="163D2DB9"/>
    <w:rsid w:val="16600F53"/>
    <w:rsid w:val="166431D5"/>
    <w:rsid w:val="16651C1E"/>
    <w:rsid w:val="16A15984"/>
    <w:rsid w:val="16E94DDC"/>
    <w:rsid w:val="172F291E"/>
    <w:rsid w:val="17612EF5"/>
    <w:rsid w:val="1776525B"/>
    <w:rsid w:val="17804127"/>
    <w:rsid w:val="17B45B78"/>
    <w:rsid w:val="18500827"/>
    <w:rsid w:val="18641D4C"/>
    <w:rsid w:val="18BB10D3"/>
    <w:rsid w:val="18D24270"/>
    <w:rsid w:val="198D0354"/>
    <w:rsid w:val="19C366C3"/>
    <w:rsid w:val="1A0C2E14"/>
    <w:rsid w:val="1A22521D"/>
    <w:rsid w:val="1A904AED"/>
    <w:rsid w:val="1AA80E44"/>
    <w:rsid w:val="1AB73CA3"/>
    <w:rsid w:val="1AF72B28"/>
    <w:rsid w:val="1B1D64FA"/>
    <w:rsid w:val="1B253D72"/>
    <w:rsid w:val="1B2F3193"/>
    <w:rsid w:val="1B4733C9"/>
    <w:rsid w:val="1BD913F7"/>
    <w:rsid w:val="1BED699C"/>
    <w:rsid w:val="1BF9709E"/>
    <w:rsid w:val="1C0C613F"/>
    <w:rsid w:val="1C1756AC"/>
    <w:rsid w:val="1C414DFD"/>
    <w:rsid w:val="1C446EB9"/>
    <w:rsid w:val="1C650A5A"/>
    <w:rsid w:val="1C7C085F"/>
    <w:rsid w:val="1C917C9D"/>
    <w:rsid w:val="1CAD0666"/>
    <w:rsid w:val="1CC50D37"/>
    <w:rsid w:val="1D392227"/>
    <w:rsid w:val="1D3C6CD5"/>
    <w:rsid w:val="1D48305E"/>
    <w:rsid w:val="1D506A90"/>
    <w:rsid w:val="1D640462"/>
    <w:rsid w:val="1D6D17B1"/>
    <w:rsid w:val="1D6E56FB"/>
    <w:rsid w:val="1DB46A8A"/>
    <w:rsid w:val="1DC7324E"/>
    <w:rsid w:val="1DF65C9E"/>
    <w:rsid w:val="1E00158C"/>
    <w:rsid w:val="1E0076D6"/>
    <w:rsid w:val="1E464A9C"/>
    <w:rsid w:val="1E5F086A"/>
    <w:rsid w:val="1EB46E26"/>
    <w:rsid w:val="1ECB0D50"/>
    <w:rsid w:val="1EFE38A4"/>
    <w:rsid w:val="1F0F6FBE"/>
    <w:rsid w:val="1F17285B"/>
    <w:rsid w:val="1F483A0F"/>
    <w:rsid w:val="1F5E70A8"/>
    <w:rsid w:val="1FA36079"/>
    <w:rsid w:val="1FBC6E36"/>
    <w:rsid w:val="1FEA0867"/>
    <w:rsid w:val="1FEB3D4B"/>
    <w:rsid w:val="1FF94CC2"/>
    <w:rsid w:val="20243A17"/>
    <w:rsid w:val="203D19AC"/>
    <w:rsid w:val="20604C45"/>
    <w:rsid w:val="209005D6"/>
    <w:rsid w:val="20AB51F5"/>
    <w:rsid w:val="20B73C37"/>
    <w:rsid w:val="21103347"/>
    <w:rsid w:val="217B7B9D"/>
    <w:rsid w:val="21984CC5"/>
    <w:rsid w:val="22115F24"/>
    <w:rsid w:val="223B6A3D"/>
    <w:rsid w:val="22561186"/>
    <w:rsid w:val="22B14DD0"/>
    <w:rsid w:val="2308410C"/>
    <w:rsid w:val="23480E6E"/>
    <w:rsid w:val="23917896"/>
    <w:rsid w:val="23960FD3"/>
    <w:rsid w:val="239B452F"/>
    <w:rsid w:val="23BC27F0"/>
    <w:rsid w:val="24001B1B"/>
    <w:rsid w:val="241F3E66"/>
    <w:rsid w:val="2479598D"/>
    <w:rsid w:val="247E49C4"/>
    <w:rsid w:val="24820451"/>
    <w:rsid w:val="24CD44AE"/>
    <w:rsid w:val="24DF7509"/>
    <w:rsid w:val="256B6A23"/>
    <w:rsid w:val="257411BF"/>
    <w:rsid w:val="2575308F"/>
    <w:rsid w:val="25CD5782"/>
    <w:rsid w:val="25D424BD"/>
    <w:rsid w:val="25EE0703"/>
    <w:rsid w:val="260276D3"/>
    <w:rsid w:val="260A4302"/>
    <w:rsid w:val="2668592C"/>
    <w:rsid w:val="266D4CF0"/>
    <w:rsid w:val="267D4943"/>
    <w:rsid w:val="2680333D"/>
    <w:rsid w:val="26960A00"/>
    <w:rsid w:val="26971450"/>
    <w:rsid w:val="2759234B"/>
    <w:rsid w:val="277B343D"/>
    <w:rsid w:val="277D55DC"/>
    <w:rsid w:val="277E328A"/>
    <w:rsid w:val="27BA714D"/>
    <w:rsid w:val="27CB6172"/>
    <w:rsid w:val="27FE3662"/>
    <w:rsid w:val="28033380"/>
    <w:rsid w:val="282A596C"/>
    <w:rsid w:val="2864003F"/>
    <w:rsid w:val="288D4D37"/>
    <w:rsid w:val="289934D7"/>
    <w:rsid w:val="28E10711"/>
    <w:rsid w:val="291045F7"/>
    <w:rsid w:val="294B4C19"/>
    <w:rsid w:val="29511C30"/>
    <w:rsid w:val="29535E62"/>
    <w:rsid w:val="296C128F"/>
    <w:rsid w:val="299243E8"/>
    <w:rsid w:val="29A60AFD"/>
    <w:rsid w:val="29C61E0C"/>
    <w:rsid w:val="29DD78B8"/>
    <w:rsid w:val="2A39707D"/>
    <w:rsid w:val="2A431EEC"/>
    <w:rsid w:val="2A5D7CE8"/>
    <w:rsid w:val="2A6B7958"/>
    <w:rsid w:val="2A767FEE"/>
    <w:rsid w:val="2A7E22A8"/>
    <w:rsid w:val="2A826EF3"/>
    <w:rsid w:val="2AA1329B"/>
    <w:rsid w:val="2AA23EE1"/>
    <w:rsid w:val="2AA4120E"/>
    <w:rsid w:val="2AA52D76"/>
    <w:rsid w:val="2ABE533E"/>
    <w:rsid w:val="2ACA31E0"/>
    <w:rsid w:val="2AD307C7"/>
    <w:rsid w:val="2B1B43AE"/>
    <w:rsid w:val="2B355250"/>
    <w:rsid w:val="2B37027E"/>
    <w:rsid w:val="2B896D21"/>
    <w:rsid w:val="2BAF7B59"/>
    <w:rsid w:val="2BD80E5D"/>
    <w:rsid w:val="2C1771FA"/>
    <w:rsid w:val="2C295FB8"/>
    <w:rsid w:val="2CAC2C34"/>
    <w:rsid w:val="2D265BF9"/>
    <w:rsid w:val="2D525590"/>
    <w:rsid w:val="2D572346"/>
    <w:rsid w:val="2D661C74"/>
    <w:rsid w:val="2D906F26"/>
    <w:rsid w:val="2DA532B1"/>
    <w:rsid w:val="2DA614F1"/>
    <w:rsid w:val="2DAA1BA1"/>
    <w:rsid w:val="2DC941D1"/>
    <w:rsid w:val="2E0A3A43"/>
    <w:rsid w:val="2E1267BD"/>
    <w:rsid w:val="2E1B47E9"/>
    <w:rsid w:val="2E2139F4"/>
    <w:rsid w:val="2E357E7F"/>
    <w:rsid w:val="2E3E34DE"/>
    <w:rsid w:val="2E7F2198"/>
    <w:rsid w:val="2EC213B0"/>
    <w:rsid w:val="2F09775A"/>
    <w:rsid w:val="2F4770A1"/>
    <w:rsid w:val="2F4A7192"/>
    <w:rsid w:val="2F68699C"/>
    <w:rsid w:val="2FBD5B34"/>
    <w:rsid w:val="2FCC53E6"/>
    <w:rsid w:val="2FCD67FF"/>
    <w:rsid w:val="2FD80C3D"/>
    <w:rsid w:val="303348B4"/>
    <w:rsid w:val="304C3F78"/>
    <w:rsid w:val="309054B1"/>
    <w:rsid w:val="30AA0F06"/>
    <w:rsid w:val="30DA11D4"/>
    <w:rsid w:val="30EF2FA5"/>
    <w:rsid w:val="30F12983"/>
    <w:rsid w:val="31646007"/>
    <w:rsid w:val="31767D37"/>
    <w:rsid w:val="3191286B"/>
    <w:rsid w:val="31AE4612"/>
    <w:rsid w:val="31BC75D5"/>
    <w:rsid w:val="31E7649F"/>
    <w:rsid w:val="31F77001"/>
    <w:rsid w:val="322F5237"/>
    <w:rsid w:val="32EA2765"/>
    <w:rsid w:val="33452B3C"/>
    <w:rsid w:val="336E7998"/>
    <w:rsid w:val="3386784E"/>
    <w:rsid w:val="33B47B96"/>
    <w:rsid w:val="346B04E7"/>
    <w:rsid w:val="34761214"/>
    <w:rsid w:val="34990F0F"/>
    <w:rsid w:val="34D605B7"/>
    <w:rsid w:val="35104FE2"/>
    <w:rsid w:val="35206B86"/>
    <w:rsid w:val="354B3256"/>
    <w:rsid w:val="35541EFF"/>
    <w:rsid w:val="356633E4"/>
    <w:rsid w:val="359C61BF"/>
    <w:rsid w:val="35AB3A4C"/>
    <w:rsid w:val="35B759E0"/>
    <w:rsid w:val="35D91F1A"/>
    <w:rsid w:val="35F1444A"/>
    <w:rsid w:val="35FC3A4A"/>
    <w:rsid w:val="36891D85"/>
    <w:rsid w:val="36907DD2"/>
    <w:rsid w:val="36B56E4C"/>
    <w:rsid w:val="36BB167E"/>
    <w:rsid w:val="36E64463"/>
    <w:rsid w:val="36F7729B"/>
    <w:rsid w:val="374E32B6"/>
    <w:rsid w:val="376A0D68"/>
    <w:rsid w:val="37AF2AD9"/>
    <w:rsid w:val="37FF42EC"/>
    <w:rsid w:val="38462177"/>
    <w:rsid w:val="38604B47"/>
    <w:rsid w:val="38900237"/>
    <w:rsid w:val="389A0D65"/>
    <w:rsid w:val="38B81160"/>
    <w:rsid w:val="392E7281"/>
    <w:rsid w:val="394E2CC4"/>
    <w:rsid w:val="39B645E5"/>
    <w:rsid w:val="39E62724"/>
    <w:rsid w:val="39E700E2"/>
    <w:rsid w:val="39F71CA4"/>
    <w:rsid w:val="3A1B1BB9"/>
    <w:rsid w:val="3A51759A"/>
    <w:rsid w:val="3A543F07"/>
    <w:rsid w:val="3A5C4DDC"/>
    <w:rsid w:val="3AA848D5"/>
    <w:rsid w:val="3B084060"/>
    <w:rsid w:val="3B475BB1"/>
    <w:rsid w:val="3B67578F"/>
    <w:rsid w:val="3B694952"/>
    <w:rsid w:val="3B7C6F92"/>
    <w:rsid w:val="3B83521D"/>
    <w:rsid w:val="3B9D79CE"/>
    <w:rsid w:val="3BA349BC"/>
    <w:rsid w:val="3BD568A9"/>
    <w:rsid w:val="3BE53E9F"/>
    <w:rsid w:val="3C2F4ACA"/>
    <w:rsid w:val="3C4F5764"/>
    <w:rsid w:val="3C5C5193"/>
    <w:rsid w:val="3C657396"/>
    <w:rsid w:val="3C9B1700"/>
    <w:rsid w:val="3C9C1A33"/>
    <w:rsid w:val="3CB40BDD"/>
    <w:rsid w:val="3CF84967"/>
    <w:rsid w:val="3D611EB1"/>
    <w:rsid w:val="3D8738B6"/>
    <w:rsid w:val="3D934583"/>
    <w:rsid w:val="3D98797C"/>
    <w:rsid w:val="3DAD6184"/>
    <w:rsid w:val="3DCD6A49"/>
    <w:rsid w:val="3DD73B01"/>
    <w:rsid w:val="3DEE608D"/>
    <w:rsid w:val="3EA640EC"/>
    <w:rsid w:val="3ECA6C84"/>
    <w:rsid w:val="3EE933B2"/>
    <w:rsid w:val="3F2D206F"/>
    <w:rsid w:val="400408B6"/>
    <w:rsid w:val="402724E9"/>
    <w:rsid w:val="402C53E6"/>
    <w:rsid w:val="40545692"/>
    <w:rsid w:val="40AA52F7"/>
    <w:rsid w:val="413B5C69"/>
    <w:rsid w:val="41546829"/>
    <w:rsid w:val="41850CE8"/>
    <w:rsid w:val="41AE376E"/>
    <w:rsid w:val="41C837BC"/>
    <w:rsid w:val="41CC7C17"/>
    <w:rsid w:val="41E6043E"/>
    <w:rsid w:val="42144874"/>
    <w:rsid w:val="421D2A6F"/>
    <w:rsid w:val="42AC2E27"/>
    <w:rsid w:val="42C122FD"/>
    <w:rsid w:val="42F05C48"/>
    <w:rsid w:val="42F16DD6"/>
    <w:rsid w:val="43457143"/>
    <w:rsid w:val="43466B0C"/>
    <w:rsid w:val="43A41D4E"/>
    <w:rsid w:val="43BB670A"/>
    <w:rsid w:val="43C97EDF"/>
    <w:rsid w:val="44016CC2"/>
    <w:rsid w:val="447A7EF9"/>
    <w:rsid w:val="44934894"/>
    <w:rsid w:val="451835F2"/>
    <w:rsid w:val="4525781D"/>
    <w:rsid w:val="452C07F0"/>
    <w:rsid w:val="45477EF9"/>
    <w:rsid w:val="45566348"/>
    <w:rsid w:val="458B7D93"/>
    <w:rsid w:val="45B70E77"/>
    <w:rsid w:val="45D26FE5"/>
    <w:rsid w:val="460C47E4"/>
    <w:rsid w:val="462C1386"/>
    <w:rsid w:val="465C75DE"/>
    <w:rsid w:val="468A0E78"/>
    <w:rsid w:val="469C01B9"/>
    <w:rsid w:val="484826DA"/>
    <w:rsid w:val="485305FB"/>
    <w:rsid w:val="486C0E54"/>
    <w:rsid w:val="486D4E21"/>
    <w:rsid w:val="488349FD"/>
    <w:rsid w:val="48876C0F"/>
    <w:rsid w:val="48E46C3C"/>
    <w:rsid w:val="48EB4FA8"/>
    <w:rsid w:val="492E03F5"/>
    <w:rsid w:val="494712E2"/>
    <w:rsid w:val="494A7062"/>
    <w:rsid w:val="49677439"/>
    <w:rsid w:val="49720E6F"/>
    <w:rsid w:val="4980390C"/>
    <w:rsid w:val="499254E1"/>
    <w:rsid w:val="49A52B1C"/>
    <w:rsid w:val="49C35751"/>
    <w:rsid w:val="49F025E3"/>
    <w:rsid w:val="4A043D0F"/>
    <w:rsid w:val="4A240C73"/>
    <w:rsid w:val="4A28749A"/>
    <w:rsid w:val="4A795651"/>
    <w:rsid w:val="4B766E63"/>
    <w:rsid w:val="4BF1367F"/>
    <w:rsid w:val="4C043151"/>
    <w:rsid w:val="4C0B7A5E"/>
    <w:rsid w:val="4C17004E"/>
    <w:rsid w:val="4C3115BF"/>
    <w:rsid w:val="4C612A6B"/>
    <w:rsid w:val="4C7F222F"/>
    <w:rsid w:val="4CE87AB1"/>
    <w:rsid w:val="4CEF5BAF"/>
    <w:rsid w:val="4D035C4F"/>
    <w:rsid w:val="4D2A4B20"/>
    <w:rsid w:val="4D482624"/>
    <w:rsid w:val="4D804E31"/>
    <w:rsid w:val="4DA445A7"/>
    <w:rsid w:val="4DE63818"/>
    <w:rsid w:val="4E084B00"/>
    <w:rsid w:val="4E1231D9"/>
    <w:rsid w:val="4E2E419B"/>
    <w:rsid w:val="4E2E6DAB"/>
    <w:rsid w:val="4E4F2988"/>
    <w:rsid w:val="4E72485E"/>
    <w:rsid w:val="4E741F67"/>
    <w:rsid w:val="4E8A4880"/>
    <w:rsid w:val="4E927B13"/>
    <w:rsid w:val="4F241E6D"/>
    <w:rsid w:val="4F271864"/>
    <w:rsid w:val="4F515808"/>
    <w:rsid w:val="4FC50193"/>
    <w:rsid w:val="4FD32054"/>
    <w:rsid w:val="5009083C"/>
    <w:rsid w:val="50416802"/>
    <w:rsid w:val="50541ECB"/>
    <w:rsid w:val="5094118C"/>
    <w:rsid w:val="509829D7"/>
    <w:rsid w:val="50A44866"/>
    <w:rsid w:val="50EF4A26"/>
    <w:rsid w:val="50FD2299"/>
    <w:rsid w:val="51060E5C"/>
    <w:rsid w:val="511B0D44"/>
    <w:rsid w:val="51437EE0"/>
    <w:rsid w:val="51A4340C"/>
    <w:rsid w:val="51BC2720"/>
    <w:rsid w:val="520A3121"/>
    <w:rsid w:val="521D22F0"/>
    <w:rsid w:val="523D381C"/>
    <w:rsid w:val="52BD1720"/>
    <w:rsid w:val="52E05B0D"/>
    <w:rsid w:val="535D661D"/>
    <w:rsid w:val="53995D1F"/>
    <w:rsid w:val="53D31F28"/>
    <w:rsid w:val="54334CBB"/>
    <w:rsid w:val="54592004"/>
    <w:rsid w:val="545A4B8F"/>
    <w:rsid w:val="54661945"/>
    <w:rsid w:val="54887C02"/>
    <w:rsid w:val="54AE19CD"/>
    <w:rsid w:val="54B90FC5"/>
    <w:rsid w:val="54EF4893"/>
    <w:rsid w:val="54F9100E"/>
    <w:rsid w:val="55096C5B"/>
    <w:rsid w:val="557F1285"/>
    <w:rsid w:val="559F20CE"/>
    <w:rsid w:val="55A72FAC"/>
    <w:rsid w:val="55E30278"/>
    <w:rsid w:val="5608596C"/>
    <w:rsid w:val="56085A9F"/>
    <w:rsid w:val="56132851"/>
    <w:rsid w:val="5631506E"/>
    <w:rsid w:val="56565288"/>
    <w:rsid w:val="565A6D84"/>
    <w:rsid w:val="567B272D"/>
    <w:rsid w:val="56836AD2"/>
    <w:rsid w:val="5697739D"/>
    <w:rsid w:val="56A90DB6"/>
    <w:rsid w:val="56A92654"/>
    <w:rsid w:val="56CF72A8"/>
    <w:rsid w:val="56E1071C"/>
    <w:rsid w:val="56E526FE"/>
    <w:rsid w:val="57164557"/>
    <w:rsid w:val="575C02E5"/>
    <w:rsid w:val="57622118"/>
    <w:rsid w:val="579B6007"/>
    <w:rsid w:val="579E5581"/>
    <w:rsid w:val="57A6528B"/>
    <w:rsid w:val="57D80A80"/>
    <w:rsid w:val="57E96DBC"/>
    <w:rsid w:val="582F27C4"/>
    <w:rsid w:val="58417B28"/>
    <w:rsid w:val="58592125"/>
    <w:rsid w:val="589472C1"/>
    <w:rsid w:val="58C16652"/>
    <w:rsid w:val="58C67889"/>
    <w:rsid w:val="58E4719A"/>
    <w:rsid w:val="594744AD"/>
    <w:rsid w:val="597109B8"/>
    <w:rsid w:val="59B612DD"/>
    <w:rsid w:val="59B6233E"/>
    <w:rsid w:val="59C12DE3"/>
    <w:rsid w:val="5A185214"/>
    <w:rsid w:val="5A296814"/>
    <w:rsid w:val="5A2C78C0"/>
    <w:rsid w:val="5AC13BD8"/>
    <w:rsid w:val="5B414B3D"/>
    <w:rsid w:val="5B5A3F8B"/>
    <w:rsid w:val="5C3C0423"/>
    <w:rsid w:val="5C4B3DBA"/>
    <w:rsid w:val="5C807259"/>
    <w:rsid w:val="5C886996"/>
    <w:rsid w:val="5C9A4E86"/>
    <w:rsid w:val="5CA57574"/>
    <w:rsid w:val="5CD56B55"/>
    <w:rsid w:val="5D211DB5"/>
    <w:rsid w:val="5D3D79E3"/>
    <w:rsid w:val="5D3F1DD2"/>
    <w:rsid w:val="5D835F9E"/>
    <w:rsid w:val="5DA70E00"/>
    <w:rsid w:val="5DE35A26"/>
    <w:rsid w:val="5DF5602D"/>
    <w:rsid w:val="5E0019CA"/>
    <w:rsid w:val="5E0E5D4B"/>
    <w:rsid w:val="5E2D162C"/>
    <w:rsid w:val="5E3E33BB"/>
    <w:rsid w:val="5E5752D5"/>
    <w:rsid w:val="5E7A402D"/>
    <w:rsid w:val="5E91246B"/>
    <w:rsid w:val="5EA92062"/>
    <w:rsid w:val="5ED5642E"/>
    <w:rsid w:val="5ED60902"/>
    <w:rsid w:val="5F4F16DD"/>
    <w:rsid w:val="5F992E95"/>
    <w:rsid w:val="5FCC3ACA"/>
    <w:rsid w:val="5FCF323C"/>
    <w:rsid w:val="5FF437B1"/>
    <w:rsid w:val="60376714"/>
    <w:rsid w:val="60483AFC"/>
    <w:rsid w:val="606773DD"/>
    <w:rsid w:val="60AC32F1"/>
    <w:rsid w:val="60F96411"/>
    <w:rsid w:val="615407BE"/>
    <w:rsid w:val="6179123D"/>
    <w:rsid w:val="62224A06"/>
    <w:rsid w:val="622439A6"/>
    <w:rsid w:val="62402CDD"/>
    <w:rsid w:val="62707B03"/>
    <w:rsid w:val="627357E6"/>
    <w:rsid w:val="6341497A"/>
    <w:rsid w:val="63430BA8"/>
    <w:rsid w:val="635051A2"/>
    <w:rsid w:val="637D1D0F"/>
    <w:rsid w:val="63857C4A"/>
    <w:rsid w:val="63F576AD"/>
    <w:rsid w:val="642414EC"/>
    <w:rsid w:val="64340620"/>
    <w:rsid w:val="64356146"/>
    <w:rsid w:val="644817EF"/>
    <w:rsid w:val="64905204"/>
    <w:rsid w:val="64D67DF0"/>
    <w:rsid w:val="64E230EF"/>
    <w:rsid w:val="65030035"/>
    <w:rsid w:val="6506405C"/>
    <w:rsid w:val="65200A03"/>
    <w:rsid w:val="655B4BDA"/>
    <w:rsid w:val="65A767FC"/>
    <w:rsid w:val="65AE29A3"/>
    <w:rsid w:val="65C3404D"/>
    <w:rsid w:val="65FF07B9"/>
    <w:rsid w:val="661C5DBB"/>
    <w:rsid w:val="663A296C"/>
    <w:rsid w:val="6671225B"/>
    <w:rsid w:val="667E2813"/>
    <w:rsid w:val="6711452F"/>
    <w:rsid w:val="6796375D"/>
    <w:rsid w:val="67C63670"/>
    <w:rsid w:val="67D5112D"/>
    <w:rsid w:val="68402390"/>
    <w:rsid w:val="68E26FD4"/>
    <w:rsid w:val="692142F9"/>
    <w:rsid w:val="69397975"/>
    <w:rsid w:val="69744B3A"/>
    <w:rsid w:val="698E75CC"/>
    <w:rsid w:val="69A25058"/>
    <w:rsid w:val="69E9781D"/>
    <w:rsid w:val="69FF39D8"/>
    <w:rsid w:val="6A4267FB"/>
    <w:rsid w:val="6A490DD5"/>
    <w:rsid w:val="6A64025D"/>
    <w:rsid w:val="6AEB08BE"/>
    <w:rsid w:val="6B066D70"/>
    <w:rsid w:val="6B1B1EA9"/>
    <w:rsid w:val="6B2761A0"/>
    <w:rsid w:val="6B60552D"/>
    <w:rsid w:val="6B6E08BB"/>
    <w:rsid w:val="6B90616E"/>
    <w:rsid w:val="6BA27C93"/>
    <w:rsid w:val="6BAB0E82"/>
    <w:rsid w:val="6BCA7305"/>
    <w:rsid w:val="6BD940E2"/>
    <w:rsid w:val="6BEC2DFF"/>
    <w:rsid w:val="6C022F13"/>
    <w:rsid w:val="6C7168DE"/>
    <w:rsid w:val="6C765525"/>
    <w:rsid w:val="6CA25D5C"/>
    <w:rsid w:val="6CE47B9F"/>
    <w:rsid w:val="6CF008FC"/>
    <w:rsid w:val="6D1E509F"/>
    <w:rsid w:val="6D1E5D55"/>
    <w:rsid w:val="6D3F5B16"/>
    <w:rsid w:val="6DC215AC"/>
    <w:rsid w:val="6DD1198E"/>
    <w:rsid w:val="6DD469CF"/>
    <w:rsid w:val="6DF73CE2"/>
    <w:rsid w:val="6E495ED6"/>
    <w:rsid w:val="6E723AFD"/>
    <w:rsid w:val="6EC32208"/>
    <w:rsid w:val="6EE110A0"/>
    <w:rsid w:val="6F097A77"/>
    <w:rsid w:val="6F14725C"/>
    <w:rsid w:val="6F341D5C"/>
    <w:rsid w:val="6F5F4920"/>
    <w:rsid w:val="6F812F6E"/>
    <w:rsid w:val="6F934ECC"/>
    <w:rsid w:val="6FAB24D1"/>
    <w:rsid w:val="6FC46BA4"/>
    <w:rsid w:val="6FD97E6B"/>
    <w:rsid w:val="6FDA55AA"/>
    <w:rsid w:val="700176AF"/>
    <w:rsid w:val="70735EBF"/>
    <w:rsid w:val="708E4896"/>
    <w:rsid w:val="71426B87"/>
    <w:rsid w:val="71977A97"/>
    <w:rsid w:val="71FE04BF"/>
    <w:rsid w:val="72276A6D"/>
    <w:rsid w:val="725A1874"/>
    <w:rsid w:val="72706649"/>
    <w:rsid w:val="72774E61"/>
    <w:rsid w:val="727A5D97"/>
    <w:rsid w:val="72F35429"/>
    <w:rsid w:val="72FF6DC6"/>
    <w:rsid w:val="731E7FAE"/>
    <w:rsid w:val="73487C60"/>
    <w:rsid w:val="734A4B7B"/>
    <w:rsid w:val="734E25C9"/>
    <w:rsid w:val="735A6040"/>
    <w:rsid w:val="73C635B0"/>
    <w:rsid w:val="74255271"/>
    <w:rsid w:val="74290309"/>
    <w:rsid w:val="745D47BE"/>
    <w:rsid w:val="747C2A00"/>
    <w:rsid w:val="74B27896"/>
    <w:rsid w:val="74C23A26"/>
    <w:rsid w:val="74DE1933"/>
    <w:rsid w:val="75001B03"/>
    <w:rsid w:val="75191F8F"/>
    <w:rsid w:val="75555A8B"/>
    <w:rsid w:val="75EA1590"/>
    <w:rsid w:val="764D68B4"/>
    <w:rsid w:val="7661289E"/>
    <w:rsid w:val="766A6123"/>
    <w:rsid w:val="76831B85"/>
    <w:rsid w:val="769A2AD2"/>
    <w:rsid w:val="76A10439"/>
    <w:rsid w:val="76A105BA"/>
    <w:rsid w:val="76A831B8"/>
    <w:rsid w:val="76AB7DAF"/>
    <w:rsid w:val="77091992"/>
    <w:rsid w:val="7735702F"/>
    <w:rsid w:val="774724E4"/>
    <w:rsid w:val="77A13DC6"/>
    <w:rsid w:val="77BA035C"/>
    <w:rsid w:val="78022FAE"/>
    <w:rsid w:val="7815358A"/>
    <w:rsid w:val="793F73F3"/>
    <w:rsid w:val="79830E41"/>
    <w:rsid w:val="799A13C2"/>
    <w:rsid w:val="79AF40E3"/>
    <w:rsid w:val="7A2554AA"/>
    <w:rsid w:val="7A2D2774"/>
    <w:rsid w:val="7A310FEF"/>
    <w:rsid w:val="7A8D5C21"/>
    <w:rsid w:val="7AB85DB5"/>
    <w:rsid w:val="7B254E64"/>
    <w:rsid w:val="7B3D7E48"/>
    <w:rsid w:val="7B857465"/>
    <w:rsid w:val="7B8A2CFE"/>
    <w:rsid w:val="7B923492"/>
    <w:rsid w:val="7B9D492A"/>
    <w:rsid w:val="7BD51A34"/>
    <w:rsid w:val="7C35666D"/>
    <w:rsid w:val="7C4F3408"/>
    <w:rsid w:val="7C692D19"/>
    <w:rsid w:val="7CA279DE"/>
    <w:rsid w:val="7CC427F5"/>
    <w:rsid w:val="7CC579BD"/>
    <w:rsid w:val="7CEE2903"/>
    <w:rsid w:val="7D0E6639"/>
    <w:rsid w:val="7D423AB2"/>
    <w:rsid w:val="7D511DEB"/>
    <w:rsid w:val="7D5D39EA"/>
    <w:rsid w:val="7D7E7C62"/>
    <w:rsid w:val="7DB52956"/>
    <w:rsid w:val="7E0321C3"/>
    <w:rsid w:val="7E1D0C8C"/>
    <w:rsid w:val="7E350DC4"/>
    <w:rsid w:val="7E77732E"/>
    <w:rsid w:val="7E9867F5"/>
    <w:rsid w:val="7EC94625"/>
    <w:rsid w:val="7ED00223"/>
    <w:rsid w:val="7F2C1F12"/>
    <w:rsid w:val="7F40036D"/>
    <w:rsid w:val="7F4D1EA4"/>
    <w:rsid w:val="7F9E1F41"/>
    <w:rsid w:val="7FA61F00"/>
    <w:rsid w:val="7FBC5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36"/>
    <w:autoRedefine/>
    <w:qFormat/>
    <w:uiPriority w:val="0"/>
    <w:pPr>
      <w:keepNext/>
      <w:jc w:val="center"/>
      <w:outlineLvl w:val="0"/>
    </w:pPr>
    <w:rPr>
      <w:rFonts w:eastAsia="黑体"/>
      <w:b/>
      <w:sz w:val="32"/>
      <w:szCs w:val="20"/>
    </w:rPr>
  </w:style>
  <w:style w:type="paragraph" w:styleId="2">
    <w:name w:val="heading 2"/>
    <w:basedOn w:val="1"/>
    <w:next w:val="1"/>
    <w:link w:val="185"/>
    <w:autoRedefine/>
    <w:qFormat/>
    <w:uiPriority w:val="0"/>
    <w:pPr>
      <w:keepNext/>
      <w:outlineLvl w:val="1"/>
    </w:pPr>
    <w:rPr>
      <w:rFonts w:ascii="仿宋_GB2312"/>
      <w:b/>
      <w:sz w:val="28"/>
      <w:szCs w:val="32"/>
    </w:rPr>
  </w:style>
  <w:style w:type="paragraph" w:styleId="5">
    <w:name w:val="heading 3"/>
    <w:basedOn w:val="1"/>
    <w:next w:val="1"/>
    <w:link w:val="105"/>
    <w:autoRedefine/>
    <w:qFormat/>
    <w:uiPriority w:val="0"/>
    <w:pPr>
      <w:keepNext/>
      <w:keepLines/>
      <w:spacing w:line="540" w:lineRule="atLeast"/>
      <w:outlineLvl w:val="2"/>
    </w:pPr>
    <w:rPr>
      <w:rFonts w:eastAsia="黑体"/>
      <w:b/>
      <w:sz w:val="28"/>
      <w:szCs w:val="20"/>
    </w:rPr>
  </w:style>
  <w:style w:type="paragraph" w:styleId="6">
    <w:name w:val="heading 4"/>
    <w:basedOn w:val="1"/>
    <w:next w:val="1"/>
    <w:link w:val="201"/>
    <w:autoRedefine/>
    <w:qFormat/>
    <w:uiPriority w:val="0"/>
    <w:pPr>
      <w:keepNext/>
      <w:keepLines/>
      <w:spacing w:line="540" w:lineRule="atLeast"/>
      <w:outlineLvl w:val="3"/>
    </w:pPr>
    <w:rPr>
      <w:sz w:val="28"/>
      <w:szCs w:val="28"/>
    </w:rPr>
  </w:style>
  <w:style w:type="paragraph" w:styleId="7">
    <w:name w:val="heading 5"/>
    <w:basedOn w:val="1"/>
    <w:next w:val="1"/>
    <w:link w:val="176"/>
    <w:autoRedefine/>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94"/>
    <w:autoRedefine/>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118"/>
    <w:autoRedefine/>
    <w:qFormat/>
    <w:uiPriority w:val="0"/>
    <w:pPr>
      <w:keepNext/>
      <w:keepLines/>
      <w:spacing w:before="240" w:after="64" w:line="317" w:lineRule="auto"/>
      <w:outlineLvl w:val="6"/>
    </w:pPr>
    <w:rPr>
      <w:b/>
      <w:sz w:val="24"/>
      <w:szCs w:val="20"/>
    </w:rPr>
  </w:style>
  <w:style w:type="paragraph" w:styleId="11">
    <w:name w:val="heading 8"/>
    <w:basedOn w:val="1"/>
    <w:next w:val="9"/>
    <w:link w:val="110"/>
    <w:autoRedefine/>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92"/>
    <w:autoRedefine/>
    <w:qFormat/>
    <w:uiPriority w:val="0"/>
    <w:pPr>
      <w:keepNext/>
      <w:keepLines/>
      <w:spacing w:before="240" w:after="64" w:line="317" w:lineRule="auto"/>
      <w:outlineLvl w:val="8"/>
    </w:pPr>
    <w:rPr>
      <w:rFonts w:ascii="Arial" w:hAnsi="Arial" w:eastAsia="黑体"/>
      <w:szCs w:val="20"/>
    </w:rPr>
  </w:style>
  <w:style w:type="character" w:default="1" w:styleId="55">
    <w:name w:val="Default Paragraph Font"/>
    <w:autoRedefine/>
    <w:semiHidden/>
    <w:unhideWhenUsed/>
    <w:qFormat/>
    <w:uiPriority w:val="1"/>
  </w:style>
  <w:style w:type="table" w:default="1" w:styleId="53">
    <w:name w:val="Normal Table"/>
    <w:autoRedefine/>
    <w:semiHidden/>
    <w:unhideWhenUsed/>
    <w:qFormat/>
    <w:uiPriority w:val="99"/>
    <w:tblPr>
      <w:tblCellMar>
        <w:top w:w="0" w:type="dxa"/>
        <w:left w:w="108" w:type="dxa"/>
        <w:bottom w:w="0" w:type="dxa"/>
        <w:right w:w="108" w:type="dxa"/>
      </w:tblCellMar>
    </w:tblPr>
  </w:style>
  <w:style w:type="paragraph" w:styleId="3">
    <w:name w:val="macro"/>
    <w:link w:val="179"/>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53"/>
    <w:autoRedefine/>
    <w:unhideWhenUsed/>
    <w:qFormat/>
    <w:uiPriority w:val="0"/>
    <w:pPr>
      <w:ind w:firstLine="420" w:firstLineChars="200"/>
    </w:pPr>
    <w:rPr>
      <w:kern w:val="0"/>
      <w:sz w:val="20"/>
    </w:rPr>
  </w:style>
  <w:style w:type="paragraph" w:styleId="13">
    <w:name w:val="toc 7"/>
    <w:basedOn w:val="1"/>
    <w:next w:val="1"/>
    <w:autoRedefine/>
    <w:qFormat/>
    <w:uiPriority w:val="0"/>
    <w:pPr>
      <w:autoSpaceDE w:val="0"/>
      <w:autoSpaceDN w:val="0"/>
      <w:adjustRightInd w:val="0"/>
      <w:ind w:left="2520" w:leftChars="1200"/>
      <w:jc w:val="left"/>
    </w:pPr>
    <w:rPr>
      <w:kern w:val="0"/>
      <w:sz w:val="20"/>
      <w:szCs w:val="20"/>
    </w:rPr>
  </w:style>
  <w:style w:type="paragraph" w:styleId="14">
    <w:name w:val="List Number"/>
    <w:basedOn w:val="1"/>
    <w:autoRedefine/>
    <w:qFormat/>
    <w:uiPriority w:val="0"/>
    <w:pPr>
      <w:tabs>
        <w:tab w:val="left" w:pos="360"/>
      </w:tabs>
      <w:ind w:left="360" w:hanging="360" w:hangingChars="200"/>
    </w:pPr>
  </w:style>
  <w:style w:type="paragraph" w:styleId="15">
    <w:name w:val="caption"/>
    <w:basedOn w:val="1"/>
    <w:next w:val="1"/>
    <w:autoRedefine/>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autoRedefine/>
    <w:qFormat/>
    <w:uiPriority w:val="0"/>
    <w:pPr>
      <w:tabs>
        <w:tab w:val="left" w:pos="360"/>
      </w:tabs>
    </w:pPr>
    <w:rPr>
      <w:szCs w:val="22"/>
    </w:rPr>
  </w:style>
  <w:style w:type="paragraph" w:styleId="17">
    <w:name w:val="Document Map"/>
    <w:basedOn w:val="1"/>
    <w:link w:val="71"/>
    <w:autoRedefine/>
    <w:qFormat/>
    <w:uiPriority w:val="0"/>
    <w:pPr>
      <w:shd w:val="clear" w:color="auto" w:fill="000080"/>
    </w:pPr>
    <w:rPr>
      <w:rFonts w:ascii="Times New Roman" w:hAnsi="Times New Roman"/>
      <w:kern w:val="0"/>
      <w:sz w:val="20"/>
    </w:rPr>
  </w:style>
  <w:style w:type="paragraph" w:styleId="18">
    <w:name w:val="annotation text"/>
    <w:basedOn w:val="1"/>
    <w:link w:val="113"/>
    <w:autoRedefine/>
    <w:unhideWhenUsed/>
    <w:qFormat/>
    <w:uiPriority w:val="0"/>
    <w:pPr>
      <w:jc w:val="left"/>
    </w:pPr>
  </w:style>
  <w:style w:type="paragraph" w:styleId="19">
    <w:name w:val="Salutation"/>
    <w:basedOn w:val="1"/>
    <w:next w:val="1"/>
    <w:link w:val="74"/>
    <w:autoRedefine/>
    <w:qFormat/>
    <w:uiPriority w:val="0"/>
    <w:pPr>
      <w:tabs>
        <w:tab w:val="left" w:pos="840"/>
      </w:tabs>
      <w:autoSpaceDE w:val="0"/>
      <w:autoSpaceDN w:val="0"/>
      <w:adjustRightInd w:val="0"/>
      <w:jc w:val="left"/>
    </w:pPr>
    <w:rPr>
      <w:rFonts w:ascii="仿宋_GB2312" w:hAnsi="Times New Roman" w:eastAsia="仿宋_GB2312"/>
      <w:b/>
      <w:kern w:val="0"/>
      <w:sz w:val="24"/>
      <w:szCs w:val="32"/>
    </w:rPr>
  </w:style>
  <w:style w:type="paragraph" w:styleId="20">
    <w:name w:val="Body Text 3"/>
    <w:basedOn w:val="1"/>
    <w:link w:val="86"/>
    <w:autoRedefine/>
    <w:qFormat/>
    <w:uiPriority w:val="0"/>
    <w:pPr>
      <w:autoSpaceDE w:val="0"/>
      <w:autoSpaceDN w:val="0"/>
      <w:adjustRightInd w:val="0"/>
      <w:jc w:val="center"/>
    </w:pPr>
    <w:rPr>
      <w:rFonts w:ascii="等线" w:hAnsi="等线" w:eastAsia="等线"/>
      <w:szCs w:val="22"/>
    </w:rPr>
  </w:style>
  <w:style w:type="paragraph" w:styleId="21">
    <w:name w:val="Body Text"/>
    <w:basedOn w:val="1"/>
    <w:next w:val="22"/>
    <w:link w:val="208"/>
    <w:autoRedefine/>
    <w:unhideWhenUsed/>
    <w:qFormat/>
    <w:uiPriority w:val="0"/>
    <w:pPr>
      <w:spacing w:after="120"/>
    </w:pPr>
  </w:style>
  <w:style w:type="paragraph" w:styleId="22">
    <w:name w:val="Body Text First Indent"/>
    <w:basedOn w:val="21"/>
    <w:next w:val="23"/>
    <w:link w:val="129"/>
    <w:autoRedefine/>
    <w:qFormat/>
    <w:uiPriority w:val="0"/>
    <w:pPr>
      <w:autoSpaceDE w:val="0"/>
      <w:autoSpaceDN w:val="0"/>
      <w:adjustRightInd w:val="0"/>
      <w:ind w:firstLine="420" w:firstLineChars="100"/>
      <w:jc w:val="left"/>
    </w:pPr>
    <w:rPr>
      <w:rFonts w:ascii="等线" w:hAnsi="等线" w:eastAsia="等线"/>
      <w:szCs w:val="22"/>
    </w:rPr>
  </w:style>
  <w:style w:type="paragraph" w:styleId="23">
    <w:name w:val="toc 6"/>
    <w:basedOn w:val="1"/>
    <w:next w:val="1"/>
    <w:autoRedefine/>
    <w:qFormat/>
    <w:uiPriority w:val="0"/>
    <w:pPr>
      <w:autoSpaceDE w:val="0"/>
      <w:autoSpaceDN w:val="0"/>
      <w:adjustRightInd w:val="0"/>
      <w:ind w:left="2100" w:leftChars="1000"/>
      <w:jc w:val="left"/>
    </w:pPr>
    <w:rPr>
      <w:kern w:val="0"/>
      <w:sz w:val="20"/>
      <w:szCs w:val="20"/>
    </w:rPr>
  </w:style>
  <w:style w:type="paragraph" w:styleId="24">
    <w:name w:val="Body Text Indent"/>
    <w:basedOn w:val="1"/>
    <w:next w:val="25"/>
    <w:link w:val="116"/>
    <w:autoRedefine/>
    <w:unhideWhenUsed/>
    <w:qFormat/>
    <w:uiPriority w:val="0"/>
    <w:pPr>
      <w:spacing w:after="120"/>
      <w:ind w:left="420" w:leftChars="200"/>
    </w:pPr>
  </w:style>
  <w:style w:type="paragraph" w:styleId="25">
    <w:name w:val="Body Text First Indent 2"/>
    <w:basedOn w:val="24"/>
    <w:link w:val="219"/>
    <w:autoRedefine/>
    <w:qFormat/>
    <w:uiPriority w:val="0"/>
    <w:pPr>
      <w:ind w:hanging="200" w:hangingChars="200"/>
    </w:pPr>
    <w:rPr>
      <w:rFonts w:cs="宋体"/>
      <w:szCs w:val="21"/>
    </w:rPr>
  </w:style>
  <w:style w:type="paragraph" w:styleId="26">
    <w:name w:val="List Number 3"/>
    <w:basedOn w:val="1"/>
    <w:autoRedefine/>
    <w:qFormat/>
    <w:uiPriority w:val="0"/>
    <w:pPr>
      <w:tabs>
        <w:tab w:val="left" w:pos="1200"/>
      </w:tabs>
      <w:ind w:left="1200" w:leftChars="400" w:hanging="360" w:hangingChars="200"/>
    </w:pPr>
  </w:style>
  <w:style w:type="paragraph" w:styleId="27">
    <w:name w:val="Block Text"/>
    <w:basedOn w:val="1"/>
    <w:autoRedefine/>
    <w:qFormat/>
    <w:uiPriority w:val="0"/>
    <w:pPr>
      <w:spacing w:line="520" w:lineRule="exact"/>
      <w:ind w:left="540" w:leftChars="257" w:right="-514"/>
    </w:pPr>
    <w:rPr>
      <w:rFonts w:ascii="宋体" w:hAnsi="宋体"/>
      <w:sz w:val="24"/>
    </w:rPr>
  </w:style>
  <w:style w:type="paragraph" w:styleId="28">
    <w:name w:val="List Bullet 2"/>
    <w:basedOn w:val="1"/>
    <w:autoRedefine/>
    <w:qFormat/>
    <w:uiPriority w:val="0"/>
    <w:pPr>
      <w:tabs>
        <w:tab w:val="left" w:pos="780"/>
      </w:tabs>
      <w:spacing w:line="360" w:lineRule="auto"/>
      <w:ind w:left="780" w:leftChars="200" w:hanging="360" w:hangingChars="200"/>
    </w:pPr>
  </w:style>
  <w:style w:type="paragraph" w:styleId="29">
    <w:name w:val="toc 5"/>
    <w:basedOn w:val="1"/>
    <w:next w:val="1"/>
    <w:autoRedefine/>
    <w:qFormat/>
    <w:uiPriority w:val="0"/>
    <w:pPr>
      <w:autoSpaceDE w:val="0"/>
      <w:autoSpaceDN w:val="0"/>
      <w:adjustRightInd w:val="0"/>
      <w:ind w:left="1680" w:leftChars="800"/>
      <w:jc w:val="left"/>
    </w:pPr>
    <w:rPr>
      <w:kern w:val="0"/>
      <w:sz w:val="20"/>
      <w:szCs w:val="20"/>
    </w:rPr>
  </w:style>
  <w:style w:type="paragraph" w:styleId="30">
    <w:name w:val="toc 3"/>
    <w:basedOn w:val="1"/>
    <w:next w:val="1"/>
    <w:autoRedefine/>
    <w:qFormat/>
    <w:uiPriority w:val="0"/>
    <w:pPr>
      <w:ind w:left="840" w:leftChars="400"/>
    </w:pPr>
  </w:style>
  <w:style w:type="paragraph" w:styleId="31">
    <w:name w:val="Plain Text"/>
    <w:basedOn w:val="1"/>
    <w:link w:val="91"/>
    <w:autoRedefine/>
    <w:qFormat/>
    <w:uiPriority w:val="0"/>
    <w:pPr>
      <w:widowControl/>
      <w:overflowPunct w:val="0"/>
      <w:autoSpaceDE w:val="0"/>
      <w:autoSpaceDN w:val="0"/>
      <w:adjustRightInd w:val="0"/>
      <w:jc w:val="left"/>
      <w:textAlignment w:val="baseline"/>
    </w:pPr>
    <w:rPr>
      <w:rFonts w:ascii="宋体" w:hAnsi="Courier New"/>
      <w:b/>
      <w:kern w:val="0"/>
      <w:sz w:val="20"/>
      <w:szCs w:val="21"/>
    </w:rPr>
  </w:style>
  <w:style w:type="paragraph" w:styleId="32">
    <w:name w:val="List Number 4"/>
    <w:basedOn w:val="1"/>
    <w:autoRedefine/>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3">
    <w:name w:val="toc 8"/>
    <w:basedOn w:val="1"/>
    <w:next w:val="1"/>
    <w:qFormat/>
    <w:uiPriority w:val="0"/>
    <w:pPr>
      <w:autoSpaceDE w:val="0"/>
      <w:autoSpaceDN w:val="0"/>
      <w:adjustRightInd w:val="0"/>
      <w:ind w:left="2940" w:leftChars="1400"/>
      <w:jc w:val="left"/>
    </w:pPr>
    <w:rPr>
      <w:kern w:val="0"/>
      <w:sz w:val="20"/>
      <w:szCs w:val="20"/>
    </w:rPr>
  </w:style>
  <w:style w:type="paragraph" w:styleId="34">
    <w:name w:val="Date"/>
    <w:basedOn w:val="1"/>
    <w:next w:val="1"/>
    <w:link w:val="120"/>
    <w:autoRedefine/>
    <w:qFormat/>
    <w:uiPriority w:val="0"/>
    <w:pPr>
      <w:ind w:left="100" w:leftChars="2500"/>
    </w:pPr>
    <w:rPr>
      <w:rFonts w:ascii="Times New Roman" w:hAnsi="Times New Roman"/>
      <w:kern w:val="0"/>
      <w:sz w:val="20"/>
    </w:rPr>
  </w:style>
  <w:style w:type="paragraph" w:styleId="35">
    <w:name w:val="Body Text Indent 2"/>
    <w:basedOn w:val="1"/>
    <w:link w:val="191"/>
    <w:autoRedefine/>
    <w:qFormat/>
    <w:uiPriority w:val="0"/>
    <w:pPr>
      <w:spacing w:line="500" w:lineRule="exact"/>
      <w:ind w:firstLine="511" w:firstLineChars="213"/>
    </w:pPr>
    <w:rPr>
      <w:rFonts w:ascii="Times New Roman" w:hAnsi="Times New Roman"/>
      <w:kern w:val="0"/>
      <w:sz w:val="24"/>
    </w:rPr>
  </w:style>
  <w:style w:type="paragraph" w:styleId="36">
    <w:name w:val="Balloon Text"/>
    <w:basedOn w:val="1"/>
    <w:link w:val="70"/>
    <w:autoRedefine/>
    <w:qFormat/>
    <w:uiPriority w:val="0"/>
    <w:rPr>
      <w:rFonts w:ascii="Times New Roman" w:hAnsi="Times New Roman"/>
      <w:kern w:val="0"/>
      <w:sz w:val="18"/>
      <w:szCs w:val="18"/>
    </w:rPr>
  </w:style>
  <w:style w:type="paragraph" w:styleId="37">
    <w:name w:val="footer"/>
    <w:basedOn w:val="1"/>
    <w:link w:val="173"/>
    <w:autoRedefine/>
    <w:unhideWhenUsed/>
    <w:qFormat/>
    <w:uiPriority w:val="0"/>
    <w:pPr>
      <w:tabs>
        <w:tab w:val="center" w:pos="4153"/>
        <w:tab w:val="right" w:pos="8306"/>
      </w:tabs>
      <w:snapToGrid w:val="0"/>
      <w:jc w:val="left"/>
    </w:pPr>
    <w:rPr>
      <w:sz w:val="18"/>
      <w:szCs w:val="18"/>
    </w:rPr>
  </w:style>
  <w:style w:type="paragraph" w:styleId="38">
    <w:name w:val="envelope return"/>
    <w:basedOn w:val="1"/>
    <w:autoRedefine/>
    <w:qFormat/>
    <w:uiPriority w:val="0"/>
    <w:pPr>
      <w:snapToGrid w:val="0"/>
    </w:pPr>
    <w:rPr>
      <w:rFonts w:ascii="Arial" w:hAnsi="Arial"/>
    </w:rPr>
  </w:style>
  <w:style w:type="paragraph" w:styleId="39">
    <w:name w:val="header"/>
    <w:basedOn w:val="1"/>
    <w:link w:val="6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216"/>
    <w:autoRedefine/>
    <w:qFormat/>
    <w:uiPriority w:val="0"/>
    <w:pPr>
      <w:autoSpaceDE w:val="0"/>
      <w:autoSpaceDN w:val="0"/>
      <w:adjustRightInd w:val="0"/>
      <w:spacing w:after="600" w:line="312" w:lineRule="atLeast"/>
      <w:jc w:val="center"/>
      <w:textAlignment w:val="baseline"/>
    </w:pPr>
    <w:rPr>
      <w:rFonts w:ascii="仿宋_GB2312" w:hAnsi="Times New Roman" w:eastAsia="仿宋_GB2312"/>
      <w:b/>
      <w:kern w:val="0"/>
      <w:sz w:val="24"/>
      <w:szCs w:val="32"/>
    </w:rPr>
  </w:style>
  <w:style w:type="paragraph" w:styleId="41">
    <w:name w:val="toc 1"/>
    <w:basedOn w:val="1"/>
    <w:next w:val="1"/>
    <w:qFormat/>
    <w:uiPriority w:val="0"/>
  </w:style>
  <w:style w:type="paragraph" w:styleId="42">
    <w:name w:val="toc 4"/>
    <w:basedOn w:val="1"/>
    <w:next w:val="1"/>
    <w:autoRedefine/>
    <w:qFormat/>
    <w:uiPriority w:val="0"/>
    <w:pPr>
      <w:autoSpaceDE w:val="0"/>
      <w:autoSpaceDN w:val="0"/>
      <w:adjustRightInd w:val="0"/>
      <w:ind w:left="1260" w:leftChars="600"/>
      <w:jc w:val="left"/>
    </w:pPr>
    <w:rPr>
      <w:kern w:val="0"/>
      <w:sz w:val="20"/>
      <w:szCs w:val="20"/>
    </w:rPr>
  </w:style>
  <w:style w:type="paragraph" w:styleId="43">
    <w:name w:val="Subtitle"/>
    <w:basedOn w:val="1"/>
    <w:next w:val="1"/>
    <w:link w:val="168"/>
    <w:qFormat/>
    <w:uiPriority w:val="0"/>
    <w:pPr>
      <w:spacing w:before="240" w:after="60" w:line="312" w:lineRule="auto"/>
      <w:jc w:val="center"/>
      <w:outlineLvl w:val="1"/>
    </w:pPr>
    <w:rPr>
      <w:rFonts w:ascii="Cambria" w:hAnsi="Cambria"/>
      <w:b/>
      <w:bCs/>
      <w:kern w:val="28"/>
      <w:sz w:val="32"/>
      <w:szCs w:val="32"/>
    </w:rPr>
  </w:style>
  <w:style w:type="paragraph" w:styleId="44">
    <w:name w:val="List Number 5"/>
    <w:basedOn w:val="1"/>
    <w:autoRedefine/>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5">
    <w:name w:val="List"/>
    <w:basedOn w:val="1"/>
    <w:autoRedefine/>
    <w:qFormat/>
    <w:uiPriority w:val="0"/>
    <w:pPr>
      <w:ind w:left="200" w:hanging="200" w:hangingChars="200"/>
    </w:pPr>
    <w:rPr>
      <w:rFonts w:ascii="Times New Roman" w:hAnsi="Times New Roman"/>
    </w:rPr>
  </w:style>
  <w:style w:type="paragraph" w:styleId="46">
    <w:name w:val="Body Text Indent 3"/>
    <w:basedOn w:val="1"/>
    <w:link w:val="143"/>
    <w:qFormat/>
    <w:uiPriority w:val="0"/>
    <w:pPr>
      <w:spacing w:line="500" w:lineRule="exact"/>
      <w:ind w:left="511" w:hanging="511" w:hangingChars="213"/>
    </w:pPr>
    <w:rPr>
      <w:rFonts w:ascii="Times New Roman" w:hAnsi="Times New Roman"/>
      <w:kern w:val="0"/>
      <w:sz w:val="24"/>
    </w:rPr>
  </w:style>
  <w:style w:type="paragraph" w:styleId="47">
    <w:name w:val="toc 2"/>
    <w:basedOn w:val="1"/>
    <w:next w:val="1"/>
    <w:autoRedefine/>
    <w:qFormat/>
    <w:uiPriority w:val="0"/>
    <w:pPr>
      <w:ind w:left="420" w:leftChars="200"/>
    </w:pPr>
  </w:style>
  <w:style w:type="paragraph" w:styleId="48">
    <w:name w:val="toc 9"/>
    <w:basedOn w:val="1"/>
    <w:next w:val="1"/>
    <w:autoRedefine/>
    <w:qFormat/>
    <w:uiPriority w:val="0"/>
    <w:pPr>
      <w:autoSpaceDE w:val="0"/>
      <w:autoSpaceDN w:val="0"/>
      <w:adjustRightInd w:val="0"/>
      <w:ind w:left="3360" w:leftChars="1600"/>
      <w:jc w:val="left"/>
    </w:pPr>
    <w:rPr>
      <w:kern w:val="0"/>
      <w:sz w:val="20"/>
      <w:szCs w:val="20"/>
    </w:rPr>
  </w:style>
  <w:style w:type="paragraph" w:styleId="49">
    <w:name w:val="Body Text 2"/>
    <w:basedOn w:val="1"/>
    <w:link w:val="195"/>
    <w:autoRedefine/>
    <w:qFormat/>
    <w:uiPriority w:val="0"/>
    <w:pPr>
      <w:autoSpaceDE w:val="0"/>
      <w:autoSpaceDN w:val="0"/>
      <w:adjustRightInd w:val="0"/>
      <w:spacing w:after="120" w:line="480" w:lineRule="auto"/>
      <w:jc w:val="left"/>
    </w:pPr>
    <w:rPr>
      <w:rFonts w:ascii="等线" w:hAnsi="等线" w:eastAsia="等线"/>
      <w:szCs w:val="22"/>
    </w:rPr>
  </w:style>
  <w:style w:type="paragraph" w:styleId="5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1">
    <w:name w:val="Title"/>
    <w:basedOn w:val="1"/>
    <w:next w:val="1"/>
    <w:link w:val="103"/>
    <w:qFormat/>
    <w:uiPriority w:val="0"/>
    <w:pPr>
      <w:spacing w:before="240" w:after="60"/>
      <w:jc w:val="center"/>
      <w:outlineLvl w:val="0"/>
    </w:pPr>
    <w:rPr>
      <w:rFonts w:ascii="Cambria" w:hAnsi="Cambria"/>
      <w:b/>
      <w:bCs/>
      <w:kern w:val="0"/>
      <w:sz w:val="32"/>
      <w:szCs w:val="32"/>
    </w:rPr>
  </w:style>
  <w:style w:type="paragraph" w:styleId="52">
    <w:name w:val="annotation subject"/>
    <w:basedOn w:val="18"/>
    <w:next w:val="18"/>
    <w:link w:val="152"/>
    <w:autoRedefine/>
    <w:qFormat/>
    <w:uiPriority w:val="0"/>
    <w:rPr>
      <w:rFonts w:ascii="Times New Roman" w:hAnsi="Times New Roman"/>
      <w:b/>
      <w:bCs/>
      <w:kern w:val="0"/>
      <w:sz w:val="20"/>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autoRedefine/>
    <w:qFormat/>
    <w:uiPriority w:val="0"/>
    <w:rPr>
      <w:rFonts w:ascii="仿宋_GB2312" w:eastAsia="仿宋_GB2312"/>
      <w:bCs/>
      <w:sz w:val="32"/>
      <w:szCs w:val="32"/>
    </w:rPr>
  </w:style>
  <w:style w:type="character" w:styleId="57">
    <w:name w:val="page number"/>
    <w:basedOn w:val="55"/>
    <w:autoRedefine/>
    <w:qFormat/>
    <w:uiPriority w:val="0"/>
  </w:style>
  <w:style w:type="character" w:styleId="58">
    <w:name w:val="FollowedHyperlink"/>
    <w:autoRedefine/>
    <w:qFormat/>
    <w:uiPriority w:val="0"/>
    <w:rPr>
      <w:rFonts w:ascii="仿宋_GB2312" w:eastAsia="仿宋_GB2312"/>
      <w:b/>
      <w:color w:val="800080"/>
      <w:sz w:val="32"/>
      <w:szCs w:val="32"/>
      <w:u w:val="none"/>
    </w:rPr>
  </w:style>
  <w:style w:type="character" w:styleId="59">
    <w:name w:val="Emphasis"/>
    <w:autoRedefine/>
    <w:qFormat/>
    <w:uiPriority w:val="0"/>
    <w:rPr>
      <w:i/>
      <w:iCs/>
    </w:rPr>
  </w:style>
  <w:style w:type="character" w:styleId="60">
    <w:name w:val="line number"/>
    <w:basedOn w:val="55"/>
    <w:autoRedefine/>
    <w:qFormat/>
    <w:uiPriority w:val="0"/>
  </w:style>
  <w:style w:type="character" w:styleId="61">
    <w:name w:val="Hyperlink"/>
    <w:autoRedefine/>
    <w:qFormat/>
    <w:uiPriority w:val="0"/>
    <w:rPr>
      <w:rFonts w:ascii="仿宋_GB2312" w:eastAsia="仿宋_GB2312"/>
      <w:b/>
      <w:color w:val="0000FF"/>
      <w:sz w:val="32"/>
      <w:szCs w:val="32"/>
      <w:u w:val="none"/>
    </w:rPr>
  </w:style>
  <w:style w:type="character" w:styleId="62">
    <w:name w:val="annotation reference"/>
    <w:autoRedefine/>
    <w:qFormat/>
    <w:uiPriority w:val="0"/>
    <w:rPr>
      <w:sz w:val="21"/>
      <w:szCs w:val="21"/>
    </w:rPr>
  </w:style>
  <w:style w:type="character" w:styleId="63">
    <w:name w:val="HTML Cite"/>
    <w:autoRedefine/>
    <w:qFormat/>
    <w:uiPriority w:val="0"/>
    <w:rPr>
      <w:color w:val="008000"/>
    </w:rPr>
  </w:style>
  <w:style w:type="paragraph" w:customStyle="1" w:styleId="64">
    <w:name w:val="01 正文-首行缩进2字符"/>
    <w:basedOn w:val="1"/>
    <w:autoRedefine/>
    <w:qFormat/>
    <w:uiPriority w:val="0"/>
    <w:pPr>
      <w:spacing w:before="50" w:beforeLines="50" w:after="50" w:afterLines="50"/>
      <w:ind w:firstLine="200" w:firstLineChars="200"/>
    </w:pPr>
    <w:rPr>
      <w:rFonts w:ascii="Arial" w:hAnsi="Arial"/>
      <w:color w:val="000000"/>
    </w:rPr>
  </w:style>
  <w:style w:type="paragraph" w:customStyle="1" w:styleId="65">
    <w:name w:val="Char3 Char Char Char"/>
    <w:basedOn w:val="1"/>
    <w:autoRedefine/>
    <w:qFormat/>
    <w:uiPriority w:val="0"/>
  </w:style>
  <w:style w:type="character" w:customStyle="1" w:styleId="66">
    <w:name w:val="Style4"/>
    <w:autoRedefine/>
    <w:qFormat/>
    <w:uiPriority w:val="0"/>
    <w:rPr>
      <w:rFonts w:ascii="Calibri" w:hAnsi="宋体" w:eastAsia="宋体" w:cs="Times New Roman"/>
      <w:szCs w:val="22"/>
      <w:lang w:eastAsia="zh-CN"/>
    </w:rPr>
  </w:style>
  <w:style w:type="character" w:customStyle="1" w:styleId="67">
    <w:name w:val="Style2"/>
    <w:autoRedefine/>
    <w:qFormat/>
    <w:uiPriority w:val="0"/>
    <w:rPr>
      <w:rFonts w:ascii="Calibri" w:hAnsi="宋体" w:eastAsia="宋体" w:cs="Times New Roman"/>
      <w:sz w:val="22"/>
      <w:szCs w:val="22"/>
      <w:lang w:eastAsia="zh-CN"/>
    </w:rPr>
  </w:style>
  <w:style w:type="character" w:customStyle="1" w:styleId="68">
    <w:name w:val="批注框文本 字符1"/>
    <w:basedOn w:val="55"/>
    <w:autoRedefine/>
    <w:semiHidden/>
    <w:qFormat/>
    <w:uiPriority w:val="99"/>
    <w:rPr>
      <w:rFonts w:ascii="Calibri" w:hAnsi="Calibri" w:eastAsia="宋体" w:cs="Times New Roman"/>
      <w:sz w:val="18"/>
      <w:szCs w:val="18"/>
    </w:rPr>
  </w:style>
  <w:style w:type="character" w:customStyle="1" w:styleId="69">
    <w:name w:val="页眉 Char"/>
    <w:basedOn w:val="55"/>
    <w:link w:val="39"/>
    <w:autoRedefine/>
    <w:qFormat/>
    <w:uiPriority w:val="0"/>
    <w:rPr>
      <w:sz w:val="18"/>
      <w:szCs w:val="18"/>
    </w:rPr>
  </w:style>
  <w:style w:type="character" w:customStyle="1" w:styleId="70">
    <w:name w:val="批注框文本 Char"/>
    <w:link w:val="36"/>
    <w:autoRedefine/>
    <w:qFormat/>
    <w:uiPriority w:val="0"/>
    <w:rPr>
      <w:sz w:val="18"/>
      <w:szCs w:val="18"/>
    </w:rPr>
  </w:style>
  <w:style w:type="character" w:customStyle="1" w:styleId="71">
    <w:name w:val="文档结构图 Char"/>
    <w:link w:val="17"/>
    <w:autoRedefine/>
    <w:qFormat/>
    <w:uiPriority w:val="0"/>
    <w:rPr>
      <w:szCs w:val="24"/>
      <w:shd w:val="clear" w:color="auto" w:fill="000080"/>
    </w:rPr>
  </w:style>
  <w:style w:type="character" w:customStyle="1" w:styleId="72">
    <w:name w:val="Char Char20"/>
    <w:autoRedefine/>
    <w:qFormat/>
    <w:uiPriority w:val="0"/>
    <w:rPr>
      <w:b/>
      <w:bCs/>
      <w:kern w:val="44"/>
      <w:sz w:val="44"/>
      <w:szCs w:val="44"/>
    </w:rPr>
  </w:style>
  <w:style w:type="character" w:customStyle="1" w:styleId="73">
    <w:name w:val="Char Char121"/>
    <w:autoRedefine/>
    <w:qFormat/>
    <w:uiPriority w:val="0"/>
    <w:rPr>
      <w:rFonts w:eastAsia="宋体"/>
      <w:kern w:val="2"/>
      <w:sz w:val="21"/>
      <w:szCs w:val="24"/>
      <w:lang w:val="en-US" w:eastAsia="zh-CN" w:bidi="ar-SA"/>
    </w:rPr>
  </w:style>
  <w:style w:type="character" w:customStyle="1" w:styleId="74">
    <w:name w:val="称呼 Char"/>
    <w:link w:val="19"/>
    <w:autoRedefine/>
    <w:qFormat/>
    <w:uiPriority w:val="0"/>
    <w:rPr>
      <w:rFonts w:ascii="仿宋_GB2312" w:eastAsia="仿宋_GB2312"/>
      <w:b/>
      <w:sz w:val="24"/>
      <w:szCs w:val="32"/>
    </w:rPr>
  </w:style>
  <w:style w:type="character" w:customStyle="1" w:styleId="75">
    <w:name w:val="Char Char211"/>
    <w:autoRedefine/>
    <w:qFormat/>
    <w:uiPriority w:val="0"/>
    <w:rPr>
      <w:rFonts w:ascii="Times New Roman" w:hAnsi="Times New Roman" w:eastAsia="宋体" w:cs="Times New Roman"/>
      <w:b/>
      <w:bCs/>
      <w:kern w:val="44"/>
      <w:sz w:val="44"/>
      <w:szCs w:val="44"/>
    </w:rPr>
  </w:style>
  <w:style w:type="character" w:customStyle="1" w:styleId="76">
    <w:name w:val="书籍标题11"/>
    <w:autoRedefine/>
    <w:qFormat/>
    <w:uiPriority w:val="0"/>
    <w:rPr>
      <w:b/>
      <w:bCs/>
      <w:smallCaps/>
      <w:spacing w:val="5"/>
    </w:rPr>
  </w:style>
  <w:style w:type="character" w:customStyle="1" w:styleId="77">
    <w:name w:val="Texte Char Char"/>
    <w:autoRedefine/>
    <w:qFormat/>
    <w:uiPriority w:val="0"/>
    <w:rPr>
      <w:rFonts w:ascii="宋体" w:hAnsi="Courier New" w:eastAsia="宋体"/>
      <w:sz w:val="21"/>
      <w:szCs w:val="21"/>
      <w:lang w:val="en-US" w:eastAsia="zh-CN" w:bidi="ar-SA"/>
    </w:rPr>
  </w:style>
  <w:style w:type="character" w:customStyle="1" w:styleId="78">
    <w:name w:val="ändrad Char1"/>
    <w:autoRedefine/>
    <w:qFormat/>
    <w:uiPriority w:val="0"/>
    <w:rPr>
      <w:rFonts w:ascii="仿宋_GB2312" w:eastAsia="宋体"/>
      <w:b/>
      <w:kern w:val="2"/>
      <w:sz w:val="21"/>
      <w:szCs w:val="24"/>
      <w:lang w:val="en-US" w:eastAsia="zh-CN" w:bidi="ar-SA"/>
    </w:rPr>
  </w:style>
  <w:style w:type="character" w:customStyle="1" w:styleId="79">
    <w:name w:val="副标题 字符1"/>
    <w:basedOn w:val="55"/>
    <w:autoRedefine/>
    <w:qFormat/>
    <w:uiPriority w:val="11"/>
    <w:rPr>
      <w:b/>
      <w:bCs/>
      <w:kern w:val="28"/>
      <w:sz w:val="32"/>
      <w:szCs w:val="32"/>
    </w:rPr>
  </w:style>
  <w:style w:type="character" w:customStyle="1" w:styleId="80">
    <w:name w:val="表正文 Char2"/>
    <w:autoRedefine/>
    <w:qFormat/>
    <w:uiPriority w:val="0"/>
    <w:rPr>
      <w:rFonts w:ascii="Times New Roman" w:hAnsi="Times New Roman" w:eastAsia="宋体" w:cs="Times New Roman"/>
      <w:szCs w:val="24"/>
    </w:rPr>
  </w:style>
  <w:style w:type="character" w:customStyle="1" w:styleId="81">
    <w:name w:val="heading 3 Char"/>
    <w:autoRedefine/>
    <w:qFormat/>
    <w:uiPriority w:val="0"/>
    <w:rPr>
      <w:rFonts w:ascii="Arial" w:hAnsi="Arial" w:eastAsia="黑体"/>
      <w:sz w:val="28"/>
      <w:szCs w:val="24"/>
    </w:rPr>
  </w:style>
  <w:style w:type="character" w:customStyle="1" w:styleId="82">
    <w:name w:val="heading 1 Char"/>
    <w:autoRedefine/>
    <w:qFormat/>
    <w:uiPriority w:val="0"/>
    <w:rPr>
      <w:rFonts w:ascii="Arial" w:hAnsi="Arial" w:eastAsia="黑体"/>
      <w:b/>
      <w:sz w:val="36"/>
      <w:szCs w:val="36"/>
    </w:rPr>
  </w:style>
  <w:style w:type="character" w:customStyle="1" w:styleId="83">
    <w:name w:val="明显强调1"/>
    <w:autoRedefine/>
    <w:qFormat/>
    <w:uiPriority w:val="0"/>
    <w:rPr>
      <w:b/>
      <w:bCs/>
      <w:i/>
      <w:iCs/>
      <w:color w:val="4F81BD"/>
    </w:rPr>
  </w:style>
  <w:style w:type="character" w:customStyle="1" w:styleId="84">
    <w:name w:val="文档结构图 字符1"/>
    <w:basedOn w:val="55"/>
    <w:autoRedefine/>
    <w:semiHidden/>
    <w:qFormat/>
    <w:uiPriority w:val="99"/>
    <w:rPr>
      <w:rFonts w:ascii="Microsoft YaHei UI" w:hAnsi="Calibri" w:eastAsia="Microsoft YaHei UI" w:cs="Times New Roman"/>
      <w:sz w:val="18"/>
      <w:szCs w:val="18"/>
    </w:rPr>
  </w:style>
  <w:style w:type="character" w:customStyle="1" w:styleId="85">
    <w:name w:val="heading 8 Char1"/>
    <w:autoRedefine/>
    <w:qFormat/>
    <w:uiPriority w:val="0"/>
    <w:rPr>
      <w:rFonts w:ascii="Arial" w:hAnsi="Arial" w:eastAsia="黑体"/>
      <w:sz w:val="24"/>
      <w:lang w:val="en-US" w:eastAsia="zh-CN" w:bidi="ar-SA"/>
    </w:rPr>
  </w:style>
  <w:style w:type="character" w:customStyle="1" w:styleId="86">
    <w:name w:val="正文文本 3 Char"/>
    <w:basedOn w:val="55"/>
    <w:link w:val="20"/>
    <w:autoRedefine/>
    <w:qFormat/>
    <w:uiPriority w:val="0"/>
  </w:style>
  <w:style w:type="character" w:customStyle="1" w:styleId="87">
    <w:name w:val="Char Char11"/>
    <w:autoRedefine/>
    <w:qFormat/>
    <w:uiPriority w:val="0"/>
    <w:rPr>
      <w:rFonts w:ascii="Times New Roman" w:hAnsi="Times New Roman" w:eastAsia="宋体" w:cs="Times New Roman"/>
      <w:sz w:val="18"/>
      <w:szCs w:val="18"/>
    </w:rPr>
  </w:style>
  <w:style w:type="character" w:customStyle="1" w:styleId="88">
    <w:name w:val="Style1"/>
    <w:autoRedefine/>
    <w:qFormat/>
    <w:uiPriority w:val="0"/>
    <w:rPr>
      <w:rFonts w:ascii="Calibri" w:hAnsi="宋体" w:eastAsia="宋体" w:cs="Times New Roman"/>
      <w:sz w:val="22"/>
      <w:szCs w:val="22"/>
      <w:lang w:eastAsia="zh-CN"/>
    </w:rPr>
  </w:style>
  <w:style w:type="character" w:customStyle="1" w:styleId="89">
    <w:name w:val="正文文本 3 字符1"/>
    <w:basedOn w:val="55"/>
    <w:autoRedefine/>
    <w:semiHidden/>
    <w:qFormat/>
    <w:uiPriority w:val="99"/>
    <w:rPr>
      <w:rFonts w:ascii="Calibri" w:hAnsi="Calibri" w:eastAsia="宋体" w:cs="Times New Roman"/>
      <w:sz w:val="16"/>
      <w:szCs w:val="16"/>
    </w:rPr>
  </w:style>
  <w:style w:type="character" w:customStyle="1" w:styleId="90">
    <w:name w:val="heading 9 Char1"/>
    <w:autoRedefine/>
    <w:qFormat/>
    <w:uiPriority w:val="0"/>
    <w:rPr>
      <w:rFonts w:ascii="Arial" w:hAnsi="Arial" w:eastAsia="黑体"/>
      <w:sz w:val="21"/>
      <w:lang w:val="en-US" w:eastAsia="zh-CN" w:bidi="ar-SA"/>
    </w:rPr>
  </w:style>
  <w:style w:type="character" w:customStyle="1" w:styleId="91">
    <w:name w:val="纯文本 Char"/>
    <w:link w:val="31"/>
    <w:autoRedefine/>
    <w:qFormat/>
    <w:uiPriority w:val="0"/>
    <w:rPr>
      <w:rFonts w:ascii="宋体" w:hAnsi="Courier New"/>
      <w:b/>
      <w:szCs w:val="21"/>
    </w:rPr>
  </w:style>
  <w:style w:type="character" w:customStyle="1" w:styleId="92">
    <w:name w:val="heading 5 Char"/>
    <w:autoRedefine/>
    <w:qFormat/>
    <w:uiPriority w:val="0"/>
    <w:rPr>
      <w:rFonts w:ascii="Arial" w:hAnsi="Arial" w:eastAsia="黑体"/>
      <w:sz w:val="21"/>
      <w:szCs w:val="21"/>
    </w:rPr>
  </w:style>
  <w:style w:type="character" w:customStyle="1" w:styleId="93">
    <w:name w:val="font11"/>
    <w:basedOn w:val="55"/>
    <w:autoRedefine/>
    <w:qFormat/>
    <w:uiPriority w:val="0"/>
    <w:rPr>
      <w:rFonts w:hint="eastAsia" w:ascii="宋体" w:hAnsi="宋体" w:eastAsia="宋体" w:cs="宋体"/>
      <w:b/>
      <w:color w:val="000000"/>
      <w:sz w:val="24"/>
      <w:szCs w:val="24"/>
      <w:u w:val="none"/>
    </w:rPr>
  </w:style>
  <w:style w:type="character" w:customStyle="1" w:styleId="94">
    <w:name w:val="heading 2 Char1"/>
    <w:autoRedefine/>
    <w:qFormat/>
    <w:uiPriority w:val="0"/>
    <w:rPr>
      <w:rFonts w:ascii="Cambria" w:hAnsi="Cambria" w:eastAsia="宋体"/>
      <w:b/>
      <w:bCs/>
      <w:kern w:val="2"/>
      <w:sz w:val="32"/>
      <w:szCs w:val="32"/>
      <w:lang w:val="en-US" w:eastAsia="zh-CN" w:bidi="ar-SA"/>
    </w:rPr>
  </w:style>
  <w:style w:type="character" w:customStyle="1" w:styleId="95">
    <w:name w:val="Char Char2"/>
    <w:autoRedefine/>
    <w:qFormat/>
    <w:uiPriority w:val="0"/>
    <w:rPr>
      <w:rFonts w:ascii="Arial" w:hAnsi="Arial" w:eastAsia="黑体"/>
      <w:b/>
      <w:bCs/>
      <w:kern w:val="44"/>
      <w:sz w:val="30"/>
      <w:szCs w:val="44"/>
      <w:lang w:val="en-US" w:eastAsia="zh-CN" w:bidi="ar-SA"/>
    </w:rPr>
  </w:style>
  <w:style w:type="character" w:customStyle="1" w:styleId="96">
    <w:name w:val="Style5"/>
    <w:autoRedefine/>
    <w:qFormat/>
    <w:uiPriority w:val="0"/>
    <w:rPr>
      <w:rFonts w:ascii="Calibri" w:hAnsi="宋体" w:eastAsia="宋体" w:cs="Times New Roman"/>
      <w:sz w:val="22"/>
      <w:szCs w:val="22"/>
      <w:lang w:eastAsia="zh-CN"/>
    </w:rPr>
  </w:style>
  <w:style w:type="character" w:customStyle="1" w:styleId="97">
    <w:name w:val="style41"/>
    <w:autoRedefine/>
    <w:qFormat/>
    <w:uiPriority w:val="0"/>
    <w:rPr>
      <w:color w:val="auto"/>
    </w:rPr>
  </w:style>
  <w:style w:type="character" w:customStyle="1" w:styleId="98">
    <w:name w:val="Char Char4"/>
    <w:autoRedefine/>
    <w:qFormat/>
    <w:uiPriority w:val="0"/>
    <w:rPr>
      <w:rFonts w:ascii="Cambria" w:hAnsi="Cambria" w:eastAsia="宋体"/>
      <w:b/>
      <w:bCs/>
      <w:sz w:val="32"/>
      <w:szCs w:val="32"/>
      <w:lang w:bidi="ar-SA"/>
    </w:rPr>
  </w:style>
  <w:style w:type="character" w:customStyle="1" w:styleId="99">
    <w:name w:val="引用 字符1"/>
    <w:basedOn w:val="55"/>
    <w:autoRedefine/>
    <w:qFormat/>
    <w:uiPriority w:val="29"/>
    <w:rPr>
      <w:rFonts w:ascii="Calibri" w:hAnsi="Calibri" w:eastAsia="宋体" w:cs="Times New Roman"/>
      <w:i/>
      <w:iCs/>
      <w:color w:val="3F3F3F"/>
      <w:szCs w:val="24"/>
    </w:rPr>
  </w:style>
  <w:style w:type="character" w:customStyle="1" w:styleId="100">
    <w:name w:val="ListLabel 1"/>
    <w:autoRedefine/>
    <w:qFormat/>
    <w:uiPriority w:val="7"/>
    <w:rPr>
      <w:rFonts w:ascii="宋体" w:hAnsi="宋体" w:cs="宋体"/>
      <w:color w:val="FF0000"/>
      <w:sz w:val="24"/>
    </w:rPr>
  </w:style>
  <w:style w:type="character" w:customStyle="1" w:styleId="101">
    <w:name w:val="blue1"/>
    <w:basedOn w:val="55"/>
    <w:autoRedefine/>
    <w:qFormat/>
    <w:uiPriority w:val="0"/>
  </w:style>
  <w:style w:type="character" w:customStyle="1" w:styleId="102">
    <w:name w:val="Ò³Ã¼ Char Char2"/>
    <w:autoRedefine/>
    <w:qFormat/>
    <w:uiPriority w:val="0"/>
    <w:rPr>
      <w:kern w:val="2"/>
      <w:sz w:val="18"/>
      <w:szCs w:val="18"/>
    </w:rPr>
  </w:style>
  <w:style w:type="character" w:customStyle="1" w:styleId="103">
    <w:name w:val="标题 Char"/>
    <w:link w:val="51"/>
    <w:autoRedefine/>
    <w:qFormat/>
    <w:uiPriority w:val="0"/>
    <w:rPr>
      <w:rFonts w:ascii="Cambria" w:hAnsi="Cambria"/>
      <w:b/>
      <w:bCs/>
      <w:sz w:val="32"/>
      <w:szCs w:val="32"/>
    </w:rPr>
  </w:style>
  <w:style w:type="character" w:customStyle="1" w:styleId="104">
    <w:name w:val="Char Char111"/>
    <w:autoRedefine/>
    <w:qFormat/>
    <w:uiPriority w:val="0"/>
    <w:rPr>
      <w:rFonts w:ascii="Times New Roman" w:hAnsi="Times New Roman" w:eastAsia="宋体" w:cs="Times New Roman"/>
      <w:sz w:val="18"/>
      <w:szCs w:val="18"/>
    </w:rPr>
  </w:style>
  <w:style w:type="character" w:customStyle="1" w:styleId="105">
    <w:name w:val="标题 3 Char"/>
    <w:basedOn w:val="55"/>
    <w:link w:val="5"/>
    <w:autoRedefine/>
    <w:qFormat/>
    <w:uiPriority w:val="0"/>
    <w:rPr>
      <w:rFonts w:ascii="Calibri" w:hAnsi="Calibri" w:eastAsia="黑体" w:cs="Times New Roman"/>
      <w:b/>
      <w:sz w:val="28"/>
      <w:szCs w:val="20"/>
    </w:rPr>
  </w:style>
  <w:style w:type="character" w:customStyle="1" w:styleId="106">
    <w:name w:val="无间隔 Char"/>
    <w:link w:val="107"/>
    <w:autoRedefine/>
    <w:qFormat/>
    <w:uiPriority w:val="0"/>
    <w:rPr>
      <w:rFonts w:ascii="等线" w:hAnsi="等线" w:eastAsia="Times New Roman"/>
      <w:kern w:val="2"/>
      <w:sz w:val="22"/>
      <w:szCs w:val="22"/>
      <w:lang w:val="en-US" w:eastAsia="zh-CN" w:bidi="ar-SA"/>
    </w:rPr>
  </w:style>
  <w:style w:type="paragraph" w:customStyle="1" w:styleId="107">
    <w:name w:val="无间隔1"/>
    <w:link w:val="106"/>
    <w:autoRedefine/>
    <w:qFormat/>
    <w:uiPriority w:val="0"/>
    <w:rPr>
      <w:rFonts w:ascii="等线" w:hAnsi="等线" w:eastAsia="Times New Roman" w:cs="Times New Roman"/>
      <w:kern w:val="2"/>
      <w:sz w:val="22"/>
      <w:szCs w:val="22"/>
      <w:lang w:val="en-US" w:eastAsia="zh-CN" w:bidi="ar-SA"/>
    </w:rPr>
  </w:style>
  <w:style w:type="character" w:customStyle="1" w:styleId="108">
    <w:name w:val="样式2 Char Char"/>
    <w:link w:val="109"/>
    <w:autoRedefine/>
    <w:qFormat/>
    <w:uiPriority w:val="0"/>
    <w:rPr>
      <w:rFonts w:ascii="宋体" w:hAnsi="宋体"/>
      <w:bCs/>
      <w:sz w:val="28"/>
      <w:szCs w:val="28"/>
    </w:rPr>
  </w:style>
  <w:style w:type="paragraph" w:customStyle="1" w:styleId="109">
    <w:name w:val="样式2"/>
    <w:basedOn w:val="2"/>
    <w:link w:val="108"/>
    <w:autoRedefine/>
    <w:qFormat/>
    <w:uiPriority w:val="0"/>
    <w:pPr>
      <w:keepLines/>
      <w:snapToGrid w:val="0"/>
      <w:spacing w:before="260" w:afterLines="50" w:line="480" w:lineRule="exact"/>
      <w:ind w:firstLine="556"/>
    </w:pPr>
    <w:rPr>
      <w:rFonts w:ascii="宋体" w:hAnsi="宋体"/>
      <w:b w:val="0"/>
      <w:bCs/>
      <w:kern w:val="0"/>
      <w:szCs w:val="28"/>
    </w:rPr>
  </w:style>
  <w:style w:type="character" w:customStyle="1" w:styleId="110">
    <w:name w:val="标题 8 Char"/>
    <w:basedOn w:val="55"/>
    <w:link w:val="11"/>
    <w:autoRedefine/>
    <w:qFormat/>
    <w:uiPriority w:val="0"/>
    <w:rPr>
      <w:rFonts w:ascii="Arial" w:hAnsi="Arial" w:eastAsia="黑体" w:cs="Times New Roman"/>
      <w:sz w:val="24"/>
      <w:szCs w:val="20"/>
    </w:rPr>
  </w:style>
  <w:style w:type="character" w:customStyle="1" w:styleId="111">
    <w:name w:val="heading 2 Char2"/>
    <w:autoRedefine/>
    <w:qFormat/>
    <w:uiPriority w:val="0"/>
    <w:rPr>
      <w:rFonts w:ascii="Cambria" w:hAnsi="Cambria"/>
      <w:b/>
      <w:bCs/>
      <w:kern w:val="2"/>
      <w:sz w:val="32"/>
      <w:szCs w:val="32"/>
    </w:rPr>
  </w:style>
  <w:style w:type="character" w:customStyle="1" w:styleId="112">
    <w:name w:val="批注主题 字符1"/>
    <w:basedOn w:val="113"/>
    <w:autoRedefine/>
    <w:semiHidden/>
    <w:qFormat/>
    <w:uiPriority w:val="99"/>
    <w:rPr>
      <w:rFonts w:ascii="Calibri" w:hAnsi="Calibri" w:eastAsia="宋体" w:cs="Times New Roman"/>
      <w:b/>
      <w:bCs/>
      <w:szCs w:val="24"/>
    </w:rPr>
  </w:style>
  <w:style w:type="character" w:customStyle="1" w:styleId="113">
    <w:name w:val="批注文字 Char"/>
    <w:basedOn w:val="55"/>
    <w:link w:val="18"/>
    <w:autoRedefine/>
    <w:qFormat/>
    <w:uiPriority w:val="0"/>
    <w:rPr>
      <w:rFonts w:ascii="Calibri" w:hAnsi="Calibri" w:eastAsia="宋体" w:cs="Times New Roman"/>
      <w:szCs w:val="24"/>
    </w:rPr>
  </w:style>
  <w:style w:type="character" w:customStyle="1" w:styleId="114">
    <w:name w:val="正文文本缩进 2 字符1"/>
    <w:basedOn w:val="55"/>
    <w:autoRedefine/>
    <w:semiHidden/>
    <w:qFormat/>
    <w:uiPriority w:val="99"/>
    <w:rPr>
      <w:rFonts w:ascii="Calibri" w:hAnsi="Calibri" w:eastAsia="宋体" w:cs="Times New Roman"/>
      <w:szCs w:val="24"/>
    </w:rPr>
  </w:style>
  <w:style w:type="character" w:customStyle="1" w:styleId="115">
    <w:name w:val="宏文本 字符1"/>
    <w:basedOn w:val="55"/>
    <w:autoRedefine/>
    <w:semiHidden/>
    <w:qFormat/>
    <w:uiPriority w:val="99"/>
    <w:rPr>
      <w:rFonts w:ascii="Courier New" w:hAnsi="Courier New" w:eastAsia="宋体" w:cs="Courier New"/>
      <w:sz w:val="24"/>
      <w:szCs w:val="24"/>
    </w:rPr>
  </w:style>
  <w:style w:type="character" w:customStyle="1" w:styleId="116">
    <w:name w:val="正文文本缩进 Char"/>
    <w:basedOn w:val="55"/>
    <w:link w:val="24"/>
    <w:autoRedefine/>
    <w:qFormat/>
    <w:uiPriority w:val="0"/>
    <w:rPr>
      <w:rFonts w:ascii="Calibri" w:hAnsi="Calibri" w:eastAsia="宋体" w:cs="Times New Roman"/>
      <w:szCs w:val="24"/>
    </w:rPr>
  </w:style>
  <w:style w:type="character" w:customStyle="1" w:styleId="117">
    <w:name w:val="Footer-Even Char"/>
    <w:autoRedefine/>
    <w:qFormat/>
    <w:uiPriority w:val="0"/>
    <w:rPr>
      <w:sz w:val="18"/>
      <w:szCs w:val="18"/>
    </w:rPr>
  </w:style>
  <w:style w:type="character" w:customStyle="1" w:styleId="118">
    <w:name w:val="标题 7 Char"/>
    <w:basedOn w:val="55"/>
    <w:link w:val="10"/>
    <w:autoRedefine/>
    <w:qFormat/>
    <w:uiPriority w:val="0"/>
    <w:rPr>
      <w:rFonts w:ascii="Calibri" w:hAnsi="Calibri" w:eastAsia="宋体" w:cs="Times New Roman"/>
      <w:b/>
      <w:sz w:val="24"/>
      <w:szCs w:val="20"/>
    </w:rPr>
  </w:style>
  <w:style w:type="character" w:customStyle="1" w:styleId="119">
    <w:name w:val="Char Char21"/>
    <w:autoRedefine/>
    <w:qFormat/>
    <w:uiPriority w:val="0"/>
    <w:rPr>
      <w:rFonts w:ascii="Times New Roman" w:hAnsi="Times New Roman" w:eastAsia="宋体" w:cs="Times New Roman"/>
      <w:b/>
      <w:bCs/>
      <w:kern w:val="44"/>
      <w:sz w:val="44"/>
      <w:szCs w:val="44"/>
    </w:rPr>
  </w:style>
  <w:style w:type="character" w:customStyle="1" w:styleId="120">
    <w:name w:val="日期 Char"/>
    <w:link w:val="34"/>
    <w:autoRedefine/>
    <w:qFormat/>
    <w:uiPriority w:val="0"/>
    <w:rPr>
      <w:szCs w:val="24"/>
    </w:rPr>
  </w:style>
  <w:style w:type="character" w:customStyle="1" w:styleId="121">
    <w:name w:val="Footer-Even Char2"/>
    <w:autoRedefine/>
    <w:qFormat/>
    <w:uiPriority w:val="0"/>
    <w:rPr>
      <w:kern w:val="2"/>
      <w:sz w:val="18"/>
      <w:szCs w:val="18"/>
    </w:rPr>
  </w:style>
  <w:style w:type="character" w:customStyle="1" w:styleId="122">
    <w:name w:val="书籍标题1"/>
    <w:autoRedefine/>
    <w:qFormat/>
    <w:uiPriority w:val="0"/>
    <w:rPr>
      <w:b/>
      <w:bCs/>
      <w:smallCaps/>
      <w:spacing w:val="5"/>
    </w:rPr>
  </w:style>
  <w:style w:type="character" w:customStyle="1" w:styleId="123">
    <w:name w:val="页眉 字符1"/>
    <w:basedOn w:val="55"/>
    <w:semiHidden/>
    <w:qFormat/>
    <w:uiPriority w:val="99"/>
    <w:rPr>
      <w:kern w:val="2"/>
      <w:sz w:val="18"/>
      <w:szCs w:val="18"/>
    </w:rPr>
  </w:style>
  <w:style w:type="character" w:customStyle="1" w:styleId="124">
    <w:name w:val="不明显强调2"/>
    <w:qFormat/>
    <w:uiPriority w:val="0"/>
    <w:rPr>
      <w:i/>
      <w:iCs/>
      <w:color w:val="808080"/>
    </w:rPr>
  </w:style>
  <w:style w:type="character" w:customStyle="1" w:styleId="125">
    <w:name w:val="正文文本缩进 字符"/>
    <w:qFormat/>
    <w:uiPriority w:val="0"/>
    <w:rPr>
      <w:rFonts w:eastAsia="宋体"/>
      <w:kern w:val="2"/>
      <w:sz w:val="24"/>
      <w:szCs w:val="24"/>
      <w:lang w:val="en-US" w:eastAsia="zh-CN" w:bidi="ar-SA"/>
    </w:rPr>
  </w:style>
  <w:style w:type="character" w:customStyle="1" w:styleId="126">
    <w:name w:val="Char Char12"/>
    <w:qFormat/>
    <w:uiPriority w:val="0"/>
    <w:rPr>
      <w:rFonts w:eastAsia="宋体"/>
      <w:kern w:val="2"/>
      <w:sz w:val="21"/>
      <w:szCs w:val="24"/>
      <w:lang w:val="en-US" w:eastAsia="zh-CN" w:bidi="ar-SA"/>
    </w:rPr>
  </w:style>
  <w:style w:type="character" w:customStyle="1" w:styleId="127">
    <w:name w:val="明显引用 Char"/>
    <w:link w:val="128"/>
    <w:autoRedefine/>
    <w:qFormat/>
    <w:uiPriority w:val="0"/>
    <w:rPr>
      <w:b/>
      <w:bCs/>
      <w:i/>
      <w:iCs/>
      <w:color w:val="4F81BD"/>
    </w:rPr>
  </w:style>
  <w:style w:type="paragraph" w:customStyle="1" w:styleId="128">
    <w:name w:val="明显引用1"/>
    <w:basedOn w:val="1"/>
    <w:next w:val="1"/>
    <w:link w:val="127"/>
    <w:qFormat/>
    <w:uiPriority w:val="0"/>
    <w:pPr>
      <w:pBdr>
        <w:bottom w:val="single" w:color="4F81BD" w:sz="4" w:space="4"/>
      </w:pBdr>
      <w:spacing w:before="200" w:after="280"/>
      <w:ind w:left="936" w:right="936"/>
    </w:pPr>
    <w:rPr>
      <w:rFonts w:ascii="Times New Roman" w:hAnsi="Times New Roman"/>
      <w:b/>
      <w:bCs/>
      <w:i/>
      <w:iCs/>
      <w:color w:val="4F81BD"/>
      <w:kern w:val="0"/>
      <w:sz w:val="20"/>
      <w:szCs w:val="20"/>
    </w:rPr>
  </w:style>
  <w:style w:type="character" w:customStyle="1" w:styleId="129">
    <w:name w:val="正文首行缩进 Char"/>
    <w:link w:val="22"/>
    <w:autoRedefine/>
    <w:qFormat/>
    <w:uiPriority w:val="0"/>
  </w:style>
  <w:style w:type="character" w:customStyle="1" w:styleId="130">
    <w:name w:val="heading 5 Char2"/>
    <w:autoRedefine/>
    <w:qFormat/>
    <w:uiPriority w:val="0"/>
    <w:rPr>
      <w:b/>
      <w:bCs/>
      <w:kern w:val="2"/>
      <w:sz w:val="28"/>
      <w:szCs w:val="28"/>
    </w:rPr>
  </w:style>
  <w:style w:type="character" w:customStyle="1" w:styleId="131">
    <w:name w:val="heading 1 Char1"/>
    <w:autoRedefine/>
    <w:qFormat/>
    <w:uiPriority w:val="0"/>
    <w:rPr>
      <w:rFonts w:eastAsia="宋体"/>
      <w:b/>
      <w:bCs/>
      <w:kern w:val="44"/>
      <w:sz w:val="44"/>
      <w:szCs w:val="44"/>
      <w:lang w:val="en-US" w:eastAsia="zh-CN" w:bidi="ar-SA"/>
    </w:rPr>
  </w:style>
  <w:style w:type="character" w:customStyle="1" w:styleId="132">
    <w:name w:val="Char Char201"/>
    <w:qFormat/>
    <w:uiPriority w:val="0"/>
    <w:rPr>
      <w:rFonts w:ascii="Cambria" w:hAnsi="Cambria" w:eastAsia="宋体" w:cs="Times New Roman"/>
      <w:b/>
      <w:bCs/>
      <w:sz w:val="32"/>
      <w:szCs w:val="32"/>
    </w:rPr>
  </w:style>
  <w:style w:type="character" w:customStyle="1" w:styleId="133">
    <w:name w:val="Char Char18"/>
    <w:qFormat/>
    <w:uiPriority w:val="0"/>
    <w:rPr>
      <w:b/>
      <w:bCs/>
      <w:kern w:val="2"/>
      <w:sz w:val="32"/>
      <w:szCs w:val="32"/>
    </w:rPr>
  </w:style>
  <w:style w:type="character" w:customStyle="1" w:styleId="134">
    <w:name w:val="Plain Text Char"/>
    <w:qFormat/>
    <w:uiPriority w:val="0"/>
    <w:rPr>
      <w:rFonts w:ascii="宋体" w:hAnsi="Courier New" w:eastAsia="宋体" w:cs="Times New Roman"/>
      <w:sz w:val="21"/>
      <w:szCs w:val="21"/>
    </w:rPr>
  </w:style>
  <w:style w:type="character" w:customStyle="1" w:styleId="135">
    <w:name w:val="称呼 字符1"/>
    <w:basedOn w:val="55"/>
    <w:semiHidden/>
    <w:qFormat/>
    <w:uiPriority w:val="99"/>
    <w:rPr>
      <w:rFonts w:ascii="Calibri" w:hAnsi="Calibri" w:eastAsia="宋体" w:cs="Times New Roman"/>
      <w:szCs w:val="24"/>
    </w:rPr>
  </w:style>
  <w:style w:type="character" w:customStyle="1" w:styleId="136">
    <w:name w:val="标题 1 Char"/>
    <w:basedOn w:val="55"/>
    <w:link w:val="4"/>
    <w:autoRedefine/>
    <w:qFormat/>
    <w:uiPriority w:val="0"/>
    <w:rPr>
      <w:rFonts w:ascii="Calibri" w:hAnsi="Calibri" w:eastAsia="黑体" w:cs="Times New Roman"/>
      <w:b/>
      <w:sz w:val="32"/>
      <w:szCs w:val="20"/>
    </w:rPr>
  </w:style>
  <w:style w:type="character" w:customStyle="1" w:styleId="137">
    <w:name w:val="heading 4 Char1"/>
    <w:autoRedefine/>
    <w:qFormat/>
    <w:uiPriority w:val="0"/>
    <w:rPr>
      <w:rFonts w:ascii="Cambria" w:hAnsi="Cambria" w:eastAsia="宋体"/>
      <w:b/>
      <w:bCs/>
      <w:kern w:val="2"/>
      <w:sz w:val="28"/>
      <w:szCs w:val="28"/>
      <w:lang w:val="en-US" w:eastAsia="zh-CN" w:bidi="ar-SA"/>
    </w:rPr>
  </w:style>
  <w:style w:type="character" w:customStyle="1" w:styleId="138">
    <w:name w:val="PI Char"/>
    <w:autoRedefine/>
    <w:qFormat/>
    <w:uiPriority w:val="0"/>
    <w:rPr>
      <w:rFonts w:ascii="宋体" w:hAnsi="宋体"/>
      <w:sz w:val="24"/>
    </w:rPr>
  </w:style>
  <w:style w:type="character" w:customStyle="1" w:styleId="139">
    <w:name w:val="纯文本 字符1"/>
    <w:basedOn w:val="55"/>
    <w:autoRedefine/>
    <w:semiHidden/>
    <w:qFormat/>
    <w:uiPriority w:val="99"/>
    <w:rPr>
      <w:rFonts w:ascii="等线" w:hAnsi="Courier New" w:cs="Courier New"/>
      <w:szCs w:val="24"/>
    </w:rPr>
  </w:style>
  <w:style w:type="character" w:customStyle="1" w:styleId="140">
    <w:name w:val="heading 4 Char2"/>
    <w:autoRedefine/>
    <w:qFormat/>
    <w:uiPriority w:val="0"/>
    <w:rPr>
      <w:rFonts w:ascii="Cambria" w:hAnsi="Cambria"/>
      <w:b/>
      <w:bCs/>
      <w:kern w:val="2"/>
      <w:sz w:val="28"/>
      <w:szCs w:val="28"/>
    </w:rPr>
  </w:style>
  <w:style w:type="character" w:customStyle="1" w:styleId="141">
    <w:name w:val="heading 6 Char1"/>
    <w:autoRedefine/>
    <w:qFormat/>
    <w:uiPriority w:val="0"/>
    <w:rPr>
      <w:rFonts w:ascii="Arial" w:hAnsi="Arial" w:eastAsia="黑体"/>
      <w:kern w:val="2"/>
      <w:sz w:val="24"/>
      <w:szCs w:val="24"/>
      <w:lang w:val="en-US" w:eastAsia="zh-CN" w:bidi="ar-SA"/>
    </w:rPr>
  </w:style>
  <w:style w:type="character" w:customStyle="1" w:styleId="142">
    <w:name w:val="style21"/>
    <w:autoRedefine/>
    <w:qFormat/>
    <w:uiPriority w:val="0"/>
    <w:rPr>
      <w:sz w:val="15"/>
      <w:szCs w:val="15"/>
    </w:rPr>
  </w:style>
  <w:style w:type="character" w:customStyle="1" w:styleId="143">
    <w:name w:val="正文文本缩进 3 Char"/>
    <w:link w:val="46"/>
    <w:autoRedefine/>
    <w:qFormat/>
    <w:uiPriority w:val="0"/>
    <w:rPr>
      <w:sz w:val="24"/>
      <w:szCs w:val="24"/>
    </w:rPr>
  </w:style>
  <w:style w:type="character" w:customStyle="1" w:styleId="144">
    <w:name w:val="明显强调11"/>
    <w:autoRedefine/>
    <w:qFormat/>
    <w:uiPriority w:val="0"/>
    <w:rPr>
      <w:b/>
      <w:bCs/>
      <w:i/>
      <w:iCs/>
      <w:color w:val="4F81BD"/>
    </w:rPr>
  </w:style>
  <w:style w:type="character" w:customStyle="1" w:styleId="145">
    <w:name w:val="smalltxt1"/>
    <w:autoRedefine/>
    <w:qFormat/>
    <w:uiPriority w:val="0"/>
    <w:rPr>
      <w:rFonts w:hint="default" w:ascii="ˎ̥" w:hAnsi="ˎ̥"/>
      <w:sz w:val="24"/>
      <w:szCs w:val="24"/>
    </w:rPr>
  </w:style>
  <w:style w:type="character" w:customStyle="1" w:styleId="146">
    <w:name w:val="font31"/>
    <w:basedOn w:val="55"/>
    <w:autoRedefine/>
    <w:qFormat/>
    <w:uiPriority w:val="0"/>
    <w:rPr>
      <w:rFonts w:hint="eastAsia" w:ascii="宋体" w:hAnsi="宋体" w:eastAsia="宋体" w:cs="宋体"/>
      <w:color w:val="000000"/>
      <w:sz w:val="24"/>
      <w:szCs w:val="24"/>
      <w:u w:val="single"/>
    </w:rPr>
  </w:style>
  <w:style w:type="character" w:customStyle="1" w:styleId="147">
    <w:name w:val="heading 2 Char"/>
    <w:autoRedefine/>
    <w:qFormat/>
    <w:uiPriority w:val="0"/>
    <w:rPr>
      <w:rFonts w:ascii="Arial" w:hAnsi="Arial" w:eastAsia="黑体" w:cs="Times New Roman"/>
      <w:sz w:val="30"/>
      <w:szCs w:val="24"/>
    </w:rPr>
  </w:style>
  <w:style w:type="character" w:customStyle="1" w:styleId="148">
    <w:name w:val="日期 字符1"/>
    <w:basedOn w:val="55"/>
    <w:autoRedefine/>
    <w:semiHidden/>
    <w:qFormat/>
    <w:uiPriority w:val="99"/>
    <w:rPr>
      <w:rFonts w:ascii="Calibri" w:hAnsi="Calibri" w:eastAsia="宋体" w:cs="Times New Roman"/>
      <w:szCs w:val="24"/>
    </w:rPr>
  </w:style>
  <w:style w:type="character" w:customStyle="1" w:styleId="149">
    <w:name w:val="Char Char6"/>
    <w:autoRedefine/>
    <w:qFormat/>
    <w:uiPriority w:val="0"/>
    <w:rPr>
      <w:rFonts w:ascii="Times New Roman" w:hAnsi="Times New Roman" w:eastAsia="宋体" w:cs="Times New Roman"/>
      <w:szCs w:val="24"/>
    </w:rPr>
  </w:style>
  <w:style w:type="character" w:customStyle="1" w:styleId="150">
    <w:name w:val="样式 宋体"/>
    <w:autoRedefine/>
    <w:qFormat/>
    <w:uiPriority w:val="0"/>
    <w:rPr>
      <w:rFonts w:ascii="宋体" w:hAnsi="宋体" w:eastAsia="宋体"/>
      <w:sz w:val="24"/>
      <w:szCs w:val="24"/>
    </w:rPr>
  </w:style>
  <w:style w:type="character" w:customStyle="1" w:styleId="151">
    <w:name w:val="heading 7 Char1"/>
    <w:autoRedefine/>
    <w:qFormat/>
    <w:uiPriority w:val="0"/>
    <w:rPr>
      <w:rFonts w:ascii="Arial" w:hAnsi="Arial" w:eastAsia="黑体"/>
      <w:sz w:val="21"/>
      <w:szCs w:val="21"/>
      <w:lang w:val="en-US" w:eastAsia="zh-CN" w:bidi="ar-SA"/>
    </w:rPr>
  </w:style>
  <w:style w:type="character" w:customStyle="1" w:styleId="152">
    <w:name w:val="批注主题 Char"/>
    <w:link w:val="52"/>
    <w:autoRedefine/>
    <w:qFormat/>
    <w:uiPriority w:val="0"/>
    <w:rPr>
      <w:b/>
      <w:bCs/>
      <w:szCs w:val="24"/>
    </w:rPr>
  </w:style>
  <w:style w:type="character" w:customStyle="1" w:styleId="153">
    <w:name w:val="正文缩进 Char"/>
    <w:link w:val="9"/>
    <w:autoRedefine/>
    <w:qFormat/>
    <w:uiPriority w:val="0"/>
    <w:rPr>
      <w:rFonts w:ascii="Calibri" w:hAnsi="Calibri" w:eastAsia="宋体" w:cs="Times New Roman"/>
      <w:szCs w:val="24"/>
    </w:rPr>
  </w:style>
  <w:style w:type="character" w:customStyle="1" w:styleId="154">
    <w:name w:val="Char Char Char Char Char Char Char Char Char"/>
    <w:autoRedefine/>
    <w:qFormat/>
    <w:uiPriority w:val="0"/>
    <w:rPr>
      <w:rFonts w:ascii="宋体" w:hAnsi="Courier New" w:eastAsia="宋体"/>
      <w:sz w:val="21"/>
      <w:szCs w:val="21"/>
      <w:lang w:val="en-US" w:eastAsia="zh-CN" w:bidi="ar-SA"/>
    </w:rPr>
  </w:style>
  <w:style w:type="character" w:customStyle="1" w:styleId="155">
    <w:name w:val="PI Char2"/>
    <w:autoRedefine/>
    <w:qFormat/>
    <w:uiPriority w:val="0"/>
    <w:rPr>
      <w:kern w:val="2"/>
      <w:sz w:val="24"/>
      <w:szCs w:val="24"/>
    </w:rPr>
  </w:style>
  <w:style w:type="character" w:customStyle="1" w:styleId="156">
    <w:name w:val="正文文本缩进 3 字符1"/>
    <w:basedOn w:val="55"/>
    <w:autoRedefine/>
    <w:semiHidden/>
    <w:qFormat/>
    <w:uiPriority w:val="99"/>
    <w:rPr>
      <w:rFonts w:ascii="Calibri" w:hAnsi="Calibri" w:eastAsia="宋体" w:cs="Times New Roman"/>
      <w:sz w:val="16"/>
      <w:szCs w:val="16"/>
    </w:rPr>
  </w:style>
  <w:style w:type="character" w:customStyle="1" w:styleId="157">
    <w:name w:val="引用 Char"/>
    <w:link w:val="158"/>
    <w:autoRedefine/>
    <w:qFormat/>
    <w:uiPriority w:val="0"/>
    <w:rPr>
      <w:i/>
      <w:iCs/>
      <w:color w:val="000000"/>
    </w:rPr>
  </w:style>
  <w:style w:type="paragraph" w:customStyle="1" w:styleId="158">
    <w:name w:val="引用1"/>
    <w:basedOn w:val="1"/>
    <w:next w:val="1"/>
    <w:link w:val="157"/>
    <w:autoRedefine/>
    <w:qFormat/>
    <w:uiPriority w:val="0"/>
    <w:rPr>
      <w:rFonts w:ascii="Times New Roman" w:hAnsi="Times New Roman"/>
      <w:i/>
      <w:iCs/>
      <w:color w:val="000000"/>
      <w:kern w:val="0"/>
      <w:sz w:val="20"/>
      <w:szCs w:val="20"/>
    </w:rPr>
  </w:style>
  <w:style w:type="character" w:customStyle="1" w:styleId="159">
    <w:name w:val="正文文本 字符"/>
    <w:autoRedefine/>
    <w:qFormat/>
    <w:uiPriority w:val="0"/>
    <w:rPr>
      <w:rFonts w:ascii="仿宋_GB2312" w:eastAsia="宋体"/>
      <w:b/>
      <w:kern w:val="2"/>
      <w:sz w:val="21"/>
      <w:szCs w:val="24"/>
      <w:lang w:val="en-US" w:eastAsia="zh-CN" w:bidi="ar-SA"/>
    </w:rPr>
  </w:style>
  <w:style w:type="character" w:customStyle="1" w:styleId="160">
    <w:name w:val="Char Char24"/>
    <w:autoRedefine/>
    <w:qFormat/>
    <w:uiPriority w:val="0"/>
    <w:rPr>
      <w:rFonts w:eastAsia="宋体"/>
      <w:b/>
      <w:kern w:val="2"/>
      <w:sz w:val="28"/>
      <w:lang w:val="en-US" w:eastAsia="zh-CN" w:bidi="ar-SA"/>
    </w:rPr>
  </w:style>
  <w:style w:type="character" w:customStyle="1" w:styleId="161">
    <w:name w:val="明显参考1"/>
    <w:autoRedefine/>
    <w:qFormat/>
    <w:uiPriority w:val="0"/>
    <w:rPr>
      <w:b/>
      <w:bCs/>
      <w:smallCaps/>
      <w:color w:val="C0504D"/>
      <w:spacing w:val="5"/>
      <w:u w:val="single"/>
    </w:rPr>
  </w:style>
  <w:style w:type="character" w:customStyle="1" w:styleId="162">
    <w:name w:val="heading 3 Char1"/>
    <w:autoRedefine/>
    <w:qFormat/>
    <w:uiPriority w:val="0"/>
    <w:rPr>
      <w:rFonts w:eastAsia="宋体"/>
      <w:b/>
      <w:bCs/>
      <w:kern w:val="2"/>
      <w:sz w:val="32"/>
      <w:szCs w:val="32"/>
      <w:lang w:val="en-US" w:eastAsia="zh-CN" w:bidi="ar-SA"/>
    </w:rPr>
  </w:style>
  <w:style w:type="character" w:customStyle="1" w:styleId="163">
    <w:name w:val="textcolor1"/>
    <w:autoRedefine/>
    <w:qFormat/>
    <w:uiPriority w:val="0"/>
    <w:rPr>
      <w:rFonts w:ascii="仿宋_GB2312" w:eastAsia="仿宋_GB2312"/>
      <w:b/>
      <w:color w:val="FF6600"/>
      <w:sz w:val="32"/>
      <w:szCs w:val="32"/>
    </w:rPr>
  </w:style>
  <w:style w:type="character" w:customStyle="1" w:styleId="164">
    <w:name w:val="标题 字符1"/>
    <w:basedOn w:val="55"/>
    <w:autoRedefine/>
    <w:qFormat/>
    <w:uiPriority w:val="10"/>
    <w:rPr>
      <w:rFonts w:ascii="等线 Light" w:hAnsi="等线 Light" w:eastAsia="等线 Light" w:cs="Times New Roman"/>
      <w:b/>
      <w:bCs/>
      <w:sz w:val="32"/>
      <w:szCs w:val="32"/>
    </w:rPr>
  </w:style>
  <w:style w:type="character" w:customStyle="1" w:styleId="165">
    <w:name w:val="dandyren_title1"/>
    <w:autoRedefine/>
    <w:qFormat/>
    <w:uiPriority w:val="0"/>
    <w:rPr>
      <w:b/>
      <w:bCs/>
      <w:color w:val="FF6633"/>
      <w:sz w:val="18"/>
      <w:szCs w:val="18"/>
    </w:rPr>
  </w:style>
  <w:style w:type="character" w:customStyle="1" w:styleId="166">
    <w:name w:val="明显引用 字符1"/>
    <w:basedOn w:val="55"/>
    <w:autoRedefine/>
    <w:qFormat/>
    <w:uiPriority w:val="30"/>
    <w:rPr>
      <w:rFonts w:ascii="Calibri" w:hAnsi="Calibri" w:eastAsia="宋体" w:cs="Times New Roman"/>
      <w:i/>
      <w:iCs/>
      <w:color w:val="5B9BD5"/>
      <w:szCs w:val="24"/>
    </w:rPr>
  </w:style>
  <w:style w:type="character" w:customStyle="1" w:styleId="167">
    <w:name w:val="Char Char16"/>
    <w:autoRedefine/>
    <w:qFormat/>
    <w:uiPriority w:val="0"/>
    <w:rPr>
      <w:b/>
      <w:bCs/>
      <w:kern w:val="2"/>
      <w:sz w:val="28"/>
      <w:szCs w:val="28"/>
    </w:rPr>
  </w:style>
  <w:style w:type="character" w:customStyle="1" w:styleId="168">
    <w:name w:val="副标题 Char"/>
    <w:link w:val="43"/>
    <w:qFormat/>
    <w:uiPriority w:val="0"/>
    <w:rPr>
      <w:rFonts w:ascii="Cambria" w:hAnsi="Cambria"/>
      <w:b/>
      <w:bCs/>
      <w:kern w:val="28"/>
      <w:sz w:val="32"/>
      <w:szCs w:val="32"/>
    </w:rPr>
  </w:style>
  <w:style w:type="character" w:customStyle="1" w:styleId="169">
    <w:name w:val="签名 字符1"/>
    <w:basedOn w:val="55"/>
    <w:semiHidden/>
    <w:qFormat/>
    <w:uiPriority w:val="99"/>
    <w:rPr>
      <w:rFonts w:ascii="Calibri" w:hAnsi="Calibri" w:eastAsia="宋体" w:cs="Times New Roman"/>
      <w:szCs w:val="24"/>
    </w:rPr>
  </w:style>
  <w:style w:type="character" w:customStyle="1" w:styleId="170">
    <w:name w:val="heading 4 Char"/>
    <w:qFormat/>
    <w:uiPriority w:val="0"/>
    <w:rPr>
      <w:rFonts w:ascii="Arial" w:hAnsi="Arial" w:eastAsia="黑体" w:cs="Times New Roman"/>
      <w:sz w:val="21"/>
      <w:szCs w:val="21"/>
    </w:rPr>
  </w:style>
  <w:style w:type="character" w:customStyle="1" w:styleId="171">
    <w:name w:val="明显参考11"/>
    <w:qFormat/>
    <w:uiPriority w:val="0"/>
    <w:rPr>
      <w:b/>
      <w:bCs/>
      <w:smallCaps/>
      <w:color w:val="C0504D"/>
      <w:spacing w:val="5"/>
      <w:u w:val="single"/>
    </w:rPr>
  </w:style>
  <w:style w:type="character" w:customStyle="1" w:styleId="172">
    <w:name w:val="pt141"/>
    <w:qFormat/>
    <w:uiPriority w:val="0"/>
    <w:rPr>
      <w:color w:val="330066"/>
      <w:spacing w:val="450"/>
      <w:sz w:val="22"/>
      <w:szCs w:val="22"/>
    </w:rPr>
  </w:style>
  <w:style w:type="character" w:customStyle="1" w:styleId="173">
    <w:name w:val="页脚 Char"/>
    <w:basedOn w:val="55"/>
    <w:link w:val="37"/>
    <w:qFormat/>
    <w:uiPriority w:val="0"/>
    <w:rPr>
      <w:sz w:val="18"/>
      <w:szCs w:val="18"/>
    </w:rPr>
  </w:style>
  <w:style w:type="character" w:customStyle="1" w:styleId="174">
    <w:name w:val="正文1 Char Char"/>
    <w:link w:val="175"/>
    <w:qFormat/>
    <w:uiPriority w:val="0"/>
    <w:rPr>
      <w:rFonts w:ascii="宋体" w:hAnsi="宋体" w:cs="宋体"/>
    </w:rPr>
  </w:style>
  <w:style w:type="paragraph" w:customStyle="1" w:styleId="175">
    <w:name w:val="正文1"/>
    <w:basedOn w:val="1"/>
    <w:link w:val="174"/>
    <w:qFormat/>
    <w:uiPriority w:val="0"/>
    <w:pPr>
      <w:widowControl/>
      <w:spacing w:line="360" w:lineRule="auto"/>
      <w:ind w:left="360" w:firstLine="420"/>
      <w:jc w:val="left"/>
    </w:pPr>
    <w:rPr>
      <w:rFonts w:ascii="宋体" w:hAnsi="宋体"/>
      <w:kern w:val="0"/>
      <w:sz w:val="20"/>
      <w:szCs w:val="20"/>
    </w:rPr>
  </w:style>
  <w:style w:type="character" w:customStyle="1" w:styleId="176">
    <w:name w:val="标题 5 Char"/>
    <w:basedOn w:val="55"/>
    <w:link w:val="7"/>
    <w:qFormat/>
    <w:uiPriority w:val="0"/>
    <w:rPr>
      <w:rFonts w:ascii="Calibri" w:hAnsi="Calibri" w:eastAsia="宋体" w:cs="Times New Roman"/>
      <w:b/>
      <w:bCs/>
      <w:kern w:val="0"/>
      <w:sz w:val="28"/>
      <w:szCs w:val="28"/>
    </w:rPr>
  </w:style>
  <w:style w:type="character" w:customStyle="1" w:styleId="177">
    <w:name w:val="Char Char241"/>
    <w:qFormat/>
    <w:uiPriority w:val="0"/>
    <w:rPr>
      <w:rFonts w:eastAsia="宋体"/>
      <w:b/>
      <w:kern w:val="2"/>
      <w:sz w:val="28"/>
      <w:lang w:val="en-US" w:eastAsia="zh-CN" w:bidi="ar-SA"/>
    </w:rPr>
  </w:style>
  <w:style w:type="character" w:customStyle="1" w:styleId="178">
    <w:name w:val="Char Char Char"/>
    <w:qFormat/>
    <w:uiPriority w:val="0"/>
    <w:rPr>
      <w:rFonts w:ascii="宋体" w:hAnsi="Courier New" w:eastAsia="宋体"/>
      <w:b/>
      <w:sz w:val="21"/>
      <w:szCs w:val="21"/>
      <w:lang w:val="en-US" w:eastAsia="zh-CN" w:bidi="ar-SA"/>
    </w:rPr>
  </w:style>
  <w:style w:type="character" w:customStyle="1" w:styleId="179">
    <w:name w:val="宏文本 Char"/>
    <w:link w:val="3"/>
    <w:qFormat/>
    <w:uiPriority w:val="0"/>
    <w:rPr>
      <w:rFonts w:ascii="Courier New" w:hAnsi="Courier New" w:eastAsia="Times New Roman"/>
      <w:kern w:val="2"/>
      <w:sz w:val="24"/>
      <w:szCs w:val="24"/>
      <w:lang w:val="en-US" w:eastAsia="zh-CN" w:bidi="ar-SA"/>
    </w:rPr>
  </w:style>
  <w:style w:type="character" w:customStyle="1" w:styleId="180">
    <w:name w:val="不明显参考11"/>
    <w:qFormat/>
    <w:uiPriority w:val="0"/>
    <w:rPr>
      <w:smallCaps/>
      <w:color w:val="C0504D"/>
      <w:u w:val="single"/>
    </w:rPr>
  </w:style>
  <w:style w:type="character" w:customStyle="1" w:styleId="181">
    <w:name w:val="Char Char271"/>
    <w:qFormat/>
    <w:uiPriority w:val="0"/>
    <w:rPr>
      <w:rFonts w:eastAsia="宋体"/>
      <w:kern w:val="2"/>
      <w:sz w:val="28"/>
      <w:lang w:val="en-US" w:eastAsia="zh-CN" w:bidi="ar-SA"/>
    </w:rPr>
  </w:style>
  <w:style w:type="character" w:customStyle="1" w:styleId="182">
    <w:name w:val="Table Text Char Char"/>
    <w:link w:val="183"/>
    <w:qFormat/>
    <w:uiPriority w:val="0"/>
    <w:rPr>
      <w:lang w:eastAsia="en-US"/>
    </w:rPr>
  </w:style>
  <w:style w:type="paragraph" w:customStyle="1" w:styleId="183">
    <w:name w:val="Table Text"/>
    <w:basedOn w:val="1"/>
    <w:link w:val="182"/>
    <w:qFormat/>
    <w:uiPriority w:val="0"/>
    <w:pPr>
      <w:widowControl/>
      <w:tabs>
        <w:tab w:val="decimal" w:pos="0"/>
      </w:tabs>
      <w:overflowPunct w:val="0"/>
      <w:autoSpaceDE w:val="0"/>
      <w:autoSpaceDN w:val="0"/>
      <w:adjustRightInd w:val="0"/>
      <w:jc w:val="left"/>
      <w:textAlignment w:val="baseline"/>
    </w:pPr>
    <w:rPr>
      <w:rFonts w:ascii="Times New Roman" w:hAnsi="Times New Roman"/>
      <w:kern w:val="0"/>
      <w:sz w:val="20"/>
      <w:szCs w:val="20"/>
      <w:lang w:eastAsia="en-US"/>
    </w:rPr>
  </w:style>
  <w:style w:type="character" w:customStyle="1" w:styleId="184">
    <w:name w:val="Char Char15"/>
    <w:qFormat/>
    <w:uiPriority w:val="0"/>
    <w:rPr>
      <w:rFonts w:ascii="Arial" w:hAnsi="Arial" w:eastAsia="黑体"/>
      <w:sz w:val="24"/>
      <w:szCs w:val="24"/>
    </w:rPr>
  </w:style>
  <w:style w:type="character" w:customStyle="1" w:styleId="185">
    <w:name w:val="标题 2 Char"/>
    <w:basedOn w:val="55"/>
    <w:link w:val="2"/>
    <w:autoRedefine/>
    <w:qFormat/>
    <w:uiPriority w:val="0"/>
    <w:rPr>
      <w:rFonts w:ascii="仿宋_GB2312" w:hAnsi="Calibri" w:eastAsia="宋体" w:cs="Times New Roman"/>
      <w:b/>
      <w:sz w:val="28"/>
      <w:szCs w:val="32"/>
    </w:rPr>
  </w:style>
  <w:style w:type="character" w:customStyle="1" w:styleId="186">
    <w:name w:val="heading 5 Char1"/>
    <w:autoRedefine/>
    <w:qFormat/>
    <w:uiPriority w:val="0"/>
    <w:rPr>
      <w:rFonts w:eastAsia="宋体"/>
      <w:b/>
      <w:bCs/>
      <w:kern w:val="2"/>
      <w:sz w:val="28"/>
      <w:szCs w:val="28"/>
      <w:lang w:val="en-US" w:eastAsia="zh-CN" w:bidi="ar-SA"/>
    </w:rPr>
  </w:style>
  <w:style w:type="character" w:customStyle="1" w:styleId="187">
    <w:name w:val="Char Char61"/>
    <w:autoRedefine/>
    <w:qFormat/>
    <w:uiPriority w:val="0"/>
    <w:rPr>
      <w:rFonts w:ascii="Times New Roman" w:hAnsi="Times New Roman" w:eastAsia="宋体" w:cs="Times New Roman"/>
      <w:szCs w:val="24"/>
    </w:rPr>
  </w:style>
  <w:style w:type="character" w:customStyle="1" w:styleId="188">
    <w:name w:val="style13"/>
    <w:basedOn w:val="55"/>
    <w:autoRedefine/>
    <w:qFormat/>
    <w:uiPriority w:val="0"/>
  </w:style>
  <w:style w:type="character" w:customStyle="1" w:styleId="189">
    <w:name w:val="不明显参考1"/>
    <w:autoRedefine/>
    <w:qFormat/>
    <w:uiPriority w:val="0"/>
    <w:rPr>
      <w:smallCaps/>
      <w:color w:val="C0504D"/>
      <w:u w:val="single"/>
    </w:rPr>
  </w:style>
  <w:style w:type="character" w:customStyle="1" w:styleId="190">
    <w:name w:val="Footer-Even Char1"/>
    <w:autoRedefine/>
    <w:qFormat/>
    <w:uiPriority w:val="0"/>
    <w:rPr>
      <w:rFonts w:eastAsia="宋体"/>
      <w:kern w:val="2"/>
      <w:sz w:val="18"/>
      <w:szCs w:val="18"/>
      <w:lang w:val="en-US" w:eastAsia="zh-CN" w:bidi="ar-SA"/>
    </w:rPr>
  </w:style>
  <w:style w:type="character" w:customStyle="1" w:styleId="191">
    <w:name w:val="正文文本缩进 2 Char"/>
    <w:link w:val="35"/>
    <w:autoRedefine/>
    <w:qFormat/>
    <w:uiPriority w:val="0"/>
    <w:rPr>
      <w:sz w:val="24"/>
      <w:szCs w:val="24"/>
    </w:rPr>
  </w:style>
  <w:style w:type="character" w:customStyle="1" w:styleId="192">
    <w:name w:val="标题 9 Char"/>
    <w:basedOn w:val="55"/>
    <w:link w:val="12"/>
    <w:qFormat/>
    <w:uiPriority w:val="0"/>
    <w:rPr>
      <w:rFonts w:ascii="Arial" w:hAnsi="Arial" w:eastAsia="黑体" w:cs="Times New Roman"/>
      <w:szCs w:val="20"/>
    </w:rPr>
  </w:style>
  <w:style w:type="character" w:customStyle="1" w:styleId="193">
    <w:name w:val="Ò³Ã¼ Char Char"/>
    <w:qFormat/>
    <w:uiPriority w:val="0"/>
    <w:rPr>
      <w:sz w:val="18"/>
      <w:szCs w:val="18"/>
    </w:rPr>
  </w:style>
  <w:style w:type="character" w:customStyle="1" w:styleId="194">
    <w:name w:val="标题 6 Char"/>
    <w:basedOn w:val="55"/>
    <w:link w:val="8"/>
    <w:qFormat/>
    <w:uiPriority w:val="0"/>
    <w:rPr>
      <w:rFonts w:ascii="Arial" w:hAnsi="Arial" w:eastAsia="黑体" w:cs="Times New Roman"/>
      <w:b/>
      <w:sz w:val="24"/>
      <w:szCs w:val="20"/>
    </w:rPr>
  </w:style>
  <w:style w:type="character" w:customStyle="1" w:styleId="195">
    <w:name w:val="正文文本 2 Char"/>
    <w:basedOn w:val="55"/>
    <w:link w:val="49"/>
    <w:qFormat/>
    <w:uiPriority w:val="0"/>
  </w:style>
  <w:style w:type="character" w:customStyle="1" w:styleId="196">
    <w:name w:val="Style3"/>
    <w:qFormat/>
    <w:uiPriority w:val="0"/>
    <w:rPr>
      <w:rFonts w:ascii="Calibri" w:hAnsi="宋体" w:eastAsia="宋体" w:cs="Times New Roman"/>
      <w:szCs w:val="22"/>
      <w:lang w:eastAsia="zh-CN"/>
    </w:rPr>
  </w:style>
  <w:style w:type="character" w:customStyle="1" w:styleId="197">
    <w:name w:val="样式 标题 3 + 黑体 小四 Char Char"/>
    <w:link w:val="198"/>
    <w:qFormat/>
    <w:uiPriority w:val="0"/>
    <w:rPr>
      <w:rFonts w:ascii="黑体" w:hAnsi="Arial" w:eastAsia="黑体"/>
      <w:bCs/>
      <w:sz w:val="24"/>
      <w:szCs w:val="24"/>
    </w:rPr>
  </w:style>
  <w:style w:type="paragraph" w:customStyle="1" w:styleId="198">
    <w:name w:val="样式 标题 3 + 黑体 小四"/>
    <w:basedOn w:val="5"/>
    <w:link w:val="197"/>
    <w:qFormat/>
    <w:uiPriority w:val="0"/>
    <w:pPr>
      <w:spacing w:before="260" w:after="260" w:line="413" w:lineRule="auto"/>
    </w:pPr>
    <w:rPr>
      <w:rFonts w:ascii="黑体" w:hAnsi="Arial"/>
      <w:b w:val="0"/>
      <w:bCs/>
      <w:kern w:val="0"/>
      <w:sz w:val="24"/>
      <w:szCs w:val="24"/>
    </w:rPr>
  </w:style>
  <w:style w:type="character" w:customStyle="1" w:styleId="199">
    <w:name w:val="Char Char41"/>
    <w:qFormat/>
    <w:uiPriority w:val="0"/>
    <w:rPr>
      <w:rFonts w:ascii="Cambria" w:hAnsi="Cambria" w:eastAsia="宋体"/>
      <w:b/>
      <w:bCs/>
      <w:sz w:val="32"/>
      <w:szCs w:val="32"/>
      <w:lang w:bidi="ar-SA"/>
    </w:rPr>
  </w:style>
  <w:style w:type="character" w:customStyle="1" w:styleId="200">
    <w:name w:val="gray6"/>
    <w:basedOn w:val="55"/>
    <w:qFormat/>
    <w:uiPriority w:val="0"/>
  </w:style>
  <w:style w:type="character" w:customStyle="1" w:styleId="201">
    <w:name w:val="标题 4 Char"/>
    <w:basedOn w:val="55"/>
    <w:link w:val="6"/>
    <w:qFormat/>
    <w:uiPriority w:val="0"/>
    <w:rPr>
      <w:rFonts w:ascii="Calibri" w:hAnsi="Calibri" w:eastAsia="宋体" w:cs="Times New Roman"/>
      <w:sz w:val="28"/>
      <w:szCs w:val="28"/>
    </w:rPr>
  </w:style>
  <w:style w:type="character" w:customStyle="1" w:styleId="202">
    <w:name w:val="PI Char1"/>
    <w:autoRedefine/>
    <w:qFormat/>
    <w:uiPriority w:val="0"/>
    <w:rPr>
      <w:rFonts w:eastAsia="宋体"/>
      <w:kern w:val="2"/>
      <w:sz w:val="24"/>
      <w:szCs w:val="24"/>
      <w:lang w:val="en-US" w:eastAsia="zh-CN" w:bidi="ar-SA"/>
    </w:rPr>
  </w:style>
  <w:style w:type="character" w:customStyle="1" w:styleId="203">
    <w:name w:val="ändrad Char"/>
    <w:qFormat/>
    <w:uiPriority w:val="0"/>
    <w:rPr>
      <w:rFonts w:eastAsia="宋体"/>
      <w:kern w:val="2"/>
      <w:sz w:val="21"/>
      <w:szCs w:val="24"/>
      <w:lang w:val="en-US" w:eastAsia="zh-CN" w:bidi="ar-SA"/>
    </w:rPr>
  </w:style>
  <w:style w:type="character" w:customStyle="1" w:styleId="204">
    <w:name w:val="style111"/>
    <w:qFormat/>
    <w:uiPriority w:val="0"/>
    <w:rPr>
      <w:sz w:val="27"/>
      <w:szCs w:val="27"/>
    </w:rPr>
  </w:style>
  <w:style w:type="character" w:customStyle="1" w:styleId="205">
    <w:name w:val="不明显强调1"/>
    <w:qFormat/>
    <w:uiPriority w:val="0"/>
    <w:rPr>
      <w:i/>
      <w:iCs/>
      <w:color w:val="808080"/>
    </w:rPr>
  </w:style>
  <w:style w:type="character" w:customStyle="1" w:styleId="206">
    <w:name w:val="Char Char19"/>
    <w:qFormat/>
    <w:uiPriority w:val="0"/>
    <w:rPr>
      <w:rFonts w:ascii="Cambria" w:hAnsi="Cambria"/>
      <w:b/>
      <w:bCs/>
      <w:kern w:val="2"/>
      <w:sz w:val="32"/>
      <w:szCs w:val="32"/>
    </w:rPr>
  </w:style>
  <w:style w:type="character" w:customStyle="1" w:styleId="207">
    <w:name w:val="正文文本 2 字符1"/>
    <w:basedOn w:val="55"/>
    <w:semiHidden/>
    <w:qFormat/>
    <w:uiPriority w:val="99"/>
    <w:rPr>
      <w:rFonts w:ascii="Calibri" w:hAnsi="Calibri" w:eastAsia="宋体" w:cs="Times New Roman"/>
      <w:szCs w:val="24"/>
    </w:rPr>
  </w:style>
  <w:style w:type="character" w:customStyle="1" w:styleId="208">
    <w:name w:val="正文文本 Char"/>
    <w:basedOn w:val="55"/>
    <w:link w:val="21"/>
    <w:qFormat/>
    <w:uiPriority w:val="0"/>
    <w:rPr>
      <w:rFonts w:ascii="Calibri" w:hAnsi="Calibri" w:eastAsia="宋体" w:cs="Times New Roman"/>
      <w:szCs w:val="24"/>
    </w:rPr>
  </w:style>
  <w:style w:type="character" w:customStyle="1" w:styleId="209">
    <w:name w:val="正文首行缩进 字符1"/>
    <w:basedOn w:val="208"/>
    <w:semiHidden/>
    <w:qFormat/>
    <w:uiPriority w:val="99"/>
    <w:rPr>
      <w:rFonts w:ascii="Calibri" w:hAnsi="Calibri" w:eastAsia="宋体" w:cs="Times New Roman"/>
      <w:szCs w:val="24"/>
    </w:rPr>
  </w:style>
  <w:style w:type="character" w:customStyle="1" w:styleId="210">
    <w:name w:val="Char Char Char1"/>
    <w:qFormat/>
    <w:uiPriority w:val="0"/>
    <w:rPr>
      <w:rFonts w:ascii="宋体" w:hAnsi="Courier New"/>
      <w:sz w:val="21"/>
      <w:szCs w:val="21"/>
    </w:rPr>
  </w:style>
  <w:style w:type="character" w:customStyle="1" w:styleId="211">
    <w:name w:val="heading 1 Char2"/>
    <w:qFormat/>
    <w:uiPriority w:val="0"/>
    <w:rPr>
      <w:b/>
      <w:bCs/>
      <w:kern w:val="44"/>
      <w:sz w:val="44"/>
      <w:szCs w:val="44"/>
    </w:rPr>
  </w:style>
  <w:style w:type="character" w:customStyle="1" w:styleId="212">
    <w:name w:val="Char Char22"/>
    <w:qFormat/>
    <w:uiPriority w:val="0"/>
    <w:rPr>
      <w:rFonts w:ascii="Arial" w:hAnsi="Arial" w:eastAsia="黑体"/>
      <w:b/>
      <w:bCs/>
      <w:kern w:val="44"/>
      <w:sz w:val="30"/>
      <w:szCs w:val="44"/>
      <w:lang w:val="en-US" w:eastAsia="zh-CN" w:bidi="ar-SA"/>
    </w:rPr>
  </w:style>
  <w:style w:type="character" w:customStyle="1" w:styleId="213">
    <w:name w:val="页脚 字符1"/>
    <w:basedOn w:val="55"/>
    <w:semiHidden/>
    <w:qFormat/>
    <w:uiPriority w:val="99"/>
    <w:rPr>
      <w:kern w:val="2"/>
      <w:sz w:val="18"/>
      <w:szCs w:val="18"/>
    </w:rPr>
  </w:style>
  <w:style w:type="character" w:customStyle="1" w:styleId="214">
    <w:name w:val="Char Char17"/>
    <w:qFormat/>
    <w:uiPriority w:val="0"/>
    <w:rPr>
      <w:rFonts w:ascii="Cambria" w:hAnsi="Cambria"/>
      <w:b/>
      <w:bCs/>
      <w:kern w:val="2"/>
      <w:sz w:val="28"/>
      <w:szCs w:val="28"/>
    </w:rPr>
  </w:style>
  <w:style w:type="character" w:customStyle="1" w:styleId="215">
    <w:name w:val="heading 3 Char2"/>
    <w:qFormat/>
    <w:uiPriority w:val="0"/>
    <w:rPr>
      <w:b/>
      <w:bCs/>
      <w:kern w:val="2"/>
      <w:sz w:val="32"/>
      <w:szCs w:val="32"/>
    </w:rPr>
  </w:style>
  <w:style w:type="character" w:customStyle="1" w:styleId="216">
    <w:name w:val="签名 Char"/>
    <w:link w:val="40"/>
    <w:qFormat/>
    <w:uiPriority w:val="0"/>
    <w:rPr>
      <w:rFonts w:ascii="仿宋_GB2312" w:eastAsia="仿宋_GB2312"/>
      <w:b/>
      <w:sz w:val="24"/>
      <w:szCs w:val="32"/>
    </w:rPr>
  </w:style>
  <w:style w:type="character" w:customStyle="1" w:styleId="217">
    <w:name w:val="批注文字 字符"/>
    <w:qFormat/>
    <w:uiPriority w:val="0"/>
    <w:rPr>
      <w:rFonts w:eastAsia="宋体"/>
      <w:kern w:val="2"/>
      <w:sz w:val="21"/>
      <w:szCs w:val="24"/>
      <w:lang w:val="en-US" w:eastAsia="zh-CN" w:bidi="ar-SA"/>
    </w:rPr>
  </w:style>
  <w:style w:type="character" w:customStyle="1" w:styleId="218">
    <w:name w:val="Char Char1"/>
    <w:qFormat/>
    <w:uiPriority w:val="0"/>
    <w:rPr>
      <w:rFonts w:eastAsia="宋体"/>
      <w:sz w:val="21"/>
      <w:lang w:val="en-US" w:eastAsia="zh-CN" w:bidi="ar-SA"/>
    </w:rPr>
  </w:style>
  <w:style w:type="character" w:customStyle="1" w:styleId="219">
    <w:name w:val="正文首行缩进 2 Char"/>
    <w:basedOn w:val="116"/>
    <w:link w:val="25"/>
    <w:qFormat/>
    <w:uiPriority w:val="0"/>
    <w:rPr>
      <w:rFonts w:ascii="Calibri" w:hAnsi="Calibri" w:eastAsia="宋体" w:cs="宋体"/>
      <w:szCs w:val="21"/>
    </w:rPr>
  </w:style>
  <w:style w:type="character" w:customStyle="1" w:styleId="220">
    <w:name w:val="表格 Char Char"/>
    <w:link w:val="221"/>
    <w:qFormat/>
    <w:uiPriority w:val="0"/>
    <w:rPr>
      <w:rFonts w:ascii="宋体" w:hAnsi="宋体"/>
    </w:rPr>
  </w:style>
  <w:style w:type="paragraph" w:customStyle="1" w:styleId="221">
    <w:name w:val="表格"/>
    <w:basedOn w:val="1"/>
    <w:link w:val="220"/>
    <w:autoRedefine/>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222">
    <w:name w:val="Ò³Ã¼ Char Char1"/>
    <w:qFormat/>
    <w:uiPriority w:val="0"/>
    <w:rPr>
      <w:rFonts w:eastAsia="宋体"/>
      <w:kern w:val="2"/>
      <w:sz w:val="18"/>
      <w:szCs w:val="18"/>
      <w:lang w:val="en-US" w:eastAsia="zh-CN" w:bidi="ar-SA"/>
    </w:rPr>
  </w:style>
  <w:style w:type="character" w:customStyle="1" w:styleId="223">
    <w:name w:val="Char Char27"/>
    <w:qFormat/>
    <w:uiPriority w:val="0"/>
    <w:rPr>
      <w:rFonts w:eastAsia="宋体"/>
      <w:kern w:val="2"/>
      <w:sz w:val="28"/>
      <w:lang w:val="en-US" w:eastAsia="zh-CN" w:bidi="ar-SA"/>
    </w:rPr>
  </w:style>
  <w:style w:type="paragraph" w:customStyle="1" w:styleId="22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25">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6">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227">
    <w:name w:val="列出段落1"/>
    <w:basedOn w:val="1"/>
    <w:qFormat/>
    <w:uiPriority w:val="0"/>
    <w:pPr>
      <w:ind w:firstLine="420" w:firstLineChars="200"/>
    </w:pPr>
    <w:rPr>
      <w:szCs w:val="22"/>
    </w:rPr>
  </w:style>
  <w:style w:type="paragraph" w:customStyle="1" w:styleId="228">
    <w:name w:val="Table Paragraph"/>
    <w:basedOn w:val="1"/>
    <w:qFormat/>
    <w:uiPriority w:val="1"/>
  </w:style>
  <w:style w:type="paragraph" w:customStyle="1" w:styleId="229">
    <w:name w:val="BodyText1I"/>
    <w:basedOn w:val="230"/>
    <w:qFormat/>
    <w:uiPriority w:val="0"/>
    <w:pPr>
      <w:ind w:firstLine="420" w:firstLineChars="100"/>
    </w:pPr>
  </w:style>
  <w:style w:type="paragraph" w:customStyle="1" w:styleId="230">
    <w:name w:val="BodyText"/>
    <w:basedOn w:val="1"/>
    <w:qFormat/>
    <w:uiPriority w:val="0"/>
    <w:pPr>
      <w:spacing w:after="120"/>
    </w:pPr>
  </w:style>
  <w:style w:type="paragraph" w:customStyle="1" w:styleId="231">
    <w:name w:val="列出段落3"/>
    <w:basedOn w:val="1"/>
    <w:qFormat/>
    <w:uiPriority w:val="0"/>
    <w:pPr>
      <w:ind w:firstLine="420" w:firstLineChars="200"/>
    </w:pPr>
    <w:rPr>
      <w:lang w:val="zh-CN"/>
    </w:rPr>
  </w:style>
  <w:style w:type="paragraph" w:customStyle="1" w:styleId="232">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233">
    <w:name w:val="前言、引言标题"/>
    <w:next w:val="1"/>
    <w:qFormat/>
    <w:uiPriority w:val="0"/>
    <w:pPr>
      <w:shd w:val="clear" w:color="FFFFFF" w:fill="FFFFFF"/>
      <w:tabs>
        <w:tab w:val="left" w:pos="3349"/>
      </w:tabs>
      <w:spacing w:before="640" w:after="560"/>
      <w:ind w:left="3349" w:hanging="720"/>
      <w:jc w:val="center"/>
      <w:outlineLvl w:val="0"/>
    </w:pPr>
    <w:rPr>
      <w:rFonts w:ascii="黑体" w:hAnsi="Calibri" w:eastAsia="黑体" w:cs="Times New Roman"/>
      <w:sz w:val="32"/>
      <w:lang w:val="en-US" w:eastAsia="zh-CN" w:bidi="ar-SA"/>
    </w:rPr>
  </w:style>
  <w:style w:type="paragraph" w:customStyle="1" w:styleId="234">
    <w:name w:val="样式 样式 正文文本缩进 + 仿宋_GB2312 小四 首行缩进:  0 厘米 行距: 1.5 倍行距 + (中文) 仿宋_GB... Char Char"/>
    <w:basedOn w:val="1"/>
    <w:autoRedefine/>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35">
    <w:name w:val="列项——（一级）"/>
    <w:qFormat/>
    <w:uiPriority w:val="0"/>
    <w:pPr>
      <w:widowControl w:val="0"/>
      <w:tabs>
        <w:tab w:val="left" w:pos="854"/>
        <w:tab w:val="left" w:pos="1260"/>
      </w:tabs>
      <w:ind w:left="1260" w:hanging="420"/>
      <w:jc w:val="both"/>
    </w:pPr>
    <w:rPr>
      <w:rFonts w:ascii="宋体" w:hAnsi="Calibri" w:eastAsia="宋体" w:cs="Times New Roman"/>
      <w:sz w:val="21"/>
      <w:lang w:val="en-US" w:eastAsia="zh-CN" w:bidi="ar-SA"/>
    </w:rPr>
  </w:style>
  <w:style w:type="paragraph" w:customStyle="1" w:styleId="236">
    <w:name w:val="居中表格内容"/>
    <w:basedOn w:val="1"/>
    <w:next w:val="1"/>
    <w:qFormat/>
    <w:uiPriority w:val="0"/>
    <w:pPr>
      <w:jc w:val="left"/>
    </w:pPr>
    <w:rPr>
      <w:szCs w:val="20"/>
    </w:rPr>
  </w:style>
  <w:style w:type="paragraph" w:customStyle="1" w:styleId="237">
    <w:name w:val="Char Char"/>
    <w:basedOn w:val="1"/>
    <w:qFormat/>
    <w:uiPriority w:val="0"/>
    <w:rPr>
      <w:rFonts w:ascii="仿宋_GB2312" w:eastAsia="仿宋_GB2312"/>
      <w:b/>
      <w:sz w:val="32"/>
      <w:szCs w:val="32"/>
    </w:rPr>
  </w:style>
  <w:style w:type="paragraph" w:customStyle="1" w:styleId="238">
    <w:name w:val="样式 标题 3 + 黑色 段前: 5 磅 段后: 5 磅 行距: 1.5 倍行距"/>
    <w:basedOn w:val="1"/>
    <w:qFormat/>
    <w:uiPriority w:val="0"/>
    <w:pPr>
      <w:ind w:left="855" w:hanging="855"/>
    </w:pPr>
    <w:rPr>
      <w:sz w:val="24"/>
      <w:szCs w:val="20"/>
    </w:rPr>
  </w:style>
  <w:style w:type="paragraph" w:customStyle="1" w:styleId="239">
    <w:name w:val="此正文"/>
    <w:basedOn w:val="1"/>
    <w:autoRedefine/>
    <w:qFormat/>
    <w:uiPriority w:val="0"/>
    <w:pPr>
      <w:autoSpaceDE w:val="0"/>
      <w:autoSpaceDN w:val="0"/>
      <w:adjustRightInd w:val="0"/>
      <w:spacing w:line="360" w:lineRule="auto"/>
      <w:ind w:firstLine="200" w:firstLineChars="200"/>
      <w:jc w:val="left"/>
    </w:pPr>
    <w:rPr>
      <w:kern w:val="0"/>
      <w:sz w:val="24"/>
      <w:szCs w:val="20"/>
    </w:rPr>
  </w:style>
  <w:style w:type="paragraph" w:customStyle="1" w:styleId="240">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41">
    <w:name w:val="样式1"/>
    <w:basedOn w:val="1"/>
    <w:qFormat/>
    <w:uiPriority w:val="0"/>
    <w:pPr>
      <w:autoSpaceDE w:val="0"/>
      <w:autoSpaceDN w:val="0"/>
      <w:adjustRightInd w:val="0"/>
      <w:spacing w:line="400" w:lineRule="exact"/>
    </w:pPr>
    <w:rPr>
      <w:rFonts w:ascii="宋体" w:hAnsi="Times New Roman" w:cs="宋体"/>
      <w:kern w:val="0"/>
    </w:rPr>
  </w:style>
  <w:style w:type="paragraph" w:customStyle="1" w:styleId="242">
    <w:name w:val="!正文"/>
    <w:basedOn w:val="1"/>
    <w:qFormat/>
    <w:uiPriority w:val="0"/>
    <w:pPr>
      <w:ind w:firstLine="480" w:firstLineChars="200"/>
    </w:pPr>
    <w:rPr>
      <w:szCs w:val="21"/>
    </w:rPr>
  </w:style>
  <w:style w:type="paragraph" w:customStyle="1" w:styleId="243">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24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5">
    <w:name w:val="正文文本缩进 31"/>
    <w:basedOn w:val="1"/>
    <w:qFormat/>
    <w:uiPriority w:val="99"/>
    <w:pPr>
      <w:spacing w:line="300" w:lineRule="auto"/>
      <w:ind w:firstLine="480" w:firstLineChars="200"/>
      <w:jc w:val="left"/>
    </w:pPr>
    <w:rPr>
      <w:kern w:val="0"/>
      <w:sz w:val="24"/>
    </w:rPr>
  </w:style>
  <w:style w:type="paragraph" w:customStyle="1" w:styleId="246">
    <w:name w:val="样式5"/>
    <w:basedOn w:val="9"/>
    <w:qFormat/>
    <w:uiPriority w:val="0"/>
    <w:pPr>
      <w:spacing w:line="360" w:lineRule="auto"/>
      <w:ind w:firstLine="200"/>
    </w:pPr>
    <w:rPr>
      <w:rFonts w:ascii="仿宋_GB2312"/>
      <w:b/>
      <w:sz w:val="28"/>
      <w:szCs w:val="21"/>
    </w:rPr>
  </w:style>
  <w:style w:type="paragraph" w:customStyle="1" w:styleId="247">
    <w:name w:val="1 Char"/>
    <w:basedOn w:val="9"/>
    <w:qFormat/>
    <w:uiPriority w:val="0"/>
    <w:pPr>
      <w:spacing w:line="360" w:lineRule="auto"/>
      <w:ind w:firstLine="200"/>
    </w:pPr>
    <w:rPr>
      <w:rFonts w:ascii="仿宋_GB2312"/>
      <w:b/>
      <w:szCs w:val="32"/>
    </w:rPr>
  </w:style>
  <w:style w:type="paragraph" w:customStyle="1" w:styleId="248">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49">
    <w:name w:val="Char"/>
    <w:basedOn w:val="1"/>
    <w:qFormat/>
    <w:uiPriority w:val="0"/>
    <w:rPr>
      <w:rFonts w:ascii="仿宋_GB2312" w:eastAsia="仿宋_GB2312"/>
      <w:b/>
      <w:sz w:val="32"/>
      <w:szCs w:val="32"/>
    </w:rPr>
  </w:style>
  <w:style w:type="paragraph" w:customStyle="1" w:styleId="250">
    <w:name w:val="纯文本1"/>
    <w:basedOn w:val="1"/>
    <w:qFormat/>
    <w:uiPriority w:val="0"/>
    <w:pPr>
      <w:adjustRightInd w:val="0"/>
      <w:textAlignment w:val="baseline"/>
    </w:pPr>
    <w:rPr>
      <w:rFonts w:ascii="宋体" w:hAnsi="Courier New" w:eastAsia="楷体_GB2312"/>
      <w:sz w:val="28"/>
      <w:szCs w:val="20"/>
    </w:rPr>
  </w:style>
  <w:style w:type="paragraph" w:customStyle="1" w:styleId="251">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52">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53">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254">
    <w:name w:val="正文_0"/>
    <w:qFormat/>
    <w:uiPriority w:val="0"/>
    <w:pPr>
      <w:widowControl w:val="0"/>
      <w:spacing w:line="360" w:lineRule="auto"/>
      <w:jc w:val="both"/>
    </w:pPr>
    <w:rPr>
      <w:rFonts w:ascii="Calibri" w:hAnsi="Calibri" w:eastAsia="微软雅黑" w:cs="Times New Roman"/>
      <w:kern w:val="2"/>
      <w:sz w:val="24"/>
      <w:szCs w:val="24"/>
      <w:lang w:val="en-US" w:eastAsia="zh-CN" w:bidi="ar-SA"/>
    </w:rPr>
  </w:style>
  <w:style w:type="paragraph" w:customStyle="1" w:styleId="255">
    <w:name w:val="四级条标题"/>
    <w:basedOn w:val="256"/>
    <w:next w:val="1"/>
    <w:qFormat/>
    <w:uiPriority w:val="0"/>
    <w:pPr>
      <w:tabs>
        <w:tab w:val="left" w:pos="3889"/>
        <w:tab w:val="left" w:pos="4309"/>
        <w:tab w:val="left" w:pos="4729"/>
        <w:tab w:val="left" w:pos="5149"/>
      </w:tabs>
      <w:ind w:left="5149"/>
      <w:outlineLvl w:val="5"/>
    </w:pPr>
  </w:style>
  <w:style w:type="paragraph" w:customStyle="1" w:styleId="256">
    <w:name w:val="三级条标题"/>
    <w:basedOn w:val="257"/>
    <w:next w:val="1"/>
    <w:qFormat/>
    <w:uiPriority w:val="0"/>
    <w:pPr>
      <w:tabs>
        <w:tab w:val="left" w:pos="3889"/>
        <w:tab w:val="left" w:pos="4309"/>
        <w:tab w:val="left" w:pos="4729"/>
      </w:tabs>
      <w:ind w:left="4729"/>
      <w:outlineLvl w:val="4"/>
    </w:pPr>
  </w:style>
  <w:style w:type="paragraph" w:customStyle="1" w:styleId="257">
    <w:name w:val="二级条标题"/>
    <w:basedOn w:val="258"/>
    <w:next w:val="1"/>
    <w:qFormat/>
    <w:uiPriority w:val="0"/>
    <w:pPr>
      <w:tabs>
        <w:tab w:val="left" w:pos="3889"/>
        <w:tab w:val="left" w:pos="4309"/>
      </w:tabs>
      <w:ind w:left="4309"/>
      <w:outlineLvl w:val="3"/>
    </w:pPr>
  </w:style>
  <w:style w:type="paragraph" w:customStyle="1" w:styleId="258">
    <w:name w:val="一级条标题"/>
    <w:next w:val="1"/>
    <w:qFormat/>
    <w:uiPriority w:val="0"/>
    <w:pPr>
      <w:tabs>
        <w:tab w:val="left" w:pos="3889"/>
      </w:tabs>
      <w:ind w:left="3889" w:hanging="420"/>
      <w:outlineLvl w:val="2"/>
    </w:pPr>
    <w:rPr>
      <w:rFonts w:ascii="Calibri" w:hAnsi="Calibri" w:eastAsia="黑体" w:cs="Times New Roman"/>
      <w:sz w:val="21"/>
      <w:lang w:val="en-US" w:eastAsia="zh-CN" w:bidi="ar-SA"/>
    </w:rPr>
  </w:style>
  <w:style w:type="paragraph" w:customStyle="1" w:styleId="259">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60">
    <w:name w:val="l正文"/>
    <w:basedOn w:val="1"/>
    <w:qFormat/>
    <w:uiPriority w:val="0"/>
    <w:pPr>
      <w:spacing w:line="360" w:lineRule="auto"/>
      <w:ind w:firstLine="200" w:firstLineChars="200"/>
    </w:pPr>
    <w:rPr>
      <w:rFonts w:ascii="宋体" w:hAnsi="宋体"/>
      <w:sz w:val="24"/>
    </w:rPr>
  </w:style>
  <w:style w:type="paragraph" w:customStyle="1" w:styleId="261">
    <w:name w:val="正文字缩2字"/>
    <w:basedOn w:val="1"/>
    <w:qFormat/>
    <w:uiPriority w:val="0"/>
    <w:pPr>
      <w:spacing w:before="60" w:after="60" w:line="360" w:lineRule="auto"/>
      <w:ind w:left="200" w:leftChars="200" w:firstLine="200" w:firstLineChars="200"/>
    </w:pPr>
    <w:rPr>
      <w:sz w:val="24"/>
    </w:rPr>
  </w:style>
  <w:style w:type="paragraph" w:customStyle="1" w:styleId="262">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63">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4">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65">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6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7">
    <w:name w:val="列出段落2"/>
    <w:basedOn w:val="1"/>
    <w:qFormat/>
    <w:uiPriority w:val="34"/>
    <w:pPr>
      <w:ind w:firstLine="420" w:firstLineChars="200"/>
    </w:pPr>
  </w:style>
  <w:style w:type="paragraph" w:customStyle="1" w:styleId="268">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269">
    <w:name w:val="标书正文格式"/>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270">
    <w:name w:val="Char Char Char Char Char Char Char1"/>
    <w:basedOn w:val="1"/>
    <w:qFormat/>
    <w:uiPriority w:val="0"/>
    <w:rPr>
      <w:rFonts w:ascii="仿宋_GB2312" w:eastAsia="仿宋_GB2312"/>
      <w:b/>
      <w:sz w:val="32"/>
      <w:szCs w:val="32"/>
    </w:rPr>
  </w:style>
  <w:style w:type="paragraph" w:customStyle="1" w:styleId="271">
    <w:name w:val="简单回函地址"/>
    <w:basedOn w:val="1"/>
    <w:qFormat/>
    <w:uiPriority w:val="0"/>
  </w:style>
  <w:style w:type="paragraph" w:customStyle="1" w:styleId="272">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273">
    <w:name w:val="样式 标题 1Level 1Level 11h1II+IHeading1H1-Heading 1Header 1..."/>
    <w:basedOn w:val="4"/>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7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75">
    <w:name w:val="TOC 标题1"/>
    <w:basedOn w:val="4"/>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76">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77">
    <w:name w:val="È±Ê¡ÎÄ±¾ Char"/>
    <w:basedOn w:val="1"/>
    <w:qFormat/>
    <w:uiPriority w:val="0"/>
    <w:pPr>
      <w:widowControl/>
      <w:overflowPunct w:val="0"/>
      <w:autoSpaceDE w:val="0"/>
      <w:autoSpaceDN w:val="0"/>
      <w:adjustRightInd w:val="0"/>
      <w:textAlignment w:val="baseline"/>
    </w:pPr>
    <w:rPr>
      <w:rFonts w:ascii="Times New Roman" w:hAnsi="Times New Roman"/>
      <w:szCs w:val="21"/>
      <w:lang w:val="zh-CN"/>
    </w:rPr>
  </w:style>
  <w:style w:type="paragraph" w:customStyle="1" w:styleId="278">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9">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280">
    <w:name w:val="正文缩进1"/>
    <w:basedOn w:val="1"/>
    <w:next w:val="24"/>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8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82">
    <w:name w:val="样式 宋体 小四 段前: 7.8 磅 段后: 7.8 磅 行距: 1.5 倍行距"/>
    <w:basedOn w:val="1"/>
    <w:qFormat/>
    <w:uiPriority w:val="0"/>
    <w:pPr>
      <w:spacing w:line="360" w:lineRule="auto"/>
      <w:ind w:firstLine="480"/>
    </w:pPr>
    <w:rPr>
      <w:rFonts w:ascii="宋体" w:hAnsi="宋体" w:cs="宋体"/>
      <w:sz w:val="24"/>
      <w:szCs w:val="20"/>
    </w:rPr>
  </w:style>
  <w:style w:type="paragraph" w:customStyle="1" w:styleId="283">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84">
    <w:name w:val="Table Heading"/>
    <w:qFormat/>
    <w:uiPriority w:val="0"/>
    <w:pPr>
      <w:keepNext/>
      <w:snapToGrid w:val="0"/>
      <w:spacing w:before="80" w:after="80"/>
      <w:jc w:val="center"/>
    </w:pPr>
    <w:rPr>
      <w:rFonts w:ascii="Calibri" w:hAnsi="Calibri" w:eastAsia="黑体" w:cs="Arial"/>
      <w:kern w:val="2"/>
      <w:sz w:val="18"/>
      <w:szCs w:val="18"/>
      <w:lang w:val="en-US" w:eastAsia="zh-CN" w:bidi="ar-SA"/>
    </w:rPr>
  </w:style>
  <w:style w:type="paragraph" w:customStyle="1" w:styleId="285">
    <w:name w:val="列出段落11"/>
    <w:basedOn w:val="1"/>
    <w:qFormat/>
    <w:uiPriority w:val="0"/>
    <w:pPr>
      <w:ind w:firstLine="420" w:firstLineChars="200"/>
    </w:pPr>
    <w:rPr>
      <w:szCs w:val="20"/>
    </w:rPr>
  </w:style>
  <w:style w:type="paragraph" w:customStyle="1" w:styleId="286">
    <w:name w:val="文档正文"/>
    <w:basedOn w:val="1"/>
    <w:qFormat/>
    <w:uiPriority w:val="0"/>
    <w:pPr>
      <w:adjustRightInd w:val="0"/>
      <w:spacing w:line="300" w:lineRule="auto"/>
      <w:ind w:firstLine="567"/>
      <w:textAlignment w:val="baseline"/>
    </w:pPr>
    <w:rPr>
      <w:kern w:val="0"/>
      <w:sz w:val="24"/>
      <w:szCs w:val="20"/>
    </w:rPr>
  </w:style>
  <w:style w:type="paragraph" w:customStyle="1" w:styleId="28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88">
    <w:name w:val="正文－恩普"/>
    <w:basedOn w:val="9"/>
    <w:qFormat/>
    <w:uiPriority w:val="0"/>
    <w:pPr>
      <w:spacing w:line="360" w:lineRule="auto"/>
      <w:ind w:firstLine="200"/>
    </w:pPr>
    <w:rPr>
      <w:rFonts w:ascii="仿宋_GB2312"/>
      <w:b/>
      <w:sz w:val="24"/>
    </w:rPr>
  </w:style>
  <w:style w:type="paragraph" w:customStyle="1" w:styleId="289">
    <w:name w:val="Char Char Char Char Char Char Char Char Char Char Char Char Char"/>
    <w:basedOn w:val="1"/>
    <w:qFormat/>
    <w:uiPriority w:val="0"/>
    <w:rPr>
      <w:rFonts w:ascii="Tahoma" w:hAnsi="Tahoma"/>
      <w:sz w:val="24"/>
      <w:szCs w:val="20"/>
    </w:rPr>
  </w:style>
  <w:style w:type="paragraph" w:customStyle="1" w:styleId="290">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9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2">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3">
    <w:name w:val="Test2"/>
    <w:basedOn w:val="2"/>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94">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95">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6">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97">
    <w:name w:val="Char Char Char Char Char Char Char"/>
    <w:basedOn w:val="1"/>
    <w:qFormat/>
    <w:uiPriority w:val="0"/>
    <w:rPr>
      <w:rFonts w:ascii="仿宋_GB2312" w:eastAsia="仿宋_GB2312"/>
      <w:b/>
      <w:sz w:val="32"/>
      <w:szCs w:val="32"/>
    </w:rPr>
  </w:style>
  <w:style w:type="paragraph" w:customStyle="1" w:styleId="29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99">
    <w:name w:val="tabletext"/>
    <w:basedOn w:val="1"/>
    <w:qFormat/>
    <w:uiPriority w:val="0"/>
    <w:pPr>
      <w:widowControl/>
      <w:spacing w:line="300" w:lineRule="atLeast"/>
      <w:jc w:val="left"/>
    </w:pPr>
    <w:rPr>
      <w:rFonts w:ascii="宋体" w:hAnsi="宋体" w:cs="宋体"/>
      <w:kern w:val="0"/>
      <w:sz w:val="18"/>
      <w:szCs w:val="18"/>
    </w:rPr>
  </w:style>
  <w:style w:type="paragraph" w:customStyle="1" w:styleId="300">
    <w:name w:val="章标题"/>
    <w:next w:val="1"/>
    <w:qFormat/>
    <w:uiPriority w:val="0"/>
    <w:pPr>
      <w:tabs>
        <w:tab w:val="left" w:pos="3469"/>
      </w:tabs>
      <w:spacing w:beforeLines="50" w:afterLines="50"/>
      <w:ind w:left="3469" w:hanging="420"/>
      <w:jc w:val="both"/>
      <w:outlineLvl w:val="1"/>
    </w:pPr>
    <w:rPr>
      <w:rFonts w:ascii="黑体" w:hAnsi="Calibri" w:eastAsia="黑体" w:cs="Times New Roman"/>
      <w:sz w:val="21"/>
      <w:lang w:val="en-US" w:eastAsia="zh-CN" w:bidi="ar-SA"/>
    </w:rPr>
  </w:style>
  <w:style w:type="paragraph" w:customStyle="1" w:styleId="301">
    <w:name w:val="Item List in Table"/>
    <w:qFormat/>
    <w:uiPriority w:val="0"/>
    <w:pPr>
      <w:tabs>
        <w:tab w:val="left" w:pos="284"/>
        <w:tab w:val="left" w:pos="720"/>
      </w:tabs>
      <w:spacing w:before="40" w:after="40"/>
      <w:ind w:left="720" w:hanging="720"/>
      <w:jc w:val="both"/>
    </w:pPr>
    <w:rPr>
      <w:rFonts w:ascii="Calibri" w:hAnsi="Calibri" w:eastAsia="宋体" w:cs="Arial"/>
      <w:kern w:val="2"/>
      <w:sz w:val="18"/>
      <w:szCs w:val="18"/>
      <w:lang w:val="en-US" w:eastAsia="zh-CN" w:bidi="ar-SA"/>
    </w:rPr>
  </w:style>
  <w:style w:type="paragraph" w:customStyle="1" w:styleId="302">
    <w:name w:val="正文 首行缩进:  2 字符 Char"/>
    <w:basedOn w:val="1"/>
    <w:autoRedefine/>
    <w:qFormat/>
    <w:uiPriority w:val="0"/>
    <w:pPr>
      <w:spacing w:line="360" w:lineRule="auto"/>
      <w:ind w:firstLine="480"/>
    </w:pPr>
    <w:rPr>
      <w:rFonts w:cs="宋体"/>
      <w:sz w:val="24"/>
      <w:szCs w:val="20"/>
    </w:rPr>
  </w:style>
  <w:style w:type="paragraph" w:customStyle="1" w:styleId="303">
    <w:name w:val="正文文字表格居中"/>
    <w:basedOn w:val="1"/>
    <w:next w:val="49"/>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4">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0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06">
    <w:name w:val="WW-正文文字缩进 2"/>
    <w:basedOn w:val="1"/>
    <w:autoRedefine/>
    <w:qFormat/>
    <w:uiPriority w:val="0"/>
    <w:pPr>
      <w:suppressAutoHyphens/>
      <w:autoSpaceDE w:val="0"/>
      <w:autoSpaceDN w:val="0"/>
      <w:adjustRightInd w:val="0"/>
      <w:ind w:firstLine="420"/>
      <w:jc w:val="left"/>
    </w:pPr>
    <w:rPr>
      <w:kern w:val="1"/>
      <w:sz w:val="20"/>
      <w:szCs w:val="20"/>
    </w:rPr>
  </w:style>
  <w:style w:type="paragraph" w:customStyle="1" w:styleId="307">
    <w:name w:val="NICMAN Body Text"/>
    <w:basedOn w:val="1"/>
    <w:next w:val="21"/>
    <w:qFormat/>
    <w:uiPriority w:val="0"/>
    <w:pPr>
      <w:autoSpaceDE w:val="0"/>
      <w:autoSpaceDN w:val="0"/>
      <w:adjustRightInd w:val="0"/>
      <w:spacing w:after="120"/>
      <w:jc w:val="left"/>
    </w:pPr>
    <w:rPr>
      <w:kern w:val="0"/>
      <w:sz w:val="20"/>
      <w:szCs w:val="20"/>
    </w:rPr>
  </w:style>
  <w:style w:type="paragraph" w:customStyle="1" w:styleId="308">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09">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310">
    <w:name w:val="正文（首行缩进）"/>
    <w:basedOn w:val="24"/>
    <w:qFormat/>
    <w:uiPriority w:val="0"/>
    <w:pPr>
      <w:widowControl/>
      <w:overflowPunct w:val="0"/>
      <w:autoSpaceDE w:val="0"/>
      <w:autoSpaceDN w:val="0"/>
      <w:adjustRightInd w:val="0"/>
      <w:spacing w:beforeLines="50" w:line="400" w:lineRule="exact"/>
      <w:ind w:left="200" w:firstLine="200" w:firstLineChars="200"/>
      <w:jc w:val="left"/>
      <w:textAlignment w:val="baseline"/>
    </w:pPr>
    <w:rPr>
      <w:spacing w:val="10"/>
      <w:kern w:val="0"/>
      <w:sz w:val="24"/>
      <w:szCs w:val="20"/>
    </w:rPr>
  </w:style>
  <w:style w:type="paragraph" w:customStyle="1" w:styleId="31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2">
    <w:name w:val="样式 标题 3 + 黑体 小四 非加粗"/>
    <w:basedOn w:val="5"/>
    <w:qFormat/>
    <w:uiPriority w:val="0"/>
    <w:pPr>
      <w:spacing w:before="260" w:after="260" w:line="413" w:lineRule="auto"/>
    </w:pPr>
    <w:rPr>
      <w:rFonts w:ascii="黑体" w:hAnsi="黑体"/>
      <w:b w:val="0"/>
      <w:kern w:val="0"/>
      <w:sz w:val="24"/>
      <w:szCs w:val="32"/>
    </w:rPr>
  </w:style>
  <w:style w:type="paragraph" w:customStyle="1" w:styleId="313">
    <w:name w:val="保留正文"/>
    <w:basedOn w:val="21"/>
    <w:qFormat/>
    <w:uiPriority w:val="0"/>
    <w:pPr>
      <w:keepNext/>
      <w:spacing w:after="160"/>
    </w:pPr>
    <w:rPr>
      <w:rFonts w:ascii="仿宋_GB2312"/>
      <w:b/>
      <w:szCs w:val="20"/>
    </w:rPr>
  </w:style>
  <w:style w:type="paragraph" w:customStyle="1" w:styleId="314">
    <w:name w:val="Char1 Char Char Char Char Char Char"/>
    <w:basedOn w:val="1"/>
    <w:qFormat/>
    <w:uiPriority w:val="0"/>
    <w:rPr>
      <w:rFonts w:ascii="宋体" w:hAnsi="宋体"/>
      <w:color w:val="000000"/>
      <w:sz w:val="24"/>
    </w:rPr>
  </w:style>
  <w:style w:type="paragraph" w:customStyle="1" w:styleId="31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6">
    <w:name w:val="p0"/>
    <w:basedOn w:val="1"/>
    <w:qFormat/>
    <w:uiPriority w:val="0"/>
    <w:pPr>
      <w:widowControl/>
    </w:pPr>
    <w:rPr>
      <w:kern w:val="0"/>
      <w:szCs w:val="21"/>
    </w:rPr>
  </w:style>
  <w:style w:type="paragraph" w:customStyle="1" w:styleId="31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8">
    <w:name w:val="Char Char Char Char Char Char Char Char Char Char Char Char Char1"/>
    <w:basedOn w:val="1"/>
    <w:qFormat/>
    <w:uiPriority w:val="0"/>
  </w:style>
  <w:style w:type="paragraph" w:customStyle="1" w:styleId="31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321">
    <w:name w:val="默认段落字体 Para Char Char Char Char Char Char Char"/>
    <w:basedOn w:val="1"/>
    <w:qFormat/>
    <w:uiPriority w:val="0"/>
  </w:style>
  <w:style w:type="paragraph" w:customStyle="1" w:styleId="322">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323">
    <w:name w:val="封面正文"/>
    <w:qFormat/>
    <w:locked/>
    <w:uiPriority w:val="0"/>
    <w:pPr>
      <w:jc w:val="both"/>
    </w:pPr>
    <w:rPr>
      <w:rFonts w:ascii="Calibri" w:hAnsi="Calibri" w:eastAsia="宋体" w:cs="Times New Roman"/>
      <w:lang w:val="en-US" w:eastAsia="zh-CN" w:bidi="ar-SA"/>
    </w:rPr>
  </w:style>
  <w:style w:type="paragraph" w:customStyle="1" w:styleId="324">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25">
    <w:name w:val="标准段落"/>
    <w:basedOn w:val="1"/>
    <w:qFormat/>
    <w:uiPriority w:val="0"/>
    <w:pPr>
      <w:spacing w:after="120" w:line="360" w:lineRule="auto"/>
      <w:ind w:firstLine="420"/>
    </w:pPr>
    <w:rPr>
      <w:rFonts w:ascii="黑体" w:hAnsi="宋体" w:eastAsia="黑体"/>
      <w:b/>
      <w:spacing w:val="6"/>
      <w:szCs w:val="22"/>
    </w:rPr>
  </w:style>
  <w:style w:type="paragraph" w:customStyle="1" w:styleId="326">
    <w:name w:val="Char3 Char Char Char1"/>
    <w:basedOn w:val="1"/>
    <w:qFormat/>
    <w:uiPriority w:val="0"/>
  </w:style>
  <w:style w:type="paragraph" w:customStyle="1" w:styleId="32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28">
    <w:name w:val="列出段落12"/>
    <w:basedOn w:val="1"/>
    <w:qFormat/>
    <w:uiPriority w:val="0"/>
    <w:pPr>
      <w:ind w:firstLine="420" w:firstLineChars="200"/>
    </w:pPr>
  </w:style>
  <w:style w:type="paragraph" w:customStyle="1" w:styleId="329">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30">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331">
    <w:name w:val="五级条标题"/>
    <w:basedOn w:val="255"/>
    <w:next w:val="1"/>
    <w:qFormat/>
    <w:uiPriority w:val="0"/>
    <w:pPr>
      <w:tabs>
        <w:tab w:val="left" w:pos="5569"/>
        <w:tab w:val="clear" w:pos="5149"/>
      </w:tabs>
      <w:ind w:left="5569"/>
      <w:outlineLvl w:val="6"/>
    </w:pPr>
  </w:style>
  <w:style w:type="paragraph" w:customStyle="1" w:styleId="332">
    <w:name w:val="列表段落1"/>
    <w:basedOn w:val="1"/>
    <w:qFormat/>
    <w:uiPriority w:val="34"/>
    <w:pPr>
      <w:ind w:firstLine="420" w:firstLineChars="200"/>
    </w:pPr>
    <w:rPr>
      <w:szCs w:val="22"/>
    </w:rPr>
  </w:style>
  <w:style w:type="paragraph" w:customStyle="1" w:styleId="333">
    <w:name w:val="Table caption|1"/>
    <w:basedOn w:val="1"/>
    <w:qFormat/>
    <w:uiPriority w:val="0"/>
    <w:pPr>
      <w:jc w:val="left"/>
    </w:pPr>
    <w:rPr>
      <w:rFonts w:ascii="宋体" w:hAnsi="宋体" w:cs="宋体"/>
      <w:kern w:val="0"/>
      <w:sz w:val="22"/>
      <w:szCs w:val="22"/>
      <w:lang w:val="zh-TW" w:eastAsia="zh-TW" w:bidi="zh-TW"/>
    </w:rPr>
  </w:style>
  <w:style w:type="paragraph" w:customStyle="1" w:styleId="334">
    <w:name w:val="List Paragraph1"/>
    <w:basedOn w:val="1"/>
    <w:qFormat/>
    <w:uiPriority w:val="0"/>
    <w:pPr>
      <w:ind w:firstLine="420" w:firstLineChars="200"/>
    </w:pPr>
    <w:rPr>
      <w:szCs w:val="22"/>
    </w:rPr>
  </w:style>
  <w:style w:type="paragraph" w:customStyle="1" w:styleId="335">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336">
    <w:name w:val="features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37">
    <w:name w:val="Char1"/>
    <w:basedOn w:val="1"/>
    <w:qFormat/>
    <w:uiPriority w:val="0"/>
    <w:rPr>
      <w:rFonts w:ascii="仿宋_GB2312" w:eastAsia="仿宋_GB2312"/>
      <w:b/>
      <w:sz w:val="32"/>
      <w:szCs w:val="32"/>
    </w:rPr>
  </w:style>
  <w:style w:type="paragraph" w:customStyle="1" w:styleId="338">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339">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340">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341">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34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43">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44">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45">
    <w:name w:val="Char Char Char Char"/>
    <w:basedOn w:val="17"/>
    <w:qFormat/>
    <w:uiPriority w:val="0"/>
    <w:rPr>
      <w:rFonts w:ascii="Tahoma" w:hAnsi="Tahoma"/>
      <w:sz w:val="24"/>
    </w:rPr>
  </w:style>
  <w:style w:type="paragraph" w:customStyle="1" w:styleId="346">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347">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348">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349">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350">
    <w:name w:val="Char Char Char Char1"/>
    <w:basedOn w:val="1"/>
    <w:qFormat/>
    <w:uiPriority w:val="0"/>
    <w:pPr>
      <w:autoSpaceDE w:val="0"/>
      <w:autoSpaceDN w:val="0"/>
      <w:adjustRightInd w:val="0"/>
      <w:jc w:val="left"/>
    </w:pPr>
    <w:rPr>
      <w:rFonts w:ascii="Tahoma" w:hAnsi="Tahoma"/>
      <w:kern w:val="0"/>
      <w:sz w:val="24"/>
      <w:szCs w:val="20"/>
    </w:rPr>
  </w:style>
  <w:style w:type="paragraph" w:customStyle="1" w:styleId="35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2">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35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54">
    <w:name w:val="Body text|1"/>
    <w:basedOn w:val="1"/>
    <w:qFormat/>
    <w:uiPriority w:val="0"/>
    <w:pPr>
      <w:spacing w:line="456" w:lineRule="auto"/>
      <w:ind w:firstLine="400"/>
      <w:jc w:val="left"/>
    </w:pPr>
    <w:rPr>
      <w:rFonts w:ascii="宋体" w:hAnsi="宋体" w:cs="宋体"/>
      <w:kern w:val="0"/>
      <w:sz w:val="22"/>
      <w:szCs w:val="22"/>
      <w:lang w:val="zh-TW" w:eastAsia="zh-TW" w:bidi="zh-TW"/>
    </w:rPr>
  </w:style>
  <w:style w:type="paragraph" w:customStyle="1" w:styleId="35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6">
    <w:name w:val="文字"/>
    <w:basedOn w:val="1"/>
    <w:qFormat/>
    <w:uiPriority w:val="0"/>
    <w:pPr>
      <w:tabs>
        <w:tab w:val="left" w:pos="8520"/>
      </w:tabs>
      <w:spacing w:line="312" w:lineRule="auto"/>
      <w:ind w:right="-210" w:firstLine="556"/>
    </w:pPr>
    <w:rPr>
      <w:rFonts w:ascii="宋体"/>
      <w:sz w:val="28"/>
      <w:szCs w:val="20"/>
    </w:rPr>
  </w:style>
  <w:style w:type="paragraph" w:customStyle="1" w:styleId="357">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358">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59">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60">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361">
    <w:name w:val="_Style 3"/>
    <w:basedOn w:val="1"/>
    <w:next w:val="1"/>
    <w:qFormat/>
    <w:uiPriority w:val="34"/>
    <w:pPr>
      <w:spacing w:line="360" w:lineRule="auto"/>
      <w:ind w:firstLine="420" w:firstLineChars="200"/>
    </w:pPr>
  </w:style>
  <w:style w:type="paragraph" w:customStyle="1" w:styleId="362">
    <w:name w:val="正文-宋体四号"/>
    <w:basedOn w:val="1"/>
    <w:qFormat/>
    <w:uiPriority w:val="0"/>
    <w:pPr>
      <w:spacing w:line="360" w:lineRule="auto"/>
      <w:ind w:firstLine="560" w:firstLineChars="200"/>
    </w:pPr>
    <w:rPr>
      <w:rFonts w:cs="宋体"/>
      <w:sz w:val="28"/>
      <w:szCs w:val="20"/>
    </w:rPr>
  </w:style>
  <w:style w:type="paragraph" w:styleId="363">
    <w:name w:val="List Paragraph"/>
    <w:basedOn w:val="1"/>
    <w:unhideWhenUsed/>
    <w:qFormat/>
    <w:uiPriority w:val="99"/>
    <w:pPr>
      <w:ind w:firstLine="420" w:firstLineChars="200"/>
    </w:pPr>
  </w:style>
  <w:style w:type="character" w:customStyle="1" w:styleId="364">
    <w:name w:val="font21"/>
    <w:qFormat/>
    <w:uiPriority w:val="0"/>
    <w:rPr>
      <w:rFonts w:hint="eastAsia" w:ascii="宋体" w:hAnsi="宋体" w:eastAsia="宋体" w:cs="宋体"/>
      <w:b/>
      <w:color w:val="000000"/>
      <w:sz w:val="18"/>
      <w:szCs w:val="18"/>
      <w:u w:val="none"/>
    </w:rPr>
  </w:style>
  <w:style w:type="paragraph" w:customStyle="1" w:styleId="365">
    <w:name w:val="style4"/>
    <w:basedOn w:val="1"/>
    <w:next w:val="366"/>
    <w:qFormat/>
    <w:uiPriority w:val="0"/>
    <w:pPr>
      <w:widowControl/>
      <w:spacing w:before="280" w:after="280"/>
    </w:pPr>
    <w:rPr>
      <w:rFonts w:ascii="宋体"/>
      <w:sz w:val="18"/>
    </w:rPr>
  </w:style>
  <w:style w:type="paragraph" w:customStyle="1" w:styleId="366">
    <w:name w:val="2"/>
    <w:basedOn w:val="1"/>
    <w:next w:val="24"/>
    <w:qFormat/>
    <w:uiPriority w:val="0"/>
    <w:pPr>
      <w:ind w:left="432"/>
    </w:pPr>
    <w:rPr>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48</Pages>
  <Words>21620</Words>
  <Characters>22656</Characters>
  <Lines>286</Lines>
  <Paragraphs>80</Paragraphs>
  <TotalTime>20</TotalTime>
  <ScaleCrop>false</ScaleCrop>
  <LinksUpToDate>false</LinksUpToDate>
  <CharactersWithSpaces>24368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2021-08-17T08:06:00Z</dcterms:created>
  <dc:creator>user</dc:creator>
  <cp:lastModifiedBy>历程</cp:lastModifiedBy>
  <cp:lastPrinted>2021-10-29T04:16:00Z</cp:lastPrinted>
  <dcterms:modified xsi:type="dcterms:W3CDTF">2025-07-01T09:32:33Z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4AF3822F60B94A1C8B7918DBD27C73D5_13</vt:lpwstr>
  </property>
  <property fmtid="{D5CDD505-2E9C-101B-9397-08002B2CF9AE}" pid="4" name="KSOTemplateDocerSaveRecord">
    <vt:lpwstr>eyJoZGlkIjoiY2E0NmYwMTIwOTRmM2U5ZmE5ZmRkOTg1NDdjYzQ4Y2QiLCJ1c2VySWQiOiIxNTUyNTMyNzYyIn0=</vt:lpwstr>
  </property>
</Properties>
</file>