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AE4E8">
      <w:pPr>
        <w:jc w:val="distribute"/>
        <w:rPr>
          <w:rFonts w:hint="eastAsia" w:ascii="新宋体" w:hAnsi="新宋体" w:eastAsia="新宋体" w:cs="新宋体"/>
          <w:b/>
          <w:bCs/>
          <w:color w:val="auto"/>
          <w:sz w:val="96"/>
          <w:szCs w:val="96"/>
          <w:highlight w:val="none"/>
        </w:rPr>
      </w:pPr>
    </w:p>
    <w:p w14:paraId="6DA6CA96">
      <w:pPr>
        <w:rPr>
          <w:rFonts w:hint="eastAsia" w:ascii="新宋体" w:hAnsi="新宋体" w:eastAsia="新宋体" w:cs="新宋体"/>
          <w:color w:val="auto"/>
          <w:highlight w:val="none"/>
        </w:rPr>
      </w:pPr>
    </w:p>
    <w:p w14:paraId="08C3E2CA">
      <w:pPr>
        <w:jc w:val="distribute"/>
        <w:rPr>
          <w:rFonts w:hint="eastAsia" w:ascii="新宋体" w:hAnsi="新宋体" w:eastAsia="新宋体" w:cs="新宋体"/>
          <w:b/>
          <w:bCs/>
          <w:color w:val="auto"/>
          <w:sz w:val="52"/>
          <w:szCs w:val="52"/>
          <w:highlight w:val="none"/>
        </w:rPr>
      </w:pPr>
      <w:r>
        <w:rPr>
          <w:rFonts w:hint="eastAsia" w:ascii="新宋体" w:hAnsi="新宋体" w:eastAsia="新宋体" w:cs="新宋体"/>
          <w:color w:val="auto"/>
          <w:spacing w:val="20"/>
          <w:sz w:val="84"/>
          <w:highlight w:val="none"/>
        </w:rPr>
        <w:t>温州市政府（分散）采购</w:t>
      </w:r>
    </w:p>
    <w:p w14:paraId="6C5FD58D">
      <w:pPr>
        <w:jc w:val="center"/>
        <w:rPr>
          <w:rFonts w:hint="eastAsia" w:ascii="新宋体" w:hAnsi="新宋体" w:eastAsia="新宋体" w:cs="新宋体"/>
          <w:b/>
          <w:bCs/>
          <w:color w:val="auto"/>
          <w:spacing w:val="26"/>
          <w:sz w:val="52"/>
          <w:highlight w:val="none"/>
        </w:rPr>
      </w:pPr>
    </w:p>
    <w:p w14:paraId="44A48090">
      <w:pPr>
        <w:ind w:firstLine="2357" w:firstLineChars="235"/>
        <w:rPr>
          <w:rFonts w:hint="eastAsia" w:ascii="新宋体" w:hAnsi="新宋体" w:eastAsia="新宋体" w:cs="新宋体"/>
          <w:b/>
          <w:bCs/>
          <w:color w:val="auto"/>
          <w:spacing w:val="140"/>
          <w:sz w:val="72"/>
          <w:highlight w:val="none"/>
        </w:rPr>
      </w:pPr>
    </w:p>
    <w:p w14:paraId="37F3D4E9">
      <w:pPr>
        <w:ind w:firstLine="2357" w:firstLineChars="235"/>
        <w:rPr>
          <w:rFonts w:hint="eastAsia" w:ascii="新宋体" w:hAnsi="新宋体" w:eastAsia="新宋体" w:cs="新宋体"/>
          <w:b/>
          <w:bCs/>
          <w:color w:val="auto"/>
          <w:spacing w:val="140"/>
          <w:sz w:val="72"/>
          <w:highlight w:val="none"/>
        </w:rPr>
      </w:pPr>
    </w:p>
    <w:p w14:paraId="3CB0A194">
      <w:pPr>
        <w:adjustRightInd w:val="0"/>
        <w:snapToGrid w:val="0"/>
        <w:spacing w:line="480" w:lineRule="auto"/>
        <w:ind w:right="361"/>
        <w:jc w:val="center"/>
        <w:rPr>
          <w:rFonts w:hint="eastAsia" w:ascii="新宋体" w:hAnsi="新宋体" w:eastAsia="新宋体" w:cs="新宋体"/>
          <w:color w:val="auto"/>
          <w:sz w:val="84"/>
          <w:szCs w:val="84"/>
          <w:highlight w:val="none"/>
        </w:rPr>
      </w:pPr>
      <w:r>
        <w:rPr>
          <w:rFonts w:hint="eastAsia" w:ascii="新宋体" w:hAnsi="新宋体" w:eastAsia="新宋体" w:cs="新宋体"/>
          <w:b/>
          <w:bCs/>
          <w:color w:val="auto"/>
          <w:sz w:val="84"/>
          <w:szCs w:val="84"/>
          <w:highlight w:val="none"/>
          <w:lang w:val="en-US" w:eastAsia="zh-CN"/>
        </w:rPr>
        <w:t>采 购</w:t>
      </w:r>
      <w:r>
        <w:rPr>
          <w:rFonts w:hint="eastAsia" w:ascii="新宋体" w:hAnsi="新宋体" w:eastAsia="新宋体" w:cs="新宋体"/>
          <w:b/>
          <w:bCs/>
          <w:color w:val="auto"/>
          <w:sz w:val="84"/>
          <w:szCs w:val="84"/>
          <w:highlight w:val="none"/>
        </w:rPr>
        <w:t xml:space="preserve"> 文 件</w:t>
      </w:r>
    </w:p>
    <w:p w14:paraId="593E0DF2">
      <w:pPr>
        <w:keepNext w:val="0"/>
        <w:keepLines w:val="0"/>
        <w:pageBreakBefore w:val="0"/>
        <w:widowControl w:val="0"/>
        <w:kinsoku/>
        <w:wordWrap/>
        <w:overflowPunct/>
        <w:topLinePunct w:val="0"/>
        <w:autoSpaceDE/>
        <w:autoSpaceDN/>
        <w:bidi w:val="0"/>
        <w:adjustRightInd/>
        <w:snapToGrid/>
        <w:spacing w:line="800" w:lineRule="exact"/>
        <w:ind w:firstLine="1200" w:firstLineChars="400"/>
        <w:textAlignment w:val="auto"/>
        <w:rPr>
          <w:rFonts w:hint="eastAsia" w:ascii="新宋体" w:hAnsi="新宋体" w:eastAsia="新宋体" w:cs="新宋体"/>
          <w:color w:val="auto"/>
          <w:sz w:val="30"/>
          <w:szCs w:val="30"/>
          <w:highlight w:val="none"/>
          <w:lang w:eastAsia="zh-CN"/>
        </w:rPr>
      </w:pPr>
      <w:r>
        <w:rPr>
          <w:rFonts w:hint="eastAsia" w:ascii="新宋体" w:hAnsi="新宋体" w:eastAsia="新宋体" w:cs="新宋体"/>
          <w:color w:val="auto"/>
          <w:sz w:val="30"/>
          <w:szCs w:val="30"/>
          <w:highlight w:val="none"/>
        </w:rPr>
        <w:t>项目编号：</w:t>
      </w:r>
      <w:r>
        <w:rPr>
          <w:rFonts w:hint="eastAsia" w:ascii="新宋体" w:hAnsi="新宋体" w:eastAsia="新宋体" w:cs="新宋体"/>
          <w:b/>
          <w:bCs/>
          <w:color w:val="auto"/>
          <w:sz w:val="30"/>
          <w:szCs w:val="30"/>
          <w:highlight w:val="none"/>
          <w:lang w:eastAsia="zh-CN"/>
        </w:rPr>
        <w:t>WZLCZB（L）-2025-06070</w:t>
      </w:r>
    </w:p>
    <w:p w14:paraId="1C57B3AE">
      <w:pPr>
        <w:keepNext w:val="0"/>
        <w:keepLines w:val="0"/>
        <w:pageBreakBefore w:val="0"/>
        <w:widowControl w:val="0"/>
        <w:kinsoku/>
        <w:wordWrap/>
        <w:overflowPunct/>
        <w:topLinePunct w:val="0"/>
        <w:autoSpaceDE/>
        <w:autoSpaceDN/>
        <w:bidi w:val="0"/>
        <w:adjustRightInd/>
        <w:snapToGrid/>
        <w:spacing w:line="800" w:lineRule="exact"/>
        <w:ind w:firstLine="1200" w:firstLineChars="400"/>
        <w:textAlignment w:val="auto"/>
        <w:rPr>
          <w:rFonts w:hint="eastAsia" w:ascii="新宋体" w:hAnsi="新宋体" w:eastAsia="新宋体" w:cs="新宋体"/>
          <w:color w:val="auto"/>
          <w:sz w:val="30"/>
          <w:szCs w:val="30"/>
          <w:highlight w:val="none"/>
          <w:lang w:eastAsia="zh-CN"/>
        </w:rPr>
      </w:pPr>
      <w:r>
        <w:rPr>
          <w:rFonts w:hint="eastAsia" w:ascii="新宋体" w:hAnsi="新宋体" w:eastAsia="新宋体" w:cs="新宋体"/>
          <w:color w:val="auto"/>
          <w:sz w:val="30"/>
          <w:szCs w:val="30"/>
          <w:highlight w:val="none"/>
        </w:rPr>
        <w:t>项目名称：</w:t>
      </w:r>
      <w:r>
        <w:rPr>
          <w:rFonts w:hint="eastAsia" w:ascii="新宋体" w:hAnsi="新宋体" w:eastAsia="新宋体" w:cs="新宋体"/>
          <w:b/>
          <w:bCs/>
          <w:color w:val="auto"/>
          <w:sz w:val="30"/>
          <w:szCs w:val="30"/>
          <w:highlight w:val="none"/>
          <w:lang w:eastAsia="zh-CN"/>
        </w:rPr>
        <w:t>双能X射线骨密度仪</w:t>
      </w:r>
    </w:p>
    <w:p w14:paraId="2F91BC77">
      <w:pPr>
        <w:keepNext w:val="0"/>
        <w:keepLines w:val="0"/>
        <w:pageBreakBefore w:val="0"/>
        <w:widowControl w:val="0"/>
        <w:kinsoku/>
        <w:wordWrap/>
        <w:overflowPunct/>
        <w:topLinePunct w:val="0"/>
        <w:autoSpaceDE/>
        <w:autoSpaceDN/>
        <w:bidi w:val="0"/>
        <w:adjustRightInd/>
        <w:snapToGrid/>
        <w:spacing w:line="800" w:lineRule="exact"/>
        <w:ind w:firstLine="1200" w:firstLineChars="400"/>
        <w:textAlignment w:val="auto"/>
        <w:rPr>
          <w:rFonts w:hint="eastAsia" w:ascii="新宋体" w:hAnsi="新宋体" w:eastAsia="新宋体" w:cs="新宋体"/>
          <w:color w:val="auto"/>
          <w:sz w:val="30"/>
          <w:szCs w:val="30"/>
          <w:highlight w:val="none"/>
        </w:rPr>
      </w:pPr>
      <w:r>
        <w:rPr>
          <w:rFonts w:hint="eastAsia" w:ascii="新宋体" w:hAnsi="新宋体" w:eastAsia="新宋体" w:cs="新宋体"/>
          <w:color w:val="auto"/>
          <w:sz w:val="30"/>
          <w:szCs w:val="30"/>
          <w:highlight w:val="none"/>
        </w:rPr>
        <w:t>采购方式：</w:t>
      </w:r>
      <w:r>
        <w:rPr>
          <w:rFonts w:hint="eastAsia" w:ascii="新宋体" w:hAnsi="新宋体" w:eastAsia="新宋体" w:cs="新宋体"/>
          <w:b/>
          <w:bCs/>
          <w:color w:val="auto"/>
          <w:sz w:val="30"/>
          <w:szCs w:val="30"/>
          <w:highlight w:val="none"/>
        </w:rPr>
        <w:t>公开招标</w:t>
      </w:r>
    </w:p>
    <w:p w14:paraId="04505506">
      <w:pPr>
        <w:keepNext w:val="0"/>
        <w:keepLines w:val="0"/>
        <w:pageBreakBefore w:val="0"/>
        <w:widowControl w:val="0"/>
        <w:kinsoku/>
        <w:wordWrap/>
        <w:overflowPunct/>
        <w:topLinePunct w:val="0"/>
        <w:autoSpaceDE/>
        <w:autoSpaceDN/>
        <w:bidi w:val="0"/>
        <w:adjustRightInd/>
        <w:snapToGrid/>
        <w:spacing w:line="800" w:lineRule="exact"/>
        <w:ind w:firstLine="1200" w:firstLineChars="400"/>
        <w:textAlignment w:val="auto"/>
        <w:rPr>
          <w:rFonts w:hint="eastAsia" w:ascii="新宋体" w:hAnsi="新宋体" w:eastAsia="新宋体" w:cs="新宋体"/>
          <w:color w:val="auto"/>
          <w:sz w:val="30"/>
          <w:szCs w:val="30"/>
          <w:highlight w:val="none"/>
        </w:rPr>
      </w:pPr>
      <w:r>
        <w:rPr>
          <w:rFonts w:hint="eastAsia" w:ascii="新宋体" w:hAnsi="新宋体" w:eastAsia="新宋体" w:cs="新宋体"/>
          <w:color w:val="auto"/>
          <w:sz w:val="30"/>
          <w:szCs w:val="30"/>
          <w:highlight w:val="none"/>
        </w:rPr>
        <w:t>评审方式：</w:t>
      </w:r>
      <w:r>
        <w:rPr>
          <w:rFonts w:hint="eastAsia" w:ascii="新宋体" w:hAnsi="新宋体" w:eastAsia="新宋体" w:cs="新宋体"/>
          <w:b/>
          <w:bCs/>
          <w:color w:val="auto"/>
          <w:sz w:val="30"/>
          <w:szCs w:val="30"/>
          <w:highlight w:val="none"/>
        </w:rPr>
        <w:t>线上电子招投标</w:t>
      </w:r>
    </w:p>
    <w:p w14:paraId="631BE09B">
      <w:pPr>
        <w:spacing w:line="600" w:lineRule="exact"/>
        <w:rPr>
          <w:rFonts w:hint="eastAsia" w:ascii="新宋体" w:hAnsi="新宋体" w:eastAsia="新宋体" w:cs="新宋体"/>
          <w:color w:val="auto"/>
          <w:spacing w:val="40"/>
          <w:sz w:val="30"/>
          <w:szCs w:val="30"/>
          <w:highlight w:val="none"/>
        </w:rPr>
      </w:pPr>
    </w:p>
    <w:p w14:paraId="18917EF6">
      <w:pPr>
        <w:spacing w:line="600" w:lineRule="exact"/>
        <w:ind w:firstLine="1620" w:firstLineChars="450"/>
        <w:rPr>
          <w:rFonts w:hint="eastAsia" w:ascii="新宋体" w:hAnsi="新宋体" w:eastAsia="新宋体" w:cs="新宋体"/>
          <w:color w:val="auto"/>
          <w:spacing w:val="30"/>
          <w:sz w:val="30"/>
          <w:highlight w:val="none"/>
        </w:rPr>
      </w:pPr>
    </w:p>
    <w:p w14:paraId="4CF9093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新宋体" w:hAnsi="新宋体" w:eastAsia="新宋体" w:cs="新宋体"/>
          <w:color w:val="auto"/>
          <w:sz w:val="30"/>
          <w:szCs w:val="30"/>
          <w:highlight w:val="none"/>
          <w:lang w:eastAsia="zh-CN"/>
        </w:rPr>
      </w:pPr>
      <w:r>
        <w:rPr>
          <w:rFonts w:hint="eastAsia" w:ascii="新宋体" w:hAnsi="新宋体" w:eastAsia="新宋体" w:cs="新宋体"/>
          <w:color w:val="auto"/>
          <w:sz w:val="30"/>
          <w:szCs w:val="30"/>
          <w:highlight w:val="none"/>
          <w:lang w:eastAsia="zh-CN"/>
        </w:rPr>
        <w:t>采购人：温州市中医院</w:t>
      </w:r>
    </w:p>
    <w:p w14:paraId="653310A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新宋体" w:hAnsi="新宋体" w:eastAsia="新宋体" w:cs="新宋体"/>
          <w:color w:val="auto"/>
          <w:sz w:val="30"/>
          <w:szCs w:val="30"/>
          <w:highlight w:val="none"/>
          <w:lang w:eastAsia="zh-CN"/>
        </w:rPr>
      </w:pPr>
      <w:r>
        <w:rPr>
          <w:rFonts w:hint="eastAsia" w:ascii="新宋体" w:hAnsi="新宋体" w:eastAsia="新宋体" w:cs="新宋体"/>
          <w:color w:val="auto"/>
          <w:sz w:val="30"/>
          <w:szCs w:val="30"/>
          <w:highlight w:val="none"/>
          <w:lang w:eastAsia="zh-CN"/>
        </w:rPr>
        <w:t>采购代理机构：温州历程招标有限公司</w:t>
      </w:r>
    </w:p>
    <w:p w14:paraId="30253EC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新宋体" w:hAnsi="新宋体" w:eastAsia="新宋体" w:cs="新宋体"/>
          <w:color w:val="auto"/>
          <w:sz w:val="30"/>
          <w:szCs w:val="30"/>
          <w:highlight w:val="none"/>
          <w:lang w:eastAsia="zh-CN"/>
        </w:rPr>
      </w:pPr>
      <w:r>
        <w:rPr>
          <w:rFonts w:hint="eastAsia" w:ascii="新宋体" w:hAnsi="新宋体" w:eastAsia="新宋体" w:cs="新宋体"/>
          <w:color w:val="auto"/>
          <w:sz w:val="30"/>
          <w:szCs w:val="30"/>
          <w:highlight w:val="none"/>
          <w:lang w:eastAsia="zh-CN"/>
        </w:rPr>
        <w:t>二〇二</w:t>
      </w:r>
      <w:r>
        <w:rPr>
          <w:rFonts w:hint="eastAsia" w:ascii="新宋体" w:hAnsi="新宋体" w:eastAsia="新宋体" w:cs="新宋体"/>
          <w:color w:val="auto"/>
          <w:sz w:val="30"/>
          <w:szCs w:val="30"/>
          <w:highlight w:val="none"/>
          <w:lang w:val="en-US" w:eastAsia="zh-CN"/>
        </w:rPr>
        <w:t>五</w:t>
      </w:r>
      <w:r>
        <w:rPr>
          <w:rFonts w:hint="eastAsia" w:ascii="新宋体" w:hAnsi="新宋体" w:eastAsia="新宋体" w:cs="新宋体"/>
          <w:color w:val="auto"/>
          <w:sz w:val="30"/>
          <w:szCs w:val="30"/>
          <w:highlight w:val="none"/>
          <w:lang w:eastAsia="zh-CN"/>
        </w:rPr>
        <w:t>年</w:t>
      </w:r>
      <w:r>
        <w:rPr>
          <w:rFonts w:hint="eastAsia" w:ascii="新宋体" w:hAnsi="新宋体" w:eastAsia="新宋体" w:cs="新宋体"/>
          <w:color w:val="auto"/>
          <w:sz w:val="30"/>
          <w:szCs w:val="30"/>
          <w:highlight w:val="none"/>
          <w:lang w:val="en-US" w:eastAsia="zh-CN"/>
        </w:rPr>
        <w:t>六</w:t>
      </w:r>
      <w:r>
        <w:rPr>
          <w:rFonts w:hint="eastAsia" w:ascii="新宋体" w:hAnsi="新宋体" w:eastAsia="新宋体" w:cs="新宋体"/>
          <w:color w:val="auto"/>
          <w:sz w:val="30"/>
          <w:szCs w:val="30"/>
          <w:highlight w:val="none"/>
          <w:lang w:eastAsia="zh-CN"/>
        </w:rPr>
        <w:t>月</w:t>
      </w:r>
    </w:p>
    <w:p w14:paraId="755B3802">
      <w:pPr>
        <w:pStyle w:val="23"/>
        <w:ind w:left="0" w:leftChars="0"/>
        <w:rPr>
          <w:rFonts w:hint="eastAsia" w:ascii="新宋体" w:hAnsi="新宋体" w:eastAsia="新宋体" w:cs="新宋体"/>
          <w:color w:val="auto"/>
          <w:highlight w:val="none"/>
        </w:rPr>
      </w:pPr>
    </w:p>
    <w:p w14:paraId="307DA34E">
      <w:pPr>
        <w:spacing w:before="100" w:beforeAutospacing="1" w:after="100" w:afterAutospacing="1" w:line="440" w:lineRule="exact"/>
        <w:jc w:val="center"/>
        <w:outlineLvl w:val="0"/>
        <w:rPr>
          <w:rFonts w:hint="eastAsia" w:ascii="新宋体" w:hAnsi="新宋体" w:eastAsia="新宋体" w:cs="新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134" w:bottom="1134" w:left="1134" w:header="851" w:footer="992" w:gutter="0"/>
          <w:pgNumType w:start="1"/>
          <w:cols w:space="720" w:num="1"/>
          <w:titlePg/>
          <w:docGrid w:linePitch="312" w:charSpace="0"/>
        </w:sectPr>
      </w:pPr>
    </w:p>
    <w:p w14:paraId="695ECADE">
      <w:pPr>
        <w:spacing w:before="100" w:beforeAutospacing="1" w:after="100" w:afterAutospacing="1" w:line="440" w:lineRule="exact"/>
        <w:jc w:val="center"/>
        <w:outlineLvl w:val="0"/>
        <w:rPr>
          <w:rFonts w:hint="eastAsia" w:ascii="新宋体" w:hAnsi="新宋体" w:eastAsia="新宋体" w:cs="新宋体"/>
          <w:b/>
          <w:bCs/>
          <w:color w:val="auto"/>
          <w:sz w:val="32"/>
          <w:szCs w:val="32"/>
          <w:highlight w:val="none"/>
        </w:rPr>
      </w:pPr>
      <w:bookmarkStart w:id="0" w:name="_Toc16551"/>
      <w:r>
        <w:rPr>
          <w:rFonts w:hint="eastAsia" w:ascii="新宋体" w:hAnsi="新宋体" w:eastAsia="新宋体" w:cs="新宋体"/>
          <w:b/>
          <w:bCs/>
          <w:color w:val="auto"/>
          <w:sz w:val="32"/>
          <w:szCs w:val="32"/>
          <w:highlight w:val="none"/>
        </w:rPr>
        <w:t>目    录</w:t>
      </w:r>
      <w:bookmarkEnd w:id="0"/>
    </w:p>
    <w:p w14:paraId="1E3F6005">
      <w:pPr>
        <w:pStyle w:val="3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TOC \o "1-3" \h \u \* MERGEFORMAT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_Toc16551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目    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_Toc16551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7EB8C10">
      <w:pPr>
        <w:pStyle w:val="3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_Toc17517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招标公告</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_Toc17517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6F6AA3B">
      <w:pPr>
        <w:pStyle w:val="3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_Toc17292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第一部分    投标人须知</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_Toc17292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C343860">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_Toc15689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前 附 表</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_Toc15689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B0C0DBC">
      <w:pPr>
        <w:pStyle w:val="2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_Toc26491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一、 说   明</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_Toc26491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D762DB5">
      <w:pPr>
        <w:pStyle w:val="2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_Toc27798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二、 招标文件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_Toc27798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B847C3C">
      <w:pPr>
        <w:pStyle w:val="2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_Toc13406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三、 投标文件的编制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_Toc13406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0535193">
      <w:pPr>
        <w:pStyle w:val="2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_Toc28973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四、 投标文件的递交</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_Toc28973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C6CABA8">
      <w:pPr>
        <w:pStyle w:val="2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_Toc29173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五、 开标和评标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_Toc29173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F67DD04">
      <w:pPr>
        <w:pStyle w:val="2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_Toc12016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六、 授予合同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_Toc12016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0462C17">
      <w:pPr>
        <w:pStyle w:val="3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_Toc19255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第二部分    合同主要条款</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_Toc19255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7555F38">
      <w:pPr>
        <w:pStyle w:val="3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_Toc2347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第三部分    附件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_Toc2347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666CC5A">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_Toc12714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附件一</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_Toc12714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0021DDF">
      <w:pPr>
        <w:pStyle w:val="2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_Toc267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资格证明文件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_Toc267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281C0B9">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_Toc10365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附件</w:t>
      </w:r>
      <w:r>
        <w:rPr>
          <w:rFonts w:hint="eastAsia" w:ascii="新宋体" w:hAnsi="新宋体" w:eastAsia="新宋体" w:cs="新宋体"/>
          <w:color w:val="auto"/>
          <w:sz w:val="22"/>
          <w:szCs w:val="22"/>
          <w:highlight w:val="none"/>
          <w:lang w:val="en-US" w:eastAsia="zh-CN"/>
        </w:rPr>
        <w:t>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_Toc10365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D1997E4">
      <w:pPr>
        <w:pStyle w:val="2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_Toc24790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报价文件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_Toc24790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308D585">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_Toc7531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附件三</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_Toc7531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7DEFEDE">
      <w:pPr>
        <w:pStyle w:val="2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_Toc8643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商务技术文件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_Toc8643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7265062">
      <w:pPr>
        <w:pStyle w:val="3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_Toc26024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第四部分   项目技术规范和服务要求</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_Toc26024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50</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20839C3">
      <w:pPr>
        <w:pStyle w:val="3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_Toc27039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第五部分   评标原则及方法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_Toc27039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1068B92">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_Toc26486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一、总 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_Toc26486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38F2B51">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_Toc9900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二、</w:t>
      </w:r>
      <w:r>
        <w:rPr>
          <w:rFonts w:hint="eastAsia" w:ascii="新宋体" w:hAnsi="新宋体" w:eastAsia="新宋体" w:cs="新宋体"/>
          <w:bCs/>
          <w:color w:val="auto"/>
          <w:sz w:val="22"/>
          <w:szCs w:val="22"/>
          <w:highlight w:val="none"/>
        </w:rPr>
        <w:t>评标</w:t>
      </w:r>
      <w:r>
        <w:rPr>
          <w:rFonts w:hint="eastAsia" w:ascii="新宋体" w:hAnsi="新宋体" w:eastAsia="新宋体" w:cs="新宋体"/>
          <w:color w:val="auto"/>
          <w:sz w:val="22"/>
          <w:szCs w:val="22"/>
          <w:highlight w:val="none"/>
        </w:rPr>
        <w:t>组织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_Toc9900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BF79AE2">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_Toc32011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三、</w:t>
      </w:r>
      <w:r>
        <w:rPr>
          <w:rFonts w:hint="eastAsia" w:ascii="新宋体" w:hAnsi="新宋体" w:eastAsia="新宋体" w:cs="新宋体"/>
          <w:bCs/>
          <w:color w:val="auto"/>
          <w:sz w:val="22"/>
          <w:szCs w:val="22"/>
          <w:highlight w:val="none"/>
        </w:rPr>
        <w:t>评标</w:t>
      </w:r>
      <w:r>
        <w:rPr>
          <w:rFonts w:hint="eastAsia" w:ascii="新宋体" w:hAnsi="新宋体" w:eastAsia="新宋体" w:cs="新宋体"/>
          <w:color w:val="auto"/>
          <w:sz w:val="22"/>
          <w:szCs w:val="22"/>
          <w:highlight w:val="none"/>
        </w:rPr>
        <w:t>程序</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_Toc32011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6F76683">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_Toc17238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四、评标办法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_Toc17238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0F08135">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_Toc17388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五、</w:t>
      </w:r>
      <w:r>
        <w:rPr>
          <w:rFonts w:hint="eastAsia" w:ascii="新宋体" w:hAnsi="新宋体" w:eastAsia="新宋体" w:cs="新宋体"/>
          <w:bCs/>
          <w:color w:val="auto"/>
          <w:sz w:val="22"/>
          <w:szCs w:val="22"/>
          <w:highlight w:val="none"/>
        </w:rPr>
        <w:t>评分</w:t>
      </w:r>
      <w:r>
        <w:rPr>
          <w:rFonts w:hint="eastAsia" w:ascii="新宋体" w:hAnsi="新宋体" w:eastAsia="新宋体" w:cs="新宋体"/>
          <w:color w:val="auto"/>
          <w:sz w:val="22"/>
          <w:szCs w:val="22"/>
          <w:highlight w:val="none"/>
        </w:rPr>
        <w:t>细则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_Toc17388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8372F49">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_Toc30900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六、定标办法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_Toc30900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7116424">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_Toc25585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七、投标人义务</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_Toc25585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6DB49B1">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0"/>
        <w:rPr>
          <w:rFonts w:hint="eastAsia" w:ascii="新宋体" w:hAnsi="新宋体" w:eastAsia="新宋体" w:cs="新宋体"/>
          <w:b/>
          <w:color w:val="auto"/>
          <w:sz w:val="30"/>
          <w:highlight w:val="none"/>
        </w:rPr>
      </w:pPr>
      <w:r>
        <w:rPr>
          <w:rFonts w:hint="eastAsia" w:ascii="新宋体" w:hAnsi="新宋体" w:eastAsia="新宋体" w:cs="新宋体"/>
          <w:color w:val="auto"/>
          <w:sz w:val="22"/>
          <w:szCs w:val="22"/>
          <w:highlight w:val="none"/>
        </w:rPr>
        <w:fldChar w:fldCharType="end"/>
      </w:r>
      <w:bookmarkStart w:id="1" w:name="_Toc17517"/>
      <w:r>
        <w:rPr>
          <w:rFonts w:hint="eastAsia" w:ascii="新宋体" w:hAnsi="新宋体" w:eastAsia="新宋体" w:cs="新宋体"/>
          <w:b/>
          <w:color w:val="auto"/>
          <w:sz w:val="30"/>
          <w:highlight w:val="none"/>
        </w:rPr>
        <w:br w:type="page"/>
      </w:r>
      <w:bookmarkStart w:id="2" w:name="_Toc32186"/>
      <w:bookmarkStart w:id="3" w:name="_Toc12859"/>
      <w:bookmarkStart w:id="4" w:name="_Toc18348"/>
      <w:r>
        <w:rPr>
          <w:rFonts w:hint="eastAsia" w:ascii="新宋体" w:hAnsi="新宋体" w:eastAsia="新宋体" w:cs="新宋体"/>
          <w:b/>
          <w:bCs/>
          <w:color w:val="auto"/>
          <w:sz w:val="36"/>
          <w:szCs w:val="36"/>
          <w:highlight w:val="none"/>
        </w:rPr>
        <w:t>温州历程招标有限公司关于</w:t>
      </w:r>
      <w:r>
        <w:rPr>
          <w:rFonts w:hint="eastAsia" w:ascii="新宋体" w:hAnsi="新宋体" w:eastAsia="新宋体" w:cs="新宋体"/>
          <w:b/>
          <w:bCs/>
          <w:color w:val="auto"/>
          <w:sz w:val="36"/>
          <w:szCs w:val="36"/>
          <w:highlight w:val="none"/>
          <w:lang w:eastAsia="zh-CN"/>
        </w:rPr>
        <w:t>温州市中医院双能X射线骨密度仪</w:t>
      </w:r>
      <w:r>
        <w:rPr>
          <w:rFonts w:hint="eastAsia" w:ascii="新宋体" w:hAnsi="新宋体" w:eastAsia="新宋体" w:cs="新宋体"/>
          <w:b/>
          <w:bCs/>
          <w:color w:val="auto"/>
          <w:sz w:val="36"/>
          <w:szCs w:val="36"/>
          <w:highlight w:val="none"/>
        </w:rPr>
        <w:t>的公开招标公告</w:t>
      </w:r>
      <w:bookmarkEnd w:id="1"/>
      <w:bookmarkEnd w:id="2"/>
      <w:bookmarkEnd w:id="3"/>
      <w:bookmarkEnd w:id="4"/>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39FD3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9855" w:type="dxa"/>
          </w:tcPr>
          <w:p w14:paraId="31FF6A4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项目概况</w:t>
            </w:r>
          </w:p>
          <w:p w14:paraId="071DB95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双能X射线骨密度仪</w:t>
            </w:r>
            <w:r>
              <w:rPr>
                <w:rFonts w:hint="eastAsia" w:ascii="新宋体" w:hAnsi="新宋体" w:eastAsia="新宋体" w:cs="新宋体"/>
                <w:color w:val="auto"/>
                <w:sz w:val="22"/>
                <w:szCs w:val="22"/>
                <w:highlight w:val="none"/>
              </w:rPr>
              <w:t>招标项目的潜在投标人应在</w:t>
            </w:r>
            <w:r>
              <w:rPr>
                <w:rFonts w:hint="eastAsia" w:ascii="新宋体" w:hAnsi="新宋体" w:eastAsia="新宋体" w:cs="新宋体"/>
                <w:b w:val="0"/>
                <w:bCs w:val="0"/>
                <w:color w:val="auto"/>
                <w:sz w:val="22"/>
                <w:szCs w:val="22"/>
                <w:highlight w:val="none"/>
                <w:lang w:eastAsia="zh-CN"/>
              </w:rPr>
              <w:t>政采云平台</w:t>
            </w:r>
            <w:r>
              <w:rPr>
                <w:rFonts w:hint="eastAsia" w:ascii="新宋体" w:hAnsi="新宋体" w:eastAsia="新宋体" w:cs="新宋体"/>
                <w:b w:val="0"/>
                <w:bCs w:val="0"/>
                <w:color w:val="auto"/>
                <w:sz w:val="22"/>
                <w:szCs w:val="22"/>
                <w:highlight w:val="none"/>
              </w:rPr>
              <w:t>(</w:t>
            </w:r>
            <w:r>
              <w:rPr>
                <w:rFonts w:hint="eastAsia" w:ascii="新宋体" w:hAnsi="新宋体" w:eastAsia="新宋体" w:cs="新宋体"/>
                <w:b w:val="0"/>
                <w:bCs w:val="0"/>
                <w:color w:val="auto"/>
                <w:sz w:val="22"/>
                <w:szCs w:val="22"/>
                <w:highlight w:val="none"/>
                <w:lang w:eastAsia="zh-CN"/>
              </w:rPr>
              <w:t>https://www.zcygov.cn/</w:t>
            </w:r>
            <w:r>
              <w:rPr>
                <w:rFonts w:hint="eastAsia" w:ascii="新宋体" w:hAnsi="新宋体" w:eastAsia="新宋体" w:cs="新宋体"/>
                <w:b w:val="0"/>
                <w:bCs w:val="0"/>
                <w:color w:val="auto"/>
                <w:sz w:val="22"/>
                <w:szCs w:val="22"/>
                <w:highlight w:val="none"/>
              </w:rPr>
              <w:t>)</w:t>
            </w:r>
            <w:r>
              <w:rPr>
                <w:rFonts w:hint="eastAsia" w:ascii="新宋体" w:hAnsi="新宋体" w:eastAsia="新宋体" w:cs="新宋体"/>
                <w:color w:val="auto"/>
                <w:sz w:val="22"/>
                <w:szCs w:val="22"/>
                <w:highlight w:val="none"/>
                <w:lang w:eastAsia="zh-CN"/>
              </w:rPr>
              <w:t>线上获取（下载）招标文件</w:t>
            </w:r>
            <w:r>
              <w:rPr>
                <w:rFonts w:hint="eastAsia" w:ascii="新宋体" w:hAnsi="新宋体" w:eastAsia="新宋体" w:cs="新宋体"/>
                <w:b w:val="0"/>
                <w:bCs w:val="0"/>
                <w:color w:val="auto"/>
                <w:sz w:val="22"/>
                <w:szCs w:val="22"/>
                <w:highlight w:val="none"/>
              </w:rPr>
              <w:t>，并于</w:t>
            </w:r>
            <w:r>
              <w:rPr>
                <w:rFonts w:hint="eastAsia" w:ascii="新宋体" w:hAnsi="新宋体" w:eastAsia="新宋体" w:cs="新宋体"/>
                <w:b w:val="0"/>
                <w:bCs w:val="0"/>
                <w:color w:val="auto"/>
                <w:sz w:val="22"/>
                <w:szCs w:val="22"/>
                <w:highlight w:val="none"/>
                <w:lang w:eastAsia="zh-CN"/>
              </w:rPr>
              <w:t>2025年7月17日</w:t>
            </w:r>
            <w:r>
              <w:rPr>
                <w:rFonts w:hint="eastAsia" w:ascii="新宋体" w:hAnsi="新宋体" w:eastAsia="新宋体" w:cs="新宋体"/>
                <w:b w:val="0"/>
                <w:bCs w:val="0"/>
                <w:color w:val="auto"/>
                <w:sz w:val="22"/>
                <w:szCs w:val="22"/>
                <w:highlight w:val="none"/>
                <w:lang w:val="en-US" w:eastAsia="zh-CN"/>
              </w:rPr>
              <w:t>14</w:t>
            </w:r>
            <w:r>
              <w:rPr>
                <w:rFonts w:hint="eastAsia" w:ascii="新宋体" w:hAnsi="新宋体" w:eastAsia="新宋体" w:cs="新宋体"/>
                <w:b w:val="0"/>
                <w:bCs w:val="0"/>
                <w:color w:val="auto"/>
                <w:sz w:val="22"/>
                <w:szCs w:val="22"/>
                <w:highlight w:val="none"/>
              </w:rPr>
              <w:t>：30（北京时间）前递交投标文件。</w:t>
            </w:r>
          </w:p>
        </w:tc>
      </w:tr>
    </w:tbl>
    <w:p w14:paraId="5E69B3D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一、项目基本情况</w:t>
      </w:r>
    </w:p>
    <w:p w14:paraId="77364A2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WZLCZB（L）-2025-06070</w:t>
      </w:r>
    </w:p>
    <w:p w14:paraId="3041738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双能X射线骨密度仪</w:t>
      </w:r>
    </w:p>
    <w:p w14:paraId="3E526C0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eastAsia="zh-CN"/>
        </w:rPr>
        <w:t>700000</w:t>
      </w:r>
      <w:bookmarkStart w:id="44" w:name="_GoBack"/>
      <w:bookmarkEnd w:id="44"/>
    </w:p>
    <w:p w14:paraId="54B7791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最高限价（元）：</w:t>
      </w:r>
      <w:r>
        <w:rPr>
          <w:rFonts w:hint="eastAsia" w:ascii="新宋体" w:hAnsi="新宋体" w:eastAsia="新宋体" w:cs="新宋体"/>
          <w:color w:val="auto"/>
          <w:sz w:val="22"/>
          <w:szCs w:val="22"/>
          <w:highlight w:val="none"/>
          <w:lang w:eastAsia="zh-CN"/>
        </w:rPr>
        <w:t>700000</w:t>
      </w:r>
    </w:p>
    <w:p w14:paraId="4F30945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采购需求：</w:t>
      </w:r>
    </w:p>
    <w:p w14:paraId="552B92A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p>
    <w:p w14:paraId="15BDA33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标项名称：</w:t>
      </w:r>
      <w:r>
        <w:rPr>
          <w:rFonts w:hint="eastAsia" w:ascii="新宋体" w:hAnsi="新宋体" w:eastAsia="新宋体" w:cs="新宋体"/>
          <w:color w:val="auto"/>
          <w:sz w:val="22"/>
          <w:szCs w:val="22"/>
          <w:highlight w:val="none"/>
          <w:lang w:eastAsia="zh-CN"/>
        </w:rPr>
        <w:t>双能X射线骨密度仪</w:t>
      </w:r>
    </w:p>
    <w:p w14:paraId="21CEF49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数量：1</w:t>
      </w:r>
    </w:p>
    <w:p w14:paraId="6F403C3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eastAsia="zh-CN"/>
        </w:rPr>
        <w:t>700000</w:t>
      </w:r>
    </w:p>
    <w:p w14:paraId="69A38F67">
      <w:pPr>
        <w:keepNext w:val="0"/>
        <w:keepLines w:val="0"/>
        <w:pageBreakBefore w:val="0"/>
        <w:widowControl w:val="0"/>
        <w:kinsoku/>
        <w:wordWrap/>
        <w:overflowPunct/>
        <w:topLinePunct w:val="0"/>
        <w:autoSpaceDE/>
        <w:autoSpaceDN/>
        <w:bidi w:val="0"/>
        <w:adjustRightInd/>
        <w:snapToGrid/>
        <w:spacing w:line="460" w:lineRule="exact"/>
        <w:ind w:left="437" w:leftChars="208"/>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简要规格描述或项目基本概况介绍、用途：详见</w:t>
      </w:r>
      <w:r>
        <w:rPr>
          <w:rFonts w:hint="eastAsia" w:ascii="新宋体" w:hAnsi="新宋体" w:eastAsia="新宋体" w:cs="新宋体"/>
          <w:color w:val="auto"/>
          <w:sz w:val="22"/>
          <w:szCs w:val="22"/>
          <w:highlight w:val="none"/>
          <w:lang w:val="en-US" w:eastAsia="zh-CN"/>
        </w:rPr>
        <w:t>采购</w:t>
      </w:r>
      <w:r>
        <w:rPr>
          <w:rFonts w:hint="eastAsia" w:ascii="新宋体" w:hAnsi="新宋体" w:eastAsia="新宋体" w:cs="新宋体"/>
          <w:color w:val="auto"/>
          <w:sz w:val="22"/>
          <w:szCs w:val="22"/>
          <w:highlight w:val="none"/>
        </w:rPr>
        <w:t>文件</w:t>
      </w:r>
    </w:p>
    <w:p w14:paraId="739863AD">
      <w:pPr>
        <w:keepNext w:val="0"/>
        <w:keepLines w:val="0"/>
        <w:pageBreakBefore w:val="0"/>
        <w:widowControl w:val="0"/>
        <w:kinsoku/>
        <w:wordWrap/>
        <w:overflowPunct/>
        <w:topLinePunct w:val="0"/>
        <w:autoSpaceDE/>
        <w:autoSpaceDN/>
        <w:bidi w:val="0"/>
        <w:adjustRightInd/>
        <w:snapToGrid/>
        <w:spacing w:line="460" w:lineRule="exact"/>
        <w:ind w:left="437" w:leftChars="208"/>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备注：</w:t>
      </w:r>
      <w:r>
        <w:rPr>
          <w:rFonts w:hint="eastAsia" w:ascii="新宋体" w:hAnsi="新宋体" w:eastAsia="新宋体" w:cs="新宋体"/>
          <w:color w:val="auto"/>
          <w:sz w:val="22"/>
          <w:szCs w:val="22"/>
          <w:highlight w:val="none"/>
          <w:lang w:val="en-US" w:eastAsia="zh-CN"/>
        </w:rPr>
        <w:t>本项目允许进口设备投标</w:t>
      </w:r>
    </w:p>
    <w:p w14:paraId="200F30FC">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p>
    <w:p w14:paraId="2DB790A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合同履约期限：标项 1，详见</w:t>
      </w:r>
      <w:r>
        <w:rPr>
          <w:rFonts w:hint="eastAsia" w:ascii="新宋体" w:hAnsi="新宋体" w:eastAsia="新宋体" w:cs="新宋体"/>
          <w:color w:val="auto"/>
          <w:sz w:val="22"/>
          <w:szCs w:val="22"/>
          <w:highlight w:val="none"/>
          <w:lang w:val="en-US" w:eastAsia="zh-CN"/>
        </w:rPr>
        <w:t>采购</w:t>
      </w:r>
      <w:r>
        <w:rPr>
          <w:rFonts w:hint="eastAsia" w:ascii="新宋体" w:hAnsi="新宋体" w:eastAsia="新宋体" w:cs="新宋体"/>
          <w:color w:val="auto"/>
          <w:sz w:val="22"/>
          <w:szCs w:val="22"/>
          <w:highlight w:val="none"/>
        </w:rPr>
        <w:t>文件</w:t>
      </w:r>
    </w:p>
    <w:p w14:paraId="21A91A5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w:t>
      </w:r>
      <w:r>
        <w:rPr>
          <w:rFonts w:hint="eastAsia" w:ascii="新宋体" w:hAnsi="新宋体" w:eastAsia="新宋体" w:cs="新宋体"/>
          <w:color w:val="auto"/>
          <w:sz w:val="22"/>
          <w:szCs w:val="22"/>
          <w:highlight w:val="none"/>
          <w:lang w:val="en-US" w:eastAsia="zh-CN"/>
        </w:rPr>
        <w:t>是</w:t>
      </w:r>
      <w:r>
        <w:rPr>
          <w:rFonts w:hint="eastAsia" w:ascii="新宋体" w:hAnsi="新宋体" w:eastAsia="新宋体" w:cs="新宋体"/>
          <w:color w:val="auto"/>
          <w:sz w:val="22"/>
          <w:szCs w:val="22"/>
          <w:highlight w:val="none"/>
        </w:rPr>
        <w:t>）接受联合体投标。</w:t>
      </w:r>
    </w:p>
    <w:p w14:paraId="09019DE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二、申请人的资格要求：</w:t>
      </w:r>
    </w:p>
    <w:p w14:paraId="0CD5285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B32331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2.落实政府采购政策需满足的资格要求：标项1：</w:t>
      </w:r>
      <w:r>
        <w:rPr>
          <w:rFonts w:hint="eastAsia" w:ascii="新宋体" w:hAnsi="新宋体" w:eastAsia="新宋体" w:cs="新宋体"/>
          <w:color w:val="auto"/>
          <w:sz w:val="22"/>
          <w:szCs w:val="22"/>
          <w:highlight w:val="none"/>
          <w:lang w:val="en-US" w:eastAsia="zh-CN"/>
        </w:rPr>
        <w:t>无</w:t>
      </w:r>
    </w:p>
    <w:p w14:paraId="1E13820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3.本项目的特定资格要求：标项1：</w:t>
      </w:r>
      <w:r>
        <w:rPr>
          <w:rFonts w:hint="eastAsia" w:ascii="新宋体" w:hAnsi="新宋体" w:eastAsia="新宋体" w:cs="新宋体"/>
          <w:color w:val="auto"/>
          <w:sz w:val="22"/>
          <w:szCs w:val="22"/>
          <w:highlight w:val="none"/>
          <w:lang w:val="en-US" w:eastAsia="zh-CN"/>
        </w:rPr>
        <w:t>无</w:t>
      </w:r>
    </w:p>
    <w:p w14:paraId="1ABA14C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三、获取</w:t>
      </w:r>
      <w:r>
        <w:rPr>
          <w:rFonts w:hint="eastAsia" w:ascii="新宋体" w:hAnsi="新宋体" w:eastAsia="新宋体" w:cs="新宋体"/>
          <w:b/>
          <w:bCs/>
          <w:color w:val="auto"/>
          <w:sz w:val="22"/>
          <w:szCs w:val="22"/>
          <w:highlight w:val="none"/>
          <w:lang w:val="en-US" w:eastAsia="zh-CN"/>
        </w:rPr>
        <w:t>采购</w:t>
      </w:r>
      <w:r>
        <w:rPr>
          <w:rFonts w:hint="eastAsia" w:ascii="新宋体" w:hAnsi="新宋体" w:eastAsia="新宋体" w:cs="新宋体"/>
          <w:b/>
          <w:bCs/>
          <w:color w:val="auto"/>
          <w:sz w:val="22"/>
          <w:szCs w:val="22"/>
          <w:highlight w:val="none"/>
        </w:rPr>
        <w:t>文件 </w:t>
      </w:r>
    </w:p>
    <w:p w14:paraId="52848AB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时间：</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至</w:t>
      </w:r>
      <w:r>
        <w:rPr>
          <w:rFonts w:hint="eastAsia" w:ascii="新宋体" w:hAnsi="新宋体" w:eastAsia="新宋体" w:cs="新宋体"/>
          <w:color w:val="auto"/>
          <w:sz w:val="22"/>
          <w:szCs w:val="22"/>
          <w:highlight w:val="none"/>
          <w:lang w:val="en-US" w:eastAsia="zh-CN"/>
        </w:rPr>
        <w:t>2025年7月17日</w:t>
      </w:r>
      <w:r>
        <w:rPr>
          <w:rFonts w:hint="eastAsia" w:ascii="新宋体" w:hAnsi="新宋体" w:eastAsia="新宋体" w:cs="新宋体"/>
          <w:color w:val="auto"/>
          <w:sz w:val="22"/>
          <w:szCs w:val="22"/>
          <w:highlight w:val="none"/>
        </w:rPr>
        <w:t>，</w:t>
      </w:r>
      <w:r>
        <w:rPr>
          <w:rFonts w:hint="eastAsia" w:ascii="新宋体" w:hAnsi="新宋体" w:eastAsia="新宋体" w:cs="新宋体"/>
          <w:b w:val="0"/>
          <w:bCs w:val="0"/>
          <w:color w:val="auto"/>
          <w:sz w:val="22"/>
          <w:szCs w:val="22"/>
          <w:highlight w:val="none"/>
        </w:rPr>
        <w:t>每天上午00</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00至12</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00，下午12</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00至23</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59（北京时间，法定节假日除外）</w:t>
      </w:r>
    </w:p>
    <w:p w14:paraId="4A97B92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地点（网址）：政采云平台（https://www.zcygov.cn/）线上获取</w:t>
      </w:r>
    </w:p>
    <w:p w14:paraId="5B5BDF8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方式：供应商登录政采云平台https</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//www.zcygov.cn/在线申请获取采购文件（进入“项目采购”应用，在获取采购文件菜单中选择项目，申请获取采购文件）</w:t>
      </w:r>
    </w:p>
    <w:p w14:paraId="3A55463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售价（元）：0 </w:t>
      </w:r>
    </w:p>
    <w:p w14:paraId="4F1E465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四、提交投标文件截止时间、开标时间和地点</w:t>
      </w:r>
    </w:p>
    <w:p w14:paraId="49D8989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提交投标文件截止时间：</w:t>
      </w:r>
      <w:r>
        <w:rPr>
          <w:rFonts w:hint="eastAsia" w:ascii="新宋体" w:hAnsi="新宋体" w:eastAsia="新宋体" w:cs="新宋体"/>
          <w:color w:val="auto"/>
          <w:sz w:val="22"/>
          <w:szCs w:val="22"/>
          <w:highlight w:val="none"/>
          <w:lang w:val="en-US" w:eastAsia="zh-CN"/>
        </w:rPr>
        <w:t>2025年7月17日14</w:t>
      </w:r>
      <w:r>
        <w:rPr>
          <w:rFonts w:hint="eastAsia" w:ascii="新宋体" w:hAnsi="新宋体" w:eastAsia="新宋体" w:cs="新宋体"/>
          <w:color w:val="auto"/>
          <w:sz w:val="22"/>
          <w:szCs w:val="22"/>
          <w:highlight w:val="none"/>
        </w:rPr>
        <w:t>：30（北京时间）</w:t>
      </w:r>
    </w:p>
    <w:p w14:paraId="19D29E2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投标地点（网址）：请登录政采云投标客户端投标</w:t>
      </w:r>
    </w:p>
    <w:p w14:paraId="1F2A659C">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开标时间：</w:t>
      </w:r>
      <w:r>
        <w:rPr>
          <w:rFonts w:hint="eastAsia" w:ascii="新宋体" w:hAnsi="新宋体" w:eastAsia="新宋体" w:cs="新宋体"/>
          <w:color w:val="auto"/>
          <w:sz w:val="22"/>
          <w:szCs w:val="22"/>
          <w:highlight w:val="none"/>
          <w:lang w:val="en-US" w:eastAsia="zh-CN"/>
        </w:rPr>
        <w:t>2025年7月17日14</w:t>
      </w:r>
      <w:r>
        <w:rPr>
          <w:rFonts w:hint="eastAsia" w:ascii="新宋体" w:hAnsi="新宋体" w:eastAsia="新宋体" w:cs="新宋体"/>
          <w:color w:val="auto"/>
          <w:sz w:val="22"/>
          <w:szCs w:val="22"/>
          <w:highlight w:val="none"/>
        </w:rPr>
        <w:t>：30 </w:t>
      </w:r>
    </w:p>
    <w:p w14:paraId="76E22CD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开标地点（网址）：政采云平台（https://www.zcygov.cn/）</w:t>
      </w:r>
    </w:p>
    <w:p w14:paraId="1C2DB73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五、公告期限 </w:t>
      </w:r>
    </w:p>
    <w:p w14:paraId="1B885D6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自本公告发布之日起5个工作日。</w:t>
      </w:r>
    </w:p>
    <w:p w14:paraId="1B01770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六、其他补充事宜</w:t>
      </w:r>
    </w:p>
    <w:p w14:paraId="08ACDBB8">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2F50854">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5D5A412">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FA3ED7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.其他事项：</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一</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的获取：使用账号登录或者使用CA登录政采云平台；进入“项目采购”应用，在获取采购文件菜单中选择项目，获取</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⑥投标文件的解密：投标人按照平台提示和</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规定在半小时内完成在线解密；⑦具体操作指南：详见政采云平台“服务中心-帮助文档-项目采购-操作流程-电子招投标-政府采购项目电子交易管理操作指南-供应商”：浙江省政府采购项目政采云平台学习专题https://edu.zcygov.cn/luban/e-biding。（</w:t>
      </w:r>
      <w:r>
        <w:rPr>
          <w:rFonts w:hint="eastAsia" w:ascii="新宋体" w:hAnsi="新宋体" w:eastAsia="新宋体" w:cs="新宋体"/>
          <w:color w:val="auto"/>
          <w:sz w:val="22"/>
          <w:szCs w:val="22"/>
          <w:highlight w:val="none"/>
          <w:lang w:val="en-US" w:eastAsia="zh-CN"/>
        </w:rPr>
        <w:t>二</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w:t>
      </w:r>
      <w:r>
        <w:rPr>
          <w:rFonts w:hint="eastAsia" w:ascii="新宋体" w:hAnsi="新宋体" w:eastAsia="新宋体" w:cs="新宋体"/>
          <w:color w:val="auto"/>
          <w:sz w:val="22"/>
          <w:szCs w:val="22"/>
          <w:highlight w:val="none"/>
        </w:rPr>
        <w:t>公告附件的采购文件仅供阅览使用，未按照本公告规定的方式获取采购文件的潜在供应商提起的质疑采购组织机构将不予受理、答复。  </w:t>
      </w:r>
    </w:p>
    <w:p w14:paraId="1DD349A2">
      <w:pPr>
        <w:keepNext w:val="0"/>
        <w:keepLines w:val="0"/>
        <w:pageBreakBefore w:val="0"/>
        <w:widowControl w:val="0"/>
        <w:tabs>
          <w:tab w:val="left" w:pos="360"/>
        </w:tabs>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七、对本次采购提出询问，请按以下方式联系</w:t>
      </w:r>
    </w:p>
    <w:p w14:paraId="4BD5AF1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1.采购人信息</w:t>
      </w:r>
    </w:p>
    <w:p w14:paraId="713CC32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w:t>
      </w:r>
      <w:r>
        <w:rPr>
          <w:rFonts w:hint="eastAsia" w:ascii="新宋体" w:hAnsi="新宋体" w:eastAsia="新宋体" w:cs="新宋体"/>
          <w:color w:val="auto"/>
          <w:sz w:val="22"/>
          <w:szCs w:val="22"/>
          <w:highlight w:val="none"/>
          <w:lang w:eastAsia="zh-CN"/>
        </w:rPr>
        <w:t>温州市中医院</w:t>
      </w:r>
    </w:p>
    <w:p w14:paraId="6B0791A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址：温州市蛟尾路9号</w:t>
      </w:r>
    </w:p>
    <w:p w14:paraId="1077898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w:t>
      </w:r>
    </w:p>
    <w:p w14:paraId="562222D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项目联系人（询问）：陈</w:t>
      </w:r>
      <w:r>
        <w:rPr>
          <w:rFonts w:hint="eastAsia" w:ascii="新宋体" w:hAnsi="新宋体" w:eastAsia="新宋体" w:cs="新宋体"/>
          <w:color w:val="auto"/>
          <w:sz w:val="22"/>
          <w:szCs w:val="22"/>
          <w:highlight w:val="none"/>
          <w:lang w:eastAsia="zh-CN"/>
        </w:rPr>
        <w:t>先生</w:t>
      </w:r>
    </w:p>
    <w:p w14:paraId="024E37E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项目联系方式（询问）：0577-56965638</w:t>
      </w:r>
    </w:p>
    <w:p w14:paraId="1A491C6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质疑联系人：陈</w:t>
      </w:r>
      <w:r>
        <w:rPr>
          <w:rFonts w:hint="eastAsia" w:ascii="新宋体" w:hAnsi="新宋体" w:eastAsia="新宋体" w:cs="新宋体"/>
          <w:color w:val="auto"/>
          <w:sz w:val="22"/>
          <w:szCs w:val="22"/>
          <w:highlight w:val="none"/>
          <w:lang w:eastAsia="zh-CN"/>
        </w:rPr>
        <w:t>先生</w:t>
      </w:r>
    </w:p>
    <w:p w14:paraId="621F103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质疑联系方式：0577-56965638</w:t>
      </w:r>
    </w:p>
    <w:p w14:paraId="5040C32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p>
    <w:p w14:paraId="2881315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2.采购代理机构信息</w:t>
      </w:r>
    </w:p>
    <w:p w14:paraId="47372E8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称：温州历程招标有限公司</w:t>
      </w:r>
    </w:p>
    <w:p w14:paraId="45E00DD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址：温州市鹿城区南汇街道勤民路鹿城壹号18幢803室</w:t>
      </w:r>
    </w:p>
    <w:p w14:paraId="38F00EC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w:t>
      </w:r>
    </w:p>
    <w:p w14:paraId="05A475C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项目联系人（询问）：郑永强</w:t>
      </w:r>
    </w:p>
    <w:p w14:paraId="2ED4130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项目联系方式（询问）：13757727199</w:t>
      </w:r>
    </w:p>
    <w:p w14:paraId="3A90AA8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质疑联系人：肖忠文</w:t>
      </w:r>
    </w:p>
    <w:p w14:paraId="5F81910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质疑联系方式：0577-89887322</w:t>
      </w:r>
    </w:p>
    <w:p w14:paraId="51FA807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p>
    <w:p w14:paraId="52535E2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3.同级政府采购监督管理部门</w:t>
      </w:r>
    </w:p>
    <w:p w14:paraId="5E32589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名</w:t>
      </w:r>
      <w:r>
        <w:rPr>
          <w:rFonts w:hint="eastAsia" w:ascii="新宋体" w:hAnsi="新宋体" w:eastAsia="新宋体" w:cs="新宋体"/>
          <w:color w:val="auto"/>
          <w:sz w:val="22"/>
          <w:szCs w:val="22"/>
          <w:highlight w:val="none"/>
          <w:u w:val="none"/>
          <w:lang w:val="en-US" w:eastAsia="zh-CN"/>
        </w:rPr>
        <w:t xml:space="preserve">  </w:t>
      </w:r>
      <w:r>
        <w:rPr>
          <w:rFonts w:hint="eastAsia" w:ascii="新宋体" w:hAnsi="新宋体" w:eastAsia="新宋体" w:cs="新宋体"/>
          <w:color w:val="auto"/>
          <w:sz w:val="22"/>
          <w:szCs w:val="22"/>
          <w:highlight w:val="none"/>
          <w:u w:val="none"/>
        </w:rPr>
        <w:t>称：</w:t>
      </w:r>
      <w:r>
        <w:rPr>
          <w:rFonts w:hint="eastAsia" w:ascii="新宋体" w:hAnsi="新宋体" w:eastAsia="新宋体" w:cs="新宋体"/>
          <w:color w:val="auto"/>
          <w:sz w:val="22"/>
          <w:szCs w:val="22"/>
          <w:highlight w:val="none"/>
          <w:u w:val="none"/>
          <w:lang w:val="en-US" w:eastAsia="zh-CN"/>
        </w:rPr>
        <w:t>温州市</w:t>
      </w:r>
      <w:r>
        <w:rPr>
          <w:rFonts w:hint="eastAsia" w:ascii="新宋体" w:hAnsi="新宋体" w:eastAsia="新宋体" w:cs="新宋体"/>
          <w:color w:val="auto"/>
          <w:sz w:val="22"/>
          <w:szCs w:val="22"/>
          <w:highlight w:val="none"/>
          <w:u w:val="none"/>
        </w:rPr>
        <w:t>财政局（浙江省政府采购行政裁决服务中心（温州））</w:t>
      </w:r>
    </w:p>
    <w:p w14:paraId="696C0B6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地</w:t>
      </w:r>
      <w:r>
        <w:rPr>
          <w:rFonts w:hint="eastAsia" w:ascii="新宋体" w:hAnsi="新宋体" w:eastAsia="新宋体" w:cs="新宋体"/>
          <w:color w:val="auto"/>
          <w:sz w:val="22"/>
          <w:szCs w:val="22"/>
          <w:highlight w:val="none"/>
          <w:u w:val="none"/>
          <w:lang w:val="en-US" w:eastAsia="zh-CN"/>
        </w:rPr>
        <w:t xml:space="preserve">  </w:t>
      </w:r>
      <w:r>
        <w:rPr>
          <w:rFonts w:hint="eastAsia" w:ascii="新宋体" w:hAnsi="新宋体" w:eastAsia="新宋体" w:cs="新宋体"/>
          <w:color w:val="auto"/>
          <w:sz w:val="22"/>
          <w:szCs w:val="22"/>
          <w:highlight w:val="none"/>
          <w:u w:val="none"/>
        </w:rPr>
        <w:t>址：温州市鹿城区滨江街道瓯江路展银大厦1606室</w:t>
      </w:r>
    </w:p>
    <w:p w14:paraId="5234814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传</w:t>
      </w:r>
      <w:r>
        <w:rPr>
          <w:rFonts w:hint="eastAsia" w:ascii="新宋体" w:hAnsi="新宋体" w:eastAsia="新宋体" w:cs="新宋体"/>
          <w:color w:val="auto"/>
          <w:sz w:val="22"/>
          <w:szCs w:val="22"/>
          <w:highlight w:val="none"/>
          <w:u w:val="none"/>
          <w:lang w:val="en-US" w:eastAsia="zh-CN"/>
        </w:rPr>
        <w:t xml:space="preserve">  </w:t>
      </w:r>
      <w:r>
        <w:rPr>
          <w:rFonts w:hint="eastAsia" w:ascii="新宋体" w:hAnsi="新宋体" w:eastAsia="新宋体" w:cs="新宋体"/>
          <w:color w:val="auto"/>
          <w:sz w:val="22"/>
          <w:szCs w:val="22"/>
          <w:highlight w:val="none"/>
          <w:u w:val="none"/>
        </w:rPr>
        <w:t>真：/</w:t>
      </w:r>
    </w:p>
    <w:p w14:paraId="1EB3F42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联系人：李老师、王老师</w:t>
      </w:r>
    </w:p>
    <w:p w14:paraId="06C19A3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监督投诉电话：0577-88501561、0577-85501562</w:t>
      </w:r>
    </w:p>
    <w:p w14:paraId="7ADBAE8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p>
    <w:p w14:paraId="47FBCB27">
      <w:pPr>
        <w:pStyle w:val="2"/>
        <w:rPr>
          <w:rFonts w:hint="eastAsia"/>
          <w:color w:val="auto"/>
          <w:highlight w:val="none"/>
        </w:rPr>
      </w:pPr>
    </w:p>
    <w:p w14:paraId="486D63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color w:val="auto"/>
          <w:sz w:val="21"/>
          <w:szCs w:val="21"/>
          <w:highlight w:val="none"/>
          <w:u w:val="none"/>
        </w:rPr>
      </w:pPr>
      <w:r>
        <w:rPr>
          <w:rFonts w:hint="eastAsia" w:ascii="新宋体" w:hAnsi="新宋体" w:eastAsia="新宋体" w:cs="新宋体"/>
          <w:color w:val="auto"/>
          <w:sz w:val="21"/>
          <w:szCs w:val="21"/>
          <w:highlight w:val="none"/>
          <w:u w:val="none"/>
        </w:rPr>
        <w:t>若对项目采购电子交易系统操作有疑问，可登录政采云（https://www.zcygov.cn/），点击右侧咨询小采，获取采小蜜智能服务管家帮助，或拨打政采云服务热线95763获取热线服务帮助。</w:t>
      </w:r>
    </w:p>
    <w:p w14:paraId="29C257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color w:val="auto"/>
          <w:sz w:val="21"/>
          <w:szCs w:val="21"/>
          <w:highlight w:val="none"/>
          <w:u w:val="none"/>
        </w:rPr>
      </w:pPr>
      <w:r>
        <w:rPr>
          <w:rFonts w:hint="eastAsia" w:ascii="新宋体" w:hAnsi="新宋体" w:eastAsia="新宋体" w:cs="新宋体"/>
          <w:color w:val="auto"/>
          <w:sz w:val="21"/>
          <w:szCs w:val="21"/>
          <w:highlight w:val="none"/>
          <w:u w:val="none"/>
        </w:rPr>
        <w:t>CA问题联系电话（人工）：汇信CA 400-888-4636；天谷CA 400-087-8198。</w:t>
      </w:r>
    </w:p>
    <w:p w14:paraId="450BE9BC">
      <w:pPr>
        <w:pStyle w:val="23"/>
        <w:rPr>
          <w:rFonts w:hint="eastAsia" w:ascii="新宋体" w:hAnsi="新宋体" w:eastAsia="新宋体" w:cs="新宋体"/>
          <w:color w:val="auto"/>
          <w:highlight w:val="none"/>
        </w:rPr>
      </w:pPr>
    </w:p>
    <w:p w14:paraId="77F6D700">
      <w:pPr>
        <w:pStyle w:val="23"/>
        <w:rPr>
          <w:rFonts w:hint="eastAsia" w:ascii="新宋体" w:hAnsi="新宋体" w:eastAsia="新宋体" w:cs="新宋体"/>
          <w:color w:val="auto"/>
          <w:highlight w:val="none"/>
        </w:rPr>
      </w:pPr>
    </w:p>
    <w:p w14:paraId="3F16D80E">
      <w:pPr>
        <w:pStyle w:val="23"/>
        <w:rPr>
          <w:rFonts w:hint="eastAsia" w:ascii="新宋体" w:hAnsi="新宋体" w:eastAsia="新宋体" w:cs="新宋体"/>
          <w:color w:val="auto"/>
          <w:highlight w:val="none"/>
        </w:rPr>
      </w:pPr>
    </w:p>
    <w:p w14:paraId="45439669">
      <w:pPr>
        <w:rPr>
          <w:rFonts w:hint="eastAsia" w:ascii="新宋体" w:hAnsi="新宋体" w:eastAsia="新宋体" w:cs="新宋体"/>
          <w:b/>
          <w:color w:val="auto"/>
          <w:sz w:val="22"/>
          <w:szCs w:val="22"/>
          <w:highlight w:val="none"/>
        </w:rPr>
      </w:pPr>
    </w:p>
    <w:p w14:paraId="4869307B">
      <w:pPr>
        <w:rPr>
          <w:rFonts w:hint="eastAsia" w:ascii="新宋体" w:hAnsi="新宋体" w:eastAsia="新宋体" w:cs="新宋体"/>
          <w:b/>
          <w:color w:val="auto"/>
          <w:sz w:val="22"/>
          <w:szCs w:val="22"/>
          <w:highlight w:val="none"/>
        </w:rPr>
      </w:pPr>
    </w:p>
    <w:p w14:paraId="756F030F">
      <w:pPr>
        <w:rPr>
          <w:rFonts w:hint="eastAsia" w:ascii="新宋体" w:hAnsi="新宋体" w:eastAsia="新宋体" w:cs="新宋体"/>
          <w:color w:val="auto"/>
          <w:highlight w:val="none"/>
        </w:rPr>
      </w:pPr>
    </w:p>
    <w:p w14:paraId="75963E76">
      <w:pPr>
        <w:spacing w:line="360" w:lineRule="auto"/>
        <w:jc w:val="center"/>
        <w:rPr>
          <w:rFonts w:hint="eastAsia" w:ascii="新宋体" w:hAnsi="新宋体" w:eastAsia="新宋体" w:cs="新宋体"/>
          <w:b/>
          <w:color w:val="auto"/>
          <w:sz w:val="22"/>
          <w:szCs w:val="22"/>
          <w:highlight w:val="none"/>
        </w:rPr>
      </w:pPr>
    </w:p>
    <w:p w14:paraId="7EA72047">
      <w:pPr>
        <w:spacing w:line="360" w:lineRule="auto"/>
        <w:jc w:val="center"/>
        <w:rPr>
          <w:rFonts w:hint="eastAsia" w:ascii="新宋体" w:hAnsi="新宋体" w:eastAsia="新宋体" w:cs="新宋体"/>
          <w:b/>
          <w:color w:val="auto"/>
          <w:sz w:val="22"/>
          <w:szCs w:val="22"/>
          <w:highlight w:val="none"/>
        </w:rPr>
      </w:pPr>
    </w:p>
    <w:p w14:paraId="3BC8B374">
      <w:pPr>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p>
    <w:p w14:paraId="15C9E272">
      <w:pPr>
        <w:pStyle w:val="23"/>
        <w:spacing w:line="460" w:lineRule="exact"/>
        <w:ind w:left="0" w:leftChars="0"/>
        <w:jc w:val="center"/>
        <w:outlineLvl w:val="0"/>
        <w:rPr>
          <w:rFonts w:hint="eastAsia" w:ascii="新宋体" w:hAnsi="新宋体" w:eastAsia="新宋体" w:cs="新宋体"/>
          <w:b/>
          <w:color w:val="auto"/>
          <w:sz w:val="30"/>
          <w:highlight w:val="none"/>
        </w:rPr>
      </w:pPr>
      <w:bookmarkStart w:id="5" w:name="_Toc17292"/>
      <w:r>
        <w:rPr>
          <w:rFonts w:hint="eastAsia" w:ascii="新宋体" w:hAnsi="新宋体" w:eastAsia="新宋体" w:cs="新宋体"/>
          <w:b/>
          <w:color w:val="auto"/>
          <w:sz w:val="30"/>
          <w:highlight w:val="none"/>
        </w:rPr>
        <w:t>第一部分    投标人须知</w:t>
      </w:r>
      <w:bookmarkEnd w:id="5"/>
    </w:p>
    <w:p w14:paraId="17CA37C4">
      <w:pPr>
        <w:keepNext/>
        <w:keepLines/>
        <w:shd w:val="clear" w:color="auto" w:fill="FFFFFF"/>
        <w:tabs>
          <w:tab w:val="left" w:pos="706"/>
        </w:tabs>
        <w:snapToGrid w:val="0"/>
        <w:spacing w:line="460" w:lineRule="exact"/>
        <w:jc w:val="center"/>
        <w:outlineLvl w:val="1"/>
        <w:rPr>
          <w:rFonts w:hint="eastAsia" w:ascii="新宋体" w:hAnsi="新宋体" w:eastAsia="新宋体" w:cs="新宋体"/>
          <w:b/>
          <w:bCs/>
          <w:color w:val="auto"/>
          <w:sz w:val="22"/>
          <w:szCs w:val="22"/>
          <w:highlight w:val="none"/>
        </w:rPr>
      </w:pPr>
      <w:bookmarkStart w:id="6" w:name="_Toc233618971"/>
      <w:bookmarkStart w:id="7" w:name="_Toc33194387"/>
      <w:bookmarkStart w:id="8" w:name="_Toc354996695"/>
      <w:bookmarkStart w:id="9" w:name="_Toc15689"/>
      <w:r>
        <w:rPr>
          <w:rFonts w:hint="eastAsia" w:ascii="新宋体" w:hAnsi="新宋体" w:eastAsia="新宋体" w:cs="新宋体"/>
          <w:b/>
          <w:bCs/>
          <w:color w:val="auto"/>
          <w:sz w:val="24"/>
          <w:highlight w:val="none"/>
        </w:rPr>
        <w:t>前 附 表</w:t>
      </w:r>
      <w:bookmarkEnd w:id="6"/>
      <w:bookmarkEnd w:id="7"/>
      <w:bookmarkEnd w:id="8"/>
      <w:bookmarkEnd w:id="9"/>
    </w:p>
    <w:tbl>
      <w:tblPr>
        <w:tblStyle w:val="53"/>
        <w:tblW w:w="102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09"/>
        <w:gridCol w:w="9733"/>
      </w:tblGrid>
      <w:tr w14:paraId="2CCB3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 w:hRule="atLeast"/>
          <w:jc w:val="center"/>
        </w:trPr>
        <w:tc>
          <w:tcPr>
            <w:tcW w:w="509" w:type="dxa"/>
            <w:tcBorders>
              <w:top w:val="single" w:color="000000" w:sz="8" w:space="0"/>
              <w:left w:val="single" w:color="000000" w:sz="8" w:space="0"/>
              <w:bottom w:val="single" w:color="000000" w:sz="2" w:space="0"/>
              <w:right w:val="single" w:color="000000" w:sz="2" w:space="0"/>
            </w:tcBorders>
            <w:vAlign w:val="center"/>
          </w:tcPr>
          <w:p w14:paraId="6A911856">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条款</w:t>
            </w:r>
          </w:p>
        </w:tc>
        <w:tc>
          <w:tcPr>
            <w:tcW w:w="9733" w:type="dxa"/>
            <w:tcBorders>
              <w:top w:val="single" w:color="000000" w:sz="8" w:space="0"/>
              <w:left w:val="single" w:color="000000" w:sz="2" w:space="0"/>
              <w:bottom w:val="single" w:color="000000" w:sz="2" w:space="0"/>
              <w:right w:val="single" w:color="000000" w:sz="8" w:space="0"/>
            </w:tcBorders>
            <w:vAlign w:val="center"/>
          </w:tcPr>
          <w:p w14:paraId="71E17A99">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内容规定</w:t>
            </w:r>
          </w:p>
        </w:tc>
      </w:tr>
      <w:tr w14:paraId="47FD1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6"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52D2DBD">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w:t>
            </w:r>
          </w:p>
        </w:tc>
        <w:tc>
          <w:tcPr>
            <w:tcW w:w="9733" w:type="dxa"/>
            <w:tcBorders>
              <w:top w:val="single" w:color="000000" w:sz="2" w:space="0"/>
              <w:left w:val="single" w:color="000000" w:sz="2" w:space="0"/>
              <w:bottom w:val="single" w:color="000000" w:sz="2" w:space="0"/>
              <w:right w:val="single" w:color="000000" w:sz="8" w:space="0"/>
            </w:tcBorders>
          </w:tcPr>
          <w:p w14:paraId="149F3C5B">
            <w:pPr>
              <w:snapToGrid w:val="0"/>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一、项目名称：</w:t>
            </w:r>
            <w:r>
              <w:rPr>
                <w:rFonts w:hint="eastAsia" w:ascii="新宋体" w:hAnsi="新宋体" w:eastAsia="新宋体" w:cs="新宋体"/>
                <w:color w:val="auto"/>
                <w:sz w:val="22"/>
                <w:szCs w:val="22"/>
                <w:highlight w:val="none"/>
                <w:lang w:eastAsia="zh-CN"/>
              </w:rPr>
              <w:t>双能X射线骨密度仪</w:t>
            </w:r>
          </w:p>
          <w:p w14:paraId="676C4634">
            <w:pPr>
              <w:snapToGrid w:val="0"/>
              <w:spacing w:line="460" w:lineRule="exact"/>
              <w:rPr>
                <w:rFonts w:hint="eastAsia" w:ascii="新宋体" w:hAnsi="新宋体" w:eastAsia="新宋体" w:cs="新宋体"/>
                <w:color w:val="auto"/>
                <w:sz w:val="22"/>
                <w:szCs w:val="22"/>
                <w:highlight w:val="none"/>
              </w:rPr>
            </w:pPr>
            <w:bookmarkStart w:id="10" w:name="_Hlt75139851"/>
            <w:bookmarkEnd w:id="10"/>
            <w:r>
              <w:rPr>
                <w:rFonts w:hint="eastAsia" w:ascii="新宋体" w:hAnsi="新宋体" w:eastAsia="新宋体" w:cs="新宋体"/>
                <w:color w:val="auto"/>
                <w:sz w:val="22"/>
                <w:szCs w:val="22"/>
                <w:highlight w:val="none"/>
              </w:rPr>
              <w:t>二、采购内容：</w:t>
            </w:r>
          </w:p>
          <w:tbl>
            <w:tblPr>
              <w:tblStyle w:val="53"/>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941"/>
              <w:gridCol w:w="1773"/>
              <w:gridCol w:w="3109"/>
              <w:gridCol w:w="1820"/>
            </w:tblGrid>
            <w:tr w14:paraId="07192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817" w:type="dxa"/>
                  <w:tcBorders>
                    <w:top w:val="single" w:color="auto" w:sz="4" w:space="0"/>
                    <w:left w:val="single" w:color="auto" w:sz="4" w:space="0"/>
                    <w:bottom w:val="single" w:color="auto" w:sz="4" w:space="0"/>
                    <w:right w:val="single" w:color="auto" w:sz="4" w:space="0"/>
                  </w:tcBorders>
                  <w:vAlign w:val="center"/>
                </w:tcPr>
                <w:p w14:paraId="38A8AC94">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项目内容</w:t>
                  </w:r>
                </w:p>
              </w:tc>
              <w:tc>
                <w:tcPr>
                  <w:tcW w:w="941" w:type="dxa"/>
                  <w:tcBorders>
                    <w:top w:val="single" w:color="auto" w:sz="4" w:space="0"/>
                    <w:left w:val="single" w:color="auto" w:sz="4" w:space="0"/>
                    <w:bottom w:val="single" w:color="auto" w:sz="4" w:space="0"/>
                    <w:right w:val="single" w:color="auto" w:sz="4" w:space="0"/>
                  </w:tcBorders>
                  <w:vAlign w:val="center"/>
                </w:tcPr>
                <w:p w14:paraId="22E3D380">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773" w:type="dxa"/>
                  <w:tcBorders>
                    <w:top w:val="single" w:color="auto" w:sz="4" w:space="0"/>
                    <w:left w:val="single" w:color="auto" w:sz="4" w:space="0"/>
                    <w:bottom w:val="single" w:color="auto" w:sz="4" w:space="0"/>
                    <w:right w:val="single" w:color="auto" w:sz="4" w:space="0"/>
                  </w:tcBorders>
                  <w:vAlign w:val="center"/>
                </w:tcPr>
                <w:p w14:paraId="34CDDDDD">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预算金额</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元</w:t>
                  </w:r>
                  <w:r>
                    <w:rPr>
                      <w:rFonts w:hint="eastAsia" w:ascii="新宋体" w:hAnsi="新宋体" w:eastAsia="新宋体" w:cs="新宋体"/>
                      <w:color w:val="auto"/>
                      <w:sz w:val="22"/>
                      <w:szCs w:val="22"/>
                      <w:highlight w:val="none"/>
                      <w:lang w:eastAsia="zh-CN"/>
                    </w:rPr>
                    <w:t>）</w:t>
                  </w:r>
                </w:p>
              </w:tc>
              <w:tc>
                <w:tcPr>
                  <w:tcW w:w="3109" w:type="dxa"/>
                  <w:tcBorders>
                    <w:top w:val="single" w:color="auto" w:sz="4" w:space="0"/>
                    <w:left w:val="single" w:color="auto" w:sz="4" w:space="0"/>
                    <w:bottom w:val="single" w:color="auto" w:sz="4" w:space="0"/>
                    <w:right w:val="single" w:color="auto" w:sz="4" w:space="0"/>
                  </w:tcBorders>
                  <w:vAlign w:val="center"/>
                </w:tcPr>
                <w:p w14:paraId="7210358B">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简要技术要求、用途</w:t>
                  </w:r>
                </w:p>
              </w:tc>
              <w:tc>
                <w:tcPr>
                  <w:tcW w:w="1820" w:type="dxa"/>
                  <w:tcBorders>
                    <w:top w:val="single" w:color="auto" w:sz="4" w:space="0"/>
                    <w:left w:val="single" w:color="auto" w:sz="4" w:space="0"/>
                    <w:bottom w:val="single" w:color="auto" w:sz="4" w:space="0"/>
                    <w:right w:val="single" w:color="auto" w:sz="4" w:space="0"/>
                  </w:tcBorders>
                  <w:vAlign w:val="center"/>
                </w:tcPr>
                <w:p w14:paraId="032A36BF">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0304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817" w:type="dxa"/>
                  <w:tcBorders>
                    <w:top w:val="single" w:color="auto" w:sz="4" w:space="0"/>
                    <w:left w:val="single" w:color="auto" w:sz="4" w:space="0"/>
                    <w:bottom w:val="single" w:color="auto" w:sz="4" w:space="0"/>
                    <w:right w:val="single" w:color="auto" w:sz="4" w:space="0"/>
                  </w:tcBorders>
                  <w:vAlign w:val="center"/>
                </w:tcPr>
                <w:p w14:paraId="3C0D9050">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双能X射线骨密度仪</w:t>
                  </w:r>
                </w:p>
              </w:tc>
              <w:tc>
                <w:tcPr>
                  <w:tcW w:w="941" w:type="dxa"/>
                  <w:tcBorders>
                    <w:top w:val="single" w:color="auto" w:sz="4" w:space="0"/>
                    <w:left w:val="single" w:color="auto" w:sz="4" w:space="0"/>
                    <w:bottom w:val="single" w:color="auto" w:sz="4" w:space="0"/>
                    <w:right w:val="single" w:color="auto" w:sz="4" w:space="0"/>
                  </w:tcBorders>
                  <w:vAlign w:val="center"/>
                </w:tcPr>
                <w:p w14:paraId="1A9F8B84">
                  <w:pPr>
                    <w:snapToGrid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套</w:t>
                  </w:r>
                </w:p>
              </w:tc>
              <w:tc>
                <w:tcPr>
                  <w:tcW w:w="1773" w:type="dxa"/>
                  <w:tcBorders>
                    <w:top w:val="single" w:color="auto" w:sz="4" w:space="0"/>
                    <w:left w:val="single" w:color="auto" w:sz="4" w:space="0"/>
                    <w:bottom w:val="single" w:color="auto" w:sz="4" w:space="0"/>
                    <w:right w:val="single" w:color="auto" w:sz="4" w:space="0"/>
                  </w:tcBorders>
                  <w:vAlign w:val="center"/>
                </w:tcPr>
                <w:p w14:paraId="6E4C29B7">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700000</w:t>
                  </w:r>
                </w:p>
              </w:tc>
              <w:tc>
                <w:tcPr>
                  <w:tcW w:w="3109" w:type="dxa"/>
                  <w:tcBorders>
                    <w:top w:val="single" w:color="auto" w:sz="4" w:space="0"/>
                    <w:left w:val="single" w:color="auto" w:sz="4" w:space="0"/>
                    <w:bottom w:val="single" w:color="auto" w:sz="4" w:space="0"/>
                    <w:right w:val="single" w:color="auto" w:sz="4" w:space="0"/>
                  </w:tcBorders>
                  <w:vAlign w:val="center"/>
                </w:tcPr>
                <w:p w14:paraId="6C85BCB6">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详见招标文件第四部分“项目技术规范和服务要求”</w:t>
                  </w:r>
                </w:p>
              </w:tc>
              <w:tc>
                <w:tcPr>
                  <w:tcW w:w="1820" w:type="dxa"/>
                  <w:tcBorders>
                    <w:top w:val="single" w:color="auto" w:sz="4" w:space="0"/>
                    <w:left w:val="single" w:color="auto" w:sz="4" w:space="0"/>
                    <w:right w:val="single" w:color="auto" w:sz="4" w:space="0"/>
                  </w:tcBorders>
                  <w:vAlign w:val="center"/>
                </w:tcPr>
                <w:p w14:paraId="6077A064">
                  <w:pPr>
                    <w:snapToGrid w:val="0"/>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本项目允许进口设备投标</w:t>
                  </w:r>
                </w:p>
              </w:tc>
            </w:tr>
          </w:tbl>
          <w:p w14:paraId="663D781B">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b/>
                <w:bCs/>
                <w:color w:val="auto"/>
                <w:sz w:val="22"/>
                <w:szCs w:val="22"/>
                <w:highlight w:val="none"/>
              </w:rPr>
              <w:t>如投标人报价超过预算金额按无效标处理。</w:t>
            </w:r>
          </w:p>
          <w:p w14:paraId="3B6FBB0F">
            <w:pPr>
              <w:snapToGrid w:val="0"/>
              <w:spacing w:line="460" w:lineRule="exact"/>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lang w:val="en-US" w:eastAsia="zh-CN"/>
              </w:rPr>
              <w:t>三、</w:t>
            </w:r>
            <w:r>
              <w:rPr>
                <w:rFonts w:hint="eastAsia" w:ascii="新宋体" w:hAnsi="新宋体" w:eastAsia="新宋体" w:cs="新宋体"/>
                <w:b/>
                <w:bCs/>
                <w:color w:val="auto"/>
                <w:sz w:val="22"/>
                <w:szCs w:val="22"/>
                <w:highlight w:val="none"/>
              </w:rPr>
              <w:t>本项目</w:t>
            </w:r>
            <w:r>
              <w:rPr>
                <w:rFonts w:hint="eastAsia" w:ascii="新宋体" w:hAnsi="新宋体" w:eastAsia="新宋体" w:cs="新宋体"/>
                <w:b/>
                <w:bCs/>
                <w:color w:val="auto"/>
                <w:sz w:val="22"/>
                <w:szCs w:val="22"/>
                <w:highlight w:val="none"/>
                <w:lang w:val="en-US" w:eastAsia="zh-CN"/>
              </w:rPr>
              <w:t>（是）</w:t>
            </w:r>
            <w:r>
              <w:rPr>
                <w:rFonts w:hint="eastAsia" w:ascii="新宋体" w:hAnsi="新宋体" w:eastAsia="新宋体" w:cs="新宋体"/>
                <w:b/>
                <w:bCs/>
                <w:color w:val="auto"/>
                <w:sz w:val="22"/>
                <w:szCs w:val="22"/>
                <w:highlight w:val="none"/>
              </w:rPr>
              <w:t>接受联合体投标</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组成的联合体须满足：①出具联合体共同投标协议书（须明确牵头人）；②以联合体形式参加采购活动的，联合体各方不得再单独参加或者与其他供应商另外组成联合体参加同一合同项下的采购活动</w:t>
            </w:r>
            <w:r>
              <w:rPr>
                <w:rFonts w:hint="eastAsia" w:ascii="新宋体" w:hAnsi="新宋体" w:eastAsia="新宋体" w:cs="新宋体"/>
                <w:b/>
                <w:bCs/>
                <w:color w:val="auto"/>
                <w:sz w:val="22"/>
                <w:szCs w:val="22"/>
                <w:highlight w:val="none"/>
                <w:lang w:eastAsia="zh-CN"/>
              </w:rPr>
              <w:t>；③</w:t>
            </w:r>
            <w:r>
              <w:rPr>
                <w:rFonts w:hint="eastAsia" w:ascii="新宋体" w:hAnsi="新宋体" w:eastAsia="新宋体" w:cs="新宋体"/>
                <w:b/>
                <w:bCs/>
                <w:color w:val="auto"/>
                <w:sz w:val="22"/>
                <w:szCs w:val="22"/>
                <w:highlight w:val="none"/>
                <w:lang w:val="en-US" w:eastAsia="zh-CN"/>
              </w:rPr>
              <w:t>联合体组成成员（含牵头人）不得超过2家。</w:t>
            </w:r>
          </w:p>
        </w:tc>
      </w:tr>
      <w:tr w14:paraId="4FB64A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3DF0AB7F">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w:t>
            </w:r>
          </w:p>
        </w:tc>
        <w:tc>
          <w:tcPr>
            <w:tcW w:w="9733" w:type="dxa"/>
            <w:tcBorders>
              <w:top w:val="single" w:color="000000" w:sz="2" w:space="0"/>
              <w:left w:val="single" w:color="000000" w:sz="2" w:space="0"/>
              <w:bottom w:val="single" w:color="000000" w:sz="2" w:space="0"/>
              <w:right w:val="single" w:color="000000" w:sz="8" w:space="0"/>
            </w:tcBorders>
            <w:vAlign w:val="center"/>
          </w:tcPr>
          <w:p w14:paraId="16BC5668">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zh-CN"/>
              </w:rPr>
              <w:t>投标</w:t>
            </w:r>
            <w:r>
              <w:rPr>
                <w:rFonts w:hint="eastAsia" w:ascii="新宋体" w:hAnsi="新宋体" w:eastAsia="新宋体" w:cs="新宋体"/>
                <w:b/>
                <w:bCs/>
                <w:color w:val="auto"/>
                <w:sz w:val="22"/>
                <w:szCs w:val="22"/>
                <w:highlight w:val="none"/>
              </w:rPr>
              <w:t>有效期：</w:t>
            </w:r>
            <w:r>
              <w:rPr>
                <w:rFonts w:hint="eastAsia" w:ascii="新宋体" w:hAnsi="新宋体" w:eastAsia="新宋体" w:cs="新宋体"/>
                <w:color w:val="auto"/>
                <w:sz w:val="22"/>
                <w:szCs w:val="22"/>
                <w:highlight w:val="none"/>
              </w:rPr>
              <w:t>自投标截止日起</w:t>
            </w:r>
            <w:r>
              <w:rPr>
                <w:rFonts w:hint="eastAsia" w:ascii="新宋体" w:hAnsi="新宋体" w:eastAsia="新宋体" w:cs="新宋体"/>
                <w:color w:val="auto"/>
                <w:sz w:val="22"/>
                <w:szCs w:val="22"/>
                <w:highlight w:val="none"/>
                <w:lang w:val="en-US" w:eastAsia="zh-CN"/>
              </w:rPr>
              <w:t>90</w:t>
            </w:r>
            <w:r>
              <w:rPr>
                <w:rFonts w:hint="eastAsia" w:ascii="新宋体" w:hAnsi="新宋体" w:eastAsia="新宋体" w:cs="新宋体"/>
                <w:color w:val="auto"/>
                <w:sz w:val="22"/>
                <w:szCs w:val="22"/>
                <w:highlight w:val="none"/>
              </w:rPr>
              <w:t>天。</w:t>
            </w:r>
          </w:p>
        </w:tc>
      </w:tr>
      <w:tr w14:paraId="4D303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A4A3A34">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w:t>
            </w:r>
          </w:p>
        </w:tc>
        <w:tc>
          <w:tcPr>
            <w:tcW w:w="9733" w:type="dxa"/>
            <w:tcBorders>
              <w:top w:val="single" w:color="000000" w:sz="2" w:space="0"/>
              <w:left w:val="single" w:color="000000" w:sz="2" w:space="0"/>
              <w:bottom w:val="single" w:color="000000" w:sz="2" w:space="0"/>
              <w:right w:val="single" w:color="000000" w:sz="8" w:space="0"/>
            </w:tcBorders>
            <w:vAlign w:val="center"/>
          </w:tcPr>
          <w:p w14:paraId="5B35F9A1">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投标保证金数额：无</w:t>
            </w:r>
            <w:r>
              <w:rPr>
                <w:rFonts w:hint="eastAsia" w:ascii="新宋体" w:hAnsi="新宋体" w:eastAsia="新宋体" w:cs="新宋体"/>
                <w:color w:val="auto"/>
                <w:sz w:val="22"/>
                <w:szCs w:val="22"/>
                <w:highlight w:val="none"/>
              </w:rPr>
              <w:t>。</w:t>
            </w:r>
          </w:p>
        </w:tc>
      </w:tr>
      <w:tr w14:paraId="681109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39"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5A59CC93">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w:t>
            </w:r>
          </w:p>
        </w:tc>
        <w:tc>
          <w:tcPr>
            <w:tcW w:w="9733" w:type="dxa"/>
            <w:tcBorders>
              <w:top w:val="single" w:color="000000" w:sz="2" w:space="0"/>
              <w:left w:val="single" w:color="000000" w:sz="2" w:space="0"/>
              <w:bottom w:val="single" w:color="000000" w:sz="2" w:space="0"/>
              <w:right w:val="single" w:color="000000" w:sz="8" w:space="0"/>
            </w:tcBorders>
            <w:vAlign w:val="center"/>
          </w:tcPr>
          <w:p w14:paraId="6FE1D19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招标服务费：根据国家计委计价格【2002】1980号《招标代理服务收费管理暂行办法》规定标准按中标价计算后下浮25%收取，由中标人在领取中标通知书时支付。</w:t>
            </w:r>
          </w:p>
          <w:p w14:paraId="43B1AFDD">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户  名：温州历程招标有限公司乐清分公司</w:t>
            </w:r>
          </w:p>
          <w:p w14:paraId="5FE90920">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账  号：33050162870400000619</w:t>
            </w:r>
          </w:p>
          <w:p w14:paraId="6F2143E9">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开户行：中国建设银行股份有限公司温州新城支行</w:t>
            </w:r>
          </w:p>
          <w:p w14:paraId="5FA96B7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行  号：105333000038</w:t>
            </w:r>
          </w:p>
        </w:tc>
      </w:tr>
      <w:tr w14:paraId="3B792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4E937F61">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w:t>
            </w:r>
          </w:p>
        </w:tc>
        <w:tc>
          <w:tcPr>
            <w:tcW w:w="9733" w:type="dxa"/>
            <w:tcBorders>
              <w:top w:val="single" w:color="000000" w:sz="2" w:space="0"/>
              <w:left w:val="single" w:color="000000" w:sz="2" w:space="0"/>
              <w:bottom w:val="single" w:color="000000" w:sz="2" w:space="0"/>
              <w:right w:val="single" w:color="000000" w:sz="8" w:space="0"/>
            </w:tcBorders>
            <w:vAlign w:val="center"/>
          </w:tcPr>
          <w:p w14:paraId="1FDD5EF5">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投标文件的组成：</w:t>
            </w:r>
            <w:r>
              <w:rPr>
                <w:rFonts w:hint="eastAsia" w:ascii="新宋体" w:hAnsi="新宋体" w:eastAsia="新宋体" w:cs="新宋体"/>
                <w:color w:val="auto"/>
                <w:sz w:val="22"/>
                <w:szCs w:val="22"/>
                <w:highlight w:val="none"/>
              </w:rPr>
              <w:t>完整的《投标文件》由“资格文件”、“报价文件”和“商务技术文件”三个部分组成。</w:t>
            </w:r>
          </w:p>
        </w:tc>
      </w:tr>
      <w:tr w14:paraId="51523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5012475C">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w:t>
            </w:r>
          </w:p>
        </w:tc>
        <w:tc>
          <w:tcPr>
            <w:tcW w:w="9733" w:type="dxa"/>
            <w:tcBorders>
              <w:top w:val="single" w:color="000000" w:sz="2" w:space="0"/>
              <w:left w:val="single" w:color="000000" w:sz="2" w:space="0"/>
              <w:bottom w:val="single" w:color="000000" w:sz="2" w:space="0"/>
              <w:right w:val="single" w:color="000000" w:sz="8" w:space="0"/>
            </w:tcBorders>
            <w:vAlign w:val="center"/>
          </w:tcPr>
          <w:p w14:paraId="7250A31A">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投标文件的编制：</w:t>
            </w:r>
            <w:r>
              <w:rPr>
                <w:rFonts w:hint="eastAsia" w:ascii="新宋体" w:hAnsi="新宋体" w:eastAsia="新宋体" w:cs="新宋体"/>
                <w:color w:val="auto"/>
                <w:sz w:val="22"/>
                <w:szCs w:val="22"/>
                <w:highlight w:val="none"/>
              </w:rPr>
              <w:t>投标人应先安装“政采云电子交易客户端”，并按照本招标文件和“政府采购云平台”的要求，通过“政采云电子交易客户端”编制并加密投标文件。</w:t>
            </w:r>
          </w:p>
        </w:tc>
      </w:tr>
      <w:tr w14:paraId="6BF73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E8D4765">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w:t>
            </w:r>
          </w:p>
        </w:tc>
        <w:tc>
          <w:tcPr>
            <w:tcW w:w="9733" w:type="dxa"/>
            <w:tcBorders>
              <w:top w:val="single" w:color="000000" w:sz="2" w:space="0"/>
              <w:left w:val="single" w:color="000000" w:sz="2" w:space="0"/>
              <w:bottom w:val="single" w:color="000000" w:sz="2" w:space="0"/>
              <w:right w:val="single" w:color="000000" w:sz="8" w:space="0"/>
            </w:tcBorders>
            <w:vAlign w:val="center"/>
          </w:tcPr>
          <w:p w14:paraId="7339E249">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投标文件的签章：</w:t>
            </w:r>
            <w:r>
              <w:rPr>
                <w:rFonts w:hint="eastAsia" w:ascii="新宋体" w:hAnsi="新宋体" w:eastAsia="新宋体" w:cs="新宋体"/>
                <w:color w:val="auto"/>
                <w:sz w:val="22"/>
                <w:szCs w:val="22"/>
                <w:highlight w:val="none"/>
              </w:rPr>
              <w:t>电子签章。</w:t>
            </w:r>
            <w:r>
              <w:rPr>
                <w:rFonts w:hint="eastAsia" w:ascii="新宋体" w:hAnsi="新宋体" w:eastAsia="新宋体" w:cs="新宋体"/>
                <w:b/>
                <w:color w:val="auto"/>
                <w:sz w:val="22"/>
                <w:szCs w:val="22"/>
                <w:highlight w:val="none"/>
                <w:lang w:val="en-US" w:eastAsia="zh-CN"/>
              </w:rPr>
              <w:t>如为联合体投标的，招标文件中需联合体所有成员分别填写的格式，联合体成员（除牵头人外）按招标文件格式分别进行编制（格式中要求提供相关证明材料的还需后附相关证明材料），并按格式要求在指定位置根据要求进行签字（或盖章）后将扫描件提交给牵头人（联合体共同投标协议书须签字或盖章的地方须由联合体双方均签字或盖章）。牵头人在完成投标文件编制后扫描上传加密电子投标文件，电子投标文件中所须加盖公章的地方均加盖牵头人的电子签章。</w:t>
            </w:r>
          </w:p>
        </w:tc>
      </w:tr>
      <w:tr w14:paraId="58F59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CAE7B2B">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w:t>
            </w:r>
          </w:p>
        </w:tc>
        <w:tc>
          <w:tcPr>
            <w:tcW w:w="9733" w:type="dxa"/>
            <w:tcBorders>
              <w:top w:val="single" w:color="000000" w:sz="2" w:space="0"/>
              <w:left w:val="single" w:color="000000" w:sz="2" w:space="0"/>
              <w:bottom w:val="single" w:color="000000" w:sz="2" w:space="0"/>
              <w:right w:val="single" w:color="000000" w:sz="8" w:space="0"/>
            </w:tcBorders>
            <w:vAlign w:val="center"/>
          </w:tcPr>
          <w:p w14:paraId="1D6493F4">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投标文件的形式：</w:t>
            </w:r>
            <w:r>
              <w:rPr>
                <w:rFonts w:hint="default" w:ascii="Times New Roman" w:hAnsi="Times New Roman" w:eastAsia="新宋体" w:cs="Times New Roman"/>
                <w:color w:val="auto"/>
                <w:sz w:val="22"/>
                <w:szCs w:val="22"/>
                <w:highlight w:val="none"/>
              </w:rPr>
              <w:t>☑</w:t>
            </w:r>
            <w:r>
              <w:rPr>
                <w:rFonts w:hint="eastAsia" w:ascii="新宋体" w:hAnsi="新宋体" w:eastAsia="新宋体" w:cs="新宋体"/>
                <w:color w:val="auto"/>
                <w:sz w:val="22"/>
                <w:szCs w:val="22"/>
                <w:highlight w:val="none"/>
              </w:rPr>
              <w:t>电子投标文件（包括“电子加密投标文件”和“备份投标文件”，在投标文件编制完成后同时生成）；</w:t>
            </w:r>
          </w:p>
          <w:p w14:paraId="6C775BB1">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（1）“电子加密投标文件”是指通过“政采云电子交易客户端”完成投标文件编制后生成并加密的数据电文形式的投标文件。</w:t>
            </w:r>
          </w:p>
          <w:p w14:paraId="46B0878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21D3B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B4C9A52">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w:t>
            </w:r>
          </w:p>
        </w:tc>
        <w:tc>
          <w:tcPr>
            <w:tcW w:w="9733" w:type="dxa"/>
            <w:tcBorders>
              <w:top w:val="single" w:color="000000" w:sz="2" w:space="0"/>
              <w:left w:val="single" w:color="000000" w:sz="2" w:space="0"/>
              <w:bottom w:val="single" w:color="000000" w:sz="2" w:space="0"/>
              <w:right w:val="single" w:color="000000" w:sz="8" w:space="0"/>
            </w:tcBorders>
            <w:vAlign w:val="center"/>
          </w:tcPr>
          <w:p w14:paraId="10B1FB0F">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投标文件份数：</w:t>
            </w:r>
          </w:p>
          <w:p w14:paraId="70418FC3">
            <w:pPr>
              <w:numPr>
                <w:ilvl w:val="0"/>
                <w:numId w:val="1"/>
              </w:num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“电子加密投标文件”：在线上传递交、一份。</w:t>
            </w:r>
          </w:p>
          <w:p w14:paraId="545B0D61">
            <w:pPr>
              <w:numPr>
                <w:ilvl w:val="0"/>
                <w:numId w:val="1"/>
              </w:num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“备份投标文件”：密封包装后投标截止时间前递交、一份</w:t>
            </w:r>
            <w:r>
              <w:rPr>
                <w:rFonts w:hint="eastAsia" w:ascii="新宋体" w:hAnsi="新宋体" w:eastAsia="新宋体" w:cs="新宋体"/>
                <w:color w:val="auto"/>
                <w:sz w:val="22"/>
                <w:szCs w:val="22"/>
                <w:highlight w:val="none"/>
                <w:lang w:eastAsia="zh-CN"/>
              </w:rPr>
              <w:t>。</w:t>
            </w:r>
          </w:p>
          <w:p w14:paraId="4940A8B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（若不提供备份文件，电子加密投标文件解密失败，投标人自行负责。）</w:t>
            </w:r>
          </w:p>
          <w:p w14:paraId="7AF7DE14">
            <w:pPr>
              <w:tabs>
                <w:tab w:val="left" w:pos="360"/>
              </w:tabs>
              <w:spacing w:line="460" w:lineRule="exact"/>
              <w:rPr>
                <w:rFonts w:hint="eastAsia" w:ascii="新宋体" w:hAnsi="新宋体" w:eastAsia="新宋体" w:cs="新宋体"/>
                <w:b/>
                <w:color w:val="auto"/>
                <w:sz w:val="22"/>
                <w:szCs w:val="22"/>
                <w:highlight w:val="none"/>
                <w:u w:val="single"/>
              </w:rPr>
            </w:pPr>
            <w:r>
              <w:rPr>
                <w:rFonts w:hint="eastAsia" w:ascii="新宋体" w:hAnsi="新宋体" w:eastAsia="新宋体" w:cs="新宋体"/>
                <w:b/>
                <w:bCs/>
                <w:color w:val="auto"/>
                <w:sz w:val="22"/>
                <w:szCs w:val="22"/>
                <w:highlight w:val="none"/>
              </w:rPr>
              <w:t>可以</w:t>
            </w:r>
            <w:r>
              <w:rPr>
                <w:rFonts w:hint="eastAsia" w:ascii="新宋体" w:hAnsi="新宋体" w:eastAsia="新宋体" w:cs="新宋体"/>
                <w:b/>
                <w:color w:val="auto"/>
                <w:sz w:val="22"/>
                <w:szCs w:val="22"/>
                <w:highlight w:val="none"/>
                <w:u w:val="single"/>
              </w:rPr>
              <w:t>（邮寄形式，建议顺丰）在投标截止时间前递交，并需采购代理机构确认是否收到。</w:t>
            </w:r>
          </w:p>
          <w:p w14:paraId="6E8313C1">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邮寄地址：温州市鹿城区南汇街道勤民路鹿城壹号18幢803室。</w:t>
            </w:r>
          </w:p>
          <w:p w14:paraId="3858FB99">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8"/>
                <w:highlight w:val="none"/>
                <w:lang w:val="en-US" w:eastAsia="zh-CN"/>
              </w:rPr>
              <w:t>联系人：</w:t>
            </w:r>
            <w:r>
              <w:rPr>
                <w:rFonts w:hint="eastAsia" w:ascii="新宋体" w:hAnsi="新宋体" w:eastAsia="新宋体" w:cs="新宋体"/>
                <w:color w:val="auto"/>
                <w:sz w:val="22"/>
                <w:szCs w:val="22"/>
                <w:highlight w:val="none"/>
              </w:rPr>
              <w:t>肖忠文，联系方式：13757727199</w:t>
            </w:r>
          </w:p>
          <w:p w14:paraId="4D02D8A5">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lang w:val="en-US" w:eastAsia="zh-CN" w:bidi="ar"/>
              </w:rPr>
              <w:t>（项目开评标结束后，投标供应商须提供纸质投标响应文件并加盖单位公章一份，送至代理公司）</w:t>
            </w:r>
          </w:p>
        </w:tc>
      </w:tr>
      <w:tr w14:paraId="54E739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4802F7B">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w:t>
            </w:r>
          </w:p>
        </w:tc>
        <w:tc>
          <w:tcPr>
            <w:tcW w:w="9733" w:type="dxa"/>
            <w:tcBorders>
              <w:top w:val="single" w:color="000000" w:sz="2" w:space="0"/>
              <w:left w:val="single" w:color="000000" w:sz="2" w:space="0"/>
              <w:bottom w:val="single" w:color="000000" w:sz="2" w:space="0"/>
              <w:right w:val="single" w:color="000000" w:sz="8" w:space="0"/>
            </w:tcBorders>
            <w:vAlign w:val="center"/>
          </w:tcPr>
          <w:p w14:paraId="2465E232">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投标文件的上传和递交：</w:t>
            </w:r>
          </w:p>
          <w:p w14:paraId="3C3B20A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（1）“电子加密投标文件”的上传、递交：</w:t>
            </w:r>
          </w:p>
          <w:p w14:paraId="7B677F98">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a.投标人应在投标截止时间前将“电子加密投标文件”成功上传递交至“政府采购云平台”，否则投标无效。</w:t>
            </w:r>
          </w:p>
          <w:p w14:paraId="58DF928E">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b.“电子加密投标文件”成功上传递交后，投标人可自行打印投标文件接收回执。</w:t>
            </w:r>
          </w:p>
          <w:p w14:paraId="2EB17CF2">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（2）“备份投标文件”的密封包装、递交：</w:t>
            </w:r>
          </w:p>
          <w:p w14:paraId="516FFB6C">
            <w:pPr>
              <w:tabs>
                <w:tab w:val="left" w:pos="360"/>
              </w:tabs>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a.投标人在“政府采购云平台”完成“电子加密投标文件”的上传递交后，</w:t>
            </w:r>
            <w:r>
              <w:rPr>
                <w:rFonts w:hint="eastAsia" w:ascii="新宋体" w:hAnsi="新宋体" w:eastAsia="新宋体" w:cs="新宋体"/>
                <w:b/>
                <w:bCs/>
                <w:color w:val="auto"/>
                <w:sz w:val="22"/>
                <w:szCs w:val="22"/>
                <w:highlight w:val="none"/>
              </w:rPr>
              <w:t>还可以在投标截止时间前递交以介质（U盘）存储的数据电文形式的“备份投标文件”，（可以（邮寄形式，建议顺丰）在投标截止时间前递交，并需采购代理机构确认是否收到）</w:t>
            </w:r>
          </w:p>
          <w:p w14:paraId="14D6D03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b.“备份投标文件”应当密封包装，并在包装上标注投标项目名称、投标单位名称并加盖公章。没有密封包装或者逾期（邮寄）送达至投标地点的“备份投标文件”将不予接收；</w:t>
            </w:r>
          </w:p>
          <w:p w14:paraId="74EFDD96">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p w14:paraId="0ED04BFB">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d.供应商（联合体投标的，须由牵头人制作并递交电子加密投标文件）通过“政采云电子投标客户端”完成投标文</w:t>
            </w:r>
            <w:r>
              <w:rPr>
                <w:rFonts w:hint="eastAsia" w:ascii="新宋体" w:hAnsi="新宋体" w:eastAsia="新宋体" w:cs="新宋体"/>
                <w:color w:val="auto"/>
                <w:sz w:val="22"/>
                <w:szCs w:val="22"/>
                <w:highlight w:val="none"/>
              </w:rPr>
              <w:t>件编制</w:t>
            </w:r>
            <w:r>
              <w:rPr>
                <w:rFonts w:hint="eastAsia" w:ascii="新宋体" w:hAnsi="新宋体" w:eastAsia="新宋体" w:cs="新宋体"/>
                <w:color w:val="auto"/>
                <w:sz w:val="22"/>
                <w:szCs w:val="22"/>
                <w:highlight w:val="none"/>
                <w:lang w:val="en-US" w:eastAsia="zh-CN"/>
              </w:rPr>
              <w:t>。</w:t>
            </w:r>
          </w:p>
        </w:tc>
      </w:tr>
      <w:tr w14:paraId="5B5479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19"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5C9BBCDE">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11</w:t>
            </w:r>
          </w:p>
        </w:tc>
        <w:tc>
          <w:tcPr>
            <w:tcW w:w="9733" w:type="dxa"/>
            <w:tcBorders>
              <w:top w:val="single" w:color="000000" w:sz="2" w:space="0"/>
              <w:left w:val="single" w:color="000000" w:sz="2" w:space="0"/>
              <w:bottom w:val="single" w:color="000000" w:sz="2" w:space="0"/>
              <w:right w:val="single" w:color="000000" w:sz="8" w:space="0"/>
            </w:tcBorders>
            <w:vAlign w:val="center"/>
          </w:tcPr>
          <w:p w14:paraId="2795B1E6">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电子加密投标文件的解密和异常情况处理：</w:t>
            </w:r>
          </w:p>
          <w:p w14:paraId="4F19C4A2">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（1）开标后，采购组织机构将向各投标人发出“电子加密投标文件”的解密通知，各投标人代表应当在接到解密通知后在系统规定时间内自行完成“电子加密投标文件”的在线解密。</w:t>
            </w:r>
          </w:p>
          <w:p w14:paraId="23D25335">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01B124C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（3）投标截止时间前，投标人仅递交了“备份投标文件”而未将电子加密投标文件上传至“政府采购云平台”的，投标无效。</w:t>
            </w:r>
          </w:p>
        </w:tc>
      </w:tr>
      <w:tr w14:paraId="44357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6E9EA0C">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w:t>
            </w:r>
          </w:p>
        </w:tc>
        <w:tc>
          <w:tcPr>
            <w:tcW w:w="9733" w:type="dxa"/>
            <w:tcBorders>
              <w:top w:val="single" w:color="000000" w:sz="2" w:space="0"/>
              <w:left w:val="single" w:color="000000" w:sz="2" w:space="0"/>
              <w:bottom w:val="single" w:color="000000" w:sz="2" w:space="0"/>
              <w:right w:val="single" w:color="000000" w:sz="8" w:space="0"/>
            </w:tcBorders>
            <w:vAlign w:val="center"/>
          </w:tcPr>
          <w:p w14:paraId="45367AFE">
            <w:pPr>
              <w:snapToGrid w:val="0"/>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投标截止时间：</w:t>
            </w:r>
            <w:r>
              <w:rPr>
                <w:rFonts w:hint="eastAsia" w:ascii="新宋体" w:hAnsi="新宋体" w:eastAsia="新宋体" w:cs="新宋体"/>
                <w:b/>
                <w:bCs/>
                <w:color w:val="auto"/>
                <w:sz w:val="22"/>
                <w:szCs w:val="22"/>
                <w:highlight w:val="none"/>
                <w:lang w:val="en-US" w:eastAsia="zh-CN"/>
              </w:rPr>
              <w:t>详见招标公告。</w:t>
            </w:r>
          </w:p>
          <w:p w14:paraId="3EFBF197">
            <w:pPr>
              <w:snapToGrid w:val="0"/>
              <w:spacing w:line="460" w:lineRule="exact"/>
              <w:rPr>
                <w:rFonts w:hint="default" w:ascii="新宋体" w:hAnsi="新宋体" w:eastAsia="新宋体" w:cs="新宋体"/>
                <w:color w:val="auto"/>
                <w:sz w:val="22"/>
                <w:szCs w:val="22"/>
                <w:highlight w:val="none"/>
                <w:lang w:val="en-US"/>
              </w:rPr>
            </w:pPr>
            <w:r>
              <w:rPr>
                <w:rFonts w:hint="eastAsia" w:ascii="新宋体" w:hAnsi="新宋体" w:eastAsia="新宋体" w:cs="新宋体"/>
                <w:b/>
                <w:bCs/>
                <w:color w:val="auto"/>
                <w:sz w:val="22"/>
                <w:szCs w:val="22"/>
                <w:highlight w:val="none"/>
              </w:rPr>
              <w:t>投标地点：</w:t>
            </w:r>
            <w:r>
              <w:rPr>
                <w:rFonts w:hint="eastAsia" w:ascii="新宋体" w:hAnsi="新宋体" w:eastAsia="新宋体" w:cs="新宋体"/>
                <w:b/>
                <w:bCs/>
                <w:color w:val="auto"/>
                <w:sz w:val="22"/>
                <w:szCs w:val="22"/>
                <w:highlight w:val="none"/>
                <w:lang w:val="en-US" w:eastAsia="zh-CN"/>
              </w:rPr>
              <w:t>详见招标公告。</w:t>
            </w:r>
          </w:p>
        </w:tc>
      </w:tr>
      <w:tr w14:paraId="77A59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A39E792">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13</w:t>
            </w:r>
          </w:p>
        </w:tc>
        <w:tc>
          <w:tcPr>
            <w:tcW w:w="9733" w:type="dxa"/>
            <w:tcBorders>
              <w:top w:val="single" w:color="000000" w:sz="2" w:space="0"/>
              <w:left w:val="single" w:color="000000" w:sz="2" w:space="0"/>
              <w:bottom w:val="single" w:color="000000" w:sz="2" w:space="0"/>
              <w:right w:val="single" w:color="000000" w:sz="8" w:space="0"/>
            </w:tcBorders>
            <w:vAlign w:val="center"/>
          </w:tcPr>
          <w:p w14:paraId="7A5DA40B">
            <w:pPr>
              <w:widowControl/>
              <w:snapToGrid w:val="0"/>
              <w:spacing w:line="460" w:lineRule="exact"/>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开标时间：</w:t>
            </w:r>
            <w:r>
              <w:rPr>
                <w:rFonts w:hint="eastAsia" w:ascii="新宋体" w:hAnsi="新宋体" w:eastAsia="新宋体" w:cs="新宋体"/>
                <w:b/>
                <w:bCs/>
                <w:color w:val="auto"/>
                <w:sz w:val="22"/>
                <w:szCs w:val="22"/>
                <w:highlight w:val="none"/>
                <w:lang w:val="en-US" w:eastAsia="zh-CN"/>
              </w:rPr>
              <w:t>详见招标公告。</w:t>
            </w:r>
          </w:p>
          <w:p w14:paraId="30E4853B">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en-US" w:eastAsia="zh-CN"/>
              </w:rPr>
              <w:t>开标</w:t>
            </w:r>
            <w:r>
              <w:rPr>
                <w:rFonts w:hint="eastAsia" w:ascii="新宋体" w:hAnsi="新宋体" w:eastAsia="新宋体" w:cs="新宋体"/>
                <w:b/>
                <w:bCs/>
                <w:color w:val="auto"/>
                <w:sz w:val="22"/>
                <w:szCs w:val="22"/>
                <w:highlight w:val="none"/>
              </w:rPr>
              <w:t>地点：</w:t>
            </w:r>
            <w:r>
              <w:rPr>
                <w:rFonts w:hint="eastAsia" w:ascii="新宋体" w:hAnsi="新宋体" w:eastAsia="新宋体" w:cs="新宋体"/>
                <w:b/>
                <w:bCs/>
                <w:color w:val="auto"/>
                <w:sz w:val="22"/>
                <w:szCs w:val="22"/>
                <w:highlight w:val="none"/>
                <w:lang w:val="en-US" w:eastAsia="zh-CN"/>
              </w:rPr>
              <w:t>详见招标公告。</w:t>
            </w:r>
          </w:p>
        </w:tc>
      </w:tr>
      <w:tr w14:paraId="71F74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auto" w:sz="4" w:space="0"/>
              <w:right w:val="single" w:color="000000" w:sz="2" w:space="0"/>
            </w:tcBorders>
            <w:vAlign w:val="center"/>
          </w:tcPr>
          <w:p w14:paraId="2C3F9F10">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14</w:t>
            </w:r>
          </w:p>
        </w:tc>
        <w:tc>
          <w:tcPr>
            <w:tcW w:w="9733" w:type="dxa"/>
            <w:tcBorders>
              <w:top w:val="single" w:color="000000" w:sz="2" w:space="0"/>
              <w:left w:val="single" w:color="000000" w:sz="2" w:space="0"/>
              <w:bottom w:val="single" w:color="auto" w:sz="4" w:space="0"/>
              <w:right w:val="single" w:color="000000" w:sz="8" w:space="0"/>
            </w:tcBorders>
            <w:vAlign w:val="center"/>
          </w:tcPr>
          <w:p w14:paraId="31127D6C">
            <w:pPr>
              <w:widowControl/>
              <w:snapToGrid w:val="0"/>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en-US" w:eastAsia="zh-CN" w:bidi="ar"/>
              </w:rPr>
              <w:t>评审地点：温州市鹿城区南汇街道勤民路鹿城壹号18幢803室</w:t>
            </w:r>
            <w:r>
              <w:rPr>
                <w:rFonts w:hint="eastAsia" w:ascii="新宋体" w:hAnsi="新宋体" w:eastAsia="新宋体" w:cs="新宋体"/>
                <w:b/>
                <w:bCs/>
                <w:color w:val="auto"/>
                <w:sz w:val="22"/>
                <w:szCs w:val="22"/>
                <w:highlight w:val="none"/>
              </w:rPr>
              <w:t>（https</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//zfcg.czt.zj.gov.cn/）</w:t>
            </w:r>
          </w:p>
        </w:tc>
      </w:tr>
      <w:tr w14:paraId="786E41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auto" w:sz="4" w:space="0"/>
              <w:left w:val="single" w:color="000000" w:sz="8" w:space="0"/>
              <w:bottom w:val="single" w:color="auto" w:sz="4" w:space="0"/>
              <w:right w:val="single" w:color="000000" w:sz="2" w:space="0"/>
            </w:tcBorders>
            <w:vAlign w:val="center"/>
          </w:tcPr>
          <w:p w14:paraId="3C31EEED">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15</w:t>
            </w:r>
          </w:p>
        </w:tc>
        <w:tc>
          <w:tcPr>
            <w:tcW w:w="9733" w:type="dxa"/>
            <w:tcBorders>
              <w:top w:val="single" w:color="auto" w:sz="4" w:space="0"/>
              <w:left w:val="single" w:color="000000" w:sz="2" w:space="0"/>
              <w:bottom w:val="single" w:color="auto" w:sz="4" w:space="0"/>
              <w:right w:val="single" w:color="000000" w:sz="8" w:space="0"/>
            </w:tcBorders>
            <w:vAlign w:val="center"/>
          </w:tcPr>
          <w:p w14:paraId="1764B68E">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带“▲”条款系指实质性要求条款。“★”是关键技术参数及要求。</w:t>
            </w:r>
          </w:p>
        </w:tc>
      </w:tr>
      <w:tr w14:paraId="7B674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auto" w:sz="4" w:space="0"/>
              <w:left w:val="single" w:color="000000" w:sz="8" w:space="0"/>
              <w:bottom w:val="single" w:color="auto" w:sz="4" w:space="0"/>
              <w:right w:val="single" w:color="000000" w:sz="2" w:space="0"/>
            </w:tcBorders>
            <w:vAlign w:val="center"/>
          </w:tcPr>
          <w:p w14:paraId="3D401896">
            <w:pPr>
              <w:widowControl/>
              <w:snapToGrid w:val="0"/>
              <w:spacing w:line="460" w:lineRule="exact"/>
              <w:jc w:val="center"/>
              <w:textAlignment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16</w:t>
            </w:r>
          </w:p>
        </w:tc>
        <w:tc>
          <w:tcPr>
            <w:tcW w:w="9733" w:type="dxa"/>
            <w:tcBorders>
              <w:top w:val="single" w:color="auto" w:sz="4" w:space="0"/>
              <w:left w:val="single" w:color="000000" w:sz="2" w:space="0"/>
              <w:bottom w:val="single" w:color="auto" w:sz="4" w:space="0"/>
              <w:right w:val="single" w:color="000000" w:sz="8" w:space="0"/>
            </w:tcBorders>
            <w:vAlign w:val="center"/>
          </w:tcPr>
          <w:p w14:paraId="21CBA248">
            <w:pPr>
              <w:widowControl/>
              <w:snapToGrid w:val="0"/>
              <w:spacing w:line="460" w:lineRule="exact"/>
              <w:jc w:val="lef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//jinrong.zcygov.cn，查看信用融资政策文件及各相关银行服务方案，也可直接向各银行咨询相关业务。</w:t>
            </w:r>
          </w:p>
        </w:tc>
      </w:tr>
      <w:tr w14:paraId="28E03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915F737">
            <w:pPr>
              <w:widowControl/>
              <w:snapToGrid w:val="0"/>
              <w:spacing w:line="460" w:lineRule="exact"/>
              <w:jc w:val="center"/>
              <w:textAlignment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17</w:t>
            </w:r>
          </w:p>
        </w:tc>
        <w:tc>
          <w:tcPr>
            <w:tcW w:w="9733" w:type="dxa"/>
            <w:tcBorders>
              <w:top w:val="single" w:color="000000" w:sz="2" w:space="0"/>
              <w:left w:val="single" w:color="000000" w:sz="2" w:space="0"/>
              <w:bottom w:val="single" w:color="000000" w:sz="2" w:space="0"/>
              <w:right w:val="single" w:color="000000" w:sz="8" w:space="0"/>
            </w:tcBorders>
            <w:vAlign w:val="center"/>
          </w:tcPr>
          <w:p w14:paraId="723CF699">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10"/>
                <w:sz w:val="22"/>
                <w:szCs w:val="22"/>
                <w:highlight w:val="none"/>
              </w:rPr>
              <w:t>潜在投标人需在浙江政府采购网</w:t>
            </w:r>
            <w:bookmarkStart w:id="11" w:name="OLE_LINK11"/>
            <w:r>
              <w:rPr>
                <w:rFonts w:hint="eastAsia" w:ascii="新宋体" w:hAnsi="新宋体" w:eastAsia="新宋体" w:cs="新宋体"/>
                <w:b/>
                <w:color w:val="auto"/>
                <w:kern w:val="10"/>
                <w:sz w:val="22"/>
                <w:szCs w:val="22"/>
                <w:highlight w:val="none"/>
              </w:rPr>
              <w:t>https</w:t>
            </w:r>
            <w:r>
              <w:rPr>
                <w:rFonts w:hint="eastAsia" w:ascii="新宋体" w:hAnsi="新宋体" w:eastAsia="新宋体" w:cs="新宋体"/>
                <w:b/>
                <w:color w:val="auto"/>
                <w:kern w:val="10"/>
                <w:sz w:val="22"/>
                <w:szCs w:val="22"/>
                <w:highlight w:val="none"/>
                <w:lang w:eastAsia="zh-CN"/>
              </w:rPr>
              <w:t>：</w:t>
            </w:r>
            <w:r>
              <w:rPr>
                <w:rFonts w:hint="eastAsia" w:ascii="新宋体" w:hAnsi="新宋体" w:eastAsia="新宋体" w:cs="新宋体"/>
                <w:b/>
                <w:color w:val="auto"/>
                <w:kern w:val="10"/>
                <w:sz w:val="22"/>
                <w:szCs w:val="22"/>
                <w:highlight w:val="none"/>
              </w:rPr>
              <w:t>//zfcg.czt.zj.gov.cn/</w:t>
            </w:r>
            <w:bookmarkEnd w:id="11"/>
            <w:r>
              <w:rPr>
                <w:rFonts w:hint="eastAsia" w:ascii="新宋体" w:hAnsi="新宋体" w:eastAsia="新宋体" w:cs="新宋体"/>
                <w:b/>
                <w:color w:val="auto"/>
                <w:kern w:val="10"/>
                <w:sz w:val="22"/>
                <w:szCs w:val="22"/>
                <w:highlight w:val="none"/>
              </w:rPr>
              <w:t>进行免费注册，具体详见浙江政府采购网投标人注册要求。</w:t>
            </w:r>
          </w:p>
        </w:tc>
      </w:tr>
      <w:tr w14:paraId="0BEA3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33B8EB4">
            <w:pPr>
              <w:widowControl/>
              <w:snapToGrid w:val="0"/>
              <w:spacing w:line="460" w:lineRule="exact"/>
              <w:jc w:val="center"/>
              <w:textAlignment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18</w:t>
            </w:r>
          </w:p>
        </w:tc>
        <w:tc>
          <w:tcPr>
            <w:tcW w:w="9733" w:type="dxa"/>
            <w:tcBorders>
              <w:top w:val="single" w:color="000000" w:sz="2" w:space="0"/>
              <w:left w:val="single" w:color="000000" w:sz="2" w:space="0"/>
              <w:bottom w:val="single" w:color="000000" w:sz="2" w:space="0"/>
              <w:right w:val="single" w:color="000000" w:sz="8" w:space="0"/>
            </w:tcBorders>
            <w:vAlign w:val="center"/>
          </w:tcPr>
          <w:p w14:paraId="72552191">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1、扶持中小企业（监狱企业、残疾人福利性单位）：</w:t>
            </w:r>
          </w:p>
          <w:p w14:paraId="02107A88">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lang w:val="zh-CN"/>
              </w:rPr>
              <w:t>根据《浙江省财政厅关于进一步发挥政府采购政策功能全力推动经济稳进提质的通知》 （浙财采监（2022）3号）</w:t>
            </w:r>
            <w:r>
              <w:rPr>
                <w:rFonts w:hint="eastAsia" w:ascii="新宋体" w:hAnsi="新宋体" w:eastAsia="新宋体" w:cs="新宋体"/>
                <w:color w:val="auto"/>
                <w:kern w:val="0"/>
                <w:sz w:val="22"/>
                <w:szCs w:val="22"/>
                <w:highlight w:val="none"/>
              </w:rPr>
              <w:t>，本单位在政府采购活动中应当通过加强采购需求管理，落实预留采购份额，价格评审优惠、优先采购等措施，提高中小企业在政府采购中的份额，支持中小企业发展。项目相关情况如下：</w:t>
            </w:r>
          </w:p>
          <w:p w14:paraId="5574700C">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（1）项目预算：</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700000</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元</w:t>
            </w:r>
          </w:p>
          <w:p w14:paraId="56A8380C">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（2）项目属性：</w:t>
            </w:r>
            <w:r>
              <w:rPr>
                <w:rFonts w:hint="eastAsia" w:ascii="新宋体" w:hAnsi="新宋体" w:eastAsia="新宋体" w:cs="新宋体"/>
                <w:color w:val="auto"/>
                <w:kern w:val="0"/>
                <w:sz w:val="22"/>
                <w:szCs w:val="22"/>
                <w:highlight w:val="none"/>
                <w:u w:val="single"/>
              </w:rPr>
              <w:t xml:space="preserve"> ①货物类 </w:t>
            </w:r>
            <w:r>
              <w:rPr>
                <w:rFonts w:hint="eastAsia" w:ascii="新宋体" w:hAnsi="新宋体" w:eastAsia="新宋体" w:cs="新宋体"/>
                <w:color w:val="auto"/>
                <w:kern w:val="0"/>
                <w:sz w:val="22"/>
                <w:szCs w:val="22"/>
                <w:highlight w:val="none"/>
              </w:rPr>
              <w:t>（①货物类/②服务类/③工程类）</w:t>
            </w:r>
          </w:p>
          <w:p w14:paraId="3792B441">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（3）项目对应的中小企业划分标准所属行业：</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工业</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（具体根据《中小企业划型标准规定》执行）</w:t>
            </w:r>
          </w:p>
          <w:p w14:paraId="1EAA7AF3">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762E439F">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（4）本项目</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lang w:val="en-US" w:eastAsia="zh-CN"/>
              </w:rPr>
              <w:t>否</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（是/否）属于预留份额专门面向中小企业采购的项目。</w:t>
            </w:r>
          </w:p>
          <w:p w14:paraId="6EC5AE30">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（5）上述第4项中确定为“是”的采购项目，预留份额通过（  ）措施进行：</w:t>
            </w:r>
          </w:p>
          <w:p w14:paraId="170D7933">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①将采购项目整体或者设置采购包专门面向中小企业采购；</w:t>
            </w:r>
          </w:p>
          <w:p w14:paraId="64E9EA2E">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②要求供应商以联合体形式参加采购活动，且联合体中中小企业承担的部分达到</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 xml:space="preserve">（比例）； </w:t>
            </w:r>
          </w:p>
          <w:p w14:paraId="20DCAF33">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③要求获得采购合同的供应商将采购项目中的</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（比例）分包给一家或者多家中小企业。</w:t>
            </w:r>
          </w:p>
          <w:p w14:paraId="3D956AF9">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（6）对于经主管预算单位统筹后未预留份额专门面向中小企业采购的采购项目，以及预留份额项目中的非预留部分采购包，对符合本办法规定的小微企业报价给予</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 xml:space="preserve"> 10% </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10</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20</w:t>
            </w:r>
            <w:r>
              <w:rPr>
                <w:rFonts w:hint="eastAsia" w:ascii="新宋体" w:hAnsi="新宋体" w:eastAsia="新宋体" w:cs="新宋体"/>
                <w:color w:val="auto"/>
                <w:kern w:val="0"/>
                <w:sz w:val="22"/>
                <w:szCs w:val="22"/>
                <w:highlight w:val="none"/>
              </w:rPr>
              <w:t xml:space="preserve">%）（工程项目为 3%—5%）的扣除，用扣除后的价格参加评审。 </w:t>
            </w:r>
          </w:p>
          <w:p w14:paraId="2C5091E8">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4%</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4</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6</w:t>
            </w:r>
            <w:r>
              <w:rPr>
                <w:rFonts w:hint="eastAsia" w:ascii="新宋体" w:hAnsi="新宋体" w:eastAsia="新宋体" w:cs="新宋体"/>
                <w:color w:val="auto"/>
                <w:kern w:val="0"/>
                <w:sz w:val="22"/>
                <w:szCs w:val="22"/>
                <w:highlight w:val="none"/>
              </w:rPr>
              <w:t>%）（工程项目为 1%—2%）的扣除，用扣除后的价格参加评审。</w:t>
            </w:r>
          </w:p>
          <w:p w14:paraId="617C1A8B">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专门面向中小企业采购的项目或者标项，不再执行价格评审优惠的扶持政策。</w:t>
            </w:r>
          </w:p>
          <w:p w14:paraId="2385D890">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2、节能产品、环境标志产品的强制采购政策</w:t>
            </w:r>
          </w:p>
          <w:p w14:paraId="516C29C7">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w:t>
            </w:r>
            <w:r>
              <w:rPr>
                <w:rFonts w:hint="eastAsia" w:ascii="新宋体" w:hAnsi="新宋体" w:eastAsia="新宋体" w:cs="新宋体"/>
                <w:color w:val="auto"/>
                <w:kern w:val="0"/>
                <w:sz w:val="22"/>
                <w:szCs w:val="22"/>
                <w:highlight w:val="none"/>
                <w:lang w:val="en-US" w:eastAsia="zh-CN"/>
              </w:rPr>
              <w:t>投标</w:t>
            </w:r>
            <w:r>
              <w:rPr>
                <w:rFonts w:hint="eastAsia" w:ascii="新宋体" w:hAnsi="新宋体" w:eastAsia="新宋体" w:cs="新宋体"/>
                <w:color w:val="auto"/>
                <w:kern w:val="0"/>
                <w:sz w:val="22"/>
                <w:szCs w:val="22"/>
                <w:highlight w:val="none"/>
              </w:rPr>
              <w:t>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5787F3F6">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3、节能产品、环境标志产品的优先采购政策</w:t>
            </w:r>
          </w:p>
          <w:p w14:paraId="3C86804C">
            <w:pPr>
              <w:widowControl/>
              <w:snapToGrid w:val="0"/>
              <w:spacing w:line="460" w:lineRule="exact"/>
              <w:ind w:firstLine="440" w:firstLineChars="200"/>
              <w:jc w:val="left"/>
              <w:rPr>
                <w:rFonts w:hint="eastAsia" w:ascii="新宋体" w:hAnsi="新宋体" w:eastAsia="新宋体" w:cs="新宋体"/>
                <w:b/>
                <w:color w:val="auto"/>
                <w:kern w:val="1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w:t>
            </w:r>
            <w:r>
              <w:rPr>
                <w:rFonts w:hint="eastAsia" w:ascii="新宋体" w:hAnsi="新宋体" w:eastAsia="新宋体" w:cs="新宋体"/>
                <w:color w:val="auto"/>
                <w:kern w:val="0"/>
                <w:sz w:val="22"/>
                <w:szCs w:val="22"/>
                <w:highlight w:val="none"/>
                <w:lang w:val="en-US" w:eastAsia="zh-CN"/>
              </w:rPr>
              <w:t>投标</w:t>
            </w:r>
            <w:r>
              <w:rPr>
                <w:rFonts w:hint="eastAsia" w:ascii="新宋体" w:hAnsi="新宋体" w:eastAsia="新宋体" w:cs="新宋体"/>
                <w:color w:val="auto"/>
                <w:kern w:val="0"/>
                <w:sz w:val="22"/>
                <w:szCs w:val="22"/>
                <w:highlight w:val="none"/>
              </w:rPr>
              <w:t>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0408E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09CD96AC">
            <w:pPr>
              <w:widowControl/>
              <w:snapToGrid w:val="0"/>
              <w:spacing w:line="460" w:lineRule="exact"/>
              <w:jc w:val="center"/>
              <w:textAlignment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19</w:t>
            </w:r>
          </w:p>
        </w:tc>
        <w:tc>
          <w:tcPr>
            <w:tcW w:w="9733" w:type="dxa"/>
            <w:tcBorders>
              <w:top w:val="single" w:color="000000" w:sz="2" w:space="0"/>
              <w:left w:val="single" w:color="000000" w:sz="2" w:space="0"/>
              <w:bottom w:val="single" w:color="000000" w:sz="2" w:space="0"/>
              <w:right w:val="single" w:color="000000" w:sz="8" w:space="0"/>
            </w:tcBorders>
            <w:vAlign w:val="center"/>
          </w:tcPr>
          <w:p w14:paraId="489A858C">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根据《关于在政府采购活动中查询及使用信用记录有关问题的通知》财库[2016]125号的规定：</w:t>
            </w:r>
          </w:p>
          <w:p w14:paraId="20523820">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或采购代理机构将对本项目投标人的信用记录进行查询。查询渠道为信用中国网站（</w:t>
            </w:r>
            <w:bookmarkStart w:id="12" w:name="OLE_LINK8"/>
            <w:r>
              <w:rPr>
                <w:rFonts w:hint="eastAsia" w:ascii="新宋体" w:hAnsi="新宋体" w:eastAsia="新宋体" w:cs="新宋体"/>
                <w:color w:val="auto"/>
                <w:sz w:val="22"/>
                <w:szCs w:val="22"/>
                <w:highlight w:val="none"/>
              </w:rPr>
              <w:t>https</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//www.creditchina.gov.cn/</w:t>
            </w:r>
            <w:bookmarkEnd w:id="12"/>
            <w:r>
              <w:rPr>
                <w:rFonts w:hint="eastAsia" w:ascii="新宋体" w:hAnsi="新宋体" w:eastAsia="新宋体" w:cs="新宋体"/>
                <w:color w:val="auto"/>
                <w:sz w:val="22"/>
                <w:szCs w:val="22"/>
                <w:highlight w:val="none"/>
              </w:rPr>
              <w:t>）、中国政府采购网（</w:t>
            </w:r>
            <w:bookmarkStart w:id="13" w:name="OLE_LINK10"/>
            <w:r>
              <w:rPr>
                <w:rFonts w:hint="eastAsia" w:ascii="新宋体" w:hAnsi="新宋体" w:eastAsia="新宋体" w:cs="新宋体"/>
                <w:color w:val="auto"/>
                <w:sz w:val="22"/>
                <w:szCs w:val="22"/>
                <w:highlight w:val="none"/>
              </w:rPr>
              <w:t>http</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//www.ccgp.gov.cn/</w:t>
            </w:r>
            <w:bookmarkEnd w:id="13"/>
            <w:r>
              <w:rPr>
                <w:rFonts w:hint="eastAsia" w:ascii="新宋体" w:hAnsi="新宋体" w:eastAsia="新宋体" w:cs="新宋体"/>
                <w:color w:val="auto"/>
                <w:sz w:val="22"/>
                <w:szCs w:val="22"/>
                <w:highlight w:val="none"/>
              </w:rPr>
              <w:t>）；</w:t>
            </w:r>
          </w:p>
          <w:p w14:paraId="72C54DAA">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（2）截止时点：提交投标文件（响应文件）截止时间前3年内；</w:t>
            </w:r>
          </w:p>
          <w:p w14:paraId="2C9A61F5">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（3）查询记录和证据的留存：信用信息查询记录和证据以网页截图等方式留存。</w:t>
            </w:r>
          </w:p>
          <w:p w14:paraId="10164BAA">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6EBC83DE">
            <w:pPr>
              <w:snapToGrid w:val="0"/>
              <w:spacing w:line="460" w:lineRule="exact"/>
              <w:ind w:left="105" w:leftChars="50"/>
              <w:rPr>
                <w:rFonts w:hint="eastAsia" w:ascii="新宋体" w:hAnsi="新宋体" w:eastAsia="新宋体" w:cs="新宋体"/>
                <w:b/>
                <w:color w:val="auto"/>
                <w:kern w:val="10"/>
                <w:sz w:val="22"/>
                <w:szCs w:val="22"/>
                <w:highlight w:val="none"/>
              </w:rPr>
            </w:pPr>
            <w:r>
              <w:rPr>
                <w:rFonts w:hint="eastAsia" w:ascii="新宋体" w:hAnsi="新宋体" w:eastAsia="新宋体" w:cs="新宋体"/>
                <w:color w:val="auto"/>
                <w:sz w:val="22"/>
                <w:szCs w:val="22"/>
                <w:highlight w:val="none"/>
              </w:rPr>
              <w:t>（5）联合体成员任意一方存在不良信用记录的，视同联合体存在不良信用记录。</w:t>
            </w:r>
          </w:p>
        </w:tc>
      </w:tr>
    </w:tbl>
    <w:p w14:paraId="1F6FD99C">
      <w:pPr>
        <w:spacing w:before="100" w:beforeAutospacing="1" w:after="100" w:afterAutospacing="1" w:line="460" w:lineRule="exact"/>
        <w:jc w:val="center"/>
        <w:outlineLvl w:val="2"/>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6"/>
          <w:szCs w:val="26"/>
          <w:highlight w:val="none"/>
        </w:rPr>
        <w:br w:type="page"/>
      </w:r>
      <w:bookmarkStart w:id="14" w:name="_Toc26491"/>
      <w:r>
        <w:rPr>
          <w:rFonts w:hint="eastAsia" w:ascii="新宋体" w:hAnsi="新宋体" w:eastAsia="新宋体" w:cs="新宋体"/>
          <w:b/>
          <w:bCs/>
          <w:color w:val="auto"/>
          <w:sz w:val="26"/>
          <w:szCs w:val="26"/>
          <w:highlight w:val="none"/>
        </w:rPr>
        <w:t>一、 说   明</w:t>
      </w:r>
      <w:bookmarkEnd w:id="14"/>
    </w:p>
    <w:p w14:paraId="2E14F237">
      <w:pPr>
        <w:tabs>
          <w:tab w:val="left" w:pos="360"/>
        </w:tabs>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14:paraId="20320C6B">
      <w:pPr>
        <w:tabs>
          <w:tab w:val="left" w:pos="360"/>
        </w:tabs>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2、定义</w:t>
      </w:r>
    </w:p>
    <w:p w14:paraId="0DA4186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：是指依法进行采购的国家机关、事业单位、团体组织</w:t>
      </w:r>
    </w:p>
    <w:p w14:paraId="3DDE0EB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：受</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委托，在委托的范围内办理采购事宜的机构；</w:t>
      </w:r>
    </w:p>
    <w:p w14:paraId="789FD22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投标人：是指参加本采购项目投标的供应商；</w:t>
      </w:r>
    </w:p>
    <w:p w14:paraId="2B37827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投标人代表：是指参加本项目投标活动的供应商法定代表人或法定代表人授权代表；</w:t>
      </w:r>
    </w:p>
    <w:p w14:paraId="4F77A8E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投标联合体：是指两个以上供应商组成联合体，以一个供应商的身份参加投标；</w:t>
      </w:r>
    </w:p>
    <w:p w14:paraId="699C227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甲方：是指合同签订的一方，一般与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、用户相同；</w:t>
      </w:r>
    </w:p>
    <w:p w14:paraId="6BD3416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乙方：是指合同签订的另一方，与中标人相同；</w:t>
      </w:r>
    </w:p>
    <w:p w14:paraId="22BA2B3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制造商：是指拥有投标产品自主知识产权的单位；</w:t>
      </w:r>
    </w:p>
    <w:p w14:paraId="171C40F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小企业（含中型、小型、微型）：符合中小企业划分标准（工信部联企业[2011]300号），在本项目采购活动中提供本企业制造的货物，或者提供其他中小企业制造的货物。本项所称货物不包括使用大型企业注册商标的货物及进口货物。小型、微型企业提供中型企业制造的货物的，视同为中型企业。</w:t>
      </w:r>
    </w:p>
    <w:p w14:paraId="20211F2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DF4FED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14:paraId="3FF2979F">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带“▲”条款系指实质性要求条款。“★”是关键技术参数及要求。</w:t>
      </w:r>
    </w:p>
    <w:p w14:paraId="4D9E6857">
      <w:pPr>
        <w:tabs>
          <w:tab w:val="left" w:pos="360"/>
        </w:tabs>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3、投标人代表</w:t>
      </w:r>
    </w:p>
    <w:p w14:paraId="1B0E8EB3">
      <w:pPr>
        <w:tabs>
          <w:tab w:val="left" w:pos="360"/>
        </w:tabs>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3.1指全权代表投标人参加投标活动并签署投标文件的人，如果投标人代表不是法定代表人，须持有《法定代表人授权书》（见附件）。</w:t>
      </w:r>
    </w:p>
    <w:p w14:paraId="02614E53">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1FC9DD63">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4、投标费用</w:t>
      </w:r>
    </w:p>
    <w:p w14:paraId="1994B7AA">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4.1</w:t>
      </w:r>
      <w:r>
        <w:rPr>
          <w:rFonts w:hint="eastAsia" w:ascii="新宋体" w:hAnsi="新宋体" w:eastAsia="新宋体" w:cs="新宋体"/>
          <w:color w:val="auto"/>
          <w:sz w:val="22"/>
          <w:szCs w:val="22"/>
          <w:highlight w:val="none"/>
        </w:rPr>
        <w:t>投标人应承担所有与准备和参加投标有关费用，不论投标的结果如何，</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或</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均无义务和责任承担这些费用。</w:t>
      </w:r>
    </w:p>
    <w:p w14:paraId="27C35D68">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rPr>
      </w:pPr>
      <w:bookmarkStart w:id="15" w:name="_Toc27798"/>
      <w:r>
        <w:rPr>
          <w:rFonts w:hint="eastAsia" w:ascii="新宋体" w:hAnsi="新宋体" w:eastAsia="新宋体" w:cs="新宋体"/>
          <w:b/>
          <w:bCs/>
          <w:color w:val="auto"/>
          <w:sz w:val="26"/>
          <w:szCs w:val="26"/>
          <w:highlight w:val="none"/>
        </w:rPr>
        <w:t>二、 招标文件</w:t>
      </w:r>
      <w:bookmarkEnd w:id="15"/>
    </w:p>
    <w:p w14:paraId="164681CB">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1、招标文件由招标文件目录所列内容及相关资料组成。</w:t>
      </w:r>
    </w:p>
    <w:p w14:paraId="7F047ED0">
      <w:pPr>
        <w:tabs>
          <w:tab w:val="left" w:pos="360"/>
        </w:tabs>
        <w:spacing w:line="460" w:lineRule="exact"/>
        <w:ind w:firstLine="442" w:firstLineChars="200"/>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2、招标文件的澄清</w:t>
      </w:r>
    </w:p>
    <w:p w14:paraId="209490A8">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2.1任何要求对招标文件进行澄清的投标人，均应以书面形式（信函、传真，下同）通知，但该通知在知道或应知道其权益受到损害之日起七个工作日内以使</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收到，</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解释为准。</w:t>
      </w:r>
    </w:p>
    <w:p w14:paraId="666367CF">
      <w:pPr>
        <w:tabs>
          <w:tab w:val="left" w:pos="360"/>
        </w:tabs>
        <w:spacing w:line="460" w:lineRule="exact"/>
        <w:ind w:firstLine="442" w:firstLineChars="200"/>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3、招标文件的修改</w:t>
      </w:r>
    </w:p>
    <w:p w14:paraId="5B01A5F1">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3.1</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14:paraId="686B2C1E">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3.2</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新宋体" w:hAnsi="新宋体" w:eastAsia="新宋体" w:cs="新宋体"/>
          <w:color w:val="auto"/>
          <w:sz w:val="22"/>
          <w:szCs w:val="22"/>
          <w:highlight w:val="none"/>
        </w:rPr>
        <w:t>。</w:t>
      </w:r>
    </w:p>
    <w:p w14:paraId="16868F43">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rPr>
      </w:pPr>
      <w:bookmarkStart w:id="16" w:name="_Toc13406"/>
      <w:r>
        <w:rPr>
          <w:rFonts w:hint="eastAsia" w:ascii="新宋体" w:hAnsi="新宋体" w:eastAsia="新宋体" w:cs="新宋体"/>
          <w:b/>
          <w:bCs/>
          <w:color w:val="auto"/>
          <w:sz w:val="26"/>
          <w:szCs w:val="26"/>
          <w:highlight w:val="none"/>
        </w:rPr>
        <w:t>三、 投标文件的编制</w:t>
      </w:r>
      <w:bookmarkEnd w:id="16"/>
    </w:p>
    <w:p w14:paraId="070AFFAD">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1、投标人应认真阅读招标文件中所有事项、格式、条款和技术规范等。</w:t>
      </w:r>
      <w:r>
        <w:rPr>
          <w:rFonts w:hint="eastAsia" w:ascii="新宋体" w:hAnsi="新宋体" w:eastAsia="新宋体" w:cs="新宋体"/>
          <w:b/>
          <w:color w:val="auto"/>
          <w:sz w:val="22"/>
          <w:highlight w:val="none"/>
        </w:rPr>
        <w:t>投标人没有按照招标文件要求提交全部资料，或者没有对招标文件各个方面做出实质性响应，导致投标被否决的风险由投标人自行承担。</w:t>
      </w:r>
    </w:p>
    <w:p w14:paraId="0EC77203">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2、投标人应保证所提供文件资料的真实性，所有文件资料必须是针对本次投标的。如发现投标人提供了虚假文件资料，其投标将被否决，并自行承担相应的法律责任。</w:t>
      </w:r>
    </w:p>
    <w:p w14:paraId="03E2A9C9">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w:t>
      </w:r>
      <w:r>
        <w:rPr>
          <w:rFonts w:hint="eastAsia" w:ascii="新宋体" w:hAnsi="新宋体" w:eastAsia="新宋体" w:cs="新宋体"/>
          <w:b/>
          <w:bCs/>
          <w:color w:val="auto"/>
          <w:sz w:val="22"/>
          <w:szCs w:val="22"/>
          <w:highlight w:val="none"/>
        </w:rPr>
        <w:t>投标文件的构成：</w:t>
      </w:r>
    </w:p>
    <w:p w14:paraId="66CDFCD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投标</w:t>
      </w:r>
      <w:r>
        <w:rPr>
          <w:rFonts w:hint="eastAsia" w:ascii="新宋体" w:hAnsi="新宋体" w:eastAsia="新宋体" w:cs="新宋体"/>
          <w:color w:val="auto"/>
          <w:kern w:val="0"/>
          <w:sz w:val="22"/>
          <w:szCs w:val="22"/>
          <w:highlight w:val="none"/>
          <w:lang w:val="zh-CN"/>
        </w:rPr>
        <w:t>文件应当包括以下主要内容：资格文件、报价文件、商务技术文件。</w:t>
      </w:r>
    </w:p>
    <w:p w14:paraId="6E7F4636">
      <w:pPr>
        <w:spacing w:line="460" w:lineRule="exact"/>
        <w:ind w:firstLine="442" w:firstLineChars="200"/>
        <w:rPr>
          <w:rFonts w:hint="eastAsia" w:ascii="新宋体" w:hAnsi="新宋体" w:eastAsia="新宋体" w:cs="新宋体"/>
          <w:b/>
          <w:bCs/>
          <w:color w:val="auto"/>
          <w:kern w:val="0"/>
          <w:sz w:val="22"/>
          <w:szCs w:val="22"/>
          <w:highlight w:val="none"/>
          <w:u w:val="single"/>
          <w:lang w:val="zh-CN"/>
        </w:rPr>
      </w:pPr>
      <w:r>
        <w:rPr>
          <w:rFonts w:hint="eastAsia" w:ascii="新宋体" w:hAnsi="新宋体" w:eastAsia="新宋体" w:cs="新宋体"/>
          <w:b/>
          <w:bCs/>
          <w:color w:val="auto"/>
          <w:kern w:val="0"/>
          <w:sz w:val="22"/>
          <w:szCs w:val="22"/>
          <w:highlight w:val="none"/>
          <w:u w:val="single"/>
        </w:rPr>
        <w:t>3.1</w:t>
      </w:r>
      <w:r>
        <w:rPr>
          <w:rFonts w:hint="eastAsia" w:ascii="新宋体" w:hAnsi="新宋体" w:eastAsia="新宋体" w:cs="新宋体"/>
          <w:b/>
          <w:bCs/>
          <w:color w:val="auto"/>
          <w:kern w:val="0"/>
          <w:sz w:val="22"/>
          <w:szCs w:val="22"/>
          <w:highlight w:val="none"/>
          <w:u w:val="single"/>
          <w:lang w:val="zh-CN"/>
        </w:rPr>
        <w:t xml:space="preserve">投标人的资格文件至少应包括以下内容： </w:t>
      </w:r>
    </w:p>
    <w:p w14:paraId="7AFAD031">
      <w:pPr>
        <w:keepNext w:val="0"/>
        <w:keepLines w:val="0"/>
        <w:pageBreakBefore w:val="0"/>
        <w:tabs>
          <w:tab w:val="left" w:pos="360"/>
        </w:tabs>
        <w:kinsoku/>
        <w:wordWrap/>
        <w:topLinePunct w:val="0"/>
        <w:bidi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kern w:val="0"/>
          <w:sz w:val="22"/>
          <w:szCs w:val="22"/>
          <w:highlight w:val="none"/>
          <w:u w:val="single"/>
          <w:lang w:val="zh-CN"/>
        </w:rPr>
        <w:t>基本资格条件审查材料：即证明</w:t>
      </w:r>
      <w:r>
        <w:rPr>
          <w:rFonts w:hint="eastAsia" w:ascii="新宋体" w:hAnsi="新宋体" w:eastAsia="新宋体" w:cs="新宋体"/>
          <w:color w:val="auto"/>
          <w:kern w:val="0"/>
          <w:sz w:val="22"/>
          <w:szCs w:val="22"/>
          <w:highlight w:val="none"/>
          <w:u w:val="single"/>
          <w:lang w:val="zh-CN" w:eastAsia="zh-CN"/>
        </w:rPr>
        <w:t>供应商</w:t>
      </w:r>
      <w:r>
        <w:rPr>
          <w:rFonts w:hint="eastAsia" w:ascii="新宋体" w:hAnsi="新宋体" w:eastAsia="新宋体" w:cs="新宋体"/>
          <w:color w:val="auto"/>
          <w:kern w:val="0"/>
          <w:sz w:val="22"/>
          <w:szCs w:val="22"/>
          <w:highlight w:val="none"/>
          <w:u w:val="single"/>
          <w:lang w:val="zh-CN"/>
        </w:rPr>
        <w:t>参加本次采购活动前3年内</w:t>
      </w:r>
      <w:r>
        <w:rPr>
          <w:rFonts w:hint="eastAsia" w:ascii="新宋体" w:hAnsi="新宋体" w:eastAsia="新宋体" w:cs="新宋体"/>
          <w:color w:val="auto"/>
          <w:kern w:val="0"/>
          <w:sz w:val="22"/>
          <w:szCs w:val="22"/>
          <w:highlight w:val="none"/>
          <w:u w:val="single"/>
          <w:lang w:val="zh-CN" w:eastAsia="zh-CN"/>
        </w:rPr>
        <w:t>满足</w:t>
      </w:r>
      <w:r>
        <w:rPr>
          <w:rFonts w:hint="eastAsia" w:ascii="新宋体" w:hAnsi="新宋体" w:eastAsia="新宋体" w:cs="新宋体"/>
          <w:color w:val="auto"/>
          <w:kern w:val="0"/>
          <w:sz w:val="22"/>
          <w:szCs w:val="22"/>
          <w:highlight w:val="none"/>
          <w:u w:val="single"/>
          <w:lang w:val="zh-CN"/>
        </w:rPr>
        <w:t>《中华人民共和国政府采购法》的有关资格证明文件。</w:t>
      </w:r>
      <w:r>
        <w:rPr>
          <w:rFonts w:hint="eastAsia" w:ascii="新宋体" w:hAnsi="新宋体" w:eastAsia="新宋体" w:cs="新宋体"/>
          <w:color w:val="auto"/>
          <w:sz w:val="22"/>
          <w:szCs w:val="22"/>
          <w:highlight w:val="none"/>
          <w:u w:val="single"/>
        </w:rPr>
        <w:t>包括：</w:t>
      </w:r>
    </w:p>
    <w:p w14:paraId="350D6E99">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lang w:val="en-US" w:eastAsia="zh-CN"/>
        </w:rPr>
        <w:t>1</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资格条件承诺函</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b/>
          <w:bCs/>
          <w:color w:val="auto"/>
          <w:sz w:val="22"/>
          <w:szCs w:val="22"/>
          <w:highlight w:val="none"/>
        </w:rPr>
        <w:t>（如为联合体投标，联合体各方均需提供</w:t>
      </w:r>
      <w:r>
        <w:rPr>
          <w:rFonts w:hint="eastAsia" w:ascii="新宋体" w:hAnsi="新宋体" w:eastAsia="新宋体" w:cs="新宋体"/>
          <w:b/>
          <w:bCs/>
          <w:color w:val="auto"/>
          <w:sz w:val="22"/>
          <w:szCs w:val="22"/>
          <w:highlight w:val="none"/>
          <w:lang w:eastAsia="zh-CN"/>
        </w:rPr>
        <w:t>）</w:t>
      </w:r>
    </w:p>
    <w:p w14:paraId="5E81694D">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2</w:t>
      </w:r>
      <w:r>
        <w:rPr>
          <w:rFonts w:hint="eastAsia" w:ascii="新宋体" w:hAnsi="新宋体" w:eastAsia="新宋体" w:cs="新宋体"/>
          <w:color w:val="auto"/>
          <w:sz w:val="22"/>
          <w:szCs w:val="22"/>
          <w:highlight w:val="none"/>
          <w:u w:val="single"/>
        </w:rPr>
        <w:t>）营业执照</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或事业法人登记证书或其它工商等登记证明材料；自然人参与政府采购，提供身份证</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 xml:space="preserve">复印件； </w:t>
      </w:r>
      <w:r>
        <w:rPr>
          <w:rFonts w:hint="eastAsia" w:ascii="新宋体" w:hAnsi="新宋体" w:eastAsia="新宋体" w:cs="新宋体"/>
          <w:b/>
          <w:bCs/>
          <w:color w:val="auto"/>
          <w:sz w:val="22"/>
          <w:szCs w:val="22"/>
          <w:highlight w:val="none"/>
        </w:rPr>
        <w:t>（如为联合体投标，联合体各方均需提供</w:t>
      </w:r>
      <w:r>
        <w:rPr>
          <w:rFonts w:hint="eastAsia" w:ascii="新宋体" w:hAnsi="新宋体" w:eastAsia="新宋体" w:cs="新宋体"/>
          <w:b/>
          <w:bCs/>
          <w:color w:val="auto"/>
          <w:sz w:val="22"/>
          <w:szCs w:val="22"/>
          <w:highlight w:val="none"/>
          <w:lang w:eastAsia="zh-CN"/>
        </w:rPr>
        <w:t>）</w:t>
      </w:r>
    </w:p>
    <w:p w14:paraId="655701D7">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2B6F7EB1">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lang w:val="en-US" w:eastAsia="zh-CN"/>
        </w:rPr>
        <w:t>（3）投标人信用查询；</w:t>
      </w:r>
      <w:r>
        <w:rPr>
          <w:rFonts w:hint="eastAsia" w:ascii="新宋体" w:hAnsi="新宋体" w:eastAsia="新宋体" w:cs="新宋体"/>
          <w:b/>
          <w:bCs/>
          <w:color w:val="auto"/>
          <w:sz w:val="22"/>
          <w:szCs w:val="22"/>
          <w:highlight w:val="none"/>
        </w:rPr>
        <w:t>（如为联合体投标，联合体各方均需提供</w:t>
      </w:r>
      <w:r>
        <w:rPr>
          <w:rFonts w:hint="eastAsia" w:ascii="新宋体" w:hAnsi="新宋体" w:eastAsia="新宋体" w:cs="新宋体"/>
          <w:b/>
          <w:bCs/>
          <w:color w:val="auto"/>
          <w:sz w:val="22"/>
          <w:szCs w:val="22"/>
          <w:highlight w:val="none"/>
          <w:lang w:eastAsia="zh-CN"/>
        </w:rPr>
        <w:t>）</w:t>
      </w:r>
    </w:p>
    <w:p w14:paraId="51698FE0">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kern w:val="0"/>
          <w:sz w:val="22"/>
          <w:szCs w:val="22"/>
          <w:highlight w:val="none"/>
          <w:u w:val="single"/>
          <w:lang w:val="zh-CN"/>
        </w:rPr>
        <w:t>（</w:t>
      </w:r>
      <w:r>
        <w:rPr>
          <w:rFonts w:hint="eastAsia" w:ascii="新宋体" w:hAnsi="新宋体" w:eastAsia="新宋体" w:cs="新宋体"/>
          <w:color w:val="auto"/>
          <w:kern w:val="0"/>
          <w:sz w:val="22"/>
          <w:szCs w:val="22"/>
          <w:highlight w:val="none"/>
          <w:u w:val="single"/>
          <w:lang w:val="en-US" w:eastAsia="zh-CN"/>
        </w:rPr>
        <w:t>4</w:t>
      </w:r>
      <w:r>
        <w:rPr>
          <w:rFonts w:hint="eastAsia" w:ascii="新宋体" w:hAnsi="新宋体" w:eastAsia="新宋体" w:cs="新宋体"/>
          <w:color w:val="auto"/>
          <w:kern w:val="0"/>
          <w:sz w:val="22"/>
          <w:szCs w:val="22"/>
          <w:highlight w:val="none"/>
          <w:u w:val="single"/>
          <w:lang w:val="zh-CN"/>
        </w:rPr>
        <w:t>）政府</w:t>
      </w:r>
      <w:r>
        <w:rPr>
          <w:rFonts w:hint="eastAsia" w:ascii="新宋体" w:hAnsi="新宋体" w:eastAsia="新宋体" w:cs="新宋体"/>
          <w:color w:val="auto"/>
          <w:sz w:val="22"/>
          <w:szCs w:val="22"/>
          <w:highlight w:val="none"/>
          <w:u w:val="single"/>
        </w:rPr>
        <w:t>采购活动确认声明书</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b/>
          <w:bCs/>
          <w:color w:val="auto"/>
          <w:sz w:val="22"/>
          <w:szCs w:val="22"/>
          <w:highlight w:val="none"/>
        </w:rPr>
        <w:t>（如为联合体投标，联合体各方均需提供</w:t>
      </w:r>
      <w:r>
        <w:rPr>
          <w:rFonts w:hint="eastAsia" w:ascii="新宋体" w:hAnsi="新宋体" w:eastAsia="新宋体" w:cs="新宋体"/>
          <w:b/>
          <w:bCs/>
          <w:color w:val="auto"/>
          <w:sz w:val="22"/>
          <w:szCs w:val="22"/>
          <w:highlight w:val="none"/>
          <w:lang w:eastAsia="zh-CN"/>
        </w:rPr>
        <w:t>）</w:t>
      </w:r>
    </w:p>
    <w:p w14:paraId="1D1F714E">
      <w:pPr>
        <w:keepNext w:val="0"/>
        <w:keepLines w:val="0"/>
        <w:pageBreakBefore w:val="0"/>
        <w:kinsoku/>
        <w:wordWrap/>
        <w:topLinePunct w:val="0"/>
        <w:bidi w:val="0"/>
        <w:spacing w:line="460" w:lineRule="exact"/>
        <w:ind w:firstLine="440" w:firstLineChars="200"/>
        <w:jc w:val="left"/>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lang w:val="en-US" w:eastAsia="zh-CN"/>
        </w:rPr>
        <w:t>5</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lang w:val="en-US" w:eastAsia="zh-CN"/>
        </w:rPr>
        <w:t>联合体协议书；</w:t>
      </w:r>
      <w:r>
        <w:rPr>
          <w:rFonts w:hint="eastAsia" w:ascii="新宋体" w:hAnsi="新宋体" w:eastAsia="新宋体" w:cs="新宋体"/>
          <w:b/>
          <w:bCs/>
          <w:color w:val="auto"/>
          <w:sz w:val="22"/>
          <w:szCs w:val="22"/>
          <w:highlight w:val="none"/>
          <w:u w:val="single"/>
          <w:lang w:val="en-US" w:eastAsia="zh-CN"/>
        </w:rPr>
        <w:t>（如有）</w:t>
      </w:r>
    </w:p>
    <w:p w14:paraId="12035A5A">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上述资格条件审查材料有一项不提供的，视为资格审查不通过。</w:t>
      </w:r>
    </w:p>
    <w:p w14:paraId="59175F99">
      <w:pPr>
        <w:snapToGrid w:val="0"/>
        <w:spacing w:line="460" w:lineRule="exact"/>
        <w:ind w:firstLine="442" w:firstLineChars="200"/>
        <w:rPr>
          <w:rFonts w:hint="eastAsia" w:ascii="新宋体" w:hAnsi="新宋体" w:eastAsia="新宋体" w:cs="新宋体"/>
          <w:color w:val="auto"/>
          <w:sz w:val="22"/>
          <w:szCs w:val="22"/>
          <w:highlight w:val="none"/>
          <w:u w:val="single"/>
          <w:lang w:val="zh-CN"/>
        </w:rPr>
      </w:pPr>
      <w:r>
        <w:rPr>
          <w:rFonts w:hint="eastAsia" w:ascii="新宋体" w:hAnsi="新宋体" w:eastAsia="新宋体" w:cs="新宋体"/>
          <w:b/>
          <w:bCs/>
          <w:color w:val="auto"/>
          <w:sz w:val="22"/>
          <w:szCs w:val="22"/>
          <w:highlight w:val="none"/>
        </w:rPr>
        <w:t>3.2投标人的报价文件至少应包括以下内容：</w:t>
      </w:r>
    </w:p>
    <w:p w14:paraId="1A646025">
      <w:pPr>
        <w:snapToGrid w:val="0"/>
        <w:spacing w:line="460" w:lineRule="exact"/>
        <w:ind w:firstLine="440" w:firstLineChars="200"/>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1</w:t>
      </w:r>
      <w:r>
        <w:rPr>
          <w:rFonts w:hint="eastAsia" w:ascii="新宋体" w:hAnsi="新宋体" w:eastAsia="新宋体" w:cs="新宋体"/>
          <w:color w:val="auto"/>
          <w:sz w:val="22"/>
          <w:szCs w:val="22"/>
          <w:highlight w:val="none"/>
          <w:u w:val="single"/>
        </w:rPr>
        <w:t>）投标报价一览表</w:t>
      </w:r>
      <w:r>
        <w:rPr>
          <w:rFonts w:hint="eastAsia" w:ascii="新宋体" w:hAnsi="新宋体" w:eastAsia="新宋体" w:cs="新宋体"/>
          <w:color w:val="auto"/>
          <w:sz w:val="22"/>
          <w:szCs w:val="22"/>
          <w:highlight w:val="none"/>
          <w:u w:val="single"/>
          <w:lang w:eastAsia="zh-CN"/>
        </w:rPr>
        <w:t>；</w:t>
      </w:r>
    </w:p>
    <w:p w14:paraId="4E5E34F7">
      <w:pPr>
        <w:snapToGrid w:val="0"/>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2</w:t>
      </w:r>
      <w:r>
        <w:rPr>
          <w:rFonts w:hint="eastAsia" w:ascii="新宋体" w:hAnsi="新宋体" w:eastAsia="新宋体" w:cs="新宋体"/>
          <w:color w:val="auto"/>
          <w:sz w:val="22"/>
          <w:szCs w:val="22"/>
          <w:highlight w:val="none"/>
          <w:u w:val="single"/>
        </w:rPr>
        <w:t>）投标分项报价表</w:t>
      </w:r>
      <w:r>
        <w:rPr>
          <w:rFonts w:hint="eastAsia" w:ascii="新宋体" w:hAnsi="新宋体" w:eastAsia="新宋体" w:cs="新宋体"/>
          <w:color w:val="auto"/>
          <w:sz w:val="22"/>
          <w:szCs w:val="22"/>
          <w:highlight w:val="none"/>
          <w:u w:val="single"/>
          <w:lang w:eastAsia="zh-CN"/>
        </w:rPr>
        <w:t>；</w:t>
      </w:r>
    </w:p>
    <w:p w14:paraId="6C4187E8">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lang w:val="en-US" w:eastAsia="zh-CN"/>
        </w:rPr>
        <w:t>3</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符合财政价格优惠政策</w:t>
      </w:r>
      <w:r>
        <w:rPr>
          <w:rFonts w:hint="eastAsia" w:ascii="新宋体" w:hAnsi="新宋体" w:eastAsia="新宋体" w:cs="新宋体"/>
          <w:color w:val="auto"/>
          <w:sz w:val="22"/>
          <w:szCs w:val="22"/>
          <w:highlight w:val="none"/>
          <w:u w:val="single"/>
          <w:lang w:val="en-US" w:eastAsia="zh-CN"/>
        </w:rPr>
        <w:t>的证明材料</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中小企业声明函、监狱企业、残疾人福利性单位及其他相关的充分的证明材料</w:t>
      </w:r>
      <w:r>
        <w:rPr>
          <w:rFonts w:hint="eastAsia" w:ascii="新宋体" w:hAnsi="新宋体" w:eastAsia="新宋体" w:cs="新宋体"/>
          <w:color w:val="auto"/>
          <w:sz w:val="22"/>
          <w:szCs w:val="22"/>
          <w:highlight w:val="none"/>
          <w:u w:val="single"/>
          <w:lang w:eastAsia="zh-CN"/>
        </w:rPr>
        <w:t>；</w:t>
      </w:r>
    </w:p>
    <w:p w14:paraId="6676682F">
      <w:pPr>
        <w:keepNext w:val="0"/>
        <w:keepLines w:val="0"/>
        <w:pageBreakBefore w:val="0"/>
        <w:widowControl w:val="0"/>
        <w:kinsoku/>
        <w:wordWrap/>
        <w:overflowPunct/>
        <w:topLinePunct w:val="0"/>
        <w:autoSpaceDE/>
        <w:autoSpaceDN/>
        <w:bidi w:val="0"/>
        <w:adjustRightInd/>
        <w:snapToGrid w:val="0"/>
        <w:spacing w:line="460" w:lineRule="exact"/>
        <w:ind w:firstLine="442" w:firstLineChars="200"/>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b/>
          <w:bCs/>
          <w:color w:val="auto"/>
          <w:kern w:val="0"/>
          <w:sz w:val="22"/>
          <w:szCs w:val="22"/>
          <w:highlight w:val="none"/>
        </w:rPr>
        <w:t>3.3</w:t>
      </w:r>
      <w:r>
        <w:rPr>
          <w:rFonts w:hint="eastAsia" w:ascii="新宋体" w:hAnsi="新宋体" w:eastAsia="新宋体" w:cs="新宋体"/>
          <w:b/>
          <w:bCs/>
          <w:color w:val="auto"/>
          <w:kern w:val="0"/>
          <w:sz w:val="22"/>
          <w:szCs w:val="22"/>
          <w:highlight w:val="none"/>
          <w:lang w:val="zh-CN"/>
        </w:rPr>
        <w:t>投标人的商务技术文件应包括以下内容：</w:t>
      </w:r>
    </w:p>
    <w:p w14:paraId="4B807775">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auto"/>
          <w:sz w:val="22"/>
          <w:szCs w:val="22"/>
          <w:highlight w:val="none"/>
          <w:u w:val="none"/>
          <w:lang w:eastAsia="zh-CN"/>
        </w:rPr>
      </w:pPr>
      <w:r>
        <w:rPr>
          <w:rFonts w:hint="eastAsia" w:ascii="新宋体" w:hAnsi="新宋体" w:eastAsia="新宋体" w:cs="新宋体"/>
          <w:color w:val="auto"/>
          <w:sz w:val="22"/>
          <w:szCs w:val="22"/>
          <w:highlight w:val="none"/>
          <w:u w:val="none"/>
        </w:rPr>
        <w:t>（1）投标响应函</w:t>
      </w:r>
      <w:r>
        <w:rPr>
          <w:rFonts w:hint="eastAsia" w:ascii="新宋体" w:hAnsi="新宋体" w:eastAsia="新宋体" w:cs="新宋体"/>
          <w:color w:val="auto"/>
          <w:sz w:val="22"/>
          <w:szCs w:val="22"/>
          <w:highlight w:val="none"/>
          <w:u w:val="none"/>
          <w:lang w:eastAsia="zh-CN"/>
        </w:rPr>
        <w:t>；</w:t>
      </w:r>
    </w:p>
    <w:p w14:paraId="695F126B">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）法定代表人授权委托书</w:t>
      </w:r>
      <w:r>
        <w:rPr>
          <w:rFonts w:hint="eastAsia" w:ascii="新宋体" w:hAnsi="新宋体" w:eastAsia="新宋体" w:cs="新宋体"/>
          <w:color w:val="auto"/>
          <w:sz w:val="22"/>
          <w:szCs w:val="22"/>
          <w:highlight w:val="none"/>
          <w:lang w:eastAsia="zh-CN"/>
        </w:rPr>
        <w:t>；</w:t>
      </w:r>
    </w:p>
    <w:p w14:paraId="5FBBC2EC">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需提供法定代表人及授权委托人的身份证复印件加盖公章；</w:t>
      </w:r>
    </w:p>
    <w:p w14:paraId="646A911D">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）投标人情况表</w:t>
      </w:r>
      <w:r>
        <w:rPr>
          <w:rFonts w:hint="eastAsia" w:ascii="新宋体" w:hAnsi="新宋体" w:eastAsia="新宋体" w:cs="新宋体"/>
          <w:color w:val="auto"/>
          <w:sz w:val="22"/>
          <w:szCs w:val="22"/>
          <w:highlight w:val="none"/>
          <w:lang w:eastAsia="zh-CN"/>
        </w:rPr>
        <w:t>；</w:t>
      </w:r>
    </w:p>
    <w:p w14:paraId="2E0B233B">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auto"/>
          <w:sz w:val="22"/>
          <w:szCs w:val="22"/>
          <w:highlight w:val="none"/>
          <w:lang w:val="zh-CN"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）廉政承诺书</w:t>
      </w:r>
      <w:r>
        <w:rPr>
          <w:rFonts w:hint="eastAsia" w:ascii="新宋体" w:hAnsi="新宋体" w:eastAsia="新宋体" w:cs="新宋体"/>
          <w:color w:val="auto"/>
          <w:sz w:val="22"/>
          <w:szCs w:val="22"/>
          <w:highlight w:val="none"/>
          <w:lang w:eastAsia="zh-CN"/>
        </w:rPr>
        <w:t>；</w:t>
      </w:r>
    </w:p>
    <w:p w14:paraId="30D05EA0">
      <w:pPr>
        <w:keepNext w:val="0"/>
        <w:keepLines w:val="0"/>
        <w:pageBreakBefore w:val="0"/>
        <w:widowControl w:val="0"/>
        <w:tabs>
          <w:tab w:val="left" w:pos="360"/>
        </w:tabs>
        <w:kinsoku/>
        <w:wordWrap/>
        <w:overflowPunct/>
        <w:topLinePunct w:val="0"/>
        <w:autoSpaceDE/>
        <w:autoSpaceDN/>
        <w:bidi w:val="0"/>
        <w:adjustRightInd/>
        <w:spacing w:line="460" w:lineRule="exact"/>
        <w:ind w:firstLine="442" w:firstLineChars="200"/>
        <w:textAlignment w:val="auto"/>
        <w:rPr>
          <w:rFonts w:ascii="新宋体" w:hAnsi="新宋体" w:eastAsia="新宋体" w:cs="新宋体"/>
          <w:color w:val="auto"/>
          <w:kern w:val="0"/>
          <w:sz w:val="22"/>
          <w:szCs w:val="22"/>
          <w:highlight w:val="none"/>
          <w:u w:val="single"/>
          <w:lang w:val="zh-CN"/>
        </w:rPr>
      </w:pPr>
      <w:r>
        <w:rPr>
          <w:rFonts w:hint="eastAsia" w:ascii="新宋体" w:hAnsi="新宋体" w:eastAsia="新宋体" w:cs="新宋体"/>
          <w:b/>
          <w:bCs/>
          <w:color w:val="auto"/>
          <w:sz w:val="22"/>
          <w:szCs w:val="22"/>
          <w:highlight w:val="none"/>
          <w:u w:val="single"/>
        </w:rPr>
        <w:t>（</w:t>
      </w:r>
      <w:r>
        <w:rPr>
          <w:rFonts w:hint="eastAsia" w:ascii="新宋体" w:hAnsi="新宋体" w:eastAsia="新宋体" w:cs="新宋体"/>
          <w:b/>
          <w:bCs/>
          <w:color w:val="auto"/>
          <w:sz w:val="22"/>
          <w:szCs w:val="22"/>
          <w:highlight w:val="none"/>
          <w:u w:val="single"/>
          <w:lang w:val="en-US" w:eastAsia="zh-CN"/>
        </w:rPr>
        <w:t>5</w:t>
      </w:r>
      <w:r>
        <w:rPr>
          <w:rFonts w:hint="eastAsia" w:ascii="新宋体" w:hAnsi="新宋体" w:eastAsia="新宋体" w:cs="新宋体"/>
          <w:b/>
          <w:bCs/>
          <w:color w:val="auto"/>
          <w:sz w:val="22"/>
          <w:szCs w:val="22"/>
          <w:highlight w:val="none"/>
          <w:u w:val="single"/>
        </w:rPr>
        <w:t>）</w:t>
      </w:r>
      <w:r>
        <w:rPr>
          <w:rFonts w:hint="eastAsia" w:ascii="新宋体" w:hAnsi="新宋体" w:eastAsia="新宋体" w:cs="新宋体"/>
          <w:b/>
          <w:bCs/>
          <w:color w:val="auto"/>
          <w:kern w:val="0"/>
          <w:sz w:val="22"/>
          <w:szCs w:val="22"/>
          <w:highlight w:val="none"/>
          <w:u w:val="single"/>
          <w:lang w:val="zh-CN"/>
        </w:rPr>
        <w:t>投标人为医疗器械生产企业的：第二类、第三类医疗器械生产企业提供《医疗器械生产许可证》、第一类医疗器械生产企业提供第一类医疗器械生产备案凭证</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销售许可文件；投标人为医疗器械经营企业的：第三类医疗器械经营企业提供《医疗器械经营许可证》、第二类医疗器械经营企业提供第二类医疗器械经营备案凭证</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销售许可文件（适用于按医疗器械管理的货物）；</w:t>
      </w:r>
    </w:p>
    <w:p w14:paraId="3B69F935">
      <w:pPr>
        <w:keepNext w:val="0"/>
        <w:keepLines w:val="0"/>
        <w:pageBreakBefore w:val="0"/>
        <w:widowControl w:val="0"/>
        <w:tabs>
          <w:tab w:val="left" w:pos="360"/>
        </w:tabs>
        <w:kinsoku/>
        <w:wordWrap/>
        <w:overflowPunct/>
        <w:topLinePunct w:val="0"/>
        <w:autoSpaceDE/>
        <w:autoSpaceDN/>
        <w:bidi w:val="0"/>
        <w:adjustRightInd/>
        <w:spacing w:line="460" w:lineRule="exact"/>
        <w:ind w:firstLine="442" w:firstLineChars="200"/>
        <w:textAlignment w:val="auto"/>
        <w:rPr>
          <w:rFonts w:ascii="新宋体" w:hAnsi="新宋体" w:eastAsia="新宋体" w:cs="新宋体"/>
          <w:b/>
          <w:bCs/>
          <w:color w:val="auto"/>
          <w:kern w:val="0"/>
          <w:sz w:val="22"/>
          <w:szCs w:val="22"/>
          <w:highlight w:val="none"/>
          <w:u w:val="single"/>
          <w:lang w:val="zh-CN"/>
        </w:rPr>
      </w:pPr>
      <w:r>
        <w:rPr>
          <w:rFonts w:hint="eastAsia" w:ascii="新宋体" w:hAnsi="新宋体" w:eastAsia="新宋体" w:cs="新宋体"/>
          <w:b/>
          <w:bCs/>
          <w:color w:val="auto"/>
          <w:kern w:val="0"/>
          <w:sz w:val="22"/>
          <w:szCs w:val="22"/>
          <w:highlight w:val="none"/>
          <w:u w:val="single"/>
          <w:lang w:val="zh-CN"/>
        </w:rPr>
        <w:t>（</w:t>
      </w:r>
      <w:r>
        <w:rPr>
          <w:rFonts w:hint="eastAsia" w:ascii="新宋体" w:hAnsi="新宋体" w:eastAsia="新宋体" w:cs="新宋体"/>
          <w:b/>
          <w:bCs/>
          <w:color w:val="auto"/>
          <w:kern w:val="0"/>
          <w:sz w:val="22"/>
          <w:szCs w:val="22"/>
          <w:highlight w:val="none"/>
          <w:u w:val="single"/>
          <w:lang w:val="en-US" w:eastAsia="zh-CN"/>
        </w:rPr>
        <w:t>6</w:t>
      </w:r>
      <w:r>
        <w:rPr>
          <w:rFonts w:hint="eastAsia" w:ascii="新宋体" w:hAnsi="新宋体" w:eastAsia="新宋体" w:cs="新宋体"/>
          <w:b/>
          <w:bCs/>
          <w:color w:val="auto"/>
          <w:kern w:val="0"/>
          <w:sz w:val="22"/>
          <w:szCs w:val="22"/>
          <w:highlight w:val="none"/>
          <w:u w:val="single"/>
          <w:lang w:val="zh-CN"/>
        </w:rPr>
        <w:t>）货物制造商或其它有销售资格（提供证明材料）的供应商出具的授权书</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销售许可文件（适用于投标人是进口货物代理商的情形）；</w:t>
      </w:r>
    </w:p>
    <w:p w14:paraId="4E1184A8">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lang w:val="zh-CN"/>
        </w:rPr>
        <w:t>）详细供货清单说明一览表；</w:t>
      </w:r>
    </w:p>
    <w:p w14:paraId="70CD649E">
      <w:pPr>
        <w:keepNext w:val="0"/>
        <w:keepLines w:val="0"/>
        <w:pageBreakBefore w:val="0"/>
        <w:widowControl w:val="0"/>
        <w:tabs>
          <w:tab w:val="left" w:pos="360"/>
        </w:tabs>
        <w:kinsoku/>
        <w:wordWrap/>
        <w:overflowPunct/>
        <w:topLinePunct w:val="0"/>
        <w:autoSpaceDE/>
        <w:autoSpaceDN/>
        <w:bidi w:val="0"/>
        <w:adjustRightInd/>
        <w:spacing w:line="460" w:lineRule="exact"/>
        <w:ind w:firstLine="442" w:firstLineChars="200"/>
        <w:textAlignment w:val="auto"/>
        <w:rPr>
          <w:rFonts w:ascii="新宋体" w:hAnsi="新宋体" w:eastAsia="新宋体" w:cs="新宋体"/>
          <w:color w:val="auto"/>
          <w:kern w:val="0"/>
          <w:sz w:val="22"/>
          <w:szCs w:val="22"/>
          <w:highlight w:val="none"/>
          <w:lang w:val="zh-CN"/>
        </w:rPr>
      </w:pPr>
      <w:r>
        <w:rPr>
          <w:rFonts w:hint="eastAsia" w:ascii="新宋体" w:hAnsi="新宋体" w:eastAsia="新宋体" w:cs="新宋体"/>
          <w:b/>
          <w:bCs/>
          <w:color w:val="auto"/>
          <w:kern w:val="0"/>
          <w:sz w:val="22"/>
          <w:szCs w:val="22"/>
          <w:highlight w:val="none"/>
          <w:u w:val="single"/>
          <w:lang w:val="zh-CN"/>
        </w:rPr>
        <w:t>（</w:t>
      </w:r>
      <w:r>
        <w:rPr>
          <w:rFonts w:hint="eastAsia" w:ascii="新宋体" w:hAnsi="新宋体" w:eastAsia="新宋体" w:cs="新宋体"/>
          <w:b/>
          <w:bCs/>
          <w:color w:val="auto"/>
          <w:kern w:val="0"/>
          <w:sz w:val="22"/>
          <w:szCs w:val="22"/>
          <w:highlight w:val="none"/>
          <w:u w:val="single"/>
          <w:lang w:val="en-US" w:eastAsia="zh-CN"/>
        </w:rPr>
        <w:t>8</w:t>
      </w:r>
      <w:r>
        <w:rPr>
          <w:rFonts w:hint="eastAsia" w:ascii="新宋体" w:hAnsi="新宋体" w:eastAsia="新宋体" w:cs="新宋体"/>
          <w:b/>
          <w:bCs/>
          <w:color w:val="auto"/>
          <w:kern w:val="0"/>
          <w:sz w:val="22"/>
          <w:szCs w:val="22"/>
          <w:highlight w:val="none"/>
          <w:u w:val="single"/>
          <w:lang w:val="zh-CN"/>
        </w:rPr>
        <w:t>）提供食品药品监督管理部门核发的完整有效的医疗器械注册或备案证明</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销售许可文件（适用于按医疗器械管理的设备）；</w:t>
      </w:r>
    </w:p>
    <w:p w14:paraId="02D3005B">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zh-CN"/>
        </w:rPr>
        <w:t>偏离表（</w:t>
      </w:r>
      <w:r>
        <w:rPr>
          <w:rFonts w:hint="eastAsia" w:ascii="新宋体" w:hAnsi="新宋体" w:eastAsia="新宋体" w:cs="新宋体"/>
          <w:color w:val="auto"/>
          <w:sz w:val="22"/>
          <w:szCs w:val="22"/>
          <w:highlight w:val="none"/>
        </w:rPr>
        <w:t>商务、技术偏离</w:t>
      </w:r>
      <w:r>
        <w:rPr>
          <w:rFonts w:hint="eastAsia" w:ascii="新宋体" w:hAnsi="新宋体" w:eastAsia="新宋体" w:cs="新宋体"/>
          <w:color w:val="auto"/>
          <w:sz w:val="22"/>
          <w:szCs w:val="22"/>
          <w:highlight w:val="none"/>
          <w:lang w:val="zh-CN"/>
        </w:rPr>
        <w:t>）；</w:t>
      </w:r>
    </w:p>
    <w:p w14:paraId="3CF5866D">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10</w:t>
      </w:r>
      <w:r>
        <w:rPr>
          <w:rFonts w:hint="eastAsia" w:ascii="新宋体" w:hAnsi="新宋体" w:eastAsia="新宋体" w:cs="新宋体"/>
          <w:color w:val="auto"/>
          <w:sz w:val="22"/>
          <w:szCs w:val="22"/>
          <w:highlight w:val="none"/>
          <w:lang w:val="zh-CN"/>
        </w:rPr>
        <w:t>）备品、易损件、备件、专用工具清单；</w:t>
      </w:r>
    </w:p>
    <w:p w14:paraId="5A4B2788">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11</w:t>
      </w:r>
      <w:r>
        <w:rPr>
          <w:rFonts w:hint="eastAsia" w:ascii="新宋体" w:hAnsi="新宋体" w:eastAsia="新宋体" w:cs="新宋体"/>
          <w:color w:val="auto"/>
          <w:sz w:val="22"/>
          <w:szCs w:val="22"/>
          <w:highlight w:val="none"/>
          <w:lang w:val="zh-CN"/>
        </w:rPr>
        <w:t>）其他必要提供的资料（</w:t>
      </w:r>
      <w:r>
        <w:rPr>
          <w:rFonts w:hint="eastAsia" w:ascii="新宋体" w:hAnsi="新宋体" w:eastAsia="新宋体" w:cs="新宋体"/>
          <w:color w:val="auto"/>
          <w:sz w:val="22"/>
          <w:szCs w:val="22"/>
          <w:highlight w:val="none"/>
          <w:lang w:val="zh-CN" w:eastAsia="zh-CN"/>
        </w:rPr>
        <w:t>根据评分细则自行提供，格式自拟</w:t>
      </w:r>
      <w:r>
        <w:rPr>
          <w:rFonts w:hint="eastAsia" w:ascii="新宋体" w:hAnsi="新宋体" w:eastAsia="新宋体" w:cs="新宋体"/>
          <w:color w:val="auto"/>
          <w:sz w:val="22"/>
          <w:szCs w:val="22"/>
          <w:highlight w:val="none"/>
          <w:lang w:val="zh-CN"/>
        </w:rPr>
        <w:t>）；</w:t>
      </w:r>
    </w:p>
    <w:p w14:paraId="253A5617">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资质文件（如有）、其他必要提供的资料</w:t>
      </w:r>
    </w:p>
    <w:p w14:paraId="090A29AE">
      <w:pPr>
        <w:spacing w:line="460" w:lineRule="exact"/>
        <w:ind w:firstLine="442" w:firstLineChars="200"/>
        <w:rPr>
          <w:rFonts w:hint="eastAsia"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lang w:val="zh-CN"/>
        </w:rPr>
        <w:t>投标文件中所需的各种证书、证件、证明资料如是复印件，须在复印件上加盖有效公章。</w:t>
      </w:r>
    </w:p>
    <w:p w14:paraId="0FB7D7E7">
      <w:pPr>
        <w:pStyle w:val="29"/>
        <w:snapToGrid w:val="0"/>
        <w:spacing w:line="460" w:lineRule="exact"/>
        <w:ind w:firstLine="442"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lang w:val="zh-CN"/>
        </w:rPr>
        <w:t>投标人的</w:t>
      </w:r>
      <w:r>
        <w:rPr>
          <w:rFonts w:hint="eastAsia" w:ascii="新宋体" w:hAnsi="新宋体" w:eastAsia="新宋体" w:cs="新宋体"/>
          <w:color w:val="auto"/>
          <w:sz w:val="22"/>
          <w:szCs w:val="22"/>
          <w:highlight w:val="none"/>
        </w:rPr>
        <w:t>投标文件必须按照招标文件要求制作</w:t>
      </w:r>
      <w:r>
        <w:rPr>
          <w:rFonts w:hint="eastAsia" w:ascii="新宋体" w:hAnsi="新宋体" w:eastAsia="新宋体" w:cs="新宋体"/>
          <w:bCs/>
          <w:color w:val="auto"/>
          <w:sz w:val="22"/>
          <w:szCs w:val="22"/>
          <w:highlight w:val="none"/>
        </w:rPr>
        <w:t>。</w:t>
      </w:r>
    </w:p>
    <w:p w14:paraId="760B254D">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投标人可在投标文件中对采购货物的技术规格和要求选用替代标准，但这些替代标准必须相当于或优于招标文件中提出的相应要求，并使</w:t>
      </w:r>
      <w:r>
        <w:rPr>
          <w:rFonts w:hint="eastAsia" w:ascii="新宋体" w:hAnsi="新宋体" w:eastAsia="新宋体" w:cs="新宋体"/>
          <w:b/>
          <w:bCs/>
          <w:color w:val="auto"/>
          <w:sz w:val="22"/>
          <w:szCs w:val="22"/>
          <w:highlight w:val="none"/>
          <w:lang w:eastAsia="zh-CN"/>
        </w:rPr>
        <w:t>采购人</w:t>
      </w:r>
      <w:r>
        <w:rPr>
          <w:rFonts w:hint="eastAsia" w:ascii="新宋体" w:hAnsi="新宋体" w:eastAsia="新宋体" w:cs="新宋体"/>
          <w:b/>
          <w:bCs/>
          <w:color w:val="auto"/>
          <w:sz w:val="22"/>
          <w:szCs w:val="22"/>
          <w:highlight w:val="none"/>
        </w:rPr>
        <w:t>满意，同时在技术偏离表中作出详细说明。</w:t>
      </w:r>
    </w:p>
    <w:p w14:paraId="53DDA5FF">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4、投标报价</w:t>
      </w:r>
    </w:p>
    <w:p w14:paraId="16230DC7">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4.1报价是指设备供货、税金、包装、运输、保险、装卸、检验、安装、调试、验收（含第三方验收）、技术服务、售后服务、质保期保障、材料等直至达到使用要求及质量标准、政策性文件规定及合同包含的所有风险、责任等各项应有费用，实行固定费用总包干，投标人应根据上述因素自行考虑含入投标报价。</w:t>
      </w:r>
    </w:p>
    <w:p w14:paraId="38FAC224">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4.2投标人必须按附件中的投标报价一览表</w:t>
      </w:r>
      <w:r>
        <w:rPr>
          <w:rFonts w:hint="eastAsia" w:ascii="新宋体" w:hAnsi="新宋体" w:eastAsia="新宋体" w:cs="新宋体"/>
          <w:b/>
          <w:bCs/>
          <w:color w:val="auto"/>
          <w:sz w:val="22"/>
          <w:szCs w:val="22"/>
          <w:highlight w:val="none"/>
        </w:rPr>
        <w:t>、</w:t>
      </w:r>
      <w:r>
        <w:rPr>
          <w:rFonts w:hint="eastAsia" w:ascii="新宋体" w:hAnsi="新宋体" w:eastAsia="新宋体" w:cs="新宋体"/>
          <w:color w:val="auto"/>
          <w:sz w:val="22"/>
          <w:szCs w:val="22"/>
          <w:highlight w:val="none"/>
        </w:rPr>
        <w:t>投标分项报价表内容填写价格，并由投标人代表签署。</w:t>
      </w:r>
    </w:p>
    <w:p w14:paraId="1970A465">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4.3</w:t>
      </w:r>
      <w:r>
        <w:rPr>
          <w:rFonts w:hint="eastAsia" w:ascii="新宋体" w:hAnsi="新宋体" w:eastAsia="新宋体" w:cs="新宋体"/>
          <w:b/>
          <w:color w:val="auto"/>
          <w:sz w:val="22"/>
          <w:highlight w:val="none"/>
        </w:rPr>
        <w:t>投标货币以人民币进行投标</w:t>
      </w:r>
      <w:r>
        <w:rPr>
          <w:rFonts w:hint="eastAsia" w:ascii="新宋体" w:hAnsi="新宋体" w:eastAsia="新宋体" w:cs="新宋体"/>
          <w:b/>
          <w:color w:val="auto"/>
          <w:sz w:val="22"/>
          <w:szCs w:val="22"/>
          <w:highlight w:val="none"/>
        </w:rPr>
        <w:t>。</w:t>
      </w:r>
    </w:p>
    <w:p w14:paraId="0EA930A1">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4.4</w:t>
      </w:r>
      <w:r>
        <w:rPr>
          <w:rFonts w:hint="eastAsia" w:ascii="新宋体" w:hAnsi="新宋体" w:eastAsia="新宋体" w:cs="新宋体"/>
          <w:b/>
          <w:color w:val="auto"/>
          <w:sz w:val="22"/>
          <w:highlight w:val="none"/>
          <w:lang w:eastAsia="zh-CN"/>
        </w:rPr>
        <w:t>采购人</w:t>
      </w:r>
      <w:r>
        <w:rPr>
          <w:rFonts w:hint="eastAsia" w:ascii="新宋体" w:hAnsi="新宋体" w:eastAsia="新宋体" w:cs="新宋体"/>
          <w:b/>
          <w:color w:val="auto"/>
          <w:sz w:val="22"/>
          <w:highlight w:val="none"/>
        </w:rPr>
        <w:t>和</w:t>
      </w:r>
      <w:r>
        <w:rPr>
          <w:rFonts w:hint="eastAsia" w:ascii="新宋体" w:hAnsi="新宋体" w:eastAsia="新宋体" w:cs="新宋体"/>
          <w:b/>
          <w:color w:val="auto"/>
          <w:sz w:val="22"/>
          <w:highlight w:val="none"/>
          <w:lang w:eastAsia="zh-CN"/>
        </w:rPr>
        <w:t>采购代理机构</w:t>
      </w:r>
      <w:r>
        <w:rPr>
          <w:rFonts w:hint="eastAsia" w:ascii="新宋体" w:hAnsi="新宋体" w:eastAsia="新宋体" w:cs="新宋体"/>
          <w:b/>
          <w:color w:val="auto"/>
          <w:sz w:val="22"/>
          <w:highlight w:val="none"/>
        </w:rPr>
        <w:t>不接受任何选择投标，对任何</w:t>
      </w:r>
      <w:r>
        <w:rPr>
          <w:rFonts w:hint="eastAsia" w:ascii="新宋体" w:hAnsi="新宋体" w:eastAsia="新宋体" w:cs="新宋体"/>
          <w:b/>
          <w:color w:val="auto"/>
          <w:sz w:val="22"/>
          <w:highlight w:val="none"/>
          <w:lang w:val="en-US" w:eastAsia="zh-CN"/>
        </w:rPr>
        <w:t>货物或</w:t>
      </w:r>
      <w:r>
        <w:rPr>
          <w:rFonts w:hint="eastAsia" w:ascii="新宋体" w:hAnsi="新宋体" w:eastAsia="新宋体" w:cs="新宋体"/>
          <w:b/>
          <w:color w:val="auto"/>
          <w:sz w:val="22"/>
          <w:highlight w:val="none"/>
        </w:rPr>
        <w:t>服务只允许一个价格。</w:t>
      </w:r>
    </w:p>
    <w:p w14:paraId="4DF236F6">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4.5</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和</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szCs w:val="22"/>
          <w:highlight w:val="none"/>
        </w:rPr>
        <w:t>要求分类报价是为了方便评标，但在任何情况下不限制</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以其认为最合适的条款、条件签订合同的权利。</w:t>
      </w:r>
    </w:p>
    <w:p w14:paraId="5F9CB2D9">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4.6投标报价报出后，投标人不得以任何理由予以变更。任何包含价格调整的要求，将被认为是非实质性响应投标而予以否决。</w:t>
      </w:r>
    </w:p>
    <w:p w14:paraId="6E9C1A69">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4.7最低报价不能作为中标的保证。</w:t>
      </w:r>
    </w:p>
    <w:p w14:paraId="4C87633B">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5、投标有效期</w:t>
      </w:r>
    </w:p>
    <w:p w14:paraId="3DA060B5">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5.1自开标之日起</w:t>
      </w:r>
      <w:r>
        <w:rPr>
          <w:rFonts w:hint="eastAsia" w:ascii="新宋体" w:hAnsi="新宋体" w:eastAsia="新宋体" w:cs="新宋体"/>
          <w:b/>
          <w:bCs/>
          <w:color w:val="auto"/>
          <w:sz w:val="22"/>
          <w:szCs w:val="22"/>
          <w:highlight w:val="none"/>
          <w:lang w:val="en-US" w:eastAsia="zh-CN"/>
        </w:rPr>
        <w:t>90</w:t>
      </w:r>
      <w:r>
        <w:rPr>
          <w:rFonts w:hint="eastAsia" w:ascii="新宋体" w:hAnsi="新宋体" w:eastAsia="新宋体" w:cs="新宋体"/>
          <w:b/>
          <w:color w:val="auto"/>
          <w:sz w:val="22"/>
          <w:szCs w:val="22"/>
          <w:highlight w:val="none"/>
        </w:rPr>
        <w:t>天内投标应保持有效。</w:t>
      </w:r>
    </w:p>
    <w:p w14:paraId="563A381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5.2特殊情况下，在原投标有效期截止前，</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可与投标人协商延长投标有效期，这种要求和答复均以书面形式进行。投标人可拒绝接受延期要求。同意延长投标有效期的投标人不得修改投标文件。</w:t>
      </w:r>
    </w:p>
    <w:p w14:paraId="49F6670C">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6、投标保证金</w:t>
      </w:r>
    </w:p>
    <w:p w14:paraId="54455694">
      <w:pPr>
        <w:spacing w:line="460" w:lineRule="exact"/>
        <w:ind w:firstLine="880" w:firstLineChars="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无。</w:t>
      </w:r>
    </w:p>
    <w:p w14:paraId="62D2F99D">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7、投标文件编制</w:t>
      </w:r>
    </w:p>
    <w:p w14:paraId="4868AA66">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7.1本项目通过“政府采购云平台（https</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//zfcg.czt.zj.gov.cn/）”实行在线投标响应（电子投标）。投标人应通过“政采云电子交易客户端”，并按照本招标文件和“政府采购云平台”的要求编制并加密投标文件。</w:t>
      </w:r>
    </w:p>
    <w:p w14:paraId="5E91DE12">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7.2投标人应当按照本章节 “投标文件的构成”规定的内容及顺序在“政采云电子交易客户端”编制投标文件。其中《资格文件》和《商务技术文件》中不得出现本项目投标报价。</w:t>
      </w:r>
    </w:p>
    <w:p w14:paraId="443E9DD1">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7.3本文件《附件》中有提供格式的，投标人须参照格式进行编制（格式中要求提供相关证明材料的还需后附相关证明材料），并按格式要求在指定位置根据要求进行签章，否则视为未提供；本文件《附件》未提供格式的，请各投标单位自行拟定格式，并加盖单位公章并由法定代表人或其授权代表签署（签字或盖章），否则视为未提供。</w:t>
      </w:r>
    </w:p>
    <w:p w14:paraId="2AB35DEB">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7.4《投标文件》内容不完整、编排混乱导致《投标文件》被误读、漏读或者查找不到相关内容的，投标人自行负责。</w:t>
      </w:r>
    </w:p>
    <w:p w14:paraId="0B63266E">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7.5《投标文件》因字迹潦草或表达不清所引起的后果由投标人负责。</w:t>
      </w:r>
    </w:p>
    <w:p w14:paraId="0205763A">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7.6投标人没有按照本章节 “投标文件的构成”要求提供全部资料，或者没有仔细阅读招标文件，或者没有对招标文件在各方面的要求作出实质性响应是投标人的风险，由此造成的一切后果由投标人自行承担。</w:t>
      </w:r>
    </w:p>
    <w:p w14:paraId="26E8680A">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8、投标文件的签章</w:t>
      </w:r>
    </w:p>
    <w:p w14:paraId="6062D32F">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8.1《投标文件》的签章：见《前附表》；</w:t>
      </w:r>
    </w:p>
    <w:p w14:paraId="2100418A">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8.2《投标文件》应由投标人法定代表人或其授权代表签字（或盖章），并时加盖投标人公章。</w:t>
      </w:r>
    </w:p>
    <w:p w14:paraId="3D4FFDA0">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8.3电子签章操作指南详见采购公告附件《投标人项目采购-电子招投标操作指南》。</w:t>
      </w:r>
    </w:p>
    <w:p w14:paraId="33000A3A">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9、投标文件的形式</w:t>
      </w:r>
    </w:p>
    <w:p w14:paraId="1A8E67A6">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9.1投标文件的形式：见《前附表》；</w:t>
      </w:r>
    </w:p>
    <w:p w14:paraId="7DE7B4ED">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9.2“电子加密投标文件”：“电子加密投标文件”是指通过“政采云电子交易客户端”完成投标文件编制后生成并加密的数据电文形式的投标文件。</w:t>
      </w:r>
    </w:p>
    <w:p w14:paraId="5D47A090">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14:paraId="71067EAA">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10、投标文件的份数</w:t>
      </w:r>
    </w:p>
    <w:p w14:paraId="1B8C6D6F">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10.1投标文件的份数：见《前附表》。</w:t>
      </w:r>
    </w:p>
    <w:p w14:paraId="17EF66E2">
      <w:pPr>
        <w:spacing w:before="100" w:beforeAutospacing="1" w:after="100" w:afterAutospacing="1" w:line="440" w:lineRule="exact"/>
        <w:jc w:val="center"/>
        <w:outlineLvl w:val="2"/>
        <w:rPr>
          <w:rFonts w:hint="eastAsia" w:ascii="新宋体" w:hAnsi="新宋体" w:eastAsia="新宋体" w:cs="新宋体"/>
          <w:b/>
          <w:bCs/>
          <w:color w:val="auto"/>
          <w:sz w:val="22"/>
          <w:szCs w:val="22"/>
          <w:highlight w:val="none"/>
        </w:rPr>
      </w:pPr>
      <w:bookmarkStart w:id="17" w:name="_Toc28973"/>
      <w:r>
        <w:rPr>
          <w:rFonts w:hint="eastAsia" w:ascii="新宋体" w:hAnsi="新宋体" w:eastAsia="新宋体" w:cs="新宋体"/>
          <w:b/>
          <w:bCs/>
          <w:color w:val="auto"/>
          <w:sz w:val="22"/>
          <w:szCs w:val="22"/>
          <w:highlight w:val="none"/>
        </w:rPr>
        <w:t>四、 投标文件的递交</w:t>
      </w:r>
      <w:bookmarkEnd w:id="17"/>
    </w:p>
    <w:p w14:paraId="695FD87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1、投标文件的上传和递交</w:t>
      </w:r>
    </w:p>
    <w:p w14:paraId="042D1E4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1.1“投标文件”的上传、递交见《前附表》。</w:t>
      </w:r>
    </w:p>
    <w:p w14:paraId="647A77B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2、“电子加密投标文件”解密和异常情况处理</w:t>
      </w:r>
    </w:p>
    <w:p w14:paraId="1B63FD4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2.1“电子加密投标文件”解密：见《前附表》。</w:t>
      </w:r>
    </w:p>
    <w:p w14:paraId="6ED9387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3、投标文件的补充、修改或撤回</w:t>
      </w:r>
    </w:p>
    <w:p w14:paraId="428305F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50A36A9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3.2投标截止时间后，投标人不得撤回、修改《投标文件》。</w:t>
      </w:r>
    </w:p>
    <w:p w14:paraId="4DBC25A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4、投标文件的备选方案</w:t>
      </w:r>
    </w:p>
    <w:p w14:paraId="70A4426C">
      <w:pPr>
        <w:spacing w:line="460" w:lineRule="exact"/>
        <w:ind w:firstLine="440"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4.1投标人不得递交任何的投标备选（替代）方案，否则其投标文件将作无效标处理。与“电子加密投标文件”同时生成的“备份投标文件”不是投标备选（替代）方案。</w:t>
      </w:r>
    </w:p>
    <w:p w14:paraId="6620AA08">
      <w:pPr>
        <w:spacing w:before="100" w:beforeAutospacing="1" w:after="100" w:afterAutospacing="1" w:line="460" w:lineRule="exact"/>
        <w:jc w:val="center"/>
        <w:outlineLvl w:val="2"/>
        <w:rPr>
          <w:rFonts w:hint="eastAsia" w:ascii="新宋体" w:hAnsi="新宋体" w:eastAsia="新宋体" w:cs="新宋体"/>
          <w:b/>
          <w:bCs/>
          <w:color w:val="auto"/>
          <w:sz w:val="22"/>
          <w:szCs w:val="22"/>
          <w:highlight w:val="none"/>
        </w:rPr>
      </w:pPr>
      <w:bookmarkStart w:id="18" w:name="_Toc29173"/>
      <w:r>
        <w:rPr>
          <w:rFonts w:hint="eastAsia" w:ascii="新宋体" w:hAnsi="新宋体" w:eastAsia="新宋体" w:cs="新宋体"/>
          <w:b/>
          <w:bCs/>
          <w:color w:val="auto"/>
          <w:sz w:val="22"/>
          <w:szCs w:val="22"/>
          <w:highlight w:val="none"/>
        </w:rPr>
        <w:t>五、 开标和评标</w:t>
      </w:r>
      <w:bookmarkEnd w:id="18"/>
    </w:p>
    <w:p w14:paraId="50E763C6">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1、评标委员会</w:t>
      </w:r>
    </w:p>
    <w:p w14:paraId="377A339C">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和</w:t>
      </w:r>
      <w:r>
        <w:rPr>
          <w:rFonts w:hint="eastAsia" w:ascii="新宋体" w:hAnsi="新宋体" w:eastAsia="新宋体" w:cs="新宋体"/>
          <w:bCs/>
          <w:color w:val="auto"/>
          <w:sz w:val="22"/>
          <w:szCs w:val="22"/>
          <w:highlight w:val="none"/>
          <w:lang w:eastAsia="zh-CN"/>
        </w:rPr>
        <w:t>采购代理机构</w:t>
      </w:r>
      <w:r>
        <w:rPr>
          <w:rFonts w:hint="eastAsia" w:ascii="新宋体" w:hAnsi="新宋体" w:eastAsia="新宋体" w:cs="新宋体"/>
          <w:bCs/>
          <w:color w:val="auto"/>
          <w:sz w:val="22"/>
          <w:szCs w:val="22"/>
          <w:highlight w:val="none"/>
        </w:rPr>
        <w:t>组建评标委员会。评标委员会的成员在评标过程中必须严格遵守《政府采购法》等有关法律、法规的规定。</w:t>
      </w:r>
    </w:p>
    <w:p w14:paraId="3167AD80">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2、评标过程的保密性</w:t>
      </w:r>
    </w:p>
    <w:p w14:paraId="438B66C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开标后直至向成交投标人授予合同时止，凡与评审有关的资料均不得向投标人及与评标无关人员透露。如果投标人在评标过程中试图向</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和</w:t>
      </w:r>
      <w:r>
        <w:rPr>
          <w:rFonts w:hint="eastAsia" w:ascii="新宋体" w:hAnsi="新宋体" w:eastAsia="新宋体" w:cs="新宋体"/>
          <w:bCs/>
          <w:color w:val="auto"/>
          <w:sz w:val="22"/>
          <w:szCs w:val="22"/>
          <w:highlight w:val="none"/>
          <w:lang w:eastAsia="zh-CN"/>
        </w:rPr>
        <w:t>采购代理机构</w:t>
      </w:r>
      <w:r>
        <w:rPr>
          <w:rFonts w:hint="eastAsia" w:ascii="新宋体" w:hAnsi="新宋体" w:eastAsia="新宋体" w:cs="新宋体"/>
          <w:bCs/>
          <w:color w:val="auto"/>
          <w:sz w:val="22"/>
          <w:szCs w:val="22"/>
          <w:highlight w:val="none"/>
        </w:rPr>
        <w:t>施加影响，其投标将被拒绝。</w:t>
      </w:r>
    </w:p>
    <w:p w14:paraId="4627F5D5">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3、开标形式</w:t>
      </w:r>
    </w:p>
    <w:p w14:paraId="6169BB68">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采购组织机构将按照招标文件规定的时间通过“政府采购云平台”组织开标、开启投标文件，所有投标人均应当准时（在线）参加。</w:t>
      </w:r>
    </w:p>
    <w:p w14:paraId="07EC956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4、开标准备</w:t>
      </w:r>
    </w:p>
    <w:p w14:paraId="465CD701">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4.1开标的准备工作由采购组织机构负责落实；</w:t>
      </w:r>
    </w:p>
    <w:p w14:paraId="48E2E92B">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4.2</w:t>
      </w:r>
      <w:r>
        <w:rPr>
          <w:rFonts w:hint="eastAsia" w:ascii="新宋体" w:hAnsi="新宋体" w:eastAsia="新宋体" w:cs="新宋体"/>
          <w:b/>
          <w:color w:val="auto"/>
          <w:sz w:val="22"/>
          <w:szCs w:val="22"/>
          <w:highlight w:val="none"/>
        </w:rPr>
        <w:t>采购组织机构将按照招标文件规定的时间通过“政府采购云平台”组织开标、开启投标文件，所有投标人均应当准时（在线）参加。</w:t>
      </w:r>
      <w:r>
        <w:rPr>
          <w:rFonts w:hint="eastAsia" w:ascii="新宋体" w:hAnsi="新宋体" w:eastAsia="新宋体" w:cs="新宋体"/>
          <w:b/>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投标人如不参加开标大会的，视同认可开标结果，事后不得对采购相关人员、开标过程和开标结果提出异议，同时投标人因未在线参加开标而导致投标文件无法按时解密等一切后果由投标人自己承担。</w:t>
      </w:r>
    </w:p>
    <w:p w14:paraId="498DDE99">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5、开标流程</w:t>
      </w:r>
    </w:p>
    <w:p w14:paraId="0B58DD82">
      <w:pPr>
        <w:spacing w:line="460" w:lineRule="exact"/>
        <w:ind w:firstLine="442" w:firstLineChars="20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5.1开标、评标</w:t>
      </w:r>
    </w:p>
    <w:p w14:paraId="31750B5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（1）向各投标人发出电子加密投标文件【开始解密】通知，由投标人按招标文件规定的时间内自行进行投标文件解密。投标人在规定的时间内无法完成已递交的“电子加密投标文件”解密的，如已按规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14:paraId="3450B58B">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投标人不足3家的，不得开标。</w:t>
      </w:r>
    </w:p>
    <w:p w14:paraId="59744357">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（2）解密成功后，开启投标人的《报价文件》，投标人通过政采云系统对自己报价文件相关内容进行签字确认（不予确认的应说明理由，否则视为无异议）。</w:t>
      </w:r>
    </w:p>
    <w:p w14:paraId="7E40282D">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（3）开启《投标文件》，进入资格审查；</w:t>
      </w:r>
      <w:r>
        <w:rPr>
          <w:rFonts w:hint="eastAsia" w:ascii="新宋体" w:hAnsi="新宋体" w:eastAsia="新宋体" w:cs="新宋体"/>
          <w:bCs/>
          <w:color w:val="auto"/>
          <w:sz w:val="22"/>
          <w:szCs w:val="22"/>
          <w:highlight w:val="none"/>
        </w:rPr>
        <w:t>合格投标人不足3家的，不得评标。</w:t>
      </w:r>
    </w:p>
    <w:p w14:paraId="71119711">
      <w:pPr>
        <w:spacing w:line="460" w:lineRule="exact"/>
        <w:ind w:firstLine="442"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kern w:val="0"/>
          <w:sz w:val="22"/>
          <w:szCs w:val="22"/>
          <w:highlight w:val="none"/>
        </w:rPr>
        <w:t>备注：开标大会的结束后，</w:t>
      </w:r>
      <w:r>
        <w:rPr>
          <w:rFonts w:hint="eastAsia" w:ascii="新宋体" w:hAnsi="新宋体" w:eastAsia="新宋体" w:cs="新宋体"/>
          <w:b/>
          <w:color w:val="auto"/>
          <w:kern w:val="0"/>
          <w:sz w:val="22"/>
          <w:szCs w:val="22"/>
          <w:highlight w:val="none"/>
          <w:lang w:eastAsia="zh-CN"/>
        </w:rPr>
        <w:t>采购人</w:t>
      </w:r>
      <w:r>
        <w:rPr>
          <w:rFonts w:hint="eastAsia" w:ascii="新宋体" w:hAnsi="新宋体" w:eastAsia="新宋体" w:cs="新宋体"/>
          <w:b/>
          <w:color w:val="auto"/>
          <w:kern w:val="0"/>
          <w:sz w:val="22"/>
          <w:szCs w:val="22"/>
          <w:highlight w:val="none"/>
        </w:rPr>
        <w:t>或采购代理机构将对依法对投标人的资格进行审查，资格审查结束后进入符合性审查和商务技术的评审工作，具体见本章节“投标人资格审查”相关规定。</w:t>
      </w:r>
    </w:p>
    <w:p w14:paraId="147243CB">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rPr>
        <w:t>（4）开启资格审查通过的投标人的商务技术文件进入符合性审查，</w:t>
      </w:r>
      <w:r>
        <w:rPr>
          <w:rFonts w:hint="eastAsia" w:ascii="新宋体" w:hAnsi="新宋体" w:eastAsia="新宋体" w:cs="新宋体"/>
          <w:bCs/>
          <w:color w:val="auto"/>
          <w:sz w:val="22"/>
          <w:szCs w:val="22"/>
          <w:highlight w:val="none"/>
        </w:rPr>
        <w:t>以确定其是否满足招标文件的实质性要求，合格投标人不足3家的，不得评标。</w:t>
      </w:r>
    </w:p>
    <w:p w14:paraId="31A17190">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14:paraId="75DBD34B">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（5）对通过资格审查、符合性审查的合格投标人进行商务技术部分的评审。</w:t>
      </w:r>
    </w:p>
    <w:p w14:paraId="382F4BB0">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（6）评标委员会对报价的合理性、准确性等进行审查核实。</w:t>
      </w:r>
    </w:p>
    <w:p w14:paraId="4FEBCF30">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（7）评审结束后，公布中标（成交）候选投标人名单及</w:t>
      </w:r>
      <w:r>
        <w:rPr>
          <w:rFonts w:hint="eastAsia" w:ascii="新宋体" w:hAnsi="新宋体" w:eastAsia="新宋体" w:cs="新宋体"/>
          <w:color w:val="auto"/>
          <w:kern w:val="0"/>
          <w:sz w:val="22"/>
          <w:szCs w:val="22"/>
          <w:highlight w:val="none"/>
          <w:lang w:eastAsia="zh-CN"/>
        </w:rPr>
        <w:t>采购人</w:t>
      </w:r>
      <w:r>
        <w:rPr>
          <w:rFonts w:hint="eastAsia" w:ascii="新宋体" w:hAnsi="新宋体" w:eastAsia="新宋体" w:cs="新宋体"/>
          <w:color w:val="auto"/>
          <w:kern w:val="0"/>
          <w:sz w:val="22"/>
          <w:szCs w:val="22"/>
          <w:highlight w:val="none"/>
        </w:rPr>
        <w:t>最终确定中标或成交投标人名单的时间和公告方式等。</w:t>
      </w:r>
    </w:p>
    <w:p w14:paraId="7B8E1541">
      <w:pPr>
        <w:spacing w:line="460" w:lineRule="exact"/>
        <w:ind w:firstLine="442" w:firstLineChars="20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特别说明：如遇“政府采购云平台”电子化开标或评审程序调整的，按调整后程序执行。</w:t>
      </w:r>
    </w:p>
    <w:p w14:paraId="2D2382A4">
      <w:pPr>
        <w:spacing w:line="460" w:lineRule="exact"/>
        <w:ind w:firstLine="440" w:firstLineChars="200"/>
        <w:rPr>
          <w:rFonts w:hint="eastAsia" w:ascii="新宋体" w:hAnsi="新宋体" w:eastAsia="新宋体" w:cs="新宋体"/>
          <w:color w:val="auto"/>
          <w:sz w:val="22"/>
          <w:szCs w:val="22"/>
          <w:highlight w:val="none"/>
        </w:rPr>
      </w:pPr>
      <w:bookmarkStart w:id="19" w:name="_Toc33194393"/>
      <w:bookmarkStart w:id="20" w:name="_Toc24550037"/>
      <w:r>
        <w:rPr>
          <w:rFonts w:hint="eastAsia" w:ascii="新宋体" w:hAnsi="新宋体" w:eastAsia="新宋体" w:cs="新宋体"/>
          <w:color w:val="auto"/>
          <w:sz w:val="22"/>
          <w:szCs w:val="22"/>
          <w:highlight w:val="none"/>
        </w:rPr>
        <w:t>6、投标人资格审查</w:t>
      </w:r>
      <w:bookmarkEnd w:id="19"/>
      <w:bookmarkEnd w:id="20"/>
    </w:p>
    <w:p w14:paraId="28A5F74E">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6.1开标大会结束后，</w:t>
      </w:r>
      <w:r>
        <w:rPr>
          <w:rFonts w:hint="eastAsia" w:ascii="新宋体" w:hAnsi="新宋体" w:eastAsia="新宋体" w:cs="新宋体"/>
          <w:b/>
          <w:color w:val="auto"/>
          <w:sz w:val="22"/>
          <w:szCs w:val="22"/>
          <w:highlight w:val="none"/>
          <w:lang w:eastAsia="zh-CN"/>
        </w:rPr>
        <w:t>采购人</w:t>
      </w:r>
      <w:r>
        <w:rPr>
          <w:rFonts w:hint="eastAsia" w:ascii="新宋体" w:hAnsi="新宋体" w:eastAsia="新宋体" w:cs="新宋体"/>
          <w:b/>
          <w:color w:val="auto"/>
          <w:sz w:val="22"/>
          <w:szCs w:val="22"/>
          <w:highlight w:val="none"/>
        </w:rPr>
        <w:t>或采购代理机构首先依法对各投标人的资格进行审查，审查各投标人的资格是否满足招标文件的要求。</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或采购代理机构对投标人所提交的资格证明材料仅负审核的责任。如发现投标人所提交的资格证明材料不合法或与事实不符，</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可取消其中标资格并追究投标人的法律责任。</w:t>
      </w:r>
    </w:p>
    <w:p w14:paraId="664782B7">
      <w:pPr>
        <w:spacing w:line="460" w:lineRule="exact"/>
        <w:ind w:firstLine="442" w:firstLineChars="20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sz w:val="22"/>
          <w:szCs w:val="22"/>
          <w:highlight w:val="none"/>
        </w:rPr>
        <w:t>6.2投标人提交的资格证明材料无法证明其符合招标文件规定的“投标人资格要求”的，</w:t>
      </w:r>
      <w:r>
        <w:rPr>
          <w:rFonts w:hint="eastAsia" w:ascii="新宋体" w:hAnsi="新宋体" w:eastAsia="新宋体" w:cs="新宋体"/>
          <w:b/>
          <w:color w:val="auto"/>
          <w:sz w:val="22"/>
          <w:szCs w:val="22"/>
          <w:highlight w:val="none"/>
          <w:lang w:eastAsia="zh-CN"/>
        </w:rPr>
        <w:t>采购人</w:t>
      </w:r>
      <w:r>
        <w:rPr>
          <w:rFonts w:hint="eastAsia" w:ascii="新宋体" w:hAnsi="新宋体" w:eastAsia="新宋体" w:cs="新宋体"/>
          <w:b/>
          <w:color w:val="auto"/>
          <w:sz w:val="22"/>
          <w:szCs w:val="22"/>
          <w:highlight w:val="none"/>
        </w:rPr>
        <w:t>或采购代理机构</w:t>
      </w:r>
      <w:r>
        <w:rPr>
          <w:rFonts w:hint="eastAsia" w:ascii="新宋体" w:hAnsi="新宋体" w:eastAsia="新宋体" w:cs="新宋体"/>
          <w:b/>
          <w:color w:val="auto"/>
          <w:kern w:val="0"/>
          <w:sz w:val="22"/>
          <w:szCs w:val="22"/>
          <w:highlight w:val="none"/>
        </w:rPr>
        <w:t>将对其作资格审查不通过处理（无效投标），并不再将其投标提交评标委员会进行后续评审。</w:t>
      </w:r>
    </w:p>
    <w:p w14:paraId="74A1432C">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6</w:t>
      </w:r>
      <w:r>
        <w:rPr>
          <w:rFonts w:hint="eastAsia" w:ascii="新宋体" w:hAnsi="新宋体" w:eastAsia="新宋体" w:cs="新宋体"/>
          <w:b/>
          <w:color w:val="auto"/>
          <w:kern w:val="0"/>
          <w:sz w:val="22"/>
          <w:szCs w:val="22"/>
          <w:highlight w:val="none"/>
        </w:rPr>
        <w:t>.3单位负责人为同一人或者存在直接控股、管理关系的不同投标人参加同一合同项下的政府采购活动的，相关投标人均作资格无效处理。</w:t>
      </w:r>
    </w:p>
    <w:p w14:paraId="255614A5">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7、评标委员按照招标文件中规定的评标方法和标准，对投标文件进行商务和技术评估，综合比较与评价。</w:t>
      </w:r>
    </w:p>
    <w:p w14:paraId="32489868">
      <w:pPr>
        <w:spacing w:line="460" w:lineRule="exact"/>
        <w:ind w:firstLine="442" w:firstLineChars="200"/>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8、投标人存在下列情况之一的，投标无效：</w:t>
      </w:r>
    </w:p>
    <w:p w14:paraId="50ED49CC">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 投标文件未按招标文件要求签署、盖章的；</w:t>
      </w:r>
    </w:p>
    <w:p w14:paraId="0BE21B74">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（2） 不具备招标文件中规定的资格要求的； </w:t>
      </w:r>
    </w:p>
    <w:p w14:paraId="1609435C">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 明显不符合招标文件中主要技术规格、技术标准的；</w:t>
      </w:r>
    </w:p>
    <w:p w14:paraId="35DB7EC5">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 “</w:t>
      </w:r>
      <w:r>
        <w:rPr>
          <w:rFonts w:hint="eastAsia" w:ascii="新宋体" w:hAnsi="新宋体" w:eastAsia="新宋体" w:cs="新宋体"/>
          <w:color w:val="auto"/>
          <w:sz w:val="22"/>
          <w:szCs w:val="22"/>
          <w:highlight w:val="none"/>
        </w:rPr>
        <w:t>▲</w:t>
      </w:r>
      <w:r>
        <w:rPr>
          <w:rFonts w:hint="eastAsia" w:ascii="新宋体" w:hAnsi="新宋体" w:eastAsia="新宋体" w:cs="新宋体"/>
          <w:bCs/>
          <w:color w:val="auto"/>
          <w:sz w:val="22"/>
          <w:szCs w:val="22"/>
          <w:highlight w:val="none"/>
        </w:rPr>
        <w:t>”标记条款负偏离或不响应的；</w:t>
      </w:r>
    </w:p>
    <w:p w14:paraId="741A5C0F">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 投标文件内容不全或关键字迹模糊无法辨认的；</w:t>
      </w:r>
    </w:p>
    <w:p w14:paraId="1A693786">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 投标人代表没有法定代表人合法、有效委托的；</w:t>
      </w:r>
    </w:p>
    <w:p w14:paraId="0647A012">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（7） 报价超过招标文件中规定的预算金额或者最高限价的；</w:t>
      </w:r>
    </w:p>
    <w:p w14:paraId="02F4EDD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 投标文件存在一个或一个以上备选（替代）投标方案的；</w:t>
      </w:r>
    </w:p>
    <w:p w14:paraId="0BA9B89F">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（9） 仅提交“备份投标文件”的；</w:t>
      </w:r>
    </w:p>
    <w:p w14:paraId="7D926F03">
      <w:pPr>
        <w:spacing w:line="460" w:lineRule="exact"/>
        <w:ind w:firstLine="442" w:firstLineChars="200"/>
        <w:rPr>
          <w:rFonts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u w:val="single"/>
        </w:rPr>
        <w:t>（10）未提供食品药品监督管理部门核发的完整有效的医疗器械注册或备案证明，或提供的医疗器械注册或备案证明不足以证明所投设备可合法销售（适用于医疗器械）；</w:t>
      </w:r>
    </w:p>
    <w:p w14:paraId="7BA62AC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11</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 w:val="0"/>
          <w:bCs/>
          <w:color w:val="auto"/>
          <w:sz w:val="22"/>
          <w:szCs w:val="22"/>
          <w:highlight w:val="none"/>
          <w:lang w:eastAsia="zh-CN"/>
        </w:rPr>
        <w:t>如为联合体投标，未提供有效的联合体共同投标协议书的</w:t>
      </w:r>
      <w:r>
        <w:rPr>
          <w:rFonts w:hint="eastAsia" w:ascii="新宋体" w:hAnsi="新宋体" w:eastAsia="新宋体" w:cs="新宋体"/>
          <w:b w:val="0"/>
          <w:bCs/>
          <w:color w:val="auto"/>
          <w:sz w:val="22"/>
          <w:szCs w:val="22"/>
          <w:highlight w:val="none"/>
        </w:rPr>
        <w:t>；</w:t>
      </w:r>
    </w:p>
    <w:p w14:paraId="2AB37919">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2</w:t>
      </w:r>
      <w:r>
        <w:rPr>
          <w:rFonts w:hint="eastAsia" w:ascii="新宋体" w:hAnsi="新宋体" w:eastAsia="新宋体" w:cs="新宋体"/>
          <w:bCs/>
          <w:color w:val="auto"/>
          <w:sz w:val="22"/>
          <w:szCs w:val="22"/>
          <w:highlight w:val="none"/>
        </w:rPr>
        <w:t>）投标文件含有</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不能接受的附加条件的；</w:t>
      </w:r>
    </w:p>
    <w:p w14:paraId="14116E19">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）法律、法规和招标文件规定的其他无效情形。</w:t>
      </w:r>
    </w:p>
    <w:p w14:paraId="15E345C3">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9、有下列情形之一的，视为投标人串通投标，其投标无效</w:t>
      </w:r>
    </w:p>
    <w:p w14:paraId="1BA9741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（1）不同投标人的投标文件由同一单位或者个人编制；</w:t>
      </w:r>
    </w:p>
    <w:p w14:paraId="0731791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（2）不同投标人委托同一单位或者个人办理投标事宜；</w:t>
      </w:r>
    </w:p>
    <w:p w14:paraId="1F13F54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（3）不同投标人的投标文件载明的项目管理成员或者联系人员为同一人；</w:t>
      </w:r>
    </w:p>
    <w:p w14:paraId="1882FAC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（4）不同投标人的投标文件异常一致或者投标报价呈规律性差异；</w:t>
      </w:r>
    </w:p>
    <w:p w14:paraId="02C1090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（5）不同投标人的投标文件相互混装。</w:t>
      </w:r>
    </w:p>
    <w:p w14:paraId="0BB8AF9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参与同一个采购包（标段）的供应商存在下列情形之一且无法合理解释的，其投标（响应）文件无效：①不同供应商的电子投标（响应）文件上传计算机的网卡MAC地址或硬盘序列号等硬件信息相同的；②上传的电子投标（响应）文件若出现使用本项目其他投标（响应）供应商的数字证书加密的，或者加盖本项目其他投标（响应）供应商的电子印章的；③不同供应商的投标（响应）文件的内容存在3处（含）以上错误一致的；④不同供应商联系人为同一人或不同联系人的联系电话一致的。</w:t>
      </w:r>
    </w:p>
    <w:p w14:paraId="5DC7DAB5">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10、投标文件报价出现前后不一致的，按照下列规定修正：</w:t>
      </w:r>
    </w:p>
    <w:p w14:paraId="2246631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（1）系统上传的投标文件中开标一览表（报价表）（加盖公章）内容与投标文件中相应内容不一致的，以系统上传的投标文件中开标一览表（报价表）（加盖公章）为准；</w:t>
      </w:r>
    </w:p>
    <w:p w14:paraId="665729A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（2）大写金额和小写金额不一致的，以大写金额为准；</w:t>
      </w:r>
    </w:p>
    <w:p w14:paraId="544B786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（3）单价金额小数点或者百分比有明显错位的，以开标一览表的总价为准，并修改单价；</w:t>
      </w:r>
    </w:p>
    <w:p w14:paraId="5DA0A8B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（4）总价金额与按单价汇总金额不一致的，以单价金额计算结果为准。</w:t>
      </w:r>
    </w:p>
    <w:p w14:paraId="52DA3CA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14:paraId="728197B3">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11、</w:t>
      </w:r>
      <w:r>
        <w:rPr>
          <w:rFonts w:hint="eastAsia" w:ascii="新宋体" w:hAnsi="新宋体" w:eastAsia="新宋体" w:cs="新宋体"/>
          <w:bCs/>
          <w:color w:val="auto"/>
          <w:sz w:val="22"/>
          <w:szCs w:val="22"/>
          <w:highlight w:val="none"/>
          <w:lang w:val="en-US" w:eastAsia="zh-CN"/>
        </w:rPr>
        <w:t>评</w:t>
      </w:r>
      <w:r>
        <w:rPr>
          <w:rFonts w:hint="eastAsia" w:ascii="新宋体" w:hAnsi="新宋体" w:eastAsia="新宋体" w:cs="新宋体"/>
          <w:bCs/>
          <w:color w:val="auto"/>
          <w:sz w:val="22"/>
          <w:szCs w:val="22"/>
          <w:highlight w:val="none"/>
        </w:rPr>
        <w:t>标委员会成员对需要共同认定的事项存在争议的，应当按照少数服从多数的原则作出结论。持不同意见的评标委员会成员应当在评标报告上签署不同意见及理由，否则视为同意评标报告。</w:t>
      </w:r>
    </w:p>
    <w:p w14:paraId="7C5284A8">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12、投标文件的澄清</w:t>
      </w:r>
    </w:p>
    <w:p w14:paraId="531E8F2E">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按系统规定时间。</w:t>
      </w:r>
    </w:p>
    <w:p w14:paraId="4CE38F5B">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14:paraId="21F2A536">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拒不按要求对其投标文件进行澄清，说明或补正的投标人，评标委员会可以否决其投标。</w:t>
      </w:r>
    </w:p>
    <w:p w14:paraId="5BCC0EBA">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12.2</w:t>
      </w:r>
      <w:r>
        <w:rPr>
          <w:rFonts w:hint="eastAsia" w:ascii="新宋体" w:hAnsi="新宋体" w:eastAsia="新宋体" w:cs="新宋体"/>
          <w:b/>
          <w:color w:val="auto"/>
          <w:sz w:val="22"/>
          <w:szCs w:val="22"/>
          <w:highlight w:val="none"/>
        </w:rPr>
        <w:t>经澄清后，若偏差仍存在，且不可接受，投标人则被认为是“没有实质性响应招标文件要求”，其投标将被拒绝。</w:t>
      </w:r>
    </w:p>
    <w:p w14:paraId="67B2A2A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13、评审结果的修改</w:t>
      </w:r>
    </w:p>
    <w:p w14:paraId="2BA42423">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13.1评标结果汇总完成后，除下列情形外，任何人不得修改评标结果：</w:t>
      </w:r>
    </w:p>
    <w:p w14:paraId="0359E88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（1）分值汇总计算错误的；</w:t>
      </w:r>
    </w:p>
    <w:p w14:paraId="3BF3299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（2）分项评分超出评分标准范围的；</w:t>
      </w:r>
    </w:p>
    <w:p w14:paraId="0B8A522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（3）评标委员会成员对客观评审因素评分不一致的；</w:t>
      </w:r>
    </w:p>
    <w:p w14:paraId="3D519AA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（4）经评标委员会认定评分畸高、畸低的。</w:t>
      </w:r>
    </w:p>
    <w:p w14:paraId="4F2DE6F9">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13.2书面评标报告签署前，经复核发现存在以上情形之一的，评标委员会将当场修改评标结果，并在</w:t>
      </w:r>
      <w:r>
        <w:rPr>
          <w:rFonts w:hint="eastAsia" w:ascii="新宋体" w:hAnsi="新宋体" w:eastAsia="新宋体" w:cs="新宋体"/>
          <w:b/>
          <w:color w:val="auto"/>
          <w:sz w:val="22"/>
          <w:szCs w:val="22"/>
          <w:highlight w:val="none"/>
        </w:rPr>
        <w:t>评标报告中记载。</w:t>
      </w:r>
    </w:p>
    <w:p w14:paraId="54801110">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14</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75CBC48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14.1由评标委员会确定中标候选人。</w:t>
      </w:r>
    </w:p>
    <w:p w14:paraId="09DC798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推荐。</w:t>
      </w:r>
    </w:p>
    <w:p w14:paraId="7FDE6763">
      <w:pPr>
        <w:spacing w:line="460" w:lineRule="exact"/>
        <w:ind w:firstLine="442"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
          <w:bCs/>
          <w:color w:val="auto"/>
          <w:sz w:val="22"/>
          <w:szCs w:val="22"/>
          <w:highlight w:val="none"/>
        </w:rPr>
        <w:t>15、确定成交投标人</w:t>
      </w:r>
    </w:p>
    <w:p w14:paraId="71169833">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15</w:t>
      </w: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eastAsia="zh-CN"/>
        </w:rPr>
        <w:t>采购人</w:t>
      </w:r>
      <w:r>
        <w:rPr>
          <w:rFonts w:hint="eastAsia" w:ascii="新宋体" w:hAnsi="新宋体" w:eastAsia="新宋体" w:cs="新宋体"/>
          <w:b/>
          <w:bCs/>
          <w:color w:val="auto"/>
          <w:sz w:val="22"/>
          <w:szCs w:val="22"/>
          <w:highlight w:val="none"/>
        </w:rPr>
        <w:t>按照书面评标报告中推荐的中标候选投标人顺序确定成交投标人；也可以事先授权评标委员会按照推荐的中标候选投标人顺序直接确定成交投标人。中标候选人并列的，由评标委员会全体成员记名投票按少数服从多数的原则确定排名。</w:t>
      </w:r>
    </w:p>
    <w:p w14:paraId="111755E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15.2如成交投标人放弃中标；或未能在规定时间内与采购单位签订合同的；或者经质疑，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审查后，确因排名第一的候选人在本次采购活动中存在违法违规行为或其他原因使质疑成立的，</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可以视情况直接确定排名第二的候选人为成交投标人或重新组织招标。</w:t>
      </w:r>
    </w:p>
    <w:p w14:paraId="08412BB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16、起草、签署评审报告</w:t>
      </w:r>
    </w:p>
    <w:p w14:paraId="3DE06F18">
      <w:pPr>
        <w:spacing w:line="460" w:lineRule="exact"/>
        <w:ind w:firstLine="440"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669D4D0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成交投标人确定后，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将在政府指定媒体公告中标结果，</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向成交投标人发出中标通知书。</w:t>
      </w:r>
    </w:p>
    <w:p w14:paraId="2E3D94E1">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18、</w:t>
      </w:r>
      <w:r>
        <w:rPr>
          <w:rFonts w:hint="eastAsia" w:ascii="新宋体" w:hAnsi="新宋体" w:eastAsia="新宋体" w:cs="新宋体"/>
          <w:b/>
          <w:color w:val="auto"/>
          <w:sz w:val="22"/>
          <w:szCs w:val="22"/>
          <w:highlight w:val="none"/>
          <w:lang w:eastAsia="zh-CN"/>
        </w:rPr>
        <w:t>采购人</w:t>
      </w:r>
      <w:r>
        <w:rPr>
          <w:rFonts w:hint="eastAsia" w:ascii="新宋体" w:hAnsi="新宋体" w:eastAsia="新宋体" w:cs="新宋体"/>
          <w:b/>
          <w:color w:val="auto"/>
          <w:sz w:val="22"/>
          <w:szCs w:val="22"/>
          <w:highlight w:val="none"/>
        </w:rPr>
        <w:t>对决标结果不做任何解释，也不保证最低价中标。</w:t>
      </w:r>
    </w:p>
    <w:p w14:paraId="6AD5739C">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19、评标细则详见“评标原则及方法”。</w:t>
      </w:r>
    </w:p>
    <w:p w14:paraId="270D0F32">
      <w:pPr>
        <w:spacing w:before="100" w:beforeAutospacing="1" w:after="100" w:afterAutospacing="1" w:line="440" w:lineRule="exact"/>
        <w:jc w:val="center"/>
        <w:outlineLvl w:val="2"/>
        <w:rPr>
          <w:rFonts w:hint="eastAsia" w:ascii="新宋体" w:hAnsi="新宋体" w:eastAsia="新宋体" w:cs="新宋体"/>
          <w:b/>
          <w:bCs/>
          <w:color w:val="auto"/>
          <w:sz w:val="26"/>
          <w:szCs w:val="26"/>
          <w:highlight w:val="none"/>
        </w:rPr>
      </w:pPr>
      <w:bookmarkStart w:id="21" w:name="_Toc12016"/>
      <w:r>
        <w:rPr>
          <w:rFonts w:hint="eastAsia" w:ascii="新宋体" w:hAnsi="新宋体" w:eastAsia="新宋体" w:cs="新宋体"/>
          <w:b/>
          <w:bCs/>
          <w:color w:val="auto"/>
          <w:sz w:val="26"/>
          <w:szCs w:val="26"/>
          <w:highlight w:val="none"/>
        </w:rPr>
        <w:t>六、 授予合同</w:t>
      </w:r>
      <w:bookmarkEnd w:id="21"/>
    </w:p>
    <w:p w14:paraId="453C5BB7">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1、中标通知书</w:t>
      </w:r>
    </w:p>
    <w:p w14:paraId="7BA98909">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val="0"/>
          <w:bCs w:val="0"/>
          <w:color w:val="auto"/>
          <w:sz w:val="22"/>
          <w:szCs w:val="22"/>
          <w:highlight w:val="none"/>
        </w:rPr>
        <w:t>1.1</w:t>
      </w:r>
      <w:r>
        <w:rPr>
          <w:rFonts w:hint="eastAsia" w:ascii="新宋体" w:hAnsi="新宋体" w:eastAsia="新宋体" w:cs="新宋体"/>
          <w:color w:val="auto"/>
          <w:sz w:val="22"/>
          <w:szCs w:val="22"/>
          <w:highlight w:val="none"/>
        </w:rPr>
        <w:t>成交投标人确定后，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将向成交投标人发出中标通知书。</w:t>
      </w:r>
    </w:p>
    <w:p w14:paraId="7828663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 w:val="0"/>
          <w:bCs w:val="0"/>
          <w:color w:val="auto"/>
          <w:sz w:val="22"/>
          <w:szCs w:val="22"/>
          <w:highlight w:val="none"/>
        </w:rPr>
        <w:t>1.2</w:t>
      </w:r>
      <w:r>
        <w:rPr>
          <w:rFonts w:hint="eastAsia" w:ascii="新宋体" w:hAnsi="新宋体" w:eastAsia="新宋体" w:cs="新宋体"/>
          <w:color w:val="auto"/>
          <w:sz w:val="22"/>
          <w:szCs w:val="22"/>
          <w:highlight w:val="none"/>
        </w:rPr>
        <w:t>中标通知书是合同的一个组成部分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对</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和成交投标人均具有同等法律效力。</w:t>
      </w:r>
    </w:p>
    <w:p w14:paraId="57B6408E">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2、授标时更改采购货物数量的权力</w:t>
      </w:r>
    </w:p>
    <w:p w14:paraId="109FE622">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2.1</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在授予合同时有权对采购货物的数量和服务在一定幅度范围内予以增加或减少</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rPr>
        <w:t>但不得对单价和其他的条款和条件作任何改变。</w:t>
      </w:r>
    </w:p>
    <w:p w14:paraId="32C602D5">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3、签订合同</w:t>
      </w:r>
    </w:p>
    <w:p w14:paraId="37BA374F">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3.1成交投标人应按中标通知书规定的时间、地点与</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签订合同。</w:t>
      </w:r>
    </w:p>
    <w:p w14:paraId="49245D53">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3.2</w:t>
      </w:r>
      <w:r>
        <w:rPr>
          <w:rFonts w:hint="eastAsia" w:ascii="新宋体" w:hAnsi="新宋体" w:eastAsia="新宋体" w:cs="新宋体"/>
          <w:b/>
          <w:color w:val="auto"/>
          <w:spacing w:val="6"/>
          <w:sz w:val="22"/>
          <w:szCs w:val="22"/>
          <w:highlight w:val="none"/>
        </w:rPr>
        <w:t>在签订合同前，</w:t>
      </w:r>
      <w:r>
        <w:rPr>
          <w:rFonts w:hint="eastAsia" w:ascii="新宋体" w:hAnsi="新宋体" w:eastAsia="新宋体" w:cs="新宋体"/>
          <w:b/>
          <w:color w:val="auto"/>
          <w:spacing w:val="6"/>
          <w:sz w:val="22"/>
          <w:szCs w:val="22"/>
          <w:highlight w:val="none"/>
          <w:lang w:eastAsia="zh-CN"/>
        </w:rPr>
        <w:t>采购人</w:t>
      </w:r>
      <w:r>
        <w:rPr>
          <w:rFonts w:hint="eastAsia" w:ascii="新宋体" w:hAnsi="新宋体" w:eastAsia="新宋体" w:cs="新宋体"/>
          <w:b/>
          <w:color w:val="auto"/>
          <w:spacing w:val="6"/>
          <w:sz w:val="22"/>
          <w:szCs w:val="22"/>
          <w:highlight w:val="none"/>
        </w:rPr>
        <w:t>有权在中标总价不变的前提下要求成交投标人对报价中的不平衡报价和缺漏项进行调整，如果成交投标人无合理理由拒绝调整，其中投标资格将被取消，保证金将不予退还，且将导致其它进一步的赔偿和处罚。</w:t>
      </w:r>
    </w:p>
    <w:p w14:paraId="7ED6A8B6">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3.3招标文件、成交投标人的投标文件、投标修改文件、评标过程中有关澄清文件及经投标人和评委双方签字的询标纪要和中标通知书均作为合同附件。</w:t>
      </w:r>
    </w:p>
    <w:p w14:paraId="794056C3">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3.4拒签合同的违约责任</w:t>
      </w:r>
    </w:p>
    <w:p w14:paraId="3E784566">
      <w:pPr>
        <w:spacing w:line="460" w:lineRule="exact"/>
        <w:ind w:firstLine="466" w:firstLineChars="200"/>
        <w:rPr>
          <w:rFonts w:hint="eastAsia" w:ascii="新宋体" w:hAnsi="新宋体" w:eastAsia="新宋体" w:cs="新宋体"/>
          <w:b/>
          <w:color w:val="auto"/>
          <w:spacing w:val="6"/>
          <w:sz w:val="22"/>
          <w:szCs w:val="22"/>
          <w:highlight w:val="none"/>
        </w:rPr>
      </w:pPr>
      <w:r>
        <w:rPr>
          <w:rFonts w:hint="eastAsia" w:ascii="新宋体" w:hAnsi="新宋体" w:eastAsia="新宋体" w:cs="新宋体"/>
          <w:b/>
          <w:color w:val="auto"/>
          <w:spacing w:val="6"/>
          <w:sz w:val="22"/>
          <w:szCs w:val="22"/>
          <w:highlight w:val="none"/>
        </w:rPr>
        <w:t>成交投标人接到中标通知书后，在规定时间内借故否认已经承诺的条件而拒签合同的，以违约处理。</w:t>
      </w:r>
    </w:p>
    <w:p w14:paraId="11E6F4EE">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4、质疑与投诉</w:t>
      </w:r>
    </w:p>
    <w:p w14:paraId="4B8D774A">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4.1投标人认为招标文件、采购过程、中标和成交结果使自己的合法权益受到损害的，可以在知道或应知道其权益受到损害之日起七个工作日内以书面形式向</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提出质疑。</w:t>
      </w:r>
      <w:r>
        <w:rPr>
          <w:rFonts w:hint="eastAsia" w:ascii="新宋体" w:hAnsi="新宋体" w:eastAsia="新宋体" w:cs="新宋体"/>
          <w:bCs/>
          <w:color w:val="auto"/>
          <w:sz w:val="22"/>
          <w:highlight w:val="none"/>
        </w:rPr>
        <w:t>供应商在法定质疑期内应一次性提出针对同一采购程序环节的质疑，否则</w:t>
      </w:r>
      <w:r>
        <w:rPr>
          <w:rFonts w:hint="eastAsia" w:ascii="新宋体" w:hAnsi="新宋体" w:eastAsia="新宋体" w:cs="新宋体"/>
          <w:color w:val="auto"/>
          <w:sz w:val="22"/>
          <w:szCs w:val="22"/>
          <w:highlight w:val="none"/>
        </w:rPr>
        <w:t>不予受理、答复</w:t>
      </w:r>
      <w:r>
        <w:rPr>
          <w:rFonts w:hint="eastAsia" w:ascii="新宋体" w:hAnsi="新宋体" w:eastAsia="新宋体" w:cs="新宋体"/>
          <w:bCs/>
          <w:color w:val="auto"/>
          <w:sz w:val="22"/>
          <w:highlight w:val="none"/>
        </w:rPr>
        <w:t>。</w:t>
      </w:r>
    </w:p>
    <w:p w14:paraId="0EF3C040">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4.2</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在收到投标人的书面质疑后七个工作日内作出答复，但答复的内容不得涉及商业秘密。质疑投标人对</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的答复不满意，可以在答复期满后十五个工作日内向同级采购监督管理部门投诉。</w:t>
      </w:r>
    </w:p>
    <w:p w14:paraId="4B91DD6D">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4.3投诉人投诉时，应提交投诉书，投诉书应当由本人并由法定代表人签字盖公章，投诉书应说明具体的投诉事项及事实依据。投诉人对投诉书的真实性负责，恶意投诉将承当相应的法律和民事责任。</w:t>
      </w:r>
    </w:p>
    <w:p w14:paraId="7157E621">
      <w:pPr>
        <w:spacing w:line="460" w:lineRule="exact"/>
        <w:ind w:firstLine="880" w:firstLineChars="400"/>
        <w:rPr>
          <w:rFonts w:hint="eastAsia" w:ascii="新宋体" w:hAnsi="新宋体" w:eastAsia="新宋体" w:cs="新宋体"/>
          <w:color w:val="auto"/>
          <w:sz w:val="22"/>
          <w:highlight w:val="none"/>
        </w:rPr>
      </w:pPr>
    </w:p>
    <w:p w14:paraId="4511C27D">
      <w:pPr>
        <w:spacing w:line="460" w:lineRule="exact"/>
        <w:ind w:firstLine="880" w:firstLineChars="400"/>
        <w:rPr>
          <w:rFonts w:hint="eastAsia" w:ascii="新宋体" w:hAnsi="新宋体" w:eastAsia="新宋体" w:cs="新宋体"/>
          <w:color w:val="auto"/>
          <w:sz w:val="22"/>
          <w:highlight w:val="none"/>
        </w:rPr>
      </w:pPr>
    </w:p>
    <w:p w14:paraId="0BF46341">
      <w:pPr>
        <w:pStyle w:val="25"/>
        <w:ind w:left="0" w:leftChars="0"/>
        <w:rPr>
          <w:rFonts w:hint="eastAsia" w:ascii="新宋体" w:hAnsi="新宋体" w:eastAsia="新宋体" w:cs="新宋体"/>
          <w:color w:val="auto"/>
          <w:sz w:val="22"/>
          <w:highlight w:val="none"/>
        </w:rPr>
      </w:pPr>
    </w:p>
    <w:p w14:paraId="50EFBA0C">
      <w:pPr>
        <w:pStyle w:val="23"/>
        <w:spacing w:line="460" w:lineRule="exact"/>
        <w:ind w:left="0" w:left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bookmarkStart w:id="22" w:name="_Toc19255"/>
      <w:r>
        <w:rPr>
          <w:rFonts w:hint="eastAsia" w:ascii="新宋体" w:hAnsi="新宋体" w:eastAsia="新宋体" w:cs="新宋体"/>
          <w:b/>
          <w:color w:val="auto"/>
          <w:sz w:val="30"/>
          <w:highlight w:val="none"/>
        </w:rPr>
        <w:t>第二部分    合同主要条款</w:t>
      </w:r>
      <w:bookmarkEnd w:id="22"/>
    </w:p>
    <w:p w14:paraId="2870E9A9">
      <w:pPr>
        <w:pStyle w:val="50"/>
        <w:outlineLvl w:val="9"/>
        <w:rPr>
          <w:rFonts w:hint="eastAsia" w:ascii="新宋体" w:hAnsi="新宋体" w:eastAsia="新宋体" w:cs="新宋体"/>
          <w:color w:val="auto"/>
          <w:sz w:val="44"/>
          <w:highlight w:val="none"/>
        </w:rPr>
      </w:pPr>
      <w:r>
        <w:rPr>
          <w:rFonts w:hint="eastAsia" w:ascii="新宋体" w:hAnsi="新宋体" w:eastAsia="新宋体" w:cs="新宋体"/>
          <w:color w:val="auto"/>
          <w:sz w:val="44"/>
          <w:highlight w:val="none"/>
        </w:rPr>
        <w:t>温州市中医院医疗设备采购合同</w:t>
      </w:r>
    </w:p>
    <w:p w14:paraId="6708304D">
      <w:pPr>
        <w:rPr>
          <w:rFonts w:hint="eastAsia" w:ascii="新宋体" w:hAnsi="新宋体" w:eastAsia="新宋体" w:cs="新宋体"/>
          <w:color w:val="auto"/>
          <w:w w:val="95"/>
          <w:sz w:val="22"/>
          <w:szCs w:val="22"/>
          <w:highlight w:val="none"/>
        </w:rPr>
      </w:pPr>
      <w:r>
        <w:rPr>
          <w:rFonts w:hint="eastAsia" w:ascii="新宋体" w:hAnsi="新宋体" w:eastAsia="新宋体" w:cs="新宋体"/>
          <w:color w:val="auto"/>
          <w:w w:val="95"/>
          <w:highlight w:val="none"/>
        </w:rPr>
        <w:t xml:space="preserve">                                         </w:t>
      </w:r>
      <w:r>
        <w:rPr>
          <w:rFonts w:hint="eastAsia" w:ascii="新宋体" w:hAnsi="新宋体" w:eastAsia="新宋体" w:cs="新宋体"/>
          <w:color w:val="auto"/>
          <w:w w:val="95"/>
          <w:sz w:val="22"/>
          <w:szCs w:val="22"/>
          <w:highlight w:val="none"/>
        </w:rPr>
        <w:t xml:space="preserve"> 合同编号：          </w:t>
      </w:r>
    </w:p>
    <w:p w14:paraId="5E3503FF">
      <w:pPr>
        <w:spacing w:before="107" w:line="220" w:lineRule="atLeast"/>
        <w:ind w:left="10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甲方（采购单位）：温州市中医院</w:t>
      </w:r>
    </w:p>
    <w:p w14:paraId="22B6AA9A">
      <w:pPr>
        <w:spacing w:before="107" w:line="220" w:lineRule="atLeast"/>
        <w:ind w:left="10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 xml:space="preserve">乙方（供应商）： </w:t>
      </w:r>
    </w:p>
    <w:p w14:paraId="0E798F83">
      <w:pPr>
        <w:pStyle w:val="2"/>
        <w:spacing w:before="106"/>
        <w:ind w:left="111" w:right="209"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根据《中华人民共和国政府采购法》、《中华人民共和国民法典》等相关法律法规，以及</w:t>
      </w:r>
      <w:r>
        <w:rPr>
          <w:rFonts w:hint="eastAsia" w:ascii="新宋体" w:hAnsi="新宋体" w:eastAsia="新宋体" w:cs="新宋体"/>
          <w:color w:val="auto"/>
          <w:sz w:val="22"/>
          <w:szCs w:val="22"/>
          <w:highlight w:val="none"/>
          <w:u w:val="single"/>
          <w:lang w:val="en-US" w:eastAsia="zh-CN"/>
        </w:rPr>
        <w:t xml:space="preserve">         项</w:t>
      </w:r>
      <w:r>
        <w:rPr>
          <w:rFonts w:hint="eastAsia" w:ascii="新宋体" w:hAnsi="新宋体" w:eastAsia="新宋体" w:cs="新宋体"/>
          <w:color w:val="auto"/>
          <w:sz w:val="22"/>
          <w:szCs w:val="22"/>
          <w:highlight w:val="none"/>
        </w:rPr>
        <w:t>目</w:t>
      </w:r>
      <w:r>
        <w:rPr>
          <w:rFonts w:hint="eastAsia" w:ascii="新宋体" w:hAnsi="新宋体" w:eastAsia="新宋体" w:cs="新宋体"/>
          <w:color w:val="auto"/>
          <w:sz w:val="22"/>
          <w:szCs w:val="22"/>
          <w:highlight w:val="none"/>
          <w:u w:val="single"/>
          <w:lang w:val="en-US"/>
        </w:rPr>
        <w:t>(招标编号</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u w:val="single"/>
          <w:lang w:val="en-US"/>
        </w:rPr>
        <w:t>)</w:t>
      </w:r>
      <w:r>
        <w:rPr>
          <w:rFonts w:hint="eastAsia" w:ascii="新宋体" w:hAnsi="新宋体" w:eastAsia="新宋体" w:cs="新宋体"/>
          <w:color w:val="auto"/>
          <w:sz w:val="22"/>
          <w:szCs w:val="22"/>
          <w:highlight w:val="none"/>
        </w:rPr>
        <w:t>（以下简称“项目”）招标文件、中标供应商投标文件、项目采购协议，或入围承诺书，甲乙双方经协商一致，签署本合同。</w:t>
      </w:r>
    </w:p>
    <w:p w14:paraId="04C056FF">
      <w:pPr>
        <w:numPr>
          <w:ilvl w:val="0"/>
          <w:numId w:val="0"/>
        </w:numPr>
        <w:spacing w:before="84" w:after="13"/>
        <w:ind w:left="105" w:leftChars="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一、</w:t>
      </w:r>
      <w:r>
        <w:rPr>
          <w:rFonts w:hint="eastAsia" w:ascii="新宋体" w:hAnsi="新宋体" w:eastAsia="新宋体" w:cs="新宋体"/>
          <w:color w:val="auto"/>
          <w:sz w:val="22"/>
          <w:szCs w:val="22"/>
          <w:highlight w:val="none"/>
        </w:rPr>
        <w:t>货物内容及合同价格</w:t>
      </w:r>
    </w:p>
    <w:tbl>
      <w:tblPr>
        <w:tblStyle w:val="53"/>
        <w:tblW w:w="9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13"/>
        <w:gridCol w:w="1418"/>
        <w:gridCol w:w="1559"/>
        <w:gridCol w:w="2126"/>
        <w:gridCol w:w="993"/>
        <w:gridCol w:w="1353"/>
      </w:tblGrid>
      <w:tr w14:paraId="4E97D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 w:hRule="atLeast"/>
          <w:jc w:val="center"/>
        </w:trPr>
        <w:tc>
          <w:tcPr>
            <w:tcW w:w="1813" w:type="dxa"/>
            <w:vAlign w:val="center"/>
          </w:tcPr>
          <w:p w14:paraId="193A1CE6">
            <w:pPr>
              <w:pStyle w:val="227"/>
              <w:spacing w:before="116"/>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货物名称</w:t>
            </w:r>
          </w:p>
        </w:tc>
        <w:tc>
          <w:tcPr>
            <w:tcW w:w="1418" w:type="dxa"/>
            <w:vAlign w:val="center"/>
          </w:tcPr>
          <w:p w14:paraId="29936B20">
            <w:pPr>
              <w:pStyle w:val="227"/>
              <w:spacing w:before="116"/>
              <w:ind w:right="276"/>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品牌</w:t>
            </w:r>
          </w:p>
        </w:tc>
        <w:tc>
          <w:tcPr>
            <w:tcW w:w="1559" w:type="dxa"/>
            <w:vAlign w:val="center"/>
          </w:tcPr>
          <w:p w14:paraId="1F687940">
            <w:pPr>
              <w:pStyle w:val="227"/>
              <w:spacing w:before="116"/>
              <w:ind w:left="287" w:right="276"/>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型号规格</w:t>
            </w:r>
          </w:p>
        </w:tc>
        <w:tc>
          <w:tcPr>
            <w:tcW w:w="2126" w:type="dxa"/>
            <w:vAlign w:val="center"/>
          </w:tcPr>
          <w:p w14:paraId="756705D3">
            <w:pPr>
              <w:pStyle w:val="227"/>
              <w:spacing w:before="116"/>
              <w:ind w:left="71" w:right="61"/>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配置要求</w:t>
            </w:r>
          </w:p>
        </w:tc>
        <w:tc>
          <w:tcPr>
            <w:tcW w:w="993" w:type="dxa"/>
            <w:vAlign w:val="center"/>
          </w:tcPr>
          <w:p w14:paraId="529CD9F2">
            <w:pPr>
              <w:pStyle w:val="227"/>
              <w:spacing w:before="116"/>
              <w:ind w:left="71" w:right="61"/>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数量</w:t>
            </w:r>
          </w:p>
        </w:tc>
        <w:tc>
          <w:tcPr>
            <w:tcW w:w="1353" w:type="dxa"/>
            <w:vAlign w:val="center"/>
          </w:tcPr>
          <w:p w14:paraId="3B272006">
            <w:pPr>
              <w:pStyle w:val="227"/>
              <w:spacing w:before="116"/>
              <w:ind w:left="71" w:right="62"/>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单价</w:t>
            </w:r>
          </w:p>
        </w:tc>
      </w:tr>
      <w:tr w14:paraId="7EC81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1813" w:type="dxa"/>
            <w:vAlign w:val="center"/>
          </w:tcPr>
          <w:p w14:paraId="74BA2AF2">
            <w:pPr>
              <w:pStyle w:val="227"/>
              <w:jc w:val="center"/>
              <w:rPr>
                <w:rFonts w:hint="eastAsia" w:ascii="新宋体" w:hAnsi="新宋体" w:eastAsia="新宋体" w:cs="新宋体"/>
                <w:b/>
                <w:color w:val="auto"/>
                <w:sz w:val="22"/>
                <w:szCs w:val="22"/>
                <w:highlight w:val="none"/>
                <w:lang w:val="en-US"/>
              </w:rPr>
            </w:pPr>
          </w:p>
        </w:tc>
        <w:tc>
          <w:tcPr>
            <w:tcW w:w="1418" w:type="dxa"/>
            <w:vAlign w:val="center"/>
          </w:tcPr>
          <w:p w14:paraId="5AAB06D4">
            <w:pPr>
              <w:pStyle w:val="227"/>
              <w:jc w:val="center"/>
              <w:rPr>
                <w:rFonts w:hint="eastAsia" w:ascii="新宋体" w:hAnsi="新宋体" w:eastAsia="新宋体" w:cs="新宋体"/>
                <w:b/>
                <w:color w:val="auto"/>
                <w:sz w:val="22"/>
                <w:szCs w:val="22"/>
                <w:highlight w:val="none"/>
                <w:lang w:val="en-US"/>
              </w:rPr>
            </w:pPr>
          </w:p>
        </w:tc>
        <w:tc>
          <w:tcPr>
            <w:tcW w:w="1559" w:type="dxa"/>
            <w:vAlign w:val="center"/>
          </w:tcPr>
          <w:p w14:paraId="4E146F58">
            <w:pPr>
              <w:pStyle w:val="227"/>
              <w:jc w:val="center"/>
              <w:rPr>
                <w:rFonts w:hint="eastAsia" w:ascii="新宋体" w:hAnsi="新宋体" w:eastAsia="新宋体" w:cs="新宋体"/>
                <w:b/>
                <w:color w:val="auto"/>
                <w:sz w:val="22"/>
                <w:szCs w:val="22"/>
                <w:highlight w:val="none"/>
                <w:lang w:val="en-US"/>
              </w:rPr>
            </w:pPr>
          </w:p>
        </w:tc>
        <w:tc>
          <w:tcPr>
            <w:tcW w:w="2126" w:type="dxa"/>
            <w:vAlign w:val="center"/>
          </w:tcPr>
          <w:p w14:paraId="7254597B">
            <w:pPr>
              <w:pStyle w:val="227"/>
              <w:jc w:val="center"/>
              <w:rPr>
                <w:rFonts w:hint="eastAsia" w:ascii="新宋体" w:hAnsi="新宋体" w:eastAsia="新宋体" w:cs="新宋体"/>
                <w:color w:val="auto"/>
                <w:sz w:val="22"/>
                <w:szCs w:val="22"/>
                <w:highlight w:val="none"/>
              </w:rPr>
            </w:pPr>
          </w:p>
        </w:tc>
        <w:tc>
          <w:tcPr>
            <w:tcW w:w="993" w:type="dxa"/>
            <w:vAlign w:val="center"/>
          </w:tcPr>
          <w:p w14:paraId="13AE17EA">
            <w:pPr>
              <w:pStyle w:val="227"/>
              <w:jc w:val="center"/>
              <w:rPr>
                <w:rFonts w:hint="eastAsia" w:ascii="新宋体" w:hAnsi="新宋体" w:eastAsia="新宋体" w:cs="新宋体"/>
                <w:color w:val="auto"/>
                <w:sz w:val="22"/>
                <w:szCs w:val="22"/>
                <w:highlight w:val="none"/>
              </w:rPr>
            </w:pPr>
          </w:p>
        </w:tc>
        <w:tc>
          <w:tcPr>
            <w:tcW w:w="1353" w:type="dxa"/>
            <w:vAlign w:val="center"/>
          </w:tcPr>
          <w:p w14:paraId="18278043">
            <w:pPr>
              <w:pStyle w:val="227"/>
              <w:jc w:val="center"/>
              <w:rPr>
                <w:rFonts w:hint="eastAsia" w:ascii="新宋体" w:hAnsi="新宋体" w:eastAsia="新宋体" w:cs="新宋体"/>
                <w:color w:val="auto"/>
                <w:sz w:val="22"/>
                <w:szCs w:val="22"/>
                <w:highlight w:val="none"/>
              </w:rPr>
            </w:pPr>
          </w:p>
        </w:tc>
      </w:tr>
      <w:tr w14:paraId="7DA92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1813" w:type="dxa"/>
            <w:vAlign w:val="center"/>
          </w:tcPr>
          <w:p w14:paraId="31066827">
            <w:pPr>
              <w:pStyle w:val="227"/>
              <w:jc w:val="center"/>
              <w:rPr>
                <w:rFonts w:hint="eastAsia" w:ascii="新宋体" w:hAnsi="新宋体" w:eastAsia="新宋体" w:cs="新宋体"/>
                <w:b/>
                <w:color w:val="auto"/>
                <w:sz w:val="22"/>
                <w:szCs w:val="22"/>
                <w:highlight w:val="none"/>
                <w:lang w:val="en-US"/>
              </w:rPr>
            </w:pPr>
          </w:p>
        </w:tc>
        <w:tc>
          <w:tcPr>
            <w:tcW w:w="1418" w:type="dxa"/>
            <w:vAlign w:val="center"/>
          </w:tcPr>
          <w:p w14:paraId="5C835363">
            <w:pPr>
              <w:pStyle w:val="227"/>
              <w:jc w:val="center"/>
              <w:rPr>
                <w:rFonts w:hint="eastAsia" w:ascii="新宋体" w:hAnsi="新宋体" w:eastAsia="新宋体" w:cs="新宋体"/>
                <w:b/>
                <w:color w:val="auto"/>
                <w:sz w:val="22"/>
                <w:szCs w:val="22"/>
                <w:highlight w:val="none"/>
                <w:lang w:val="en-US"/>
              </w:rPr>
            </w:pPr>
          </w:p>
        </w:tc>
        <w:tc>
          <w:tcPr>
            <w:tcW w:w="1559" w:type="dxa"/>
            <w:vAlign w:val="center"/>
          </w:tcPr>
          <w:p w14:paraId="09D6157C">
            <w:pPr>
              <w:pStyle w:val="227"/>
              <w:jc w:val="center"/>
              <w:rPr>
                <w:rFonts w:hint="eastAsia" w:ascii="新宋体" w:hAnsi="新宋体" w:eastAsia="新宋体" w:cs="新宋体"/>
                <w:b/>
                <w:color w:val="auto"/>
                <w:sz w:val="22"/>
                <w:szCs w:val="22"/>
                <w:highlight w:val="none"/>
                <w:lang w:val="en-US"/>
              </w:rPr>
            </w:pPr>
          </w:p>
        </w:tc>
        <w:tc>
          <w:tcPr>
            <w:tcW w:w="2126" w:type="dxa"/>
            <w:vAlign w:val="center"/>
          </w:tcPr>
          <w:p w14:paraId="48798EFA">
            <w:pPr>
              <w:pStyle w:val="227"/>
              <w:jc w:val="center"/>
              <w:rPr>
                <w:rFonts w:hint="eastAsia" w:ascii="新宋体" w:hAnsi="新宋体" w:eastAsia="新宋体" w:cs="新宋体"/>
                <w:color w:val="auto"/>
                <w:sz w:val="22"/>
                <w:szCs w:val="22"/>
                <w:highlight w:val="none"/>
              </w:rPr>
            </w:pPr>
          </w:p>
        </w:tc>
        <w:tc>
          <w:tcPr>
            <w:tcW w:w="993" w:type="dxa"/>
            <w:vAlign w:val="center"/>
          </w:tcPr>
          <w:p w14:paraId="6614A534">
            <w:pPr>
              <w:pStyle w:val="227"/>
              <w:jc w:val="center"/>
              <w:rPr>
                <w:rFonts w:hint="eastAsia" w:ascii="新宋体" w:hAnsi="新宋体" w:eastAsia="新宋体" w:cs="新宋体"/>
                <w:color w:val="auto"/>
                <w:sz w:val="22"/>
                <w:szCs w:val="22"/>
                <w:highlight w:val="none"/>
              </w:rPr>
            </w:pPr>
          </w:p>
        </w:tc>
        <w:tc>
          <w:tcPr>
            <w:tcW w:w="1353" w:type="dxa"/>
            <w:vAlign w:val="center"/>
          </w:tcPr>
          <w:p w14:paraId="39864F88">
            <w:pPr>
              <w:pStyle w:val="227"/>
              <w:jc w:val="center"/>
              <w:rPr>
                <w:rFonts w:hint="eastAsia" w:ascii="新宋体" w:hAnsi="新宋体" w:eastAsia="新宋体" w:cs="新宋体"/>
                <w:color w:val="auto"/>
                <w:sz w:val="22"/>
                <w:szCs w:val="22"/>
                <w:highlight w:val="none"/>
              </w:rPr>
            </w:pPr>
          </w:p>
        </w:tc>
      </w:tr>
      <w:tr w14:paraId="1013D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jc w:val="center"/>
        </w:trPr>
        <w:tc>
          <w:tcPr>
            <w:tcW w:w="9262" w:type="dxa"/>
            <w:gridSpan w:val="6"/>
          </w:tcPr>
          <w:p w14:paraId="7AA3F4E8">
            <w:pPr>
              <w:pStyle w:val="227"/>
              <w:spacing w:before="116"/>
              <w:ind w:left="0" w:leftChars="0" w:firstLine="0" w:firstLineChars="0"/>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合同总价大写</w:t>
            </w:r>
            <w:r>
              <w:rPr>
                <w:rFonts w:hint="eastAsia" w:ascii="新宋体" w:hAnsi="新宋体" w:eastAsia="新宋体" w:cs="新宋体"/>
                <w:color w:val="auto"/>
                <w:sz w:val="22"/>
                <w:szCs w:val="22"/>
                <w:highlight w:val="none"/>
                <w:lang w:val="en-US"/>
              </w:rPr>
              <w:t xml:space="preserve">: </w:t>
            </w:r>
            <w:r>
              <w:rPr>
                <w:rFonts w:hint="eastAsia" w:ascii="新宋体" w:hAnsi="新宋体" w:eastAsia="新宋体" w:cs="新宋体"/>
                <w:color w:val="auto"/>
                <w:sz w:val="22"/>
                <w:szCs w:val="22"/>
                <w:highlight w:val="none"/>
              </w:rPr>
              <w:t>元整                           小写：￥</w:t>
            </w:r>
          </w:p>
        </w:tc>
      </w:tr>
    </w:tbl>
    <w:p w14:paraId="59063539">
      <w:pPr>
        <w:ind w:right="1636"/>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金额单位：元</w:t>
      </w:r>
    </w:p>
    <w:p w14:paraId="613FAFD6">
      <w:pPr>
        <w:pStyle w:val="2"/>
        <w:spacing w:line="0" w:lineRule="atLeast"/>
        <w:ind w:right="21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注：1、商品型号、数量、配置要求及使用单位地址等详见附件清单</w:t>
      </w:r>
    </w:p>
    <w:p w14:paraId="2E5EA665">
      <w:pPr>
        <w:pStyle w:val="2"/>
        <w:spacing w:line="0" w:lineRule="atLeast"/>
        <w:ind w:left="105" w:right="21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2、以上合同总价包含货物到达用户并能正常使用所需的一切费用，包括但不限于包装费、运输费、装卸费、保险费、安装调试费、技术服务费、培训费以及保修费、税费等。</w:t>
      </w:r>
    </w:p>
    <w:p w14:paraId="15C0BE20">
      <w:pPr>
        <w:spacing w:before="85"/>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二、技术资料</w:t>
      </w:r>
    </w:p>
    <w:p w14:paraId="4AEEF827">
      <w:pPr>
        <w:pStyle w:val="362"/>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乙方应按招标文件规定的时间向甲方提供使用货物的有关技术资料。</w:t>
      </w:r>
    </w:p>
    <w:p w14:paraId="4C5D82C6">
      <w:pPr>
        <w:pStyle w:val="362"/>
        <w:numPr>
          <w:ilvl w:val="0"/>
          <w:numId w:val="0"/>
        </w:numPr>
        <w:tabs>
          <w:tab w:val="left" w:pos="522"/>
        </w:tabs>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7A29E1E">
      <w:pPr>
        <w:spacing w:before="86"/>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三、知识产权</w:t>
      </w:r>
    </w:p>
    <w:p w14:paraId="179F8266">
      <w:pPr>
        <w:pStyle w:val="2"/>
        <w:spacing w:before="22"/>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乙方应保证所提供的货物或其任何一部分均不会侵犯任何第三方的知识产权。</w:t>
      </w:r>
    </w:p>
    <w:p w14:paraId="229B1F62">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四、产权担保</w:t>
      </w:r>
    </w:p>
    <w:p w14:paraId="28B2BF4D">
      <w:pPr>
        <w:pStyle w:val="2"/>
        <w:spacing w:before="23"/>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乙方保证所交付的货物的所有权完全属于乙方且无任何抵押、查封等产权瑕疵。</w:t>
      </w:r>
    </w:p>
    <w:p w14:paraId="383A811D">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五、转包或分包</w:t>
      </w:r>
    </w:p>
    <w:p w14:paraId="7B298DA7">
      <w:pPr>
        <w:pStyle w:val="2"/>
        <w:spacing w:before="22"/>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本合同范围的货物，应由乙方直接供应，不得转让他人供应，否则，甲方有权解除合同，并追究乙方的违约责任。</w:t>
      </w:r>
    </w:p>
    <w:p w14:paraId="08373170">
      <w:pPr>
        <w:spacing w:before="107"/>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六、质保期和质保金</w:t>
      </w:r>
    </w:p>
    <w:p w14:paraId="073E4699">
      <w:pPr>
        <w:pStyle w:val="362"/>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6"/>
          <w:sz w:val="22"/>
          <w:szCs w:val="22"/>
          <w:highlight w:val="none"/>
          <w:lang w:val="en-US" w:eastAsia="zh-CN"/>
        </w:rPr>
        <w:t>1、</w:t>
      </w:r>
      <w:r>
        <w:rPr>
          <w:rFonts w:hint="eastAsia" w:ascii="新宋体" w:hAnsi="新宋体" w:eastAsia="新宋体" w:cs="新宋体"/>
          <w:color w:val="auto"/>
          <w:spacing w:val="-6"/>
          <w:sz w:val="22"/>
          <w:szCs w:val="22"/>
          <w:highlight w:val="none"/>
        </w:rPr>
        <w:t>质保期为</w:t>
      </w:r>
      <w:r>
        <w:rPr>
          <w:rFonts w:hint="eastAsia" w:ascii="新宋体" w:hAnsi="新宋体" w:eastAsia="新宋体" w:cs="新宋体"/>
          <w:color w:val="auto"/>
          <w:spacing w:val="-6"/>
          <w:sz w:val="22"/>
          <w:szCs w:val="22"/>
          <w:highlight w:val="none"/>
          <w:u w:val="single"/>
          <w:lang w:val="en-US"/>
        </w:rPr>
        <w:t xml:space="preserve">    </w:t>
      </w:r>
      <w:r>
        <w:rPr>
          <w:rFonts w:hint="eastAsia" w:ascii="新宋体" w:hAnsi="新宋体" w:eastAsia="新宋体" w:cs="新宋体"/>
          <w:color w:val="auto"/>
          <w:spacing w:val="-6"/>
          <w:sz w:val="22"/>
          <w:szCs w:val="22"/>
          <w:highlight w:val="none"/>
          <w:lang w:val="en-US"/>
        </w:rPr>
        <w:t>年</w:t>
      </w:r>
      <w:r>
        <w:rPr>
          <w:rFonts w:hint="eastAsia" w:ascii="新宋体" w:hAnsi="新宋体" w:eastAsia="新宋体" w:cs="新宋体"/>
          <w:color w:val="auto"/>
          <w:sz w:val="22"/>
          <w:szCs w:val="22"/>
          <w:highlight w:val="none"/>
        </w:rPr>
        <w:t>。（自交货验收合格之日起计）</w:t>
      </w:r>
    </w:p>
    <w:p w14:paraId="2AD042F2">
      <w:pPr>
        <w:pStyle w:val="362"/>
        <w:numPr>
          <w:ilvl w:val="0"/>
          <w:numId w:val="0"/>
        </w:numPr>
        <w:tabs>
          <w:tab w:val="left" w:pos="522"/>
          <w:tab w:val="left" w:pos="1347"/>
        </w:tabs>
        <w:spacing w:before="70"/>
        <w:ind w:left="351" w:leftChars="0"/>
        <w:rPr>
          <w:rFonts w:hint="eastAsia" w:ascii="新宋体" w:hAnsi="新宋体" w:eastAsia="新宋体" w:cs="新宋体"/>
          <w:strike/>
          <w:dstrike w:val="0"/>
          <w:color w:val="auto"/>
          <w:sz w:val="22"/>
          <w:szCs w:val="22"/>
          <w:highlight w:val="none"/>
          <w:lang w:val="en-US" w:eastAsia="zh-CN"/>
        </w:rPr>
      </w:pPr>
      <w:r>
        <w:rPr>
          <w:rFonts w:hint="eastAsia" w:ascii="新宋体" w:hAnsi="新宋体" w:eastAsia="新宋体" w:cs="新宋体"/>
          <w:strike w:val="0"/>
          <w:dstrike w:val="0"/>
          <w:color w:val="auto"/>
          <w:sz w:val="22"/>
          <w:szCs w:val="22"/>
          <w:highlight w:val="none"/>
          <w:lang w:val="en-US" w:eastAsia="zh-CN"/>
        </w:rPr>
        <w:t>2、</w:t>
      </w:r>
      <w:r>
        <w:rPr>
          <w:rFonts w:hint="eastAsia" w:ascii="新宋体" w:hAnsi="新宋体" w:eastAsia="新宋体" w:cs="新宋体"/>
          <w:strike w:val="0"/>
          <w:dstrike w:val="0"/>
          <w:color w:val="auto"/>
          <w:sz w:val="22"/>
          <w:szCs w:val="22"/>
          <w:highlight w:val="none"/>
        </w:rPr>
        <w:t>质保金</w:t>
      </w:r>
      <w:r>
        <w:rPr>
          <w:rFonts w:hint="eastAsia" w:ascii="新宋体" w:hAnsi="新宋体" w:eastAsia="新宋体" w:cs="新宋体"/>
          <w:strike w:val="0"/>
          <w:dstrike w:val="0"/>
          <w:color w:val="auto"/>
          <w:sz w:val="22"/>
          <w:szCs w:val="22"/>
          <w:highlight w:val="none"/>
          <w:lang w:eastAsia="zh-CN"/>
        </w:rPr>
        <w:t>：无</w:t>
      </w:r>
    </w:p>
    <w:p w14:paraId="4DE6E49F">
      <w:pPr>
        <w:spacing w:before="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七、交货期、交货方式及交货地点</w:t>
      </w:r>
    </w:p>
    <w:p w14:paraId="57D1E4C6">
      <w:pPr>
        <w:pStyle w:val="362"/>
        <w:numPr>
          <w:ilvl w:val="0"/>
          <w:numId w:val="0"/>
        </w:numPr>
        <w:tabs>
          <w:tab w:val="left" w:pos="522"/>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
          <w:sz w:val="22"/>
          <w:szCs w:val="22"/>
          <w:highlight w:val="none"/>
          <w:lang w:val="en-US" w:eastAsia="zh-CN"/>
        </w:rPr>
        <w:t>1、</w:t>
      </w:r>
      <w:r>
        <w:rPr>
          <w:rFonts w:hint="eastAsia" w:ascii="新宋体" w:hAnsi="新宋体" w:eastAsia="新宋体" w:cs="新宋体"/>
          <w:color w:val="auto"/>
          <w:spacing w:val="-3"/>
          <w:sz w:val="22"/>
          <w:szCs w:val="22"/>
          <w:highlight w:val="none"/>
        </w:rPr>
        <w:t>交货期：合同签订后</w:t>
      </w:r>
      <w:r>
        <w:rPr>
          <w:rFonts w:hint="eastAsia" w:ascii="新宋体" w:hAnsi="新宋体" w:eastAsia="新宋体" w:cs="新宋体"/>
          <w:color w:val="auto"/>
          <w:spacing w:val="-3"/>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个工作日</w:t>
      </w:r>
    </w:p>
    <w:p w14:paraId="22532C1E">
      <w:pPr>
        <w:pStyle w:val="362"/>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5"/>
          <w:sz w:val="22"/>
          <w:szCs w:val="22"/>
          <w:highlight w:val="none"/>
          <w:lang w:val="en-US" w:eastAsia="zh-CN"/>
        </w:rPr>
        <w:t>2、</w:t>
      </w:r>
      <w:r>
        <w:rPr>
          <w:rFonts w:hint="eastAsia" w:ascii="新宋体" w:hAnsi="新宋体" w:eastAsia="新宋体" w:cs="新宋体"/>
          <w:color w:val="auto"/>
          <w:spacing w:val="-5"/>
          <w:sz w:val="22"/>
          <w:szCs w:val="22"/>
          <w:highlight w:val="none"/>
        </w:rPr>
        <w:t>交货方式：按甲方指定地点</w:t>
      </w:r>
      <w:r>
        <w:rPr>
          <w:rFonts w:hint="eastAsia" w:ascii="新宋体" w:hAnsi="新宋体" w:eastAsia="新宋体" w:cs="新宋体"/>
          <w:color w:val="auto"/>
          <w:sz w:val="22"/>
          <w:szCs w:val="22"/>
          <w:highlight w:val="none"/>
        </w:rPr>
        <w:t>送货上门</w:t>
      </w:r>
    </w:p>
    <w:p w14:paraId="5C16AE20">
      <w:pPr>
        <w:pStyle w:val="362"/>
        <w:numPr>
          <w:ilvl w:val="0"/>
          <w:numId w:val="0"/>
        </w:numPr>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11"/>
          <w:sz w:val="22"/>
          <w:szCs w:val="22"/>
          <w:highlight w:val="none"/>
          <w:lang w:val="en-US" w:eastAsia="zh-CN"/>
        </w:rPr>
        <w:t>3、</w:t>
      </w:r>
      <w:r>
        <w:rPr>
          <w:rFonts w:hint="eastAsia" w:ascii="新宋体" w:hAnsi="新宋体" w:eastAsia="新宋体" w:cs="新宋体"/>
          <w:color w:val="auto"/>
          <w:spacing w:val="-11"/>
          <w:sz w:val="22"/>
          <w:szCs w:val="22"/>
          <w:highlight w:val="none"/>
        </w:rPr>
        <w:t>交货地点：</w:t>
      </w:r>
      <w:r>
        <w:rPr>
          <w:rFonts w:hint="eastAsia" w:ascii="新宋体" w:hAnsi="新宋体" w:eastAsia="新宋体" w:cs="新宋体"/>
          <w:color w:val="auto"/>
          <w:sz w:val="22"/>
          <w:szCs w:val="22"/>
          <w:highlight w:val="none"/>
        </w:rPr>
        <w:t>浙江省温州市鹿城区南汇街道六虹桥路蛟尾路9号</w:t>
      </w:r>
    </w:p>
    <w:p w14:paraId="3E6E7C96">
      <w:pPr>
        <w:spacing w:before="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八、货款支付</w:t>
      </w:r>
    </w:p>
    <w:p w14:paraId="4F50F005">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甲方按以下第</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种方式支付乙方合同价款。</w:t>
      </w:r>
    </w:p>
    <w:p w14:paraId="30A39A2C">
      <w:pPr>
        <w:pStyle w:val="2"/>
        <w:spacing w:before="21"/>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1、一次性支付：</w:t>
      </w:r>
    </w:p>
    <w:p w14:paraId="1831B0E2">
      <w:pPr>
        <w:pStyle w:val="2"/>
        <w:tabs>
          <w:tab w:val="left" w:pos="4877"/>
        </w:tabs>
        <w:spacing w:before="71"/>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本合同项下的全部货物安装调试完毕并经最终验收合格后</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甲方</w:t>
      </w:r>
      <w:r>
        <w:rPr>
          <w:rFonts w:hint="eastAsia" w:ascii="新宋体" w:hAnsi="新宋体" w:eastAsia="新宋体" w:cs="新宋体"/>
          <w:b w:val="0"/>
          <w:bCs/>
          <w:color w:val="auto"/>
          <w:kern w:val="2"/>
          <w:sz w:val="22"/>
          <w:szCs w:val="22"/>
          <w:highlight w:val="none"/>
          <w:lang w:val="zh-CN" w:eastAsia="zh-CN" w:bidi="ar-SA"/>
        </w:rPr>
        <w:t>收到发票后的7个工作日</w:t>
      </w:r>
      <w:r>
        <w:rPr>
          <w:rFonts w:hint="eastAsia" w:ascii="新宋体" w:hAnsi="新宋体" w:eastAsia="新宋体" w:cs="新宋体"/>
          <w:color w:val="auto"/>
          <w:sz w:val="22"/>
          <w:szCs w:val="22"/>
          <w:highlight w:val="none"/>
          <w:lang w:val="zh-CN"/>
        </w:rPr>
        <w:t>内</w:t>
      </w:r>
      <w:r>
        <w:rPr>
          <w:rFonts w:hint="eastAsia" w:ascii="新宋体" w:hAnsi="新宋体" w:eastAsia="新宋体" w:cs="新宋体"/>
          <w:color w:val="auto"/>
          <w:sz w:val="22"/>
          <w:szCs w:val="22"/>
          <w:highlight w:val="none"/>
        </w:rPr>
        <w:t>，甲方向乙方支付全部合同价款。</w:t>
      </w:r>
    </w:p>
    <w:p w14:paraId="717D82A7">
      <w:pPr>
        <w:pStyle w:val="2"/>
        <w:spacing w:before="69"/>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2、分期支付：</w:t>
      </w:r>
    </w:p>
    <w:p w14:paraId="50088E56">
      <w:pPr>
        <w:pStyle w:val="362"/>
        <w:numPr>
          <w:ilvl w:val="0"/>
          <w:numId w:val="0"/>
        </w:numPr>
        <w:tabs>
          <w:tab w:val="left" w:pos="797"/>
          <w:tab w:val="left" w:pos="2800"/>
          <w:tab w:val="left" w:pos="5814"/>
          <w:tab w:val="left" w:pos="7603"/>
          <w:tab w:val="left" w:pos="8599"/>
        </w:tabs>
        <w:spacing w:before="69"/>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甲方应于本合同生效后</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个工作日内向乙方支付合同总价款的</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%作为预付款，计¥</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元（大写</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元整）；</w:t>
      </w:r>
    </w:p>
    <w:p w14:paraId="1664563B">
      <w:pPr>
        <w:pStyle w:val="362"/>
        <w:numPr>
          <w:ilvl w:val="0"/>
          <w:numId w:val="0"/>
        </w:numPr>
        <w:tabs>
          <w:tab w:val="left" w:pos="797"/>
          <w:tab w:val="left" w:pos="2632"/>
          <w:tab w:val="left" w:pos="6150"/>
          <w:tab w:val="left" w:pos="7098"/>
          <w:tab w:val="left" w:pos="8095"/>
        </w:tabs>
        <w:spacing w:before="118"/>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全部货物验收合格后</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个工作日内，甲方向乙方支付合同总价款的</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%，计¥</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元（大写</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元整）。</w:t>
      </w:r>
    </w:p>
    <w:p w14:paraId="39DEDB1B">
      <w:pPr>
        <w:pStyle w:val="362"/>
        <w:numPr>
          <w:ilvl w:val="0"/>
          <w:numId w:val="0"/>
        </w:numPr>
        <w:tabs>
          <w:tab w:val="left" w:pos="797"/>
          <w:tab w:val="left" w:pos="2632"/>
          <w:tab w:val="left" w:pos="6150"/>
          <w:tab w:val="left" w:pos="7098"/>
          <w:tab w:val="left" w:pos="8095"/>
        </w:tabs>
        <w:spacing w:before="118"/>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en-US" w:eastAsia="zh-CN" w:bidi="zh-CN"/>
        </w:rPr>
        <w:t>3、若</w:t>
      </w:r>
      <w:r>
        <w:rPr>
          <w:rFonts w:hint="eastAsia" w:ascii="新宋体" w:hAnsi="新宋体" w:eastAsia="新宋体" w:cs="新宋体"/>
          <w:color w:val="auto"/>
          <w:sz w:val="22"/>
          <w:szCs w:val="22"/>
          <w:highlight w:val="none"/>
        </w:rPr>
        <w:t>乙方为中小</w:t>
      </w:r>
      <w:r>
        <w:rPr>
          <w:rFonts w:hint="eastAsia" w:ascii="新宋体" w:hAnsi="新宋体" w:eastAsia="新宋体" w:cs="新宋体"/>
          <w:b w:val="0"/>
          <w:bCs/>
          <w:color w:val="auto"/>
          <w:kern w:val="2"/>
          <w:sz w:val="22"/>
          <w:szCs w:val="22"/>
          <w:highlight w:val="none"/>
          <w:lang w:val="zh-CN" w:eastAsia="zh-CN" w:bidi="ar-SA"/>
        </w:rPr>
        <w:t>微</w:t>
      </w:r>
      <w:r>
        <w:rPr>
          <w:rFonts w:hint="eastAsia" w:ascii="新宋体" w:hAnsi="新宋体" w:eastAsia="新宋体" w:cs="新宋体"/>
          <w:color w:val="auto"/>
          <w:sz w:val="22"/>
          <w:szCs w:val="22"/>
          <w:highlight w:val="none"/>
        </w:rPr>
        <w:t>企业：在合同签订生效以及具备实施条件后，</w:t>
      </w:r>
      <w:r>
        <w:rPr>
          <w:rFonts w:hint="eastAsia" w:ascii="新宋体" w:hAnsi="新宋体" w:eastAsia="新宋体" w:cs="新宋体"/>
          <w:color w:val="auto"/>
          <w:sz w:val="22"/>
          <w:szCs w:val="22"/>
          <w:highlight w:val="none"/>
          <w:lang w:val="en-US" w:eastAsia="zh-CN"/>
        </w:rPr>
        <w:t>甲方</w:t>
      </w:r>
      <w:r>
        <w:rPr>
          <w:rFonts w:hint="eastAsia" w:ascii="新宋体" w:hAnsi="新宋体" w:eastAsia="新宋体" w:cs="新宋体"/>
          <w:color w:val="auto"/>
          <w:sz w:val="22"/>
          <w:szCs w:val="22"/>
          <w:highlight w:val="none"/>
          <w:lang w:val="zh-CN" w:eastAsia="zh-CN"/>
        </w:rPr>
        <w:t>通知</w:t>
      </w:r>
      <w:r>
        <w:rPr>
          <w:rFonts w:hint="eastAsia" w:ascii="新宋体" w:hAnsi="新宋体" w:eastAsia="新宋体" w:cs="新宋体"/>
          <w:color w:val="auto"/>
          <w:sz w:val="22"/>
          <w:szCs w:val="22"/>
          <w:highlight w:val="none"/>
          <w:lang w:val="en-US" w:eastAsia="zh-CN"/>
        </w:rPr>
        <w:t>乙</w:t>
      </w:r>
      <w:r>
        <w:rPr>
          <w:rFonts w:hint="eastAsia" w:ascii="新宋体" w:hAnsi="新宋体" w:eastAsia="新宋体" w:cs="新宋体"/>
          <w:color w:val="auto"/>
          <w:sz w:val="22"/>
          <w:szCs w:val="22"/>
          <w:highlight w:val="none"/>
          <w:lang w:val="zh-CN" w:eastAsia="zh-CN"/>
        </w:rPr>
        <w:t>方发货之日起7个工作日内，支付全部货款的40%作为预付款。剩余全部货款的60%在项目全部验收合格并收到</w:t>
      </w:r>
      <w:r>
        <w:rPr>
          <w:rFonts w:hint="eastAsia" w:ascii="新宋体" w:hAnsi="新宋体" w:eastAsia="新宋体" w:cs="新宋体"/>
          <w:color w:val="auto"/>
          <w:sz w:val="22"/>
          <w:szCs w:val="22"/>
          <w:highlight w:val="none"/>
          <w:lang w:val="en-US" w:eastAsia="zh-CN"/>
        </w:rPr>
        <w:t>乙方</w:t>
      </w:r>
      <w:r>
        <w:rPr>
          <w:rFonts w:hint="eastAsia" w:ascii="新宋体" w:hAnsi="新宋体" w:eastAsia="新宋体" w:cs="新宋体"/>
          <w:color w:val="auto"/>
          <w:sz w:val="22"/>
          <w:szCs w:val="22"/>
          <w:highlight w:val="none"/>
          <w:lang w:val="zh-CN" w:eastAsia="zh-CN"/>
        </w:rPr>
        <w:t>发票后的7个工作日内支付给</w:t>
      </w:r>
      <w:r>
        <w:rPr>
          <w:rFonts w:hint="eastAsia" w:ascii="新宋体" w:hAnsi="新宋体" w:eastAsia="新宋体" w:cs="新宋体"/>
          <w:color w:val="auto"/>
          <w:sz w:val="22"/>
          <w:szCs w:val="22"/>
          <w:highlight w:val="none"/>
          <w:lang w:val="en-US" w:eastAsia="zh-CN"/>
        </w:rPr>
        <w:t>乙方</w:t>
      </w:r>
      <w:r>
        <w:rPr>
          <w:rFonts w:hint="eastAsia" w:ascii="新宋体" w:hAnsi="新宋体" w:eastAsia="新宋体" w:cs="新宋体"/>
          <w:color w:val="auto"/>
          <w:sz w:val="22"/>
          <w:szCs w:val="22"/>
          <w:highlight w:val="none"/>
          <w:lang w:val="zh-CN" w:eastAsia="zh-CN"/>
        </w:rPr>
        <w:t>。</w:t>
      </w:r>
    </w:p>
    <w:p w14:paraId="690A484F">
      <w:pPr>
        <w:spacing w:before="166"/>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九、税费</w:t>
      </w:r>
    </w:p>
    <w:p w14:paraId="4FB9EE05">
      <w:pPr>
        <w:pStyle w:val="2"/>
        <w:spacing w:before="23"/>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本合同执行中相关的一切税费均由乙方负担。</w:t>
      </w:r>
    </w:p>
    <w:p w14:paraId="3BAE9255">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十、质量保证及售后服务</w:t>
      </w:r>
    </w:p>
    <w:p w14:paraId="7A60E478">
      <w:pPr>
        <w:pStyle w:val="362"/>
        <w:numPr>
          <w:ilvl w:val="0"/>
          <w:numId w:val="0"/>
        </w:numPr>
        <w:tabs>
          <w:tab w:val="left" w:pos="522"/>
        </w:tabs>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乙方保证本合同中所供应的商品是最新生产的符合国家技术规格和质量标准的出厂原装的合格产品。如发生所供商品与合同不符，甲方（采购单位）有权拒收或退货，由此产生的一切责任和后果由乙方承担。</w:t>
      </w:r>
    </w:p>
    <w:p w14:paraId="3E141F04">
      <w:pPr>
        <w:pStyle w:val="362"/>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乙方提供的货物在质保期内因货物本身的质量问题发生故障，乙方应负责免费更换。对达不到技术要求者，根据实际情况，经双方协商，可按以下办法处理：</w:t>
      </w:r>
    </w:p>
    <w:p w14:paraId="15BD130F">
      <w:pPr>
        <w:pStyle w:val="362"/>
        <w:numPr>
          <w:ilvl w:val="0"/>
          <w:numId w:val="0"/>
        </w:numPr>
        <w:tabs>
          <w:tab w:val="left" w:pos="797"/>
        </w:tabs>
        <w:spacing w:before="0"/>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更换：由乙方承担所发生的全部费用。</w:t>
      </w:r>
    </w:p>
    <w:p w14:paraId="456DB21F">
      <w:pPr>
        <w:pStyle w:val="362"/>
        <w:numPr>
          <w:ilvl w:val="0"/>
          <w:numId w:val="0"/>
        </w:numPr>
        <w:tabs>
          <w:tab w:val="left" w:pos="797"/>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贬值处理：由甲乙双方合议定价。</w:t>
      </w:r>
    </w:p>
    <w:p w14:paraId="60CEE129">
      <w:pPr>
        <w:pStyle w:val="362"/>
        <w:numPr>
          <w:ilvl w:val="0"/>
          <w:numId w:val="0"/>
        </w:numPr>
        <w:tabs>
          <w:tab w:val="left" w:pos="797"/>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退货处理：乙方应退还甲方支付的合同款，同时应承担该货物的直接费用（运输、保险、检验、货款利息及银行手续费等）。</w:t>
      </w:r>
    </w:p>
    <w:p w14:paraId="6C591EF1">
      <w:pPr>
        <w:pStyle w:val="362"/>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在质保期内，乙方应对货物出现的质量及安全问题负责处理解决并承担一切费用。</w:t>
      </w:r>
    </w:p>
    <w:p w14:paraId="31F8EEBF">
      <w:pPr>
        <w:pStyle w:val="362"/>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上述的货物在质保期内免费保修，因人为因素出现的故障不在免费保修范围内。超过保修期的机器设备，终生维修，维修时只收部件成本费。乙方应当在甲方通知维修后2日内到达货物所在地进行维修。</w:t>
      </w:r>
    </w:p>
    <w:p w14:paraId="697A535C">
      <w:pPr>
        <w:spacing w:before="85"/>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十一、调试和验收</w:t>
      </w:r>
    </w:p>
    <w:p w14:paraId="23B96671">
      <w:pPr>
        <w:pStyle w:val="362"/>
        <w:numPr>
          <w:ilvl w:val="0"/>
          <w:numId w:val="0"/>
        </w:numPr>
        <w:tabs>
          <w:tab w:val="left" w:pos="522"/>
        </w:tabs>
        <w:spacing w:before="106"/>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甲方对乙方提交的货物依据招标文件上的技术规格要求和国家有关质量标准进行现场验收。货到后，甲方需在二十个工作日内验收（质量等隐蔽瑕疵除外）。</w:t>
      </w:r>
    </w:p>
    <w:p w14:paraId="7C71F1B3">
      <w:pPr>
        <w:pStyle w:val="362"/>
        <w:numPr>
          <w:ilvl w:val="0"/>
          <w:numId w:val="0"/>
        </w:numPr>
        <w:tabs>
          <w:tab w:val="left" w:pos="522"/>
        </w:tabs>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乙方交货前应对产品作出全面检查和对验收文件进行整理，并列出清单，作为甲方收货验收和使用的技术条件依据，检验的结果应随货物交甲方。</w:t>
      </w:r>
    </w:p>
    <w:p w14:paraId="49249C97">
      <w:pPr>
        <w:pStyle w:val="362"/>
        <w:numPr>
          <w:ilvl w:val="0"/>
          <w:numId w:val="0"/>
        </w:numPr>
        <w:tabs>
          <w:tab w:val="left" w:pos="522"/>
        </w:tabs>
        <w:spacing w:before="0"/>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甲方对乙方提供的货物在使用前进行调试时，乙方需负责安装并培训甲方的使用操作人员，并协助甲方一起调试，直到符合技术要求，甲方才做最终验收。</w:t>
      </w:r>
    </w:p>
    <w:p w14:paraId="467692BC">
      <w:pPr>
        <w:pStyle w:val="362"/>
        <w:numPr>
          <w:ilvl w:val="0"/>
          <w:numId w:val="0"/>
        </w:numPr>
        <w:tabs>
          <w:tab w:val="left" w:pos="522"/>
        </w:tabs>
        <w:spacing w:before="0"/>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对技术复杂的货物，甲方应请国家认可的专业检测机构参与验收，并由其出具质量检测报告。</w:t>
      </w:r>
    </w:p>
    <w:p w14:paraId="1A33A6BD">
      <w:pPr>
        <w:pStyle w:val="362"/>
        <w:numPr>
          <w:ilvl w:val="0"/>
          <w:numId w:val="0"/>
        </w:numPr>
        <w:tabs>
          <w:tab w:val="left" w:pos="522"/>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验收时乙方必须在现场，验收完毕后作出验收结果报告；验收费用由乙方负责。</w:t>
      </w:r>
    </w:p>
    <w:p w14:paraId="5AE432AA">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十二、货物包装</w:t>
      </w:r>
    </w:p>
    <w:p w14:paraId="3992F50A">
      <w:pPr>
        <w:pStyle w:val="362"/>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乙方应在货物发运前对其进行满足运输距离、防潮、防震、防锈和防破损装卸等要求包装，以保证货物安全运达甲方指定地点。</w:t>
      </w:r>
    </w:p>
    <w:p w14:paraId="20530110">
      <w:pPr>
        <w:pStyle w:val="362"/>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使用说明书、质量检验证明书、随配附件和工具以及清单一并附于货物内。</w:t>
      </w:r>
    </w:p>
    <w:p w14:paraId="47D5F39C">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十三、违约责任</w:t>
      </w:r>
    </w:p>
    <w:p w14:paraId="0EA52906">
      <w:pPr>
        <w:pStyle w:val="362"/>
        <w:numPr>
          <w:ilvl w:val="0"/>
          <w:numId w:val="0"/>
        </w:numPr>
        <w:tabs>
          <w:tab w:val="left" w:pos="522"/>
        </w:tabs>
        <w:spacing w:before="0"/>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甲方无正当理由拒收货物的，甲方向乙方偿付拒收货款总值的</w:t>
      </w:r>
      <w:r>
        <w:rPr>
          <w:rFonts w:hint="eastAsia" w:ascii="新宋体" w:hAnsi="新宋体" w:eastAsia="新宋体" w:cs="新宋体"/>
          <w:color w:val="auto"/>
          <w:spacing w:val="3"/>
          <w:sz w:val="22"/>
          <w:szCs w:val="22"/>
          <w:highlight w:val="none"/>
          <w:u w:val="single" w:color="4068E0"/>
        </w:rPr>
        <w:t xml:space="preserve"> 百分之五</w:t>
      </w:r>
      <w:r>
        <w:rPr>
          <w:rFonts w:hint="eastAsia" w:ascii="新宋体" w:hAnsi="新宋体" w:eastAsia="新宋体" w:cs="新宋体"/>
          <w:color w:val="auto"/>
          <w:spacing w:val="45"/>
          <w:sz w:val="22"/>
          <w:szCs w:val="22"/>
          <w:highlight w:val="none"/>
        </w:rPr>
        <w:t xml:space="preserve"> </w:t>
      </w:r>
      <w:r>
        <w:rPr>
          <w:rFonts w:hint="eastAsia" w:ascii="新宋体" w:hAnsi="新宋体" w:eastAsia="新宋体" w:cs="新宋体"/>
          <w:color w:val="auto"/>
          <w:sz w:val="22"/>
          <w:szCs w:val="22"/>
          <w:highlight w:val="none"/>
        </w:rPr>
        <w:t>违约金。</w:t>
      </w:r>
    </w:p>
    <w:p w14:paraId="1B6FE7E4">
      <w:pPr>
        <w:pStyle w:val="362"/>
        <w:numPr>
          <w:ilvl w:val="0"/>
          <w:numId w:val="0"/>
        </w:numPr>
        <w:tabs>
          <w:tab w:val="left" w:pos="522"/>
        </w:tabs>
        <w:spacing w:before="117"/>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甲方无故逾期验收和办理货款支付手续的,甲方应按逾期付款总额每日</w:t>
      </w:r>
      <w:r>
        <w:rPr>
          <w:rFonts w:hint="eastAsia" w:ascii="新宋体" w:hAnsi="新宋体" w:eastAsia="新宋体" w:cs="新宋体"/>
          <w:color w:val="auto"/>
          <w:spacing w:val="2"/>
          <w:sz w:val="22"/>
          <w:szCs w:val="22"/>
          <w:highlight w:val="none"/>
          <w:u w:val="single" w:color="4068E0"/>
        </w:rPr>
        <w:t xml:space="preserve"> 万分之五</w:t>
      </w:r>
      <w:r>
        <w:rPr>
          <w:rFonts w:hint="eastAsia" w:ascii="新宋体" w:hAnsi="新宋体" w:eastAsia="新宋体" w:cs="新宋体"/>
          <w:color w:val="auto"/>
          <w:spacing w:val="43"/>
          <w:sz w:val="22"/>
          <w:szCs w:val="22"/>
          <w:highlight w:val="none"/>
        </w:rPr>
        <w:t xml:space="preserve"> </w:t>
      </w:r>
      <w:r>
        <w:rPr>
          <w:rFonts w:hint="eastAsia" w:ascii="新宋体" w:hAnsi="新宋体" w:eastAsia="新宋体" w:cs="新宋体"/>
          <w:color w:val="auto"/>
          <w:sz w:val="22"/>
          <w:szCs w:val="22"/>
          <w:highlight w:val="none"/>
        </w:rPr>
        <w:t>向乙方支付违约金。</w:t>
      </w:r>
    </w:p>
    <w:p w14:paraId="63827119">
      <w:pPr>
        <w:pStyle w:val="362"/>
        <w:numPr>
          <w:ilvl w:val="0"/>
          <w:numId w:val="0"/>
        </w:numPr>
        <w:tabs>
          <w:tab w:val="left" w:pos="522"/>
        </w:tabs>
        <w:spacing w:before="118"/>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乙方逾期交付货物的，乙方应按逾期交货总额每日</w:t>
      </w:r>
      <w:r>
        <w:rPr>
          <w:rFonts w:hint="eastAsia" w:ascii="新宋体" w:hAnsi="新宋体" w:eastAsia="新宋体" w:cs="新宋体"/>
          <w:color w:val="auto"/>
          <w:spacing w:val="15"/>
          <w:sz w:val="22"/>
          <w:szCs w:val="22"/>
          <w:highlight w:val="none"/>
          <w:u w:val="single" w:color="4068E0"/>
        </w:rPr>
        <w:t xml:space="preserve"> 千分之六</w:t>
      </w:r>
      <w:r>
        <w:rPr>
          <w:rFonts w:hint="eastAsia" w:ascii="新宋体" w:hAnsi="新宋体" w:eastAsia="新宋体" w:cs="新宋体"/>
          <w:color w:val="auto"/>
          <w:spacing w:val="29"/>
          <w:sz w:val="22"/>
          <w:szCs w:val="22"/>
          <w:highlight w:val="none"/>
        </w:rPr>
        <w:t xml:space="preserve"> </w:t>
      </w:r>
      <w:r>
        <w:rPr>
          <w:rFonts w:hint="eastAsia" w:ascii="新宋体" w:hAnsi="新宋体" w:eastAsia="新宋体" w:cs="新宋体"/>
          <w:color w:val="auto"/>
          <w:sz w:val="22"/>
          <w:szCs w:val="22"/>
          <w:highlight w:val="none"/>
        </w:rPr>
        <w:t>向甲方支付违约金，由甲方从待付货款中扣除。逾期超过约定日期   10 个工作日不能交货的，甲方可解除本合同。乙方因逾期交货或因其他违约行为导致甲方解除合同的，乙方应向甲方支付合同总值</w:t>
      </w:r>
      <w:r>
        <w:rPr>
          <w:rFonts w:hint="eastAsia" w:ascii="新宋体" w:hAnsi="新宋体" w:eastAsia="新宋体" w:cs="新宋体"/>
          <w:color w:val="auto"/>
          <w:sz w:val="22"/>
          <w:szCs w:val="22"/>
          <w:highlight w:val="none"/>
          <w:u w:val="single"/>
        </w:rPr>
        <w:t xml:space="preserve"> 5</w:t>
      </w:r>
      <w:r>
        <w:rPr>
          <w:rFonts w:hint="eastAsia" w:ascii="新宋体" w:hAnsi="新宋体" w:eastAsia="新宋体" w:cs="新宋体"/>
          <w:color w:val="auto"/>
          <w:sz w:val="22"/>
          <w:szCs w:val="22"/>
          <w:highlight w:val="none"/>
        </w:rPr>
        <w:t>%的违约金，如造成甲方损失超过违约金的，超出部分由乙方继续承担赔偿责任。</w:t>
      </w:r>
    </w:p>
    <w:p w14:paraId="2032DCB3">
      <w:pPr>
        <w:pStyle w:val="362"/>
        <w:numPr>
          <w:ilvl w:val="0"/>
          <w:numId w:val="0"/>
        </w:numPr>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7EA44AA">
      <w:pPr>
        <w:spacing w:before="85"/>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十四、不可抗力事件处理</w:t>
      </w:r>
    </w:p>
    <w:p w14:paraId="5583DA4B">
      <w:pPr>
        <w:pStyle w:val="362"/>
        <w:numPr>
          <w:ilvl w:val="0"/>
          <w:numId w:val="0"/>
        </w:numPr>
        <w:tabs>
          <w:tab w:val="left" w:pos="522"/>
        </w:tabs>
        <w:spacing w:before="106"/>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在合同有效期内，任何一方因不可抗力事件导致不能履行合同，双方协商后，则合同履行期可延长，其延长期与不可抗力影响期相同。</w:t>
      </w:r>
    </w:p>
    <w:p w14:paraId="47BABA6E">
      <w:pPr>
        <w:pStyle w:val="362"/>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不可抗力事件发生后，应立即通知对方，并寄送有关权威机构出具的证明。</w:t>
      </w:r>
    </w:p>
    <w:p w14:paraId="7F537D27">
      <w:pPr>
        <w:pStyle w:val="362"/>
        <w:numPr>
          <w:ilvl w:val="0"/>
          <w:numId w:val="0"/>
        </w:numPr>
        <w:tabs>
          <w:tab w:val="left" w:pos="522"/>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
          <w:sz w:val="22"/>
          <w:szCs w:val="22"/>
          <w:highlight w:val="none"/>
          <w:lang w:val="en-US" w:eastAsia="zh-CN"/>
        </w:rPr>
        <w:t>3、</w:t>
      </w:r>
      <w:r>
        <w:rPr>
          <w:rFonts w:hint="eastAsia" w:ascii="新宋体" w:hAnsi="新宋体" w:eastAsia="新宋体" w:cs="新宋体"/>
          <w:color w:val="auto"/>
          <w:spacing w:val="-3"/>
          <w:sz w:val="22"/>
          <w:szCs w:val="22"/>
          <w:highlight w:val="none"/>
        </w:rPr>
        <w:t xml:space="preserve">不可抗力事件延续 </w:t>
      </w:r>
      <w:r>
        <w:rPr>
          <w:rFonts w:hint="eastAsia" w:ascii="新宋体" w:hAnsi="新宋体" w:eastAsia="新宋体" w:cs="新宋体"/>
          <w:color w:val="auto"/>
          <w:sz w:val="22"/>
          <w:szCs w:val="22"/>
          <w:highlight w:val="none"/>
        </w:rPr>
        <w:t>120天以上，双方可以通过友好协商，确定是否继续履行合同。</w:t>
      </w:r>
    </w:p>
    <w:p w14:paraId="1F9B75B3">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十五、诉讼</w:t>
      </w:r>
    </w:p>
    <w:p w14:paraId="0C99339E">
      <w:pPr>
        <w:pStyle w:val="2"/>
        <w:spacing w:before="22"/>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双方在执行合同中所发生的一切争议，应通过协商解决。如协商不成，可向甲方所在地法院起诉。</w:t>
      </w:r>
    </w:p>
    <w:p w14:paraId="271C9724">
      <w:pPr>
        <w:spacing w:before="107"/>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十六、合同生效及其它</w:t>
      </w:r>
    </w:p>
    <w:p w14:paraId="79421723">
      <w:pPr>
        <w:pStyle w:val="362"/>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本合同经甲、乙双方签字并加盖单位公章后生效。</w:t>
      </w:r>
    </w:p>
    <w:p w14:paraId="474895AC">
      <w:pPr>
        <w:pStyle w:val="362"/>
        <w:numPr>
          <w:ilvl w:val="0"/>
          <w:numId w:val="0"/>
        </w:numPr>
        <w:tabs>
          <w:tab w:val="left" w:pos="522"/>
        </w:tabs>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招标文件、投标文件、项目采购协议或入围承诺书与本合同具有同等法律效力。如前述各项文件之间约定不一致的，应以最新签署的文件内容为准。</w:t>
      </w:r>
    </w:p>
    <w:p w14:paraId="4F6017FB">
      <w:pPr>
        <w:pStyle w:val="362"/>
        <w:numPr>
          <w:ilvl w:val="0"/>
          <w:numId w:val="0"/>
        </w:numPr>
        <w:tabs>
          <w:tab w:val="left" w:pos="522"/>
        </w:tabs>
        <w:spacing w:before="1"/>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本合同未尽事宜，以招投标文件为准。</w:t>
      </w:r>
    </w:p>
    <w:p w14:paraId="3C9797BB">
      <w:pPr>
        <w:pStyle w:val="362"/>
        <w:numPr>
          <w:ilvl w:val="0"/>
          <w:numId w:val="0"/>
        </w:numPr>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本合同一式三份，甲方执二份，乙方执一份，具有同等法律效力。</w:t>
      </w:r>
    </w:p>
    <w:p w14:paraId="37BA8EF4">
      <w:pPr>
        <w:pStyle w:val="362"/>
        <w:numPr>
          <w:ilvl w:val="0"/>
          <w:numId w:val="0"/>
        </w:numPr>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附件设备配置清单系本合同不可分割的组成部分，与本合同具有同等法律效力。</w:t>
      </w:r>
    </w:p>
    <w:p w14:paraId="3986C7FF">
      <w:pPr>
        <w:pStyle w:val="2"/>
        <w:spacing w:before="106" w:line="264" w:lineRule="auto"/>
        <w:ind w:left="105" w:right="209"/>
        <w:rPr>
          <w:rFonts w:hint="eastAsia" w:ascii="新宋体" w:hAnsi="新宋体" w:eastAsia="新宋体" w:cs="新宋体"/>
          <w:color w:val="auto"/>
          <w:sz w:val="22"/>
          <w:szCs w:val="22"/>
          <w:highlight w:val="none"/>
        </w:rPr>
      </w:pPr>
    </w:p>
    <w:p w14:paraId="54633235">
      <w:pPr>
        <w:pStyle w:val="2"/>
        <w:spacing w:before="106" w:line="264" w:lineRule="auto"/>
        <w:ind w:left="105" w:right="209"/>
        <w:rPr>
          <w:rFonts w:hint="eastAsia" w:ascii="新宋体" w:hAnsi="新宋体" w:eastAsia="新宋体" w:cs="新宋体"/>
          <w:color w:val="auto"/>
          <w:sz w:val="22"/>
          <w:szCs w:val="22"/>
          <w:highlight w:val="none"/>
        </w:rPr>
      </w:pPr>
    </w:p>
    <w:p w14:paraId="089E7CBE">
      <w:pPr>
        <w:pStyle w:val="2"/>
        <w:spacing w:before="106" w:line="264" w:lineRule="auto"/>
        <w:ind w:left="105" w:right="209"/>
        <w:rPr>
          <w:rFonts w:hint="eastAsia" w:ascii="新宋体" w:hAnsi="新宋体" w:eastAsia="新宋体" w:cs="新宋体"/>
          <w:color w:val="auto"/>
          <w:sz w:val="22"/>
          <w:szCs w:val="22"/>
          <w:highlight w:val="none"/>
        </w:rPr>
      </w:pPr>
    </w:p>
    <w:p w14:paraId="12734E19">
      <w:pPr>
        <w:pStyle w:val="2"/>
        <w:spacing w:before="106" w:line="264" w:lineRule="auto"/>
        <w:ind w:left="105" w:right="209"/>
        <w:rPr>
          <w:rFonts w:hint="eastAsia" w:ascii="新宋体" w:hAnsi="新宋体" w:eastAsia="新宋体" w:cs="新宋体"/>
          <w:color w:val="auto"/>
          <w:sz w:val="22"/>
          <w:szCs w:val="22"/>
          <w:highlight w:val="none"/>
        </w:rPr>
      </w:pPr>
    </w:p>
    <w:p w14:paraId="7A6DCFC3">
      <w:pPr>
        <w:pStyle w:val="2"/>
        <w:spacing w:before="106" w:line="264" w:lineRule="auto"/>
        <w:ind w:left="105" w:right="209"/>
        <w:rPr>
          <w:rFonts w:hint="eastAsia" w:ascii="新宋体" w:hAnsi="新宋体" w:eastAsia="新宋体" w:cs="新宋体"/>
          <w:color w:val="auto"/>
          <w:sz w:val="22"/>
          <w:szCs w:val="22"/>
          <w:highlight w:val="none"/>
        </w:rPr>
      </w:pPr>
    </w:p>
    <w:p w14:paraId="2E9E7EF6">
      <w:pPr>
        <w:pStyle w:val="2"/>
        <w:spacing w:before="106" w:line="264" w:lineRule="auto"/>
        <w:ind w:left="105" w:right="209"/>
        <w:rPr>
          <w:rFonts w:hint="eastAsia" w:ascii="新宋体" w:hAnsi="新宋体" w:eastAsia="新宋体" w:cs="新宋体"/>
          <w:color w:val="auto"/>
          <w:sz w:val="22"/>
          <w:szCs w:val="22"/>
          <w:highlight w:val="none"/>
        </w:rPr>
      </w:pPr>
    </w:p>
    <w:p w14:paraId="3D52DABA">
      <w:pPr>
        <w:pStyle w:val="2"/>
        <w:spacing w:before="106" w:line="264" w:lineRule="auto"/>
        <w:ind w:left="105" w:right="20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甲方（盖章）： 温州市中医院</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 xml:space="preserve">乙方（盖章）：  </w:t>
      </w:r>
    </w:p>
    <w:p w14:paraId="18769BE3">
      <w:pPr>
        <w:pStyle w:val="2"/>
        <w:spacing w:before="106" w:line="264" w:lineRule="auto"/>
        <w:ind w:left="105" w:right="20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地址：温州市六虹桥路蛟尾路9号                   地址：</w:t>
      </w:r>
    </w:p>
    <w:p w14:paraId="57E1586D">
      <w:pPr>
        <w:pStyle w:val="2"/>
        <w:spacing w:before="106" w:line="264" w:lineRule="auto"/>
        <w:ind w:left="105" w:right="20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法定（授权）代表人：                            法定（授权）代表人： </w:t>
      </w:r>
    </w:p>
    <w:p w14:paraId="06785947">
      <w:pPr>
        <w:pStyle w:val="2"/>
        <w:spacing w:before="106" w:line="264" w:lineRule="auto"/>
        <w:ind w:left="105" w:right="209"/>
        <w:rPr>
          <w:rFonts w:hint="eastAsia" w:ascii="新宋体" w:hAnsi="新宋体" w:eastAsia="新宋体" w:cs="新宋体"/>
          <w:color w:val="auto"/>
          <w:sz w:val="18"/>
          <w:highlight w:val="none"/>
        </w:rPr>
      </w:pPr>
      <w:r>
        <w:rPr>
          <w:rFonts w:hint="eastAsia" w:ascii="新宋体" w:hAnsi="新宋体" w:eastAsia="新宋体" w:cs="新宋体"/>
          <w:color w:val="auto"/>
          <w:sz w:val="22"/>
          <w:szCs w:val="22"/>
          <w:highlight w:val="none"/>
        </w:rPr>
        <w:t>签字日期：    年    月    日                    签字日期：    年   月   日</w:t>
      </w:r>
    </w:p>
    <w:p w14:paraId="483CC9CD">
      <w:pPr>
        <w:widowControl/>
        <w:jc w:val="left"/>
        <w:rPr>
          <w:rFonts w:hint="eastAsia" w:ascii="新宋体" w:hAnsi="新宋体" w:eastAsia="新宋体" w:cs="新宋体"/>
          <w:color w:val="auto"/>
          <w:kern w:val="0"/>
          <w:szCs w:val="17"/>
          <w:highlight w:val="none"/>
          <w:lang w:val="zh-CN" w:bidi="zh-CN"/>
        </w:rPr>
      </w:pPr>
      <w:r>
        <w:rPr>
          <w:rFonts w:hint="eastAsia" w:ascii="新宋体" w:hAnsi="新宋体" w:eastAsia="新宋体" w:cs="新宋体"/>
          <w:color w:val="auto"/>
          <w:highlight w:val="none"/>
        </w:rPr>
        <w:br w:type="page"/>
      </w:r>
    </w:p>
    <w:p w14:paraId="4D9666E1">
      <w:pPr>
        <w:jc w:val="center"/>
        <w:rPr>
          <w:rFonts w:hint="eastAsia" w:ascii="新宋体" w:hAnsi="新宋体" w:eastAsia="新宋体" w:cs="新宋体"/>
          <w:b/>
          <w:color w:val="auto"/>
          <w:sz w:val="36"/>
          <w:szCs w:val="36"/>
          <w:highlight w:val="none"/>
        </w:rPr>
      </w:pPr>
      <w:r>
        <w:rPr>
          <w:rFonts w:hint="eastAsia" w:ascii="新宋体" w:hAnsi="新宋体" w:eastAsia="新宋体" w:cs="新宋体"/>
          <w:b/>
          <w:color w:val="auto"/>
          <w:sz w:val="36"/>
          <w:szCs w:val="36"/>
          <w:highlight w:val="none"/>
        </w:rPr>
        <w:t>设备配置清单</w:t>
      </w:r>
    </w:p>
    <w:p w14:paraId="31C6C93D">
      <w:pPr>
        <w:pStyle w:val="2"/>
        <w:rPr>
          <w:rFonts w:hint="eastAsia" w:ascii="新宋体" w:hAnsi="新宋体" w:eastAsia="新宋体" w:cs="新宋体"/>
          <w:color w:val="auto"/>
          <w:sz w:val="20"/>
          <w:highlight w:val="none"/>
        </w:rPr>
      </w:pPr>
    </w:p>
    <w:tbl>
      <w:tblPr>
        <w:tblStyle w:val="53"/>
        <w:tblpPr w:leftFromText="180" w:rightFromText="180" w:vertAnchor="text" w:horzAnchor="margin" w:tblpXSpec="center" w:tblpY="357"/>
        <w:tblOverlap w:val="never"/>
        <w:tblW w:w="9500" w:type="dxa"/>
        <w:tblInd w:w="-3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231"/>
        <w:gridCol w:w="2934"/>
        <w:gridCol w:w="1815"/>
        <w:gridCol w:w="705"/>
        <w:gridCol w:w="1110"/>
        <w:gridCol w:w="930"/>
      </w:tblGrid>
      <w:tr w14:paraId="38C87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5" w:type="dxa"/>
          </w:tcPr>
          <w:p w14:paraId="77071850">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1231" w:type="dxa"/>
            <w:vAlign w:val="center"/>
          </w:tcPr>
          <w:p w14:paraId="765F54BA">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品牌</w:t>
            </w:r>
          </w:p>
        </w:tc>
        <w:tc>
          <w:tcPr>
            <w:tcW w:w="2934" w:type="dxa"/>
            <w:vAlign w:val="center"/>
          </w:tcPr>
          <w:p w14:paraId="790ED7AF">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产品名称</w:t>
            </w:r>
          </w:p>
        </w:tc>
        <w:tc>
          <w:tcPr>
            <w:tcW w:w="1815" w:type="dxa"/>
            <w:vAlign w:val="center"/>
          </w:tcPr>
          <w:p w14:paraId="6D36D564">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规格型号</w:t>
            </w:r>
          </w:p>
        </w:tc>
        <w:tc>
          <w:tcPr>
            <w:tcW w:w="705" w:type="dxa"/>
            <w:vAlign w:val="center"/>
          </w:tcPr>
          <w:p w14:paraId="1D40D144">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数量</w:t>
            </w:r>
          </w:p>
        </w:tc>
        <w:tc>
          <w:tcPr>
            <w:tcW w:w="1110" w:type="dxa"/>
            <w:vAlign w:val="center"/>
          </w:tcPr>
          <w:p w14:paraId="516F2D01">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金额（元）</w:t>
            </w:r>
          </w:p>
        </w:tc>
        <w:tc>
          <w:tcPr>
            <w:tcW w:w="930" w:type="dxa"/>
            <w:vAlign w:val="center"/>
          </w:tcPr>
          <w:p w14:paraId="6E337CD7">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tc>
      </w:tr>
      <w:tr w14:paraId="78E6D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75B1289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231" w:type="dxa"/>
            <w:vAlign w:val="center"/>
          </w:tcPr>
          <w:p w14:paraId="64467C07">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646AA574">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69F8228B">
            <w:pPr>
              <w:rPr>
                <w:rFonts w:hint="eastAsia" w:ascii="新宋体" w:hAnsi="新宋体" w:eastAsia="新宋体" w:cs="新宋体"/>
                <w:color w:val="auto"/>
                <w:sz w:val="22"/>
                <w:szCs w:val="22"/>
                <w:highlight w:val="none"/>
              </w:rPr>
            </w:pPr>
          </w:p>
        </w:tc>
        <w:tc>
          <w:tcPr>
            <w:tcW w:w="705" w:type="dxa"/>
          </w:tcPr>
          <w:p w14:paraId="737AFAE8">
            <w:pPr>
              <w:rPr>
                <w:rFonts w:hint="eastAsia" w:ascii="新宋体" w:hAnsi="新宋体" w:eastAsia="新宋体" w:cs="新宋体"/>
                <w:color w:val="auto"/>
                <w:sz w:val="22"/>
                <w:szCs w:val="22"/>
                <w:highlight w:val="none"/>
              </w:rPr>
            </w:pPr>
          </w:p>
        </w:tc>
        <w:tc>
          <w:tcPr>
            <w:tcW w:w="1110" w:type="dxa"/>
            <w:vAlign w:val="center"/>
          </w:tcPr>
          <w:p w14:paraId="08CD5F85">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1F5DEE8B">
            <w:pPr>
              <w:rPr>
                <w:rFonts w:hint="eastAsia" w:ascii="新宋体" w:hAnsi="新宋体" w:eastAsia="新宋体" w:cs="新宋体"/>
                <w:color w:val="auto"/>
                <w:sz w:val="22"/>
                <w:szCs w:val="22"/>
                <w:highlight w:val="none"/>
              </w:rPr>
            </w:pPr>
          </w:p>
        </w:tc>
      </w:tr>
      <w:tr w14:paraId="3F260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3D8299F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231" w:type="dxa"/>
            <w:vAlign w:val="center"/>
          </w:tcPr>
          <w:p w14:paraId="1FFF58F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5F1D64F">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2DF9CE5">
            <w:pPr>
              <w:rPr>
                <w:rFonts w:hint="eastAsia" w:ascii="新宋体" w:hAnsi="新宋体" w:eastAsia="新宋体" w:cs="新宋体"/>
                <w:color w:val="auto"/>
                <w:sz w:val="22"/>
                <w:szCs w:val="22"/>
                <w:highlight w:val="none"/>
              </w:rPr>
            </w:pPr>
          </w:p>
        </w:tc>
        <w:tc>
          <w:tcPr>
            <w:tcW w:w="705" w:type="dxa"/>
          </w:tcPr>
          <w:p w14:paraId="50AAD91A">
            <w:pPr>
              <w:rPr>
                <w:rFonts w:hint="eastAsia" w:ascii="新宋体" w:hAnsi="新宋体" w:eastAsia="新宋体" w:cs="新宋体"/>
                <w:color w:val="auto"/>
                <w:sz w:val="22"/>
                <w:szCs w:val="22"/>
                <w:highlight w:val="none"/>
              </w:rPr>
            </w:pPr>
          </w:p>
        </w:tc>
        <w:tc>
          <w:tcPr>
            <w:tcW w:w="1110" w:type="dxa"/>
            <w:vAlign w:val="center"/>
          </w:tcPr>
          <w:p w14:paraId="2C68EC4B">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2D6EA9A2">
            <w:pPr>
              <w:rPr>
                <w:rFonts w:hint="eastAsia" w:ascii="新宋体" w:hAnsi="新宋体" w:eastAsia="新宋体" w:cs="新宋体"/>
                <w:color w:val="auto"/>
                <w:sz w:val="22"/>
                <w:szCs w:val="22"/>
                <w:highlight w:val="none"/>
              </w:rPr>
            </w:pPr>
          </w:p>
        </w:tc>
      </w:tr>
      <w:tr w14:paraId="1E048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C75862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1231" w:type="dxa"/>
            <w:vAlign w:val="center"/>
          </w:tcPr>
          <w:p w14:paraId="638B1515">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76E80208">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4B79111A">
            <w:pPr>
              <w:rPr>
                <w:rFonts w:hint="eastAsia" w:ascii="新宋体" w:hAnsi="新宋体" w:eastAsia="新宋体" w:cs="新宋体"/>
                <w:color w:val="auto"/>
                <w:sz w:val="22"/>
                <w:szCs w:val="22"/>
                <w:highlight w:val="none"/>
              </w:rPr>
            </w:pPr>
          </w:p>
        </w:tc>
        <w:tc>
          <w:tcPr>
            <w:tcW w:w="705" w:type="dxa"/>
          </w:tcPr>
          <w:p w14:paraId="6F2A4C35">
            <w:pPr>
              <w:rPr>
                <w:rFonts w:hint="eastAsia" w:ascii="新宋体" w:hAnsi="新宋体" w:eastAsia="新宋体" w:cs="新宋体"/>
                <w:color w:val="auto"/>
                <w:sz w:val="22"/>
                <w:szCs w:val="22"/>
                <w:highlight w:val="none"/>
              </w:rPr>
            </w:pPr>
          </w:p>
        </w:tc>
        <w:tc>
          <w:tcPr>
            <w:tcW w:w="1110" w:type="dxa"/>
            <w:vAlign w:val="center"/>
          </w:tcPr>
          <w:p w14:paraId="0E0C7CA4">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1DA6B277">
            <w:pPr>
              <w:rPr>
                <w:rFonts w:hint="eastAsia" w:ascii="新宋体" w:hAnsi="新宋体" w:eastAsia="新宋体" w:cs="新宋体"/>
                <w:color w:val="auto"/>
                <w:sz w:val="22"/>
                <w:szCs w:val="22"/>
                <w:highlight w:val="none"/>
              </w:rPr>
            </w:pPr>
          </w:p>
        </w:tc>
      </w:tr>
      <w:tr w14:paraId="4A0AA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0B8BF76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231" w:type="dxa"/>
            <w:vAlign w:val="center"/>
          </w:tcPr>
          <w:p w14:paraId="6DF7D28B">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3BFC1B9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7CB2D26">
            <w:pPr>
              <w:rPr>
                <w:rFonts w:hint="eastAsia" w:ascii="新宋体" w:hAnsi="新宋体" w:eastAsia="新宋体" w:cs="新宋体"/>
                <w:color w:val="auto"/>
                <w:sz w:val="22"/>
                <w:szCs w:val="22"/>
                <w:highlight w:val="none"/>
              </w:rPr>
            </w:pPr>
          </w:p>
        </w:tc>
        <w:tc>
          <w:tcPr>
            <w:tcW w:w="705" w:type="dxa"/>
          </w:tcPr>
          <w:p w14:paraId="7DEEA91E">
            <w:pPr>
              <w:rPr>
                <w:rFonts w:hint="eastAsia" w:ascii="新宋体" w:hAnsi="新宋体" w:eastAsia="新宋体" w:cs="新宋体"/>
                <w:color w:val="auto"/>
                <w:sz w:val="22"/>
                <w:szCs w:val="22"/>
                <w:highlight w:val="none"/>
              </w:rPr>
            </w:pPr>
          </w:p>
        </w:tc>
        <w:tc>
          <w:tcPr>
            <w:tcW w:w="1110" w:type="dxa"/>
            <w:vAlign w:val="center"/>
          </w:tcPr>
          <w:p w14:paraId="0FEA7382">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3E36843F">
            <w:pPr>
              <w:rPr>
                <w:rFonts w:hint="eastAsia" w:ascii="新宋体" w:hAnsi="新宋体" w:eastAsia="新宋体" w:cs="新宋体"/>
                <w:color w:val="auto"/>
                <w:sz w:val="22"/>
                <w:szCs w:val="22"/>
                <w:highlight w:val="none"/>
              </w:rPr>
            </w:pPr>
          </w:p>
        </w:tc>
      </w:tr>
      <w:tr w14:paraId="291AF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936397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1231" w:type="dxa"/>
            <w:vAlign w:val="center"/>
          </w:tcPr>
          <w:p w14:paraId="795D2293">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46AD5DF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AD7B759">
            <w:pPr>
              <w:rPr>
                <w:rFonts w:hint="eastAsia" w:ascii="新宋体" w:hAnsi="新宋体" w:eastAsia="新宋体" w:cs="新宋体"/>
                <w:color w:val="auto"/>
                <w:sz w:val="22"/>
                <w:szCs w:val="22"/>
                <w:highlight w:val="none"/>
              </w:rPr>
            </w:pPr>
          </w:p>
        </w:tc>
        <w:tc>
          <w:tcPr>
            <w:tcW w:w="705" w:type="dxa"/>
          </w:tcPr>
          <w:p w14:paraId="729705DF">
            <w:pPr>
              <w:rPr>
                <w:rFonts w:hint="eastAsia" w:ascii="新宋体" w:hAnsi="新宋体" w:eastAsia="新宋体" w:cs="新宋体"/>
                <w:color w:val="auto"/>
                <w:sz w:val="22"/>
                <w:szCs w:val="22"/>
                <w:highlight w:val="none"/>
              </w:rPr>
            </w:pPr>
          </w:p>
        </w:tc>
        <w:tc>
          <w:tcPr>
            <w:tcW w:w="1110" w:type="dxa"/>
            <w:vAlign w:val="center"/>
          </w:tcPr>
          <w:p w14:paraId="2221C7D1">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697863A3">
            <w:pPr>
              <w:rPr>
                <w:rFonts w:hint="eastAsia" w:ascii="新宋体" w:hAnsi="新宋体" w:eastAsia="新宋体" w:cs="新宋体"/>
                <w:color w:val="auto"/>
                <w:sz w:val="22"/>
                <w:szCs w:val="22"/>
                <w:highlight w:val="none"/>
              </w:rPr>
            </w:pPr>
          </w:p>
        </w:tc>
      </w:tr>
      <w:tr w14:paraId="3EAE1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05B01DF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1231" w:type="dxa"/>
            <w:vAlign w:val="center"/>
          </w:tcPr>
          <w:p w14:paraId="4CD9BFF9">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18A5B32D">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3446DC7A">
            <w:pPr>
              <w:rPr>
                <w:rFonts w:hint="eastAsia" w:ascii="新宋体" w:hAnsi="新宋体" w:eastAsia="新宋体" w:cs="新宋体"/>
                <w:color w:val="auto"/>
                <w:sz w:val="22"/>
                <w:szCs w:val="22"/>
                <w:highlight w:val="none"/>
              </w:rPr>
            </w:pPr>
          </w:p>
        </w:tc>
        <w:tc>
          <w:tcPr>
            <w:tcW w:w="705" w:type="dxa"/>
          </w:tcPr>
          <w:p w14:paraId="043890EF">
            <w:pPr>
              <w:rPr>
                <w:rFonts w:hint="eastAsia" w:ascii="新宋体" w:hAnsi="新宋体" w:eastAsia="新宋体" w:cs="新宋体"/>
                <w:color w:val="auto"/>
                <w:sz w:val="22"/>
                <w:szCs w:val="22"/>
                <w:highlight w:val="none"/>
              </w:rPr>
            </w:pPr>
          </w:p>
        </w:tc>
        <w:tc>
          <w:tcPr>
            <w:tcW w:w="1110" w:type="dxa"/>
            <w:vAlign w:val="center"/>
          </w:tcPr>
          <w:p w14:paraId="7BCE3775">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09CBFB06">
            <w:pPr>
              <w:rPr>
                <w:rFonts w:hint="eastAsia" w:ascii="新宋体" w:hAnsi="新宋体" w:eastAsia="新宋体" w:cs="新宋体"/>
                <w:color w:val="auto"/>
                <w:sz w:val="22"/>
                <w:szCs w:val="22"/>
                <w:highlight w:val="none"/>
              </w:rPr>
            </w:pPr>
          </w:p>
        </w:tc>
      </w:tr>
      <w:tr w14:paraId="4EB39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0C5331A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1231" w:type="dxa"/>
            <w:vAlign w:val="center"/>
          </w:tcPr>
          <w:p w14:paraId="2D7FEAED">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7533A244">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653ADCD8">
            <w:pPr>
              <w:rPr>
                <w:rFonts w:hint="eastAsia" w:ascii="新宋体" w:hAnsi="新宋体" w:eastAsia="新宋体" w:cs="新宋体"/>
                <w:color w:val="auto"/>
                <w:sz w:val="22"/>
                <w:szCs w:val="22"/>
                <w:highlight w:val="none"/>
              </w:rPr>
            </w:pPr>
          </w:p>
        </w:tc>
        <w:tc>
          <w:tcPr>
            <w:tcW w:w="705" w:type="dxa"/>
          </w:tcPr>
          <w:p w14:paraId="339B4FD1">
            <w:pPr>
              <w:rPr>
                <w:rFonts w:hint="eastAsia" w:ascii="新宋体" w:hAnsi="新宋体" w:eastAsia="新宋体" w:cs="新宋体"/>
                <w:color w:val="auto"/>
                <w:sz w:val="22"/>
                <w:szCs w:val="22"/>
                <w:highlight w:val="none"/>
              </w:rPr>
            </w:pPr>
          </w:p>
        </w:tc>
        <w:tc>
          <w:tcPr>
            <w:tcW w:w="1110" w:type="dxa"/>
            <w:vAlign w:val="center"/>
          </w:tcPr>
          <w:p w14:paraId="6E13A148">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6592548C">
            <w:pPr>
              <w:rPr>
                <w:rFonts w:hint="eastAsia" w:ascii="新宋体" w:hAnsi="新宋体" w:eastAsia="新宋体" w:cs="新宋体"/>
                <w:color w:val="auto"/>
                <w:sz w:val="22"/>
                <w:szCs w:val="22"/>
                <w:highlight w:val="none"/>
              </w:rPr>
            </w:pPr>
          </w:p>
        </w:tc>
      </w:tr>
      <w:tr w14:paraId="1B81B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6654F7F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1231" w:type="dxa"/>
            <w:vAlign w:val="center"/>
          </w:tcPr>
          <w:p w14:paraId="7A10B7F2">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F3F2B26">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39180C31">
            <w:pPr>
              <w:rPr>
                <w:rFonts w:hint="eastAsia" w:ascii="新宋体" w:hAnsi="新宋体" w:eastAsia="新宋体" w:cs="新宋体"/>
                <w:color w:val="auto"/>
                <w:sz w:val="22"/>
                <w:szCs w:val="22"/>
                <w:highlight w:val="none"/>
              </w:rPr>
            </w:pPr>
          </w:p>
        </w:tc>
        <w:tc>
          <w:tcPr>
            <w:tcW w:w="705" w:type="dxa"/>
          </w:tcPr>
          <w:p w14:paraId="358BA1E8">
            <w:pPr>
              <w:rPr>
                <w:rFonts w:hint="eastAsia" w:ascii="新宋体" w:hAnsi="新宋体" w:eastAsia="新宋体" w:cs="新宋体"/>
                <w:color w:val="auto"/>
                <w:sz w:val="22"/>
                <w:szCs w:val="22"/>
                <w:highlight w:val="none"/>
              </w:rPr>
            </w:pPr>
          </w:p>
        </w:tc>
        <w:tc>
          <w:tcPr>
            <w:tcW w:w="1110" w:type="dxa"/>
            <w:vAlign w:val="center"/>
          </w:tcPr>
          <w:p w14:paraId="6DA88CF0">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46439025">
            <w:pPr>
              <w:rPr>
                <w:rFonts w:hint="eastAsia" w:ascii="新宋体" w:hAnsi="新宋体" w:eastAsia="新宋体" w:cs="新宋体"/>
                <w:color w:val="auto"/>
                <w:sz w:val="22"/>
                <w:szCs w:val="22"/>
                <w:highlight w:val="none"/>
              </w:rPr>
            </w:pPr>
          </w:p>
        </w:tc>
      </w:tr>
      <w:tr w14:paraId="29445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2ABF215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1231" w:type="dxa"/>
            <w:vAlign w:val="center"/>
          </w:tcPr>
          <w:p w14:paraId="09773AA1">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57673F61">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19860ADB">
            <w:pPr>
              <w:rPr>
                <w:rFonts w:hint="eastAsia" w:ascii="新宋体" w:hAnsi="新宋体" w:eastAsia="新宋体" w:cs="新宋体"/>
                <w:color w:val="auto"/>
                <w:sz w:val="22"/>
                <w:szCs w:val="22"/>
                <w:highlight w:val="none"/>
              </w:rPr>
            </w:pPr>
          </w:p>
        </w:tc>
        <w:tc>
          <w:tcPr>
            <w:tcW w:w="705" w:type="dxa"/>
          </w:tcPr>
          <w:p w14:paraId="0B9F6D02">
            <w:pPr>
              <w:rPr>
                <w:rFonts w:hint="eastAsia" w:ascii="新宋体" w:hAnsi="新宋体" w:eastAsia="新宋体" w:cs="新宋体"/>
                <w:color w:val="auto"/>
                <w:sz w:val="22"/>
                <w:szCs w:val="22"/>
                <w:highlight w:val="none"/>
              </w:rPr>
            </w:pPr>
          </w:p>
        </w:tc>
        <w:tc>
          <w:tcPr>
            <w:tcW w:w="1110" w:type="dxa"/>
            <w:vAlign w:val="center"/>
          </w:tcPr>
          <w:p w14:paraId="1D75108C">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4D69050E">
            <w:pPr>
              <w:rPr>
                <w:rFonts w:hint="eastAsia" w:ascii="新宋体" w:hAnsi="新宋体" w:eastAsia="新宋体" w:cs="新宋体"/>
                <w:color w:val="auto"/>
                <w:sz w:val="22"/>
                <w:szCs w:val="22"/>
                <w:highlight w:val="none"/>
              </w:rPr>
            </w:pPr>
          </w:p>
        </w:tc>
      </w:tr>
      <w:tr w14:paraId="1AAD7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3883CC2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1231" w:type="dxa"/>
            <w:vAlign w:val="center"/>
          </w:tcPr>
          <w:p w14:paraId="48F24BE0">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68E54148">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07041B9E">
            <w:pPr>
              <w:rPr>
                <w:rFonts w:hint="eastAsia" w:ascii="新宋体" w:hAnsi="新宋体" w:eastAsia="新宋体" w:cs="新宋体"/>
                <w:color w:val="auto"/>
                <w:spacing w:val="20"/>
                <w:sz w:val="22"/>
                <w:szCs w:val="22"/>
                <w:highlight w:val="none"/>
              </w:rPr>
            </w:pPr>
          </w:p>
        </w:tc>
        <w:tc>
          <w:tcPr>
            <w:tcW w:w="705" w:type="dxa"/>
          </w:tcPr>
          <w:p w14:paraId="3ABF9D46">
            <w:pPr>
              <w:rPr>
                <w:rFonts w:hint="eastAsia" w:ascii="新宋体" w:hAnsi="新宋体" w:eastAsia="新宋体" w:cs="新宋体"/>
                <w:color w:val="auto"/>
                <w:sz w:val="22"/>
                <w:szCs w:val="22"/>
                <w:highlight w:val="none"/>
              </w:rPr>
            </w:pPr>
          </w:p>
        </w:tc>
        <w:tc>
          <w:tcPr>
            <w:tcW w:w="1110" w:type="dxa"/>
            <w:vAlign w:val="center"/>
          </w:tcPr>
          <w:p w14:paraId="775322FE">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7D799055">
            <w:pPr>
              <w:rPr>
                <w:rFonts w:hint="eastAsia" w:ascii="新宋体" w:hAnsi="新宋体" w:eastAsia="新宋体" w:cs="新宋体"/>
                <w:color w:val="auto"/>
                <w:sz w:val="22"/>
                <w:szCs w:val="22"/>
                <w:highlight w:val="none"/>
              </w:rPr>
            </w:pPr>
          </w:p>
        </w:tc>
      </w:tr>
      <w:tr w14:paraId="5403D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2E96FA3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p>
        </w:tc>
        <w:tc>
          <w:tcPr>
            <w:tcW w:w="1231" w:type="dxa"/>
            <w:vAlign w:val="center"/>
          </w:tcPr>
          <w:p w14:paraId="257F69BD">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2BA6030">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9004836">
            <w:pPr>
              <w:rPr>
                <w:rFonts w:hint="eastAsia" w:ascii="新宋体" w:hAnsi="新宋体" w:eastAsia="新宋体" w:cs="新宋体"/>
                <w:color w:val="auto"/>
                <w:spacing w:val="20"/>
                <w:sz w:val="22"/>
                <w:szCs w:val="22"/>
                <w:highlight w:val="none"/>
              </w:rPr>
            </w:pPr>
          </w:p>
        </w:tc>
        <w:tc>
          <w:tcPr>
            <w:tcW w:w="705" w:type="dxa"/>
          </w:tcPr>
          <w:p w14:paraId="5FDF5858">
            <w:pPr>
              <w:rPr>
                <w:rFonts w:hint="eastAsia" w:ascii="新宋体" w:hAnsi="新宋体" w:eastAsia="新宋体" w:cs="新宋体"/>
                <w:color w:val="auto"/>
                <w:sz w:val="22"/>
                <w:szCs w:val="22"/>
                <w:highlight w:val="none"/>
              </w:rPr>
            </w:pPr>
          </w:p>
        </w:tc>
        <w:tc>
          <w:tcPr>
            <w:tcW w:w="1110" w:type="dxa"/>
            <w:vAlign w:val="center"/>
          </w:tcPr>
          <w:p w14:paraId="0C8632BB">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15C84E2D">
            <w:pPr>
              <w:rPr>
                <w:rFonts w:hint="eastAsia" w:ascii="新宋体" w:hAnsi="新宋体" w:eastAsia="新宋体" w:cs="新宋体"/>
                <w:color w:val="auto"/>
                <w:sz w:val="22"/>
                <w:szCs w:val="22"/>
                <w:highlight w:val="none"/>
              </w:rPr>
            </w:pPr>
          </w:p>
        </w:tc>
      </w:tr>
      <w:tr w14:paraId="53F2D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17A111C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p>
        </w:tc>
        <w:tc>
          <w:tcPr>
            <w:tcW w:w="1231" w:type="dxa"/>
            <w:vAlign w:val="center"/>
          </w:tcPr>
          <w:p w14:paraId="5101F350">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51AC03BE">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1360593">
            <w:pPr>
              <w:rPr>
                <w:rFonts w:hint="eastAsia" w:ascii="新宋体" w:hAnsi="新宋体" w:eastAsia="新宋体" w:cs="新宋体"/>
                <w:color w:val="auto"/>
                <w:spacing w:val="20"/>
                <w:sz w:val="22"/>
                <w:szCs w:val="22"/>
                <w:highlight w:val="none"/>
              </w:rPr>
            </w:pPr>
          </w:p>
        </w:tc>
        <w:tc>
          <w:tcPr>
            <w:tcW w:w="705" w:type="dxa"/>
          </w:tcPr>
          <w:p w14:paraId="0464ED02">
            <w:pPr>
              <w:rPr>
                <w:rFonts w:hint="eastAsia" w:ascii="新宋体" w:hAnsi="新宋体" w:eastAsia="新宋体" w:cs="新宋体"/>
                <w:color w:val="auto"/>
                <w:sz w:val="22"/>
                <w:szCs w:val="22"/>
                <w:highlight w:val="none"/>
              </w:rPr>
            </w:pPr>
          </w:p>
        </w:tc>
        <w:tc>
          <w:tcPr>
            <w:tcW w:w="1110" w:type="dxa"/>
            <w:vAlign w:val="center"/>
          </w:tcPr>
          <w:p w14:paraId="5E4F0693">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3AB30416">
            <w:pPr>
              <w:rPr>
                <w:rFonts w:hint="eastAsia" w:ascii="新宋体" w:hAnsi="新宋体" w:eastAsia="新宋体" w:cs="新宋体"/>
                <w:color w:val="auto"/>
                <w:sz w:val="22"/>
                <w:szCs w:val="22"/>
                <w:highlight w:val="none"/>
              </w:rPr>
            </w:pPr>
          </w:p>
        </w:tc>
      </w:tr>
      <w:tr w14:paraId="0FA1A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24E178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w:t>
            </w:r>
          </w:p>
        </w:tc>
        <w:tc>
          <w:tcPr>
            <w:tcW w:w="1231" w:type="dxa"/>
            <w:vAlign w:val="center"/>
          </w:tcPr>
          <w:p w14:paraId="18ED201F">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8EBA867">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2681CD1F">
            <w:pPr>
              <w:rPr>
                <w:rFonts w:hint="eastAsia" w:ascii="新宋体" w:hAnsi="新宋体" w:eastAsia="新宋体" w:cs="新宋体"/>
                <w:color w:val="auto"/>
                <w:spacing w:val="20"/>
                <w:sz w:val="22"/>
                <w:szCs w:val="22"/>
                <w:highlight w:val="none"/>
              </w:rPr>
            </w:pPr>
          </w:p>
        </w:tc>
        <w:tc>
          <w:tcPr>
            <w:tcW w:w="705" w:type="dxa"/>
          </w:tcPr>
          <w:p w14:paraId="17FDEC41">
            <w:pPr>
              <w:rPr>
                <w:rFonts w:hint="eastAsia" w:ascii="新宋体" w:hAnsi="新宋体" w:eastAsia="新宋体" w:cs="新宋体"/>
                <w:color w:val="auto"/>
                <w:sz w:val="22"/>
                <w:szCs w:val="22"/>
                <w:highlight w:val="none"/>
              </w:rPr>
            </w:pPr>
          </w:p>
        </w:tc>
        <w:tc>
          <w:tcPr>
            <w:tcW w:w="1110" w:type="dxa"/>
            <w:vAlign w:val="center"/>
          </w:tcPr>
          <w:p w14:paraId="7F628437">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49FBFB3F">
            <w:pPr>
              <w:rPr>
                <w:rFonts w:hint="eastAsia" w:ascii="新宋体" w:hAnsi="新宋体" w:eastAsia="新宋体" w:cs="新宋体"/>
                <w:color w:val="auto"/>
                <w:sz w:val="22"/>
                <w:szCs w:val="22"/>
                <w:highlight w:val="none"/>
              </w:rPr>
            </w:pPr>
          </w:p>
        </w:tc>
      </w:tr>
      <w:tr w14:paraId="6F576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287134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w:t>
            </w:r>
          </w:p>
        </w:tc>
        <w:tc>
          <w:tcPr>
            <w:tcW w:w="1231" w:type="dxa"/>
            <w:vAlign w:val="center"/>
          </w:tcPr>
          <w:p w14:paraId="39A179E1">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74FCB92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3320D2BC">
            <w:pPr>
              <w:rPr>
                <w:rFonts w:hint="eastAsia" w:ascii="新宋体" w:hAnsi="新宋体" w:eastAsia="新宋体" w:cs="新宋体"/>
                <w:color w:val="auto"/>
                <w:spacing w:val="20"/>
                <w:sz w:val="22"/>
                <w:szCs w:val="22"/>
                <w:highlight w:val="none"/>
              </w:rPr>
            </w:pPr>
          </w:p>
        </w:tc>
        <w:tc>
          <w:tcPr>
            <w:tcW w:w="705" w:type="dxa"/>
          </w:tcPr>
          <w:p w14:paraId="24AA34BF">
            <w:pPr>
              <w:rPr>
                <w:rFonts w:hint="eastAsia" w:ascii="新宋体" w:hAnsi="新宋体" w:eastAsia="新宋体" w:cs="新宋体"/>
                <w:color w:val="auto"/>
                <w:sz w:val="22"/>
                <w:szCs w:val="22"/>
                <w:highlight w:val="none"/>
              </w:rPr>
            </w:pPr>
          </w:p>
        </w:tc>
        <w:tc>
          <w:tcPr>
            <w:tcW w:w="1110" w:type="dxa"/>
            <w:vAlign w:val="center"/>
          </w:tcPr>
          <w:p w14:paraId="4CA521BF">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7B60ACCB">
            <w:pPr>
              <w:rPr>
                <w:rFonts w:hint="eastAsia" w:ascii="新宋体" w:hAnsi="新宋体" w:eastAsia="新宋体" w:cs="新宋体"/>
                <w:color w:val="auto"/>
                <w:sz w:val="22"/>
                <w:szCs w:val="22"/>
                <w:highlight w:val="none"/>
              </w:rPr>
            </w:pPr>
          </w:p>
        </w:tc>
      </w:tr>
    </w:tbl>
    <w:p w14:paraId="431959B5">
      <w:pPr>
        <w:pStyle w:val="2"/>
        <w:rPr>
          <w:rFonts w:hint="eastAsia" w:ascii="新宋体" w:hAnsi="新宋体" w:eastAsia="新宋体" w:cs="新宋体"/>
          <w:color w:val="auto"/>
          <w:sz w:val="20"/>
          <w:highlight w:val="none"/>
        </w:rPr>
      </w:pPr>
    </w:p>
    <w:p w14:paraId="6D27BFB2">
      <w:pPr>
        <w:widowControl/>
        <w:jc w:val="left"/>
        <w:rPr>
          <w:rFonts w:hint="eastAsia" w:ascii="新宋体" w:hAnsi="新宋体" w:eastAsia="新宋体" w:cs="新宋体"/>
          <w:color w:val="auto"/>
          <w:kern w:val="0"/>
          <w:sz w:val="20"/>
          <w:szCs w:val="17"/>
          <w:highlight w:val="none"/>
          <w:lang w:val="zh-CN" w:bidi="zh-CN"/>
        </w:rPr>
      </w:pPr>
      <w:r>
        <w:rPr>
          <w:rFonts w:hint="eastAsia" w:ascii="新宋体" w:hAnsi="新宋体" w:eastAsia="新宋体" w:cs="新宋体"/>
          <w:color w:val="auto"/>
          <w:sz w:val="20"/>
          <w:highlight w:val="none"/>
        </w:rPr>
        <w:br w:type="page"/>
      </w:r>
    </w:p>
    <w:p w14:paraId="5021750C">
      <w:pPr>
        <w:spacing w:line="440" w:lineRule="exact"/>
        <w:jc w:val="cente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廉洁购销合同</w:t>
      </w:r>
    </w:p>
    <w:p w14:paraId="2455F90F">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甲方</w:t>
      </w:r>
      <w:r>
        <w:rPr>
          <w:rFonts w:hint="eastAsia" w:ascii="新宋体" w:hAnsi="新宋体" w:eastAsia="新宋体" w:cs="新宋体"/>
          <w:bCs/>
          <w:color w:val="auto"/>
          <w:sz w:val="22"/>
          <w:szCs w:val="22"/>
          <w:highlight w:val="none"/>
        </w:rPr>
        <w:t>：温州市中医院</w:t>
      </w:r>
    </w:p>
    <w:p w14:paraId="7DAA43F7">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乙方</w:t>
      </w:r>
      <w:r>
        <w:rPr>
          <w:rFonts w:hint="eastAsia" w:ascii="新宋体" w:hAnsi="新宋体" w:eastAsia="新宋体" w:cs="新宋体"/>
          <w:bCs/>
          <w:color w:val="auto"/>
          <w:sz w:val="22"/>
          <w:szCs w:val="22"/>
          <w:highlight w:val="none"/>
        </w:rPr>
        <w:t>：</w:t>
      </w:r>
    </w:p>
    <w:p w14:paraId="5E0302DB">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为进一步加强医疗卫生行风建设，规范医疗卫生机构各类购销行为，有效防范商业贿赂行为，营造公平交易、诚实守信的“清廉医院”购销环境，经甲、乙双方协商，同意签订本合同，并共同遵守：</w:t>
      </w:r>
    </w:p>
    <w:p w14:paraId="53A7AFBA">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一、甲乙双方按照《民法典》等相关法规要求，约定购销包括但不限于药品、设备、耗材、维保等货物或服务。</w:t>
      </w:r>
    </w:p>
    <w:p w14:paraId="1220A545">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二、甲方应当严格执行合同验收、入库制度，对采购产品及发票进行查验，不得违反有关规定合同外采购、违价采购或从非规定渠道采购。</w:t>
      </w:r>
    </w:p>
    <w:p w14:paraId="61052E96">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40D17331">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四、严禁甲方工作人员利用任何途径和方式，为乙方统计医师个人及临床科室有关医药产品用量信息，或为乙方统计提供便利。</w:t>
      </w:r>
    </w:p>
    <w:p w14:paraId="7F79C72D">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五、乙方不得以回扣、宴请等方式影响甲方工作人员采购或使用产品的选择权，不得在学术活动中提供旅游、超标准支付食宿费用。</w:t>
      </w:r>
    </w:p>
    <w:p w14:paraId="068598A6">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六、乙方指定</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作为销售代表洽谈业务。销售代表必须在工作时间到甲方指定地点联系商谈，不得到住院部、门诊部、医技科室等推销产品，不得借故到甲方相关领导、部门负责人及相关工作人员家中访谈并提供任何好处费。</w:t>
      </w:r>
    </w:p>
    <w:p w14:paraId="12474EE8">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新宋体" w:hAnsi="新宋体" w:eastAsia="新宋体" w:cs="新宋体"/>
          <w:bCs/>
          <w:color w:val="auto"/>
          <w:sz w:val="22"/>
          <w:szCs w:val="22"/>
          <w:highlight w:val="none"/>
          <w:shd w:val="clear" w:color="auto" w:fill="FFFFFF"/>
        </w:rPr>
        <w:t>（国卫法制发〔2013〕50号）及《关于印发医疗机构工作人员廉洁从业九项准则的通知》（国卫医发〔2021〕37号）</w:t>
      </w:r>
      <w:r>
        <w:rPr>
          <w:rFonts w:hint="eastAsia" w:ascii="新宋体" w:hAnsi="新宋体" w:eastAsia="新宋体" w:cs="新宋体"/>
          <w:bCs/>
          <w:color w:val="auto"/>
          <w:sz w:val="22"/>
          <w:szCs w:val="22"/>
          <w:highlight w:val="none"/>
        </w:rPr>
        <w:t>相关规定处理。</w:t>
      </w:r>
    </w:p>
    <w:p w14:paraId="416AAA04">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八、本合同作为购销合同的重要组成部分，与购销合同一并执行，具有同等的法律效力。</w:t>
      </w:r>
    </w:p>
    <w:p w14:paraId="23230DBA">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九、本合同一式三份，甲、乙双方各执一份，甲方纪检监察部门执一份，并从签订之日起生效。</w:t>
      </w:r>
    </w:p>
    <w:p w14:paraId="07185B32">
      <w:pPr>
        <w:spacing w:line="440" w:lineRule="exact"/>
        <w:rPr>
          <w:rFonts w:hint="eastAsia" w:ascii="新宋体" w:hAnsi="新宋体" w:eastAsia="新宋体" w:cs="新宋体"/>
          <w:bCs/>
          <w:color w:val="auto"/>
          <w:sz w:val="22"/>
          <w:szCs w:val="22"/>
          <w:highlight w:val="none"/>
        </w:rPr>
      </w:pPr>
    </w:p>
    <w:p w14:paraId="4DE12ED2">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甲方（盖章）：                           乙方（盖章）：</w:t>
      </w:r>
    </w:p>
    <w:p w14:paraId="4C665956">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法定代表人（负责人）：                   法定代表人（负责人）：</w:t>
      </w:r>
    </w:p>
    <w:p w14:paraId="748C30FE">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经办人签名：                             经办人签名：</w:t>
      </w:r>
    </w:p>
    <w:p w14:paraId="1B44DFB5">
      <w:pPr>
        <w:pStyle w:val="29"/>
        <w:snapToGrid w:val="0"/>
        <w:spacing w:line="460" w:lineRule="exact"/>
        <w:ind w:firstLine="663" w:firstLineChars="3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年   月   日                              年   月  日</w:t>
      </w:r>
    </w:p>
    <w:p w14:paraId="24B635F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p>
    <w:p w14:paraId="286ECCB0">
      <w:pPr>
        <w:pStyle w:val="23"/>
        <w:spacing w:after="0" w:line="460" w:lineRule="exact"/>
        <w:ind w:left="0" w:leftChars="0"/>
        <w:jc w:val="center"/>
        <w:outlineLvl w:val="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br w:type="page"/>
      </w:r>
      <w:bookmarkStart w:id="23" w:name="_Toc2347"/>
      <w:r>
        <w:rPr>
          <w:rFonts w:hint="eastAsia" w:ascii="新宋体" w:hAnsi="新宋体" w:eastAsia="新宋体" w:cs="新宋体"/>
          <w:b/>
          <w:color w:val="auto"/>
          <w:sz w:val="30"/>
          <w:highlight w:val="none"/>
        </w:rPr>
        <w:t>第三部分    附件</w:t>
      </w:r>
      <w:bookmarkEnd w:id="23"/>
    </w:p>
    <w:p w14:paraId="6AA6B40D">
      <w:pPr>
        <w:pStyle w:val="23"/>
        <w:spacing w:line="460" w:lineRule="exact"/>
        <w:ind w:left="0" w:leftChars="0"/>
        <w:outlineLvl w:val="1"/>
        <w:rPr>
          <w:rFonts w:hint="eastAsia" w:ascii="新宋体" w:hAnsi="新宋体" w:eastAsia="新宋体" w:cs="新宋体"/>
          <w:b/>
          <w:color w:val="auto"/>
          <w:sz w:val="22"/>
          <w:highlight w:val="none"/>
        </w:rPr>
      </w:pPr>
      <w:bookmarkStart w:id="24" w:name="_Toc12714"/>
      <w:r>
        <w:rPr>
          <w:rFonts w:hint="eastAsia" w:ascii="新宋体" w:hAnsi="新宋体" w:eastAsia="新宋体" w:cs="新宋体"/>
          <w:b/>
          <w:color w:val="auto"/>
          <w:sz w:val="22"/>
          <w:highlight w:val="none"/>
        </w:rPr>
        <w:t>附件一</w:t>
      </w:r>
      <w:bookmarkEnd w:id="24"/>
    </w:p>
    <w:p w14:paraId="427D6133">
      <w:pPr>
        <w:spacing w:line="460" w:lineRule="exact"/>
        <w:jc w:val="center"/>
        <w:outlineLvl w:val="2"/>
        <w:rPr>
          <w:rFonts w:hint="eastAsia" w:ascii="新宋体" w:hAnsi="新宋体" w:eastAsia="新宋体" w:cs="新宋体"/>
          <w:color w:val="auto"/>
          <w:sz w:val="30"/>
          <w:szCs w:val="30"/>
          <w:highlight w:val="none"/>
        </w:rPr>
      </w:pPr>
      <w:bookmarkStart w:id="25" w:name="_Toc25186"/>
      <w:bookmarkStart w:id="26" w:name="_Toc267"/>
      <w:bookmarkStart w:id="27" w:name="_Toc19743"/>
      <w:r>
        <w:rPr>
          <w:rFonts w:hint="eastAsia" w:ascii="新宋体" w:hAnsi="新宋体" w:eastAsia="新宋体" w:cs="新宋体"/>
          <w:b/>
          <w:bCs/>
          <w:color w:val="auto"/>
          <w:sz w:val="30"/>
          <w:szCs w:val="30"/>
          <w:highlight w:val="none"/>
        </w:rPr>
        <w:t>资格证明文件</w:t>
      </w:r>
      <w:bookmarkEnd w:id="25"/>
      <w:bookmarkEnd w:id="26"/>
    </w:p>
    <w:p w14:paraId="02C1E35D">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1、资格条件承诺函</w:t>
      </w:r>
    </w:p>
    <w:p w14:paraId="09B1D223">
      <w:pPr>
        <w:keepNext w:val="0"/>
        <w:keepLines w:val="0"/>
        <w:pageBreakBefore w:val="0"/>
        <w:widowControl/>
        <w:kinsoku/>
        <w:wordWrap/>
        <w:overflowPunct/>
        <w:topLinePunct w:val="0"/>
        <w:autoSpaceDE/>
        <w:autoSpaceDN/>
        <w:bidi w:val="0"/>
        <w:adjustRightInd/>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温州市中医院</w:t>
      </w:r>
      <w:r>
        <w:rPr>
          <w:rFonts w:hint="eastAsia" w:ascii="新宋体" w:hAnsi="新宋体" w:eastAsia="新宋体" w:cs="新宋体"/>
          <w:color w:val="auto"/>
          <w:kern w:val="0"/>
          <w:sz w:val="22"/>
          <w:szCs w:val="22"/>
          <w:highlight w:val="none"/>
        </w:rPr>
        <w:t>、温州历程招标有限公司：</w:t>
      </w:r>
    </w:p>
    <w:p w14:paraId="6FF80659">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我方参与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（项目名称、编号）投标，现郑重承诺</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kern w:val="0"/>
          <w:sz w:val="22"/>
          <w:szCs w:val="22"/>
          <w:highlight w:val="none"/>
        </w:rPr>
        <w:t>参加本次采购活动前3年内</w:t>
      </w:r>
      <w:r>
        <w:rPr>
          <w:rFonts w:hint="eastAsia" w:ascii="新宋体" w:hAnsi="新宋体" w:eastAsia="新宋体" w:cs="新宋体"/>
          <w:color w:val="auto"/>
          <w:sz w:val="22"/>
          <w:szCs w:val="22"/>
          <w:highlight w:val="none"/>
        </w:rPr>
        <w:t>：</w:t>
      </w:r>
    </w:p>
    <w:p w14:paraId="0DAFB6EA">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1、我方符合《中华人民共和国政府采购法》第22条规定的资格条件，即</w:t>
      </w:r>
    </w:p>
    <w:p w14:paraId="620E327B">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（1）我方具有独立承担民事责任的能力；</w:t>
      </w:r>
    </w:p>
    <w:p w14:paraId="765C88FE">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（2）我方具有良好的商业信誉和健全的财务会计制度；</w:t>
      </w:r>
    </w:p>
    <w:p w14:paraId="1FC1A518">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（3）我方具有履行合同所必需的设备和专业技术能力；</w:t>
      </w:r>
    </w:p>
    <w:p w14:paraId="0C988458">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（4）我方有依法缴纳税收和社会保障资金的良好记录；</w:t>
      </w:r>
    </w:p>
    <w:p w14:paraId="7A60EDF6">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（5）我方参加本次政府采购活动前3年内在经营活动中没有重大违法记录（没有因违法经营</w:t>
      </w:r>
      <w:r>
        <w:rPr>
          <w:rFonts w:hint="eastAsia" w:ascii="新宋体" w:hAnsi="新宋体" w:eastAsia="新宋体" w:cs="新宋体"/>
          <w:color w:val="auto"/>
          <w:kern w:val="0"/>
          <w:sz w:val="22"/>
          <w:szCs w:val="22"/>
          <w:highlight w:val="none"/>
        </w:rPr>
        <w:t>受到刑事处罚，没有被责令停产停业、被吊销许可证或者执照、被处以较大数额罚款等行政处罚，没有因违法经营被禁止参加政府采购活动的期限未满情形）。</w:t>
      </w:r>
    </w:p>
    <w:p w14:paraId="6B6C1874">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2、到本项目投标截止时间为止，我方未被“信用中国（</w:t>
      </w:r>
      <w:r>
        <w:rPr>
          <w:rFonts w:hint="eastAsia" w:ascii="新宋体" w:hAnsi="新宋体" w:eastAsia="新宋体" w:cs="新宋体"/>
          <w:color w:val="auto"/>
          <w:kern w:val="0"/>
          <w:sz w:val="22"/>
          <w:szCs w:val="22"/>
          <w:highlight w:val="none"/>
          <w:lang w:eastAsia="zh-CN"/>
        </w:rPr>
        <w:fldChar w:fldCharType="begin"/>
      </w:r>
      <w:r>
        <w:rPr>
          <w:rFonts w:hint="eastAsia" w:ascii="新宋体" w:hAnsi="新宋体" w:eastAsia="新宋体" w:cs="新宋体"/>
          <w:color w:val="auto"/>
          <w:kern w:val="0"/>
          <w:sz w:val="22"/>
          <w:szCs w:val="22"/>
          <w:highlight w:val="none"/>
          <w:lang w:eastAsia="zh-CN"/>
        </w:rPr>
        <w:instrText xml:space="preserve"> HYPERLINK "http://www.creditchina.gov.cn）、" </w:instrText>
      </w:r>
      <w:r>
        <w:rPr>
          <w:rFonts w:hint="eastAsia" w:ascii="新宋体" w:hAnsi="新宋体" w:eastAsia="新宋体" w:cs="新宋体"/>
          <w:color w:val="auto"/>
          <w:kern w:val="0"/>
          <w:sz w:val="22"/>
          <w:szCs w:val="22"/>
          <w:highlight w:val="none"/>
          <w:lang w:eastAsia="zh-CN"/>
        </w:rPr>
        <w:fldChar w:fldCharType="separate"/>
      </w:r>
      <w:r>
        <w:rPr>
          <w:rFonts w:hint="eastAsia" w:ascii="新宋体" w:hAnsi="新宋体" w:eastAsia="新宋体" w:cs="新宋体"/>
          <w:color w:val="auto"/>
          <w:kern w:val="0"/>
          <w:sz w:val="22"/>
          <w:szCs w:val="22"/>
          <w:highlight w:val="none"/>
          <w:lang w:eastAsia="zh-CN"/>
        </w:rPr>
        <w:t>www.creditchina.gov.cn）、</w:t>
      </w:r>
      <w:r>
        <w:rPr>
          <w:rFonts w:hint="eastAsia" w:ascii="新宋体" w:hAnsi="新宋体" w:eastAsia="新宋体" w:cs="新宋体"/>
          <w:color w:val="auto"/>
          <w:kern w:val="0"/>
          <w:sz w:val="22"/>
          <w:szCs w:val="22"/>
          <w:highlight w:val="none"/>
          <w:lang w:eastAsia="zh-CN"/>
        </w:rPr>
        <w:fldChar w:fldCharType="end"/>
      </w:r>
      <w:r>
        <w:rPr>
          <w:rFonts w:hint="eastAsia" w:ascii="新宋体" w:hAnsi="新宋体" w:eastAsia="新宋体" w:cs="新宋体"/>
          <w:color w:val="auto"/>
          <w:kern w:val="0"/>
          <w:sz w:val="22"/>
          <w:szCs w:val="22"/>
          <w:highlight w:val="none"/>
          <w:lang w:eastAsia="zh-CN"/>
        </w:rPr>
        <w:t xml:space="preserve"> 中国政府采购网（www.ccgp.gov.cn）列入失信被执行人名单、重大税收违法案件当事人名单、政府采购严重违法失信行为记录名单。</w:t>
      </w:r>
    </w:p>
    <w:p w14:paraId="68F3E51B">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3、我方与参加本次项目同一合同项下政府采购活动的其他供应商不存在单位负责人为同一人或者直接控股、管理关系。</w:t>
      </w:r>
    </w:p>
    <w:p w14:paraId="3559B3A3">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4、我方</w:t>
      </w:r>
      <w:r>
        <w:rPr>
          <w:rFonts w:hint="eastAsia" w:ascii="新宋体" w:hAnsi="新宋体" w:eastAsia="新宋体" w:cs="新宋体"/>
          <w:color w:val="auto"/>
          <w:kern w:val="0"/>
          <w:sz w:val="22"/>
          <w:szCs w:val="22"/>
          <w:highlight w:val="none"/>
          <w:lang w:eastAsia="zh-CN"/>
        </w:rPr>
        <w:t>不属于公益一类事业单位。</w:t>
      </w:r>
    </w:p>
    <w:p w14:paraId="4DAC53F2">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lang w:val="en-US" w:eastAsia="zh-CN"/>
        </w:rPr>
      </w:pPr>
    </w:p>
    <w:p w14:paraId="2894A5F9">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以上承诺如有虚假，愿接受取消我方任何资格（投标/成交/签订合同）及其他任何形式的处理。</w:t>
      </w:r>
    </w:p>
    <w:p w14:paraId="3F5DA770">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p>
    <w:p w14:paraId="59349A92">
      <w:pPr>
        <w:keepNext w:val="0"/>
        <w:keepLines w:val="0"/>
        <w:pageBreakBefore w:val="0"/>
        <w:kinsoku/>
        <w:wordWrap/>
        <w:overflowPunct/>
        <w:topLinePunct w:val="0"/>
        <w:autoSpaceDE/>
        <w:autoSpaceDN/>
        <w:bidi w:val="0"/>
        <w:adjustRightInd/>
        <w:snapToGrid w:val="0"/>
        <w:spacing w:line="460" w:lineRule="exact"/>
        <w:ind w:firstLine="5060" w:firstLineChars="2300"/>
        <w:textAlignment w:val="auto"/>
        <w:rPr>
          <w:rFonts w:hint="eastAsia" w:ascii="新宋体" w:hAnsi="新宋体" w:eastAsia="新宋体" w:cs="新宋体"/>
          <w:color w:val="auto"/>
          <w:kern w:val="0"/>
          <w:sz w:val="22"/>
          <w:szCs w:val="22"/>
          <w:highlight w:val="none"/>
          <w:lang w:val="zh-CN"/>
        </w:rPr>
      </w:pPr>
    </w:p>
    <w:p w14:paraId="754B1CEA">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投标人全称（盖章） ：</w:t>
      </w:r>
    </w:p>
    <w:p w14:paraId="55B77104">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14:paraId="00830943">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p>
    <w:p w14:paraId="3C22BEB4">
      <w:pPr>
        <w:pStyle w:val="23"/>
        <w:keepNext w:val="0"/>
        <w:keepLines w:val="0"/>
        <w:pageBreakBefore w:val="0"/>
        <w:kinsoku/>
        <w:wordWrap/>
        <w:overflowPunct/>
        <w:topLinePunct w:val="0"/>
        <w:autoSpaceDE/>
        <w:autoSpaceDN/>
        <w:bidi w:val="0"/>
        <w:adjustRightInd/>
        <w:spacing w:line="460" w:lineRule="exact"/>
        <w:ind w:left="479" w:leftChars="228" w:firstLine="5280" w:firstLineChars="24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1D4BE138">
      <w:pPr>
        <w:bidi w:val="0"/>
        <w:rPr>
          <w:rFonts w:hint="eastAsia" w:ascii="新宋体" w:hAnsi="新宋体" w:eastAsia="新宋体" w:cs="新宋体"/>
          <w:color w:val="auto"/>
          <w:highlight w:val="none"/>
        </w:rPr>
      </w:pPr>
    </w:p>
    <w:p w14:paraId="21923F3D">
      <w:pPr>
        <w:bidi w:val="0"/>
        <w:rPr>
          <w:rFonts w:hint="eastAsia" w:ascii="新宋体" w:hAnsi="新宋体" w:eastAsia="新宋体" w:cs="新宋体"/>
          <w:color w:val="auto"/>
          <w:highlight w:val="none"/>
        </w:rPr>
      </w:pPr>
    </w:p>
    <w:p w14:paraId="0F4E5910">
      <w:pPr>
        <w:bidi w:val="0"/>
        <w:rPr>
          <w:rFonts w:hint="eastAsia" w:ascii="新宋体" w:hAnsi="新宋体" w:eastAsia="新宋体" w:cs="新宋体"/>
          <w:color w:val="auto"/>
          <w:highlight w:val="none"/>
        </w:rPr>
      </w:pPr>
    </w:p>
    <w:p w14:paraId="20F4DFF9">
      <w:pPr>
        <w:rPr>
          <w:rFonts w:hint="eastAsia" w:ascii="新宋体" w:hAnsi="新宋体" w:eastAsia="新宋体" w:cs="新宋体"/>
          <w:b/>
          <w:bCs w:val="0"/>
          <w:color w:val="auto"/>
          <w:kern w:val="0"/>
          <w:sz w:val="28"/>
          <w:szCs w:val="28"/>
          <w:highlight w:val="none"/>
          <w:lang w:val="en-US" w:eastAsia="zh-CN" w:bidi="ar-SA"/>
        </w:rPr>
      </w:pPr>
      <w:r>
        <w:rPr>
          <w:rFonts w:hint="eastAsia" w:ascii="新宋体" w:hAnsi="新宋体" w:eastAsia="新宋体" w:cs="新宋体"/>
          <w:b/>
          <w:bCs w:val="0"/>
          <w:color w:val="auto"/>
          <w:kern w:val="0"/>
          <w:sz w:val="28"/>
          <w:szCs w:val="28"/>
          <w:highlight w:val="none"/>
          <w:lang w:val="en-US" w:eastAsia="zh-CN" w:bidi="ar-SA"/>
        </w:rPr>
        <w:br w:type="page"/>
      </w:r>
    </w:p>
    <w:p w14:paraId="0316EE7C">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2、有效营业执照</w:t>
      </w:r>
    </w:p>
    <w:p w14:paraId="5AA4BB98">
      <w:pPr>
        <w:pStyle w:val="49"/>
        <w:tabs>
          <w:tab w:val="left" w:pos="630"/>
          <w:tab w:val="left" w:pos="840"/>
          <w:tab w:val="left" w:pos="1050"/>
        </w:tabs>
        <w:adjustRightInd w:val="0"/>
        <w:snapToGrid w:val="0"/>
        <w:spacing w:before="0" w:beforeAutospacing="0" w:after="0" w:afterAutospacing="0" w:line="360" w:lineRule="auto"/>
        <w:ind w:left="420"/>
        <w:rPr>
          <w:rFonts w:hint="eastAsia" w:ascii="新宋体" w:hAnsi="新宋体" w:eastAsia="新宋体" w:cs="新宋体"/>
          <w:bCs/>
          <w:color w:val="auto"/>
          <w:sz w:val="24"/>
          <w:szCs w:val="24"/>
          <w:highlight w:val="none"/>
        </w:rPr>
      </w:pPr>
    </w:p>
    <w:p w14:paraId="5B9204E5">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投标人须在投标文件中出具符合以下情况的证明材料复印件（五选一）：</w:t>
      </w:r>
    </w:p>
    <w:p w14:paraId="7D144E4B">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①</w:t>
      </w:r>
      <w:r>
        <w:rPr>
          <w:rFonts w:hint="eastAsia" w:ascii="新宋体" w:hAnsi="新宋体" w:eastAsia="新宋体" w:cs="新宋体"/>
          <w:color w:val="auto"/>
          <w:kern w:val="0"/>
          <w:sz w:val="22"/>
          <w:szCs w:val="22"/>
          <w:highlight w:val="none"/>
          <w:lang w:eastAsia="zh-CN"/>
        </w:rPr>
        <w:t>如投标人是企业（包括合伙企业），提供在工商部门注册的有效“企业法人营业执照”或“营业执照”；</w:t>
      </w:r>
    </w:p>
    <w:p w14:paraId="736525D3">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②</w:t>
      </w:r>
      <w:r>
        <w:rPr>
          <w:rFonts w:hint="eastAsia" w:ascii="新宋体" w:hAnsi="新宋体" w:eastAsia="新宋体" w:cs="新宋体"/>
          <w:color w:val="auto"/>
          <w:kern w:val="0"/>
          <w:sz w:val="22"/>
          <w:szCs w:val="22"/>
          <w:highlight w:val="none"/>
          <w:lang w:eastAsia="zh-CN"/>
        </w:rPr>
        <w:t>如投标人是事业单位，提供有效的“事业单位法人证书”；</w:t>
      </w:r>
    </w:p>
    <w:p w14:paraId="056DF93C">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③</w:t>
      </w:r>
      <w:r>
        <w:rPr>
          <w:rFonts w:hint="eastAsia" w:ascii="新宋体" w:hAnsi="新宋体" w:eastAsia="新宋体" w:cs="新宋体"/>
          <w:color w:val="auto"/>
          <w:kern w:val="0"/>
          <w:sz w:val="22"/>
          <w:szCs w:val="22"/>
          <w:highlight w:val="none"/>
          <w:lang w:eastAsia="zh-CN"/>
        </w:rPr>
        <w:t>如投标人是非企业专业服务机构的，提供执业许可证等证明文件；</w:t>
      </w:r>
    </w:p>
    <w:p w14:paraId="25972E20">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④</w:t>
      </w:r>
      <w:r>
        <w:rPr>
          <w:rFonts w:hint="eastAsia" w:ascii="新宋体" w:hAnsi="新宋体" w:eastAsia="新宋体" w:cs="新宋体"/>
          <w:color w:val="auto"/>
          <w:kern w:val="0"/>
          <w:sz w:val="22"/>
          <w:szCs w:val="22"/>
          <w:highlight w:val="none"/>
          <w:lang w:eastAsia="zh-CN"/>
        </w:rPr>
        <w:t>如投标人是个体工商户，提供有效的“个体工商户营业执照”；</w:t>
      </w:r>
    </w:p>
    <w:p w14:paraId="00B388B5">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⑤</w:t>
      </w:r>
      <w:r>
        <w:rPr>
          <w:rFonts w:hint="eastAsia" w:ascii="新宋体" w:hAnsi="新宋体" w:eastAsia="新宋体" w:cs="新宋体"/>
          <w:color w:val="auto"/>
          <w:kern w:val="0"/>
          <w:sz w:val="22"/>
          <w:szCs w:val="22"/>
          <w:highlight w:val="none"/>
          <w:lang w:eastAsia="zh-CN"/>
        </w:rPr>
        <w:t>如投标人是自然人，提供有效的自然人身份证明（居民身份证正反面或公安机关出具的临时居民身份证正反面或港澳台胞证或护照）。</w:t>
      </w:r>
    </w:p>
    <w:p w14:paraId="231E4316">
      <w:pPr>
        <w:pStyle w:val="49"/>
        <w:tabs>
          <w:tab w:val="left" w:pos="312"/>
        </w:tabs>
        <w:adjustRightInd w:val="0"/>
        <w:snapToGrid w:val="0"/>
        <w:spacing w:before="0" w:beforeAutospacing="0" w:after="0" w:afterAutospacing="0" w:line="360" w:lineRule="auto"/>
        <w:rPr>
          <w:rFonts w:hint="eastAsia" w:ascii="新宋体" w:hAnsi="新宋体" w:eastAsia="新宋体" w:cs="新宋体"/>
          <w:bCs/>
          <w:color w:val="auto"/>
          <w:sz w:val="22"/>
          <w:szCs w:val="22"/>
          <w:highlight w:val="none"/>
        </w:rPr>
      </w:pPr>
    </w:p>
    <w:p w14:paraId="5B40ABAD">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1D6D5897">
      <w:pPr>
        <w:bidi w:val="0"/>
        <w:rPr>
          <w:rFonts w:hint="eastAsia" w:ascii="新宋体" w:hAnsi="新宋体" w:eastAsia="新宋体" w:cs="新宋体"/>
          <w:color w:val="auto"/>
          <w:highlight w:val="none"/>
        </w:rPr>
      </w:pPr>
    </w:p>
    <w:p w14:paraId="4A51A024">
      <w:pPr>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14:paraId="22243B80">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3、投标人信用查询</w:t>
      </w:r>
    </w:p>
    <w:p w14:paraId="7ED51FCC">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1</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投标人信用信息查询的查询渠道：“信用中国”（https://www.creditchina.gov.cn/）；“中国政府采购网”（http://www.ccgp.gov.cn/）；</w:t>
      </w:r>
    </w:p>
    <w:p w14:paraId="74856EB9">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2</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投标人信用信息查询截止时点：招标公告发布之日至投标截止时间前。</w:t>
      </w:r>
    </w:p>
    <w:p w14:paraId="17E5CAD3">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3</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投标人信用信息查询记录和证据留存的具体方式：网页截图；</w:t>
      </w:r>
    </w:p>
    <w:p w14:paraId="02B11921">
      <w:pPr>
        <w:tabs>
          <w:tab w:val="left" w:pos="360"/>
        </w:tabs>
        <w:spacing w:line="460" w:lineRule="exact"/>
        <w:ind w:firstLine="552" w:firstLineChars="25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highlight w:val="none"/>
          <w:u w:val="single"/>
          <w:lang w:eastAsia="zh-CN"/>
        </w:rPr>
        <w:t>（</w:t>
      </w:r>
      <w:r>
        <w:rPr>
          <w:rFonts w:hint="eastAsia" w:ascii="新宋体" w:hAnsi="新宋体" w:eastAsia="新宋体" w:cs="新宋体"/>
          <w:b/>
          <w:bCs/>
          <w:color w:val="auto"/>
          <w:sz w:val="22"/>
          <w:highlight w:val="none"/>
          <w:u w:val="single"/>
        </w:rPr>
        <w:t>4</w:t>
      </w:r>
      <w:r>
        <w:rPr>
          <w:rFonts w:hint="eastAsia" w:ascii="新宋体" w:hAnsi="新宋体" w:eastAsia="新宋体" w:cs="新宋体"/>
          <w:b/>
          <w:bCs/>
          <w:color w:val="auto"/>
          <w:sz w:val="22"/>
          <w:highlight w:val="none"/>
          <w:u w:val="single"/>
          <w:lang w:eastAsia="zh-CN"/>
        </w:rPr>
        <w:t>）</w:t>
      </w:r>
      <w:r>
        <w:rPr>
          <w:rFonts w:hint="eastAsia" w:ascii="新宋体" w:hAnsi="新宋体" w:eastAsia="新宋体" w:cs="新宋体"/>
          <w:b/>
          <w:bCs/>
          <w:color w:val="auto"/>
          <w:sz w:val="22"/>
          <w:highlight w:val="none"/>
          <w:u w:val="single"/>
        </w:rPr>
        <w:t>信用信息的使用规则：对列入失信被执行人、重大税收违法案件当事人名单、政府采购严重违法失信行为记录名单及其他不符合《中华人民共和国政府采购法》第二十二条规定条件的投标人，其投标做无效投标处理。</w:t>
      </w:r>
    </w:p>
    <w:p w14:paraId="493EFEA2">
      <w:pPr>
        <w:bidi w:val="0"/>
        <w:rPr>
          <w:rFonts w:hint="eastAsia" w:ascii="新宋体" w:hAnsi="新宋体" w:eastAsia="新宋体" w:cs="新宋体"/>
          <w:color w:val="auto"/>
          <w:highlight w:val="none"/>
        </w:rPr>
      </w:pPr>
    </w:p>
    <w:p w14:paraId="1243F0CA">
      <w:pPr>
        <w:bidi w:val="0"/>
        <w:rPr>
          <w:rFonts w:hint="eastAsia" w:ascii="新宋体" w:hAnsi="新宋体" w:eastAsia="新宋体" w:cs="新宋体"/>
          <w:color w:val="auto"/>
          <w:highlight w:val="none"/>
        </w:rPr>
      </w:pPr>
    </w:p>
    <w:p w14:paraId="23CE7BC2">
      <w:pPr>
        <w:bidi w:val="0"/>
        <w:rPr>
          <w:rFonts w:hint="eastAsia" w:ascii="新宋体" w:hAnsi="新宋体" w:eastAsia="新宋体" w:cs="新宋体"/>
          <w:color w:val="auto"/>
          <w:highlight w:val="none"/>
        </w:rPr>
      </w:pPr>
    </w:p>
    <w:p w14:paraId="55C54A35">
      <w:pPr>
        <w:bidi w:val="0"/>
        <w:rPr>
          <w:rFonts w:hint="eastAsia" w:ascii="新宋体" w:hAnsi="新宋体" w:eastAsia="新宋体" w:cs="新宋体"/>
          <w:color w:val="auto"/>
          <w:highlight w:val="none"/>
        </w:rPr>
      </w:pPr>
    </w:p>
    <w:p w14:paraId="01D93627">
      <w:pPr>
        <w:bidi w:val="0"/>
        <w:rPr>
          <w:rFonts w:hint="eastAsia" w:ascii="新宋体" w:hAnsi="新宋体" w:eastAsia="新宋体" w:cs="新宋体"/>
          <w:color w:val="auto"/>
          <w:highlight w:val="none"/>
        </w:rPr>
      </w:pPr>
    </w:p>
    <w:p w14:paraId="4FFF18D0">
      <w:pPr>
        <w:bidi w:val="0"/>
        <w:rPr>
          <w:rFonts w:hint="eastAsia" w:ascii="新宋体" w:hAnsi="新宋体" w:eastAsia="新宋体" w:cs="新宋体"/>
          <w:color w:val="auto"/>
          <w:highlight w:val="none"/>
        </w:rPr>
      </w:pPr>
    </w:p>
    <w:p w14:paraId="79208257">
      <w:pPr>
        <w:bidi w:val="0"/>
        <w:rPr>
          <w:rFonts w:hint="eastAsia" w:ascii="新宋体" w:hAnsi="新宋体" w:eastAsia="新宋体" w:cs="新宋体"/>
          <w:color w:val="auto"/>
          <w:highlight w:val="none"/>
        </w:rPr>
      </w:pPr>
    </w:p>
    <w:p w14:paraId="49EDB84E">
      <w:pPr>
        <w:bidi w:val="0"/>
        <w:rPr>
          <w:rFonts w:hint="eastAsia" w:ascii="新宋体" w:hAnsi="新宋体" w:eastAsia="新宋体" w:cs="新宋体"/>
          <w:color w:val="auto"/>
          <w:highlight w:val="none"/>
        </w:rPr>
      </w:pPr>
    </w:p>
    <w:p w14:paraId="252F305A">
      <w:pPr>
        <w:bidi w:val="0"/>
        <w:rPr>
          <w:rFonts w:hint="eastAsia" w:ascii="新宋体" w:hAnsi="新宋体" w:eastAsia="新宋体" w:cs="新宋体"/>
          <w:color w:val="auto"/>
          <w:highlight w:val="none"/>
        </w:rPr>
      </w:pPr>
    </w:p>
    <w:p w14:paraId="5F50F67F">
      <w:pPr>
        <w:bidi w:val="0"/>
        <w:rPr>
          <w:rFonts w:hint="eastAsia" w:ascii="新宋体" w:hAnsi="新宋体" w:eastAsia="新宋体" w:cs="新宋体"/>
          <w:color w:val="auto"/>
          <w:highlight w:val="none"/>
        </w:rPr>
      </w:pPr>
    </w:p>
    <w:p w14:paraId="0CEE262F">
      <w:pPr>
        <w:bidi w:val="0"/>
        <w:rPr>
          <w:rFonts w:hint="eastAsia" w:ascii="新宋体" w:hAnsi="新宋体" w:eastAsia="新宋体" w:cs="新宋体"/>
          <w:color w:val="auto"/>
          <w:highlight w:val="none"/>
        </w:rPr>
      </w:pPr>
    </w:p>
    <w:p w14:paraId="724293AE">
      <w:pPr>
        <w:bidi w:val="0"/>
        <w:rPr>
          <w:rFonts w:hint="eastAsia" w:ascii="新宋体" w:hAnsi="新宋体" w:eastAsia="新宋体" w:cs="新宋体"/>
          <w:color w:val="auto"/>
          <w:highlight w:val="none"/>
        </w:rPr>
      </w:pPr>
    </w:p>
    <w:p w14:paraId="788DCD0F">
      <w:pPr>
        <w:bidi w:val="0"/>
        <w:rPr>
          <w:rFonts w:hint="eastAsia" w:ascii="新宋体" w:hAnsi="新宋体" w:eastAsia="新宋体" w:cs="新宋体"/>
          <w:color w:val="auto"/>
          <w:highlight w:val="none"/>
        </w:rPr>
      </w:pPr>
    </w:p>
    <w:p w14:paraId="3509DD93">
      <w:pPr>
        <w:bidi w:val="0"/>
        <w:rPr>
          <w:rFonts w:hint="eastAsia" w:ascii="新宋体" w:hAnsi="新宋体" w:eastAsia="新宋体" w:cs="新宋体"/>
          <w:color w:val="auto"/>
          <w:highlight w:val="none"/>
        </w:rPr>
      </w:pPr>
    </w:p>
    <w:p w14:paraId="05C5C51D">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4"/>
          <w:szCs w:val="24"/>
          <w:highlight w:val="none"/>
          <w:lang w:val="en-US" w:eastAsia="zh-CN"/>
        </w:rPr>
        <w:t>4、政府采购活动现场确认声明书</w:t>
      </w:r>
    </w:p>
    <w:p w14:paraId="0594B358">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rPr>
        <w:t>温州历程招标有限公司：</w:t>
      </w:r>
    </w:p>
    <w:p w14:paraId="4DF30820">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lang w:bidi="ar"/>
        </w:rPr>
        <w:t>本人经由</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（供应商名称）负责人</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（姓名）合法授权参加</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（编号：</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）采购活动，经与本单位法人代表</w:t>
      </w:r>
      <w:r>
        <w:rPr>
          <w:rFonts w:hint="eastAsia" w:ascii="新宋体" w:hAnsi="新宋体" w:eastAsia="新宋体" w:cs="新宋体"/>
          <w:color w:val="auto"/>
          <w:kern w:val="0"/>
          <w:sz w:val="22"/>
          <w:szCs w:val="22"/>
          <w:highlight w:val="none"/>
          <w:u w:val="single"/>
          <w:lang w:bidi="ar"/>
        </w:rPr>
        <w:t>（负责人）</w:t>
      </w:r>
      <w:r>
        <w:rPr>
          <w:rFonts w:hint="eastAsia" w:ascii="新宋体" w:hAnsi="新宋体" w:eastAsia="新宋体" w:cs="新宋体"/>
          <w:color w:val="auto"/>
          <w:kern w:val="0"/>
          <w:sz w:val="22"/>
          <w:szCs w:val="22"/>
          <w:highlight w:val="none"/>
          <w:lang w:bidi="ar"/>
        </w:rPr>
        <w:t>联系确认，现就有关公平竞争事项郑重声明如下：</w:t>
      </w:r>
    </w:p>
    <w:p w14:paraId="05AD1080">
      <w:pPr>
        <w:spacing w:line="460" w:lineRule="exac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（一）本单位与采购人之间 </w:t>
      </w: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 xml:space="preserve">不存在利害关系 </w:t>
      </w: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存在下列利害关系：</w:t>
      </w:r>
    </w:p>
    <w:p w14:paraId="1CC92013">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A.投资关系 </w:t>
      </w:r>
    </w:p>
    <w:p w14:paraId="4355EFDE">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B.行政隶属关系 </w:t>
      </w:r>
    </w:p>
    <w:p w14:paraId="0A7AFD1E">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C.业务指导关系 </w:t>
      </w:r>
    </w:p>
    <w:p w14:paraId="231672BA">
      <w:pPr>
        <w:spacing w:line="460" w:lineRule="exact"/>
        <w:ind w:firstLine="660" w:firstLineChars="3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D.其他可能影响采购公正的利害关系</w:t>
      </w:r>
      <w:r>
        <w:rPr>
          <w:rStyle w:val="145"/>
          <w:rFonts w:hint="eastAsia" w:ascii="新宋体" w:hAnsi="新宋体" w:eastAsia="新宋体" w:cs="新宋体"/>
          <w:color w:val="auto"/>
          <w:sz w:val="22"/>
          <w:szCs w:val="22"/>
          <w:highlight w:val="none"/>
          <w:lang w:bidi="ar"/>
        </w:rPr>
        <w:t xml:space="preserve">（如有，请如实说明）                 </w:t>
      </w:r>
      <w:r>
        <w:rPr>
          <w:rFonts w:hint="eastAsia" w:ascii="新宋体" w:hAnsi="新宋体" w:eastAsia="新宋体" w:cs="新宋体"/>
          <w:color w:val="auto"/>
          <w:kern w:val="0"/>
          <w:sz w:val="22"/>
          <w:szCs w:val="22"/>
          <w:highlight w:val="none"/>
          <w:lang w:bidi="ar"/>
        </w:rPr>
        <w:t>。</w:t>
      </w:r>
    </w:p>
    <w:p w14:paraId="1F1BF303">
      <w:pPr>
        <w:spacing w:line="460" w:lineRule="exac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（二）现已清楚知道参加本项目采购活动的其他所有供应商名称，本单位 </w:t>
      </w:r>
    </w:p>
    <w:p w14:paraId="39CD13A8">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 xml:space="preserve">与其他所有供应商之间均不存在利害关系 </w:t>
      </w:r>
    </w:p>
    <w:p w14:paraId="14E3FE9C">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与</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供应商名称）之间存在下列利害关系</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w:t>
      </w:r>
    </w:p>
    <w:p w14:paraId="077F6B2F">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A.法定代表人或负责人或实际控制人是同一人</w:t>
      </w:r>
    </w:p>
    <w:p w14:paraId="21676D61">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B.法定代表人或负责人或实际控制人是夫妻关系</w:t>
      </w:r>
    </w:p>
    <w:p w14:paraId="1EFCF48D">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C.法定代表人或负责人或实际控制人是直系血亲关系</w:t>
      </w:r>
    </w:p>
    <w:p w14:paraId="3B885E7B">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D.法定代表人或负责人或实际控制人存在三代以内旁系血亲关系</w:t>
      </w:r>
    </w:p>
    <w:p w14:paraId="41EF8933">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E.法定代表人或负责人或实际控制人存在近姻亲关系</w:t>
      </w:r>
    </w:p>
    <w:p w14:paraId="60E1AEDB">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F.法定代表人或负责人或实际控制人存在股份控制或实际控制关系</w:t>
      </w:r>
    </w:p>
    <w:p w14:paraId="5CE83929">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G.存在共同直接或间接投资设立子公司、联营企业和合营企业情况</w:t>
      </w:r>
    </w:p>
    <w:p w14:paraId="4316A788">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H.存在分级代理或代销关系、同一生产制造商关系、管理关系、重要业务（占主营业务收入50%以上）或重要财务往来关系（如融资）等其他实质性控制关系</w:t>
      </w:r>
    </w:p>
    <w:p w14:paraId="1EA59E36">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I.其他利害关系情况</w:t>
      </w:r>
      <w:r>
        <w:rPr>
          <w:rFonts w:hint="eastAsia" w:ascii="新宋体" w:hAnsi="新宋体" w:eastAsia="新宋体" w:cs="新宋体"/>
          <w:color w:val="auto"/>
          <w:kern w:val="0"/>
          <w:sz w:val="22"/>
          <w:szCs w:val="22"/>
          <w:highlight w:val="none"/>
          <w:u w:val="single"/>
          <w:lang w:bidi="ar"/>
        </w:rPr>
        <w:t xml:space="preserve">                              。</w:t>
      </w:r>
    </w:p>
    <w:p w14:paraId="565ECF9D">
      <w:pPr>
        <w:pStyle w:val="23"/>
        <w:spacing w:line="460" w:lineRule="exact"/>
        <w:ind w:left="0" w:leftChars="0" w:firstLine="0" w:firstLineChars="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（三）现已清楚知道并严格遵守法律法规和现场纪律</w:t>
      </w:r>
    </w:p>
    <w:p w14:paraId="6893DE7E">
      <w:pPr>
        <w:pStyle w:val="23"/>
        <w:spacing w:line="460" w:lineRule="exact"/>
        <w:ind w:left="0" w:leftChars="0" w:firstLine="0" w:firstLineChars="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（四）我发现</w:t>
      </w:r>
      <w:r>
        <w:rPr>
          <w:rStyle w:val="145"/>
          <w:rFonts w:hint="eastAsia" w:ascii="新宋体" w:hAnsi="新宋体" w:eastAsia="新宋体" w:cs="新宋体"/>
          <w:color w:val="auto"/>
          <w:sz w:val="22"/>
          <w:szCs w:val="22"/>
          <w:highlight w:val="none"/>
          <w:lang w:bidi="ar"/>
        </w:rPr>
        <w:t xml:space="preserve">                  </w:t>
      </w:r>
      <w:r>
        <w:rPr>
          <w:rStyle w:val="145"/>
          <w:rFonts w:hint="eastAsia" w:ascii="新宋体" w:hAnsi="新宋体" w:eastAsia="新宋体" w:cs="新宋体"/>
          <w:color w:val="auto"/>
          <w:sz w:val="22"/>
          <w:szCs w:val="22"/>
          <w:highlight w:val="none"/>
          <w:u w:val="none"/>
          <w:lang w:bidi="ar"/>
        </w:rPr>
        <w:t>与</w:t>
      </w:r>
      <w:r>
        <w:rPr>
          <w:rStyle w:val="145"/>
          <w:rFonts w:hint="eastAsia" w:ascii="新宋体" w:hAnsi="新宋体" w:eastAsia="新宋体" w:cs="新宋体"/>
          <w:color w:val="auto"/>
          <w:sz w:val="22"/>
          <w:szCs w:val="22"/>
          <w:highlight w:val="none"/>
          <w:lang w:bidi="ar"/>
        </w:rPr>
        <w:t xml:space="preserve">                  （供应商名称）</w:t>
      </w:r>
      <w:r>
        <w:rPr>
          <w:rFonts w:hint="eastAsia" w:ascii="新宋体" w:hAnsi="新宋体" w:eastAsia="新宋体" w:cs="新宋体"/>
          <w:color w:val="auto"/>
          <w:kern w:val="0"/>
          <w:sz w:val="22"/>
          <w:szCs w:val="22"/>
          <w:highlight w:val="none"/>
          <w:lang w:bidi="ar"/>
        </w:rPr>
        <w:t>之间存在或可能存在上述第二条第</w:t>
      </w:r>
      <w:r>
        <w:rPr>
          <w:rStyle w:val="145"/>
          <w:rFonts w:hint="eastAsia" w:ascii="新宋体" w:hAnsi="新宋体" w:eastAsia="新宋体" w:cs="新宋体"/>
          <w:color w:val="auto"/>
          <w:sz w:val="22"/>
          <w:szCs w:val="22"/>
          <w:highlight w:val="none"/>
          <w:lang w:bidi="ar"/>
        </w:rPr>
        <w:t xml:space="preserve">        </w:t>
      </w:r>
      <w:r>
        <w:rPr>
          <w:rFonts w:hint="eastAsia" w:ascii="新宋体" w:hAnsi="新宋体" w:eastAsia="新宋体" w:cs="新宋体"/>
          <w:color w:val="auto"/>
          <w:kern w:val="0"/>
          <w:sz w:val="22"/>
          <w:szCs w:val="22"/>
          <w:highlight w:val="none"/>
          <w:lang w:bidi="ar"/>
        </w:rPr>
        <w:t>项利害关系。</w:t>
      </w:r>
    </w:p>
    <w:p w14:paraId="376720FD">
      <w:pPr>
        <w:pStyle w:val="23"/>
        <w:spacing w:line="460" w:lineRule="exact"/>
        <w:ind w:left="0" w:leftChars="0" w:firstLine="0" w:firstLineChars="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lang w:bidi="ar"/>
        </w:rPr>
        <w:t>供应商代表签名：</w:t>
      </w:r>
    </w:p>
    <w:p w14:paraId="69D0FEF9">
      <w:pPr>
        <w:pStyle w:val="23"/>
        <w:spacing w:line="460" w:lineRule="exact"/>
        <w:ind w:left="0" w:leftChars="0" w:firstLine="0" w:firstLineChars="0"/>
        <w:rPr>
          <w:rFonts w:hint="eastAsia" w:ascii="新宋体" w:hAnsi="新宋体" w:eastAsia="新宋体" w:cs="新宋体"/>
          <w:b/>
          <w:color w:val="auto"/>
          <w:kern w:val="0"/>
          <w:sz w:val="22"/>
          <w:szCs w:val="22"/>
          <w:highlight w:val="none"/>
        </w:rPr>
      </w:pPr>
    </w:p>
    <w:p w14:paraId="0001A90D">
      <w:pPr>
        <w:pStyle w:val="23"/>
        <w:spacing w:line="460" w:lineRule="exact"/>
        <w:ind w:left="0" w:firstLine="0" w:firstLineChars="0"/>
        <w:jc w:val="righ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日期：</w:t>
      </w:r>
      <w:r>
        <w:rPr>
          <w:rFonts w:hint="eastAsia" w:ascii="新宋体" w:hAnsi="新宋体" w:eastAsia="新宋体" w:cs="新宋体"/>
          <w:b/>
          <w:color w:val="auto"/>
          <w:kern w:val="0"/>
          <w:sz w:val="22"/>
          <w:szCs w:val="22"/>
          <w:highlight w:val="none"/>
          <w:lang w:val="en-US" w:eastAsia="zh-CN"/>
        </w:rPr>
        <w:t xml:space="preserve">    </w:t>
      </w:r>
      <w:r>
        <w:rPr>
          <w:rFonts w:hint="eastAsia" w:ascii="新宋体" w:hAnsi="新宋体" w:eastAsia="新宋体" w:cs="新宋体"/>
          <w:b/>
          <w:color w:val="auto"/>
          <w:kern w:val="0"/>
          <w:sz w:val="22"/>
          <w:szCs w:val="22"/>
          <w:highlight w:val="none"/>
        </w:rPr>
        <w:t>年    月    日</w:t>
      </w:r>
    </w:p>
    <w:p w14:paraId="256F0DF5">
      <w:pPr>
        <w:pStyle w:val="23"/>
        <w:spacing w:line="460" w:lineRule="exact"/>
        <w:ind w:left="0" w:firstLine="0" w:firstLineChars="0"/>
        <w:jc w:val="right"/>
        <w:rPr>
          <w:rFonts w:hint="eastAsia" w:ascii="新宋体" w:hAnsi="新宋体" w:eastAsia="新宋体" w:cs="新宋体"/>
          <w:b/>
          <w:color w:val="auto"/>
          <w:kern w:val="0"/>
          <w:sz w:val="22"/>
          <w:szCs w:val="22"/>
          <w:highlight w:val="none"/>
        </w:rPr>
      </w:pPr>
    </w:p>
    <w:p w14:paraId="62376DC7">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5、联合体共同投标协议书（如有）</w:t>
      </w:r>
    </w:p>
    <w:p w14:paraId="00959EC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牵头人名称：</w:t>
      </w:r>
      <w:r>
        <w:rPr>
          <w:rFonts w:hint="eastAsia" w:ascii="新宋体" w:hAnsi="新宋体" w:eastAsia="新宋体" w:cs="新宋体"/>
          <w:color w:val="auto"/>
          <w:sz w:val="22"/>
          <w:szCs w:val="22"/>
          <w:highlight w:val="none"/>
          <w:u w:val="single"/>
        </w:rPr>
        <w:t xml:space="preserve">                                                        </w:t>
      </w:r>
    </w:p>
    <w:p w14:paraId="58059C2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p>
    <w:p w14:paraId="20250DA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5"/>
          <w:sz w:val="22"/>
          <w:szCs w:val="22"/>
          <w:highlight w:val="none"/>
        </w:rPr>
        <w:t>法定住</w:t>
      </w:r>
      <w:r>
        <w:rPr>
          <w:rFonts w:hint="eastAsia" w:ascii="新宋体" w:hAnsi="新宋体" w:eastAsia="新宋体" w:cs="新宋体"/>
          <w:color w:val="auto"/>
          <w:sz w:val="22"/>
          <w:szCs w:val="22"/>
          <w:highlight w:val="none"/>
        </w:rPr>
        <w:t>所：</w:t>
      </w:r>
      <w:r>
        <w:rPr>
          <w:rFonts w:hint="eastAsia" w:ascii="新宋体" w:hAnsi="新宋体" w:eastAsia="新宋体" w:cs="新宋体"/>
          <w:color w:val="auto"/>
          <w:sz w:val="22"/>
          <w:szCs w:val="22"/>
          <w:highlight w:val="none"/>
          <w:u w:val="single"/>
        </w:rPr>
        <w:t xml:space="preserve">                                                        </w:t>
      </w:r>
    </w:p>
    <w:p w14:paraId="0363405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成员名称：</w:t>
      </w:r>
      <w:r>
        <w:rPr>
          <w:rFonts w:hint="eastAsia" w:ascii="新宋体" w:hAnsi="新宋体" w:eastAsia="新宋体" w:cs="新宋体"/>
          <w:color w:val="auto"/>
          <w:sz w:val="22"/>
          <w:szCs w:val="22"/>
          <w:highlight w:val="none"/>
          <w:u w:val="single"/>
        </w:rPr>
        <w:t xml:space="preserve">                                                    </w:t>
      </w:r>
    </w:p>
    <w:p w14:paraId="5558C93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p>
    <w:p w14:paraId="5F79678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5"/>
          <w:sz w:val="22"/>
          <w:szCs w:val="22"/>
          <w:highlight w:val="none"/>
        </w:rPr>
        <w:t>法定住</w:t>
      </w:r>
      <w:r>
        <w:rPr>
          <w:rFonts w:hint="eastAsia" w:ascii="新宋体" w:hAnsi="新宋体" w:eastAsia="新宋体" w:cs="新宋体"/>
          <w:color w:val="auto"/>
          <w:sz w:val="22"/>
          <w:szCs w:val="22"/>
          <w:highlight w:val="none"/>
        </w:rPr>
        <w:t>所：</w:t>
      </w:r>
      <w:r>
        <w:rPr>
          <w:rFonts w:hint="eastAsia" w:ascii="新宋体" w:hAnsi="新宋体" w:eastAsia="新宋体" w:cs="新宋体"/>
          <w:color w:val="auto"/>
          <w:sz w:val="22"/>
          <w:szCs w:val="22"/>
          <w:highlight w:val="none"/>
          <w:u w:val="single"/>
        </w:rPr>
        <w:t xml:space="preserve">                                                        </w:t>
      </w:r>
    </w:p>
    <w:p w14:paraId="28D59B9F">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鉴于上述各成员单位经过友好协商，自愿组成</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（联合体名称）联合体，共同参加</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（招标人名称）（以下简称招标人）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（项目名称）（以下简称合同）。现就联合体投标事宜订立如下协议：</w:t>
      </w:r>
    </w:p>
    <w:p w14:paraId="72761C64">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（某成员单位名称）为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（联合体名称）牵头人。</w:t>
      </w:r>
    </w:p>
    <w:p w14:paraId="385F1704">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2、在本项目投标阶段，联合体牵头人合法代表联合体各成员负责本</w:t>
      </w:r>
      <w:r>
        <w:rPr>
          <w:rFonts w:hint="eastAsia" w:ascii="新宋体" w:hAnsi="新宋体" w:eastAsia="新宋体" w:cs="新宋体"/>
          <w:color w:val="auto"/>
          <w:sz w:val="22"/>
          <w:szCs w:val="22"/>
          <w:highlight w:val="none"/>
          <w:lang w:eastAsia="zh-CN"/>
        </w:rPr>
        <w:t>项目</w:t>
      </w:r>
      <w:r>
        <w:rPr>
          <w:rFonts w:hint="eastAsia" w:ascii="新宋体" w:hAnsi="新宋体" w:eastAsia="新宋体" w:cs="新宋体"/>
          <w:color w:val="auto"/>
          <w:sz w:val="22"/>
          <w:szCs w:val="22"/>
          <w:highlight w:val="none"/>
        </w:rPr>
        <w:t>投标文件编制活动，代表联合体提交和接收相关的资料、信息及指示，并处理投标和中标有关的一切事务；联合体中标后，联合体牵头人负责合同订立和合同实施阶段的主办、组织和协调工作。</w:t>
      </w:r>
    </w:p>
    <w:p w14:paraId="2293F383">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3、联合体将严格按照</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的各项要求，递交投标文件，履行投标义务和中标后的合同，共同承担合同规定的一切义务和责任，联合体各成员单位按照内部职责的划分，承担各自所负的责任和风险，并向招标人承担连带责任。</w:t>
      </w:r>
    </w:p>
    <w:p w14:paraId="577ED9D8">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4、联合体各成员单位内部的职责分工如下：</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p>
    <w:p w14:paraId="1BD09F2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按照本条上述分工，联合体成员单位</w:t>
      </w:r>
      <w:r>
        <w:rPr>
          <w:rFonts w:hint="eastAsia" w:ascii="新宋体" w:hAnsi="新宋体" w:eastAsia="新宋体" w:cs="新宋体"/>
          <w:color w:val="auto"/>
          <w:sz w:val="22"/>
          <w:szCs w:val="22"/>
          <w:highlight w:val="none"/>
          <w:lang w:val="en-US" w:eastAsia="zh-CN"/>
        </w:rPr>
        <w:t>合同份额占合同总金额的占比</w:t>
      </w:r>
      <w:r>
        <w:rPr>
          <w:rFonts w:hint="eastAsia" w:ascii="新宋体" w:hAnsi="新宋体" w:eastAsia="新宋体" w:cs="新宋体"/>
          <w:color w:val="auto"/>
          <w:sz w:val="22"/>
          <w:szCs w:val="22"/>
          <w:highlight w:val="none"/>
        </w:rPr>
        <w:t>比例如下：</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p>
    <w:p w14:paraId="07F09531">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5、联合体中标后，本联合体协议是合同的附件，对联合体各成员单位有合同约束力。</w:t>
      </w:r>
    </w:p>
    <w:p w14:paraId="11885E5A">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6、本协议书自签署之日起生效，联合体未中标或者中标时合同履行完毕后自动失效。</w:t>
      </w:r>
    </w:p>
    <w:p w14:paraId="24526D3C">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7、本协议书一式</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份，联合体成员和招标人各执一份。</w:t>
      </w:r>
    </w:p>
    <w:p w14:paraId="27925554">
      <w:pPr>
        <w:keepNext w:val="0"/>
        <w:keepLines w:val="0"/>
        <w:pageBreakBefore w:val="0"/>
        <w:widowControl w:val="0"/>
        <w:kinsoku/>
        <w:wordWrap/>
        <w:overflowPunct/>
        <w:topLinePunct w:val="0"/>
        <w:autoSpaceDE/>
        <w:autoSpaceDN/>
        <w:bidi w:val="0"/>
        <w:adjustRightInd/>
        <w:snapToGrid/>
        <w:spacing w:line="460" w:lineRule="exact"/>
        <w:ind w:firstLine="2785" w:firstLineChars="1266"/>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牵头人名称：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（盖单位公章）</w:t>
      </w:r>
    </w:p>
    <w:p w14:paraId="10D867F8">
      <w:pPr>
        <w:keepNext w:val="0"/>
        <w:keepLines w:val="0"/>
        <w:pageBreakBefore w:val="0"/>
        <w:widowControl w:val="0"/>
        <w:kinsoku/>
        <w:wordWrap/>
        <w:overflowPunct/>
        <w:topLinePunct w:val="0"/>
        <w:autoSpaceDE/>
        <w:autoSpaceDN/>
        <w:bidi w:val="0"/>
        <w:adjustRightInd/>
        <w:snapToGrid/>
        <w:spacing w:line="460" w:lineRule="exact"/>
        <w:ind w:firstLine="1100" w:firstLineChars="5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或授权代表：</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（签字或盖章）</w:t>
      </w:r>
    </w:p>
    <w:p w14:paraId="7DB25F5B">
      <w:pPr>
        <w:keepNext w:val="0"/>
        <w:keepLines w:val="0"/>
        <w:pageBreakBefore w:val="0"/>
        <w:widowControl w:val="0"/>
        <w:kinsoku/>
        <w:wordWrap/>
        <w:overflowPunct/>
        <w:topLinePunct w:val="0"/>
        <w:autoSpaceDE/>
        <w:autoSpaceDN/>
        <w:bidi w:val="0"/>
        <w:adjustRightInd/>
        <w:snapToGrid/>
        <w:spacing w:line="460" w:lineRule="exact"/>
        <w:ind w:firstLine="2785" w:firstLineChars="1266"/>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成员名称：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（盖单位公章）</w:t>
      </w:r>
    </w:p>
    <w:p w14:paraId="226B2D6A">
      <w:pPr>
        <w:keepNext w:val="0"/>
        <w:keepLines w:val="0"/>
        <w:pageBreakBefore w:val="0"/>
        <w:widowControl w:val="0"/>
        <w:kinsoku/>
        <w:wordWrap/>
        <w:overflowPunct/>
        <w:topLinePunct w:val="0"/>
        <w:autoSpaceDE/>
        <w:autoSpaceDN/>
        <w:bidi w:val="0"/>
        <w:adjustRightInd/>
        <w:snapToGrid/>
        <w:spacing w:line="460" w:lineRule="exact"/>
        <w:ind w:firstLine="1100" w:firstLineChars="5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或授权代表：</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（签字或盖章）</w:t>
      </w:r>
    </w:p>
    <w:p w14:paraId="65333970">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 xml:space="preserve">日             </w:t>
      </w:r>
    </w:p>
    <w:p w14:paraId="1124FE7E">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新宋体" w:hAnsi="新宋体" w:eastAsia="新宋体" w:cs="新宋体"/>
          <w:color w:val="auto"/>
          <w:sz w:val="22"/>
          <w:szCs w:val="22"/>
          <w:highlight w:val="none"/>
        </w:rPr>
      </w:pPr>
    </w:p>
    <w:p w14:paraId="5C7F16DB">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新宋体" w:hAnsi="新宋体" w:eastAsia="新宋体" w:cs="新宋体"/>
          <w:b/>
          <w:color w:val="auto"/>
          <w:sz w:val="22"/>
          <w:highlight w:val="none"/>
          <w:lang w:val="en-US" w:eastAsia="zh-CN"/>
        </w:rPr>
      </w:pPr>
      <w:r>
        <w:rPr>
          <w:rFonts w:hint="eastAsia" w:ascii="新宋体" w:hAnsi="新宋体" w:eastAsia="新宋体" w:cs="新宋体"/>
          <w:color w:val="auto"/>
          <w:sz w:val="22"/>
          <w:szCs w:val="22"/>
          <w:highlight w:val="none"/>
        </w:rPr>
        <w:t>备注：本协议书由授权代表签字或盖章的，应附</w:t>
      </w: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签字或盖章的授权委托书。</w:t>
      </w:r>
    </w:p>
    <w:p w14:paraId="587040F9">
      <w:pPr>
        <w:pStyle w:val="23"/>
        <w:spacing w:line="460" w:lineRule="exact"/>
        <w:ind w:left="0" w:leftChars="0" w:firstLine="0" w:firstLineChars="0"/>
        <w:jc w:val="both"/>
        <w:rPr>
          <w:rFonts w:hint="eastAsia" w:ascii="新宋体" w:hAnsi="新宋体" w:eastAsia="新宋体" w:cs="新宋体"/>
          <w:b/>
          <w:color w:val="auto"/>
          <w:kern w:val="0"/>
          <w:sz w:val="22"/>
          <w:szCs w:val="22"/>
          <w:highlight w:val="none"/>
        </w:rPr>
      </w:pPr>
    </w:p>
    <w:p w14:paraId="16DF79D3">
      <w:pPr>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br w:type="page"/>
      </w:r>
    </w:p>
    <w:p w14:paraId="7AB43EFE">
      <w:pPr>
        <w:pStyle w:val="23"/>
        <w:spacing w:line="460" w:lineRule="exact"/>
        <w:ind w:left="0" w:leftChars="0"/>
        <w:outlineLvl w:val="1"/>
        <w:rPr>
          <w:rFonts w:hint="eastAsia" w:ascii="新宋体" w:hAnsi="新宋体" w:eastAsia="新宋体" w:cs="新宋体"/>
          <w:b/>
          <w:color w:val="auto"/>
          <w:sz w:val="22"/>
          <w:highlight w:val="none"/>
          <w:lang w:eastAsia="zh-CN"/>
        </w:rPr>
      </w:pPr>
      <w:bookmarkStart w:id="28" w:name="_Toc10365"/>
      <w:r>
        <w:rPr>
          <w:rFonts w:hint="eastAsia" w:ascii="新宋体" w:hAnsi="新宋体" w:eastAsia="新宋体" w:cs="新宋体"/>
          <w:b/>
          <w:color w:val="auto"/>
          <w:sz w:val="22"/>
          <w:highlight w:val="none"/>
        </w:rPr>
        <w:t>附件</w:t>
      </w:r>
      <w:r>
        <w:rPr>
          <w:rFonts w:hint="eastAsia" w:ascii="新宋体" w:hAnsi="新宋体" w:eastAsia="新宋体" w:cs="新宋体"/>
          <w:b/>
          <w:color w:val="auto"/>
          <w:sz w:val="22"/>
          <w:highlight w:val="none"/>
          <w:lang w:val="en-US" w:eastAsia="zh-CN"/>
        </w:rPr>
        <w:t>二</w:t>
      </w:r>
      <w:bookmarkEnd w:id="28"/>
    </w:p>
    <w:p w14:paraId="323A955D">
      <w:pPr>
        <w:spacing w:line="460" w:lineRule="exact"/>
        <w:jc w:val="center"/>
        <w:outlineLvl w:val="2"/>
        <w:rPr>
          <w:rFonts w:hint="eastAsia" w:ascii="新宋体" w:hAnsi="新宋体" w:eastAsia="新宋体" w:cs="新宋体"/>
          <w:b/>
          <w:bCs/>
          <w:color w:val="auto"/>
          <w:sz w:val="30"/>
          <w:szCs w:val="30"/>
          <w:highlight w:val="none"/>
        </w:rPr>
      </w:pPr>
      <w:bookmarkStart w:id="29" w:name="_Toc24790"/>
      <w:r>
        <w:rPr>
          <w:rFonts w:hint="eastAsia" w:ascii="新宋体" w:hAnsi="新宋体" w:eastAsia="新宋体" w:cs="新宋体"/>
          <w:b/>
          <w:bCs/>
          <w:color w:val="auto"/>
          <w:sz w:val="30"/>
          <w:szCs w:val="30"/>
          <w:highlight w:val="none"/>
        </w:rPr>
        <w:t>报价文件</w:t>
      </w:r>
      <w:bookmarkEnd w:id="27"/>
      <w:bookmarkEnd w:id="29"/>
    </w:p>
    <w:p w14:paraId="4086AFC8">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1、投标报价一览表</w:t>
      </w:r>
    </w:p>
    <w:p w14:paraId="7A6898D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项目名称：</w:t>
      </w:r>
    </w:p>
    <w:p w14:paraId="3A53551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 xml:space="preserve">项目编号： </w:t>
      </w:r>
    </w:p>
    <w:tbl>
      <w:tblPr>
        <w:tblStyle w:val="53"/>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7"/>
        <w:gridCol w:w="3375"/>
        <w:gridCol w:w="1393"/>
        <w:gridCol w:w="1312"/>
        <w:gridCol w:w="1150"/>
      </w:tblGrid>
      <w:tr w14:paraId="2863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47" w:type="dxa"/>
            <w:vAlign w:val="center"/>
          </w:tcPr>
          <w:p w14:paraId="16515D2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项目名称</w:t>
            </w:r>
          </w:p>
        </w:tc>
        <w:tc>
          <w:tcPr>
            <w:tcW w:w="3375" w:type="dxa"/>
            <w:vAlign w:val="center"/>
          </w:tcPr>
          <w:p w14:paraId="56F669E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投标报价</w:t>
            </w:r>
          </w:p>
        </w:tc>
        <w:tc>
          <w:tcPr>
            <w:tcW w:w="1393" w:type="dxa"/>
            <w:vAlign w:val="center"/>
          </w:tcPr>
          <w:p w14:paraId="7C4D8CD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交货日期</w:t>
            </w:r>
          </w:p>
        </w:tc>
        <w:tc>
          <w:tcPr>
            <w:tcW w:w="1312" w:type="dxa"/>
            <w:vAlign w:val="center"/>
          </w:tcPr>
          <w:p w14:paraId="4095FBE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交货地点</w:t>
            </w:r>
          </w:p>
        </w:tc>
        <w:tc>
          <w:tcPr>
            <w:tcW w:w="1150" w:type="dxa"/>
            <w:vAlign w:val="center"/>
          </w:tcPr>
          <w:p w14:paraId="6C48F66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备注</w:t>
            </w:r>
          </w:p>
        </w:tc>
      </w:tr>
      <w:tr w14:paraId="124E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347" w:type="dxa"/>
            <w:vMerge w:val="restart"/>
            <w:vAlign w:val="center"/>
          </w:tcPr>
          <w:p w14:paraId="66778E5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eastAsia="zh-CN"/>
              </w:rPr>
              <w:t>双能X射线骨密度仪</w:t>
            </w:r>
          </w:p>
        </w:tc>
        <w:tc>
          <w:tcPr>
            <w:tcW w:w="3375" w:type="dxa"/>
            <w:vAlign w:val="center"/>
          </w:tcPr>
          <w:p w14:paraId="6CFB9CE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小写：</w:t>
            </w:r>
          </w:p>
        </w:tc>
        <w:tc>
          <w:tcPr>
            <w:tcW w:w="1393" w:type="dxa"/>
            <w:vMerge w:val="restart"/>
          </w:tcPr>
          <w:p w14:paraId="7F6C1CC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p>
        </w:tc>
        <w:tc>
          <w:tcPr>
            <w:tcW w:w="1312" w:type="dxa"/>
            <w:vMerge w:val="restart"/>
          </w:tcPr>
          <w:p w14:paraId="15B533E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1150" w:type="dxa"/>
            <w:vMerge w:val="restart"/>
          </w:tcPr>
          <w:p w14:paraId="521FEF1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p>
        </w:tc>
      </w:tr>
      <w:tr w14:paraId="6116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2347" w:type="dxa"/>
            <w:vMerge w:val="continue"/>
          </w:tcPr>
          <w:p w14:paraId="5A54E72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p>
        </w:tc>
        <w:tc>
          <w:tcPr>
            <w:tcW w:w="3375" w:type="dxa"/>
            <w:vAlign w:val="center"/>
          </w:tcPr>
          <w:p w14:paraId="03248DE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大写：</w:t>
            </w:r>
          </w:p>
        </w:tc>
        <w:tc>
          <w:tcPr>
            <w:tcW w:w="1393" w:type="dxa"/>
            <w:vMerge w:val="continue"/>
          </w:tcPr>
          <w:p w14:paraId="2F680BE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p>
        </w:tc>
        <w:tc>
          <w:tcPr>
            <w:tcW w:w="1312" w:type="dxa"/>
            <w:vMerge w:val="continue"/>
          </w:tcPr>
          <w:p w14:paraId="78B8028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p>
        </w:tc>
        <w:tc>
          <w:tcPr>
            <w:tcW w:w="1150" w:type="dxa"/>
            <w:vMerge w:val="continue"/>
          </w:tcPr>
          <w:p w14:paraId="4270EA1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p>
        </w:tc>
      </w:tr>
    </w:tbl>
    <w:p w14:paraId="20F788D8">
      <w:pPr>
        <w:keepNext w:val="0"/>
        <w:keepLines w:val="0"/>
        <w:pageBreakBefore w:val="0"/>
        <w:widowControl w:val="0"/>
        <w:kinsoku/>
        <w:wordWrap/>
        <w:overflowPunct/>
        <w:topLinePunct w:val="0"/>
        <w:autoSpaceDE/>
        <w:autoSpaceDN/>
        <w:bidi w:val="0"/>
        <w:adjustRightInd/>
        <w:snapToGrid/>
        <w:spacing w:line="460" w:lineRule="exact"/>
        <w:ind w:left="535" w:leftChars="-171" w:hanging="894" w:hangingChars="405"/>
        <w:textAlignment w:val="auto"/>
        <w:rPr>
          <w:rFonts w:hint="eastAsia" w:ascii="新宋体" w:hAnsi="新宋体" w:eastAsia="新宋体" w:cs="新宋体"/>
          <w:b/>
          <w:color w:val="auto"/>
          <w:sz w:val="22"/>
          <w:szCs w:val="22"/>
          <w:highlight w:val="none"/>
        </w:rPr>
      </w:pPr>
    </w:p>
    <w:p w14:paraId="0D4BCAC9">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rPr>
          <w:rFonts w:hint="eastAsia" w:ascii="新宋体" w:hAnsi="新宋体" w:eastAsia="新宋体" w:cs="新宋体"/>
          <w:b/>
          <w:color w:val="auto"/>
          <w:sz w:val="22"/>
          <w:highlight w:val="none"/>
        </w:rPr>
      </w:pPr>
      <w:r>
        <w:rPr>
          <w:rFonts w:hint="eastAsia" w:ascii="新宋体" w:hAnsi="新宋体" w:eastAsia="新宋体" w:cs="新宋体"/>
          <w:b/>
          <w:color w:val="auto"/>
          <w:sz w:val="22"/>
          <w:szCs w:val="22"/>
          <w:highlight w:val="none"/>
        </w:rPr>
        <w:t xml:space="preserve">说明  </w:t>
      </w:r>
      <w:r>
        <w:rPr>
          <w:rFonts w:hint="eastAsia" w:ascii="新宋体" w:hAnsi="新宋体" w:eastAsia="新宋体" w:cs="新宋体"/>
          <w:b/>
          <w:color w:val="auto"/>
          <w:sz w:val="22"/>
          <w:highlight w:val="none"/>
        </w:rPr>
        <w:t>1、此栏投标报价应与附件</w:t>
      </w:r>
      <w:r>
        <w:rPr>
          <w:rFonts w:hint="eastAsia" w:ascii="新宋体" w:hAnsi="新宋体" w:eastAsia="新宋体" w:cs="新宋体"/>
          <w:b/>
          <w:color w:val="auto"/>
          <w:sz w:val="22"/>
          <w:highlight w:val="none"/>
          <w:lang w:val="en-US" w:eastAsia="zh-CN"/>
        </w:rPr>
        <w:t>二</w:t>
      </w:r>
      <w:r>
        <w:rPr>
          <w:rFonts w:hint="eastAsia" w:ascii="新宋体" w:hAnsi="新宋体" w:eastAsia="新宋体" w:cs="新宋体"/>
          <w:b/>
          <w:color w:val="auto"/>
          <w:sz w:val="22"/>
          <w:highlight w:val="none"/>
        </w:rPr>
        <w:t>中“</w:t>
      </w:r>
      <w:r>
        <w:rPr>
          <w:rFonts w:hint="eastAsia" w:ascii="新宋体" w:hAnsi="新宋体" w:eastAsia="新宋体" w:cs="新宋体"/>
          <w:b/>
          <w:color w:val="auto"/>
          <w:sz w:val="22"/>
          <w:highlight w:val="none"/>
          <w:lang w:val="en-US" w:eastAsia="zh-CN"/>
        </w:rPr>
        <w:t>2</w:t>
      </w:r>
      <w:r>
        <w:rPr>
          <w:rFonts w:hint="eastAsia" w:ascii="新宋体" w:hAnsi="新宋体" w:eastAsia="新宋体" w:cs="新宋体"/>
          <w:b/>
          <w:color w:val="auto"/>
          <w:sz w:val="22"/>
          <w:highlight w:val="none"/>
        </w:rPr>
        <w:t>、投标分项报价表”中的总计价相一致。</w:t>
      </w:r>
    </w:p>
    <w:p w14:paraId="6EBBAEA8">
      <w:pPr>
        <w:keepNext w:val="0"/>
        <w:keepLines w:val="0"/>
        <w:pageBreakBefore w:val="0"/>
        <w:widowControl w:val="0"/>
        <w:kinsoku/>
        <w:wordWrap/>
        <w:overflowPunct/>
        <w:topLinePunct w:val="0"/>
        <w:autoSpaceDE/>
        <w:autoSpaceDN/>
        <w:bidi w:val="0"/>
        <w:adjustRightInd/>
        <w:snapToGrid/>
        <w:spacing w:line="460" w:lineRule="exact"/>
        <w:ind w:left="1214"/>
        <w:textAlignment w:val="auto"/>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2、不提供此表格将被视为没有实质性响应招标文件</w:t>
      </w:r>
    </w:p>
    <w:p w14:paraId="02D0B49F">
      <w:pPr>
        <w:keepNext w:val="0"/>
        <w:keepLines w:val="0"/>
        <w:pageBreakBefore w:val="0"/>
        <w:widowControl w:val="0"/>
        <w:kinsoku/>
        <w:wordWrap/>
        <w:overflowPunct/>
        <w:topLinePunct w:val="0"/>
        <w:autoSpaceDE/>
        <w:autoSpaceDN/>
        <w:bidi w:val="0"/>
        <w:adjustRightInd/>
        <w:snapToGrid/>
        <w:spacing w:line="460" w:lineRule="exact"/>
        <w:ind w:left="532" w:leftChars="-171" w:hanging="891" w:hangingChars="405"/>
        <w:textAlignment w:val="auto"/>
        <w:rPr>
          <w:rFonts w:hint="eastAsia" w:ascii="新宋体" w:hAnsi="新宋体" w:eastAsia="新宋体" w:cs="新宋体"/>
          <w:color w:val="auto"/>
          <w:sz w:val="22"/>
          <w:szCs w:val="22"/>
          <w:highlight w:val="none"/>
        </w:rPr>
      </w:pPr>
    </w:p>
    <w:p w14:paraId="3F23175A">
      <w:pPr>
        <w:pStyle w:val="2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highlight w:val="none"/>
        </w:rPr>
      </w:pPr>
    </w:p>
    <w:p w14:paraId="5232D122">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03FAD45D">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4ADDE61F">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446448DE">
      <w:pPr>
        <w:pStyle w:val="11"/>
        <w:spacing w:line="460" w:lineRule="exact"/>
        <w:ind w:firstLine="440"/>
        <w:rPr>
          <w:rFonts w:hint="eastAsia" w:ascii="新宋体" w:hAnsi="新宋体" w:eastAsia="新宋体" w:cs="新宋体"/>
          <w:color w:val="auto"/>
          <w:sz w:val="22"/>
          <w:szCs w:val="22"/>
          <w:highlight w:val="none"/>
        </w:rPr>
      </w:pPr>
    </w:p>
    <w:p w14:paraId="7B0C9845">
      <w:pPr>
        <w:rPr>
          <w:rFonts w:hint="eastAsia" w:ascii="新宋体" w:hAnsi="新宋体" w:eastAsia="新宋体" w:cs="新宋体"/>
          <w:color w:val="auto"/>
          <w:sz w:val="22"/>
          <w:szCs w:val="22"/>
          <w:highlight w:val="none"/>
        </w:rPr>
      </w:pPr>
    </w:p>
    <w:p w14:paraId="77938BEE">
      <w:pPr>
        <w:pStyle w:val="11"/>
        <w:ind w:firstLine="440"/>
        <w:rPr>
          <w:rFonts w:hint="eastAsia" w:ascii="新宋体" w:hAnsi="新宋体" w:eastAsia="新宋体" w:cs="新宋体"/>
          <w:color w:val="auto"/>
          <w:sz w:val="22"/>
          <w:szCs w:val="22"/>
          <w:highlight w:val="none"/>
        </w:rPr>
      </w:pPr>
    </w:p>
    <w:p w14:paraId="266F52BC">
      <w:pPr>
        <w:rPr>
          <w:rFonts w:hint="eastAsia" w:ascii="新宋体" w:hAnsi="新宋体" w:eastAsia="新宋体" w:cs="新宋体"/>
          <w:color w:val="auto"/>
          <w:sz w:val="22"/>
          <w:szCs w:val="22"/>
          <w:highlight w:val="none"/>
        </w:rPr>
      </w:pPr>
    </w:p>
    <w:p w14:paraId="7D2D6A4B">
      <w:pPr>
        <w:pStyle w:val="11"/>
        <w:ind w:firstLine="440"/>
        <w:rPr>
          <w:rFonts w:hint="eastAsia" w:ascii="新宋体" w:hAnsi="新宋体" w:eastAsia="新宋体" w:cs="新宋体"/>
          <w:color w:val="auto"/>
          <w:sz w:val="22"/>
          <w:szCs w:val="22"/>
          <w:highlight w:val="none"/>
        </w:rPr>
      </w:pPr>
    </w:p>
    <w:p w14:paraId="319A351A">
      <w:pPr>
        <w:rPr>
          <w:rFonts w:hint="eastAsia" w:ascii="新宋体" w:hAnsi="新宋体" w:eastAsia="新宋体" w:cs="新宋体"/>
          <w:color w:val="auto"/>
          <w:sz w:val="22"/>
          <w:szCs w:val="22"/>
          <w:highlight w:val="none"/>
        </w:rPr>
      </w:pPr>
    </w:p>
    <w:p w14:paraId="7CD589EC">
      <w:pPr>
        <w:pStyle w:val="11"/>
        <w:ind w:firstLine="440"/>
        <w:rPr>
          <w:rFonts w:hint="eastAsia" w:ascii="新宋体" w:hAnsi="新宋体" w:eastAsia="新宋体" w:cs="新宋体"/>
          <w:color w:val="auto"/>
          <w:sz w:val="22"/>
          <w:szCs w:val="22"/>
          <w:highlight w:val="none"/>
        </w:rPr>
      </w:pPr>
    </w:p>
    <w:p w14:paraId="61E32A3B">
      <w:pPr>
        <w:rPr>
          <w:rFonts w:hint="eastAsia" w:ascii="新宋体" w:hAnsi="新宋体" w:eastAsia="新宋体" w:cs="新宋体"/>
          <w:color w:val="auto"/>
          <w:sz w:val="22"/>
          <w:szCs w:val="22"/>
          <w:highlight w:val="none"/>
        </w:rPr>
      </w:pPr>
    </w:p>
    <w:p w14:paraId="3C721D80">
      <w:pPr>
        <w:pStyle w:val="11"/>
        <w:ind w:firstLine="440"/>
        <w:rPr>
          <w:rFonts w:hint="eastAsia" w:ascii="新宋体" w:hAnsi="新宋体" w:eastAsia="新宋体" w:cs="新宋体"/>
          <w:color w:val="auto"/>
          <w:sz w:val="22"/>
          <w:szCs w:val="22"/>
          <w:highlight w:val="none"/>
        </w:rPr>
      </w:pPr>
    </w:p>
    <w:p w14:paraId="161E0EA0">
      <w:pPr>
        <w:rPr>
          <w:rFonts w:hint="eastAsia" w:ascii="新宋体" w:hAnsi="新宋体" w:eastAsia="新宋体" w:cs="新宋体"/>
          <w:color w:val="auto"/>
          <w:sz w:val="22"/>
          <w:szCs w:val="22"/>
          <w:highlight w:val="none"/>
        </w:rPr>
      </w:pPr>
    </w:p>
    <w:p w14:paraId="5DDBF8E0">
      <w:pPr>
        <w:pStyle w:val="11"/>
        <w:ind w:firstLine="440"/>
        <w:rPr>
          <w:rFonts w:hint="eastAsia" w:ascii="新宋体" w:hAnsi="新宋体" w:eastAsia="新宋体" w:cs="新宋体"/>
          <w:color w:val="auto"/>
          <w:sz w:val="22"/>
          <w:szCs w:val="22"/>
          <w:highlight w:val="none"/>
        </w:rPr>
      </w:pPr>
    </w:p>
    <w:p w14:paraId="527551A6">
      <w:pPr>
        <w:rPr>
          <w:rFonts w:hint="eastAsia" w:ascii="新宋体" w:hAnsi="新宋体" w:eastAsia="新宋体" w:cs="新宋体"/>
          <w:color w:val="auto"/>
          <w:sz w:val="22"/>
          <w:szCs w:val="22"/>
          <w:highlight w:val="none"/>
        </w:rPr>
      </w:pPr>
    </w:p>
    <w:p w14:paraId="23C42403">
      <w:pPr>
        <w:pStyle w:val="11"/>
        <w:ind w:firstLine="440"/>
        <w:rPr>
          <w:rFonts w:hint="eastAsia" w:ascii="新宋体" w:hAnsi="新宋体" w:eastAsia="新宋体" w:cs="新宋体"/>
          <w:color w:val="auto"/>
          <w:sz w:val="22"/>
          <w:szCs w:val="22"/>
          <w:highlight w:val="none"/>
        </w:rPr>
      </w:pPr>
    </w:p>
    <w:p w14:paraId="4A4DEEDB">
      <w:pPr>
        <w:rPr>
          <w:rFonts w:hint="eastAsia" w:ascii="新宋体" w:hAnsi="新宋体" w:eastAsia="新宋体" w:cs="新宋体"/>
          <w:color w:val="auto"/>
          <w:sz w:val="22"/>
          <w:szCs w:val="22"/>
          <w:highlight w:val="none"/>
        </w:rPr>
      </w:pPr>
    </w:p>
    <w:p w14:paraId="1858552C">
      <w:pPr>
        <w:spacing w:line="400" w:lineRule="exact"/>
        <w:jc w:val="center"/>
        <w:rPr>
          <w:rFonts w:hint="eastAsia" w:ascii="新宋体" w:hAnsi="新宋体" w:eastAsia="新宋体" w:cs="新宋体"/>
          <w:color w:val="auto"/>
          <w:sz w:val="22"/>
          <w:szCs w:val="22"/>
          <w:highlight w:val="none"/>
        </w:rPr>
      </w:pPr>
    </w:p>
    <w:p w14:paraId="4567454E">
      <w:pPr>
        <w:spacing w:line="400" w:lineRule="exact"/>
        <w:jc w:val="center"/>
        <w:rPr>
          <w:rFonts w:hint="eastAsia" w:ascii="新宋体" w:hAnsi="新宋体" w:eastAsia="新宋体" w:cs="新宋体"/>
          <w:color w:val="auto"/>
          <w:sz w:val="22"/>
          <w:szCs w:val="22"/>
          <w:highlight w:val="none"/>
        </w:rPr>
      </w:pPr>
    </w:p>
    <w:p w14:paraId="26313936">
      <w:pPr>
        <w:spacing w:line="400" w:lineRule="exact"/>
        <w:jc w:val="center"/>
        <w:rPr>
          <w:rFonts w:hint="eastAsia" w:ascii="新宋体" w:hAnsi="新宋体" w:eastAsia="新宋体" w:cs="新宋体"/>
          <w:color w:val="auto"/>
          <w:sz w:val="22"/>
          <w:szCs w:val="22"/>
          <w:highlight w:val="none"/>
        </w:rPr>
      </w:pPr>
    </w:p>
    <w:p w14:paraId="16933A90">
      <w:pPr>
        <w:spacing w:line="400" w:lineRule="exact"/>
        <w:jc w:val="center"/>
        <w:rPr>
          <w:rFonts w:hint="eastAsia" w:ascii="新宋体" w:hAnsi="新宋体" w:eastAsia="新宋体" w:cs="新宋体"/>
          <w:color w:val="auto"/>
          <w:sz w:val="22"/>
          <w:szCs w:val="22"/>
          <w:highlight w:val="none"/>
        </w:rPr>
      </w:pPr>
    </w:p>
    <w:p w14:paraId="3E16F2AD">
      <w:pPr>
        <w:spacing w:line="400" w:lineRule="exact"/>
        <w:rPr>
          <w:rFonts w:hint="eastAsia" w:ascii="新宋体" w:hAnsi="新宋体" w:eastAsia="新宋体" w:cs="新宋体"/>
          <w:color w:val="auto"/>
          <w:sz w:val="22"/>
          <w:szCs w:val="22"/>
          <w:highlight w:val="none"/>
        </w:rPr>
      </w:pPr>
    </w:p>
    <w:p w14:paraId="78D90761">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b/>
          <w:bCs/>
          <w:color w:val="auto"/>
          <w:sz w:val="24"/>
          <w:szCs w:val="24"/>
          <w:highlight w:val="none"/>
          <w:lang w:val="en-US" w:eastAsia="zh-CN"/>
        </w:rPr>
        <w:t>2、投标分项报价表</w:t>
      </w:r>
    </w:p>
    <w:p w14:paraId="421688D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项目名称：</w:t>
      </w:r>
    </w:p>
    <w:p w14:paraId="297EFAD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val="0"/>
          <w:bCs w:val="0"/>
          <w:color w:val="auto"/>
          <w:sz w:val="22"/>
          <w:szCs w:val="22"/>
          <w:highlight w:val="none"/>
        </w:rPr>
        <w:t xml:space="preserve">项目编号： </w:t>
      </w:r>
    </w:p>
    <w:tbl>
      <w:tblPr>
        <w:tblStyle w:val="53"/>
        <w:tblW w:w="9995"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05"/>
        <w:gridCol w:w="1477"/>
        <w:gridCol w:w="1570"/>
        <w:gridCol w:w="708"/>
        <w:gridCol w:w="708"/>
        <w:gridCol w:w="1143"/>
        <w:gridCol w:w="1000"/>
        <w:gridCol w:w="1159"/>
      </w:tblGrid>
      <w:tr w14:paraId="7019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72BF8CFA">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w:t>
            </w:r>
          </w:p>
        </w:tc>
        <w:tc>
          <w:tcPr>
            <w:tcW w:w="1605" w:type="dxa"/>
            <w:vAlign w:val="center"/>
          </w:tcPr>
          <w:p w14:paraId="03A259D4">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货物名称</w:t>
            </w:r>
          </w:p>
        </w:tc>
        <w:tc>
          <w:tcPr>
            <w:tcW w:w="1477" w:type="dxa"/>
            <w:vAlign w:val="center"/>
          </w:tcPr>
          <w:p w14:paraId="1EEB2D7C">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品牌型号规格、产地</w:t>
            </w:r>
          </w:p>
        </w:tc>
        <w:tc>
          <w:tcPr>
            <w:tcW w:w="1570" w:type="dxa"/>
            <w:vAlign w:val="center"/>
          </w:tcPr>
          <w:p w14:paraId="30E4F866">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制造厂商名称</w:t>
            </w:r>
          </w:p>
        </w:tc>
        <w:tc>
          <w:tcPr>
            <w:tcW w:w="708" w:type="dxa"/>
            <w:vAlign w:val="center"/>
          </w:tcPr>
          <w:p w14:paraId="6A4036FC">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w:t>
            </w:r>
          </w:p>
        </w:tc>
        <w:tc>
          <w:tcPr>
            <w:tcW w:w="708" w:type="dxa"/>
            <w:vAlign w:val="center"/>
          </w:tcPr>
          <w:p w14:paraId="4D32320D">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143" w:type="dxa"/>
            <w:vAlign w:val="center"/>
          </w:tcPr>
          <w:p w14:paraId="6F7E0DE7">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出厂单价</w:t>
            </w:r>
          </w:p>
          <w:p w14:paraId="5F3D739E">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000" w:type="dxa"/>
            <w:vAlign w:val="center"/>
          </w:tcPr>
          <w:p w14:paraId="004FF582">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总价</w:t>
            </w:r>
          </w:p>
          <w:p w14:paraId="461FEED2">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159" w:type="dxa"/>
            <w:vAlign w:val="center"/>
          </w:tcPr>
          <w:p w14:paraId="3F28DA6D">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免费</w:t>
            </w:r>
          </w:p>
          <w:p w14:paraId="1FC8E008">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保修期</w:t>
            </w:r>
          </w:p>
        </w:tc>
      </w:tr>
      <w:tr w14:paraId="4C6E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1BD9C305">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w:t>
            </w:r>
          </w:p>
        </w:tc>
        <w:tc>
          <w:tcPr>
            <w:tcW w:w="1605" w:type="dxa"/>
            <w:vAlign w:val="center"/>
          </w:tcPr>
          <w:p w14:paraId="0E77E010">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417E4887">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56637439">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14C06310">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78682DDB">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1D0839EB">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5285C1C0">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06D6F296">
            <w:pPr>
              <w:spacing w:line="460" w:lineRule="exact"/>
              <w:ind w:right="-11"/>
              <w:jc w:val="center"/>
              <w:rPr>
                <w:rFonts w:hint="eastAsia" w:ascii="新宋体" w:hAnsi="新宋体" w:eastAsia="新宋体" w:cs="新宋体"/>
                <w:color w:val="auto"/>
                <w:sz w:val="22"/>
                <w:szCs w:val="22"/>
                <w:highlight w:val="none"/>
              </w:rPr>
            </w:pPr>
          </w:p>
        </w:tc>
      </w:tr>
      <w:tr w14:paraId="3214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1CF06E11">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w:t>
            </w:r>
          </w:p>
        </w:tc>
        <w:tc>
          <w:tcPr>
            <w:tcW w:w="1605" w:type="dxa"/>
            <w:vAlign w:val="center"/>
          </w:tcPr>
          <w:p w14:paraId="51919C9D">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3F3DB8E8">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0E07A1A9">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308686A8">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2D093DC9">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118E6B27">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23ABA187">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2BACCCAF">
            <w:pPr>
              <w:spacing w:line="460" w:lineRule="exact"/>
              <w:ind w:right="-11"/>
              <w:jc w:val="center"/>
              <w:rPr>
                <w:rFonts w:hint="eastAsia" w:ascii="新宋体" w:hAnsi="新宋体" w:eastAsia="新宋体" w:cs="新宋体"/>
                <w:color w:val="auto"/>
                <w:sz w:val="22"/>
                <w:szCs w:val="22"/>
                <w:highlight w:val="none"/>
              </w:rPr>
            </w:pPr>
          </w:p>
        </w:tc>
      </w:tr>
      <w:tr w14:paraId="7CBD1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504FE19A">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3</w:t>
            </w:r>
          </w:p>
        </w:tc>
        <w:tc>
          <w:tcPr>
            <w:tcW w:w="1605" w:type="dxa"/>
            <w:vAlign w:val="center"/>
          </w:tcPr>
          <w:p w14:paraId="0C5AC012">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46888301">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55DF3778">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32DB9438">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5D43941E">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09450465">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0CBEF3C4">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5ACF27F6">
            <w:pPr>
              <w:spacing w:line="460" w:lineRule="exact"/>
              <w:ind w:right="-11"/>
              <w:jc w:val="center"/>
              <w:rPr>
                <w:rFonts w:hint="eastAsia" w:ascii="新宋体" w:hAnsi="新宋体" w:eastAsia="新宋体" w:cs="新宋体"/>
                <w:color w:val="auto"/>
                <w:sz w:val="22"/>
                <w:szCs w:val="22"/>
                <w:highlight w:val="none"/>
              </w:rPr>
            </w:pPr>
          </w:p>
        </w:tc>
      </w:tr>
      <w:tr w14:paraId="6141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03EC69AA">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4</w:t>
            </w:r>
          </w:p>
        </w:tc>
        <w:tc>
          <w:tcPr>
            <w:tcW w:w="1605" w:type="dxa"/>
            <w:vAlign w:val="center"/>
          </w:tcPr>
          <w:p w14:paraId="6ED9DFDE">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00BD55BC">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7ECD5EEA">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05AA4D08">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59B01F4E">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418E4F5A">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7614B966">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4A2772CF">
            <w:pPr>
              <w:spacing w:line="460" w:lineRule="exact"/>
              <w:ind w:right="-11"/>
              <w:jc w:val="center"/>
              <w:rPr>
                <w:rFonts w:hint="eastAsia" w:ascii="新宋体" w:hAnsi="新宋体" w:eastAsia="新宋体" w:cs="新宋体"/>
                <w:color w:val="auto"/>
                <w:sz w:val="22"/>
                <w:szCs w:val="22"/>
                <w:highlight w:val="none"/>
              </w:rPr>
            </w:pPr>
          </w:p>
        </w:tc>
      </w:tr>
      <w:tr w14:paraId="5AC6E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6ADFD78F">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5</w:t>
            </w:r>
          </w:p>
        </w:tc>
        <w:tc>
          <w:tcPr>
            <w:tcW w:w="1605" w:type="dxa"/>
            <w:vAlign w:val="center"/>
          </w:tcPr>
          <w:p w14:paraId="6E977AE1">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7546F492">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7D66EC6E">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5D98DE16">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7C2C3C03">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273163C9">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4BE1A797">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2D5DC17D">
            <w:pPr>
              <w:spacing w:line="460" w:lineRule="exact"/>
              <w:ind w:right="-11"/>
              <w:jc w:val="center"/>
              <w:rPr>
                <w:rFonts w:hint="eastAsia" w:ascii="新宋体" w:hAnsi="新宋体" w:eastAsia="新宋体" w:cs="新宋体"/>
                <w:color w:val="auto"/>
                <w:sz w:val="22"/>
                <w:szCs w:val="22"/>
                <w:highlight w:val="none"/>
              </w:rPr>
            </w:pPr>
          </w:p>
        </w:tc>
      </w:tr>
      <w:tr w14:paraId="1084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6B76DBD8">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6</w:t>
            </w:r>
          </w:p>
        </w:tc>
        <w:tc>
          <w:tcPr>
            <w:tcW w:w="1605" w:type="dxa"/>
            <w:vAlign w:val="center"/>
          </w:tcPr>
          <w:p w14:paraId="12AF3C81">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4A29EA7C">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023535BB">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0C291777">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2F21895F">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2A07D5FB">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630B6131">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0F12E360">
            <w:pPr>
              <w:spacing w:line="460" w:lineRule="exact"/>
              <w:ind w:right="-11"/>
              <w:jc w:val="center"/>
              <w:rPr>
                <w:rFonts w:hint="eastAsia" w:ascii="新宋体" w:hAnsi="新宋体" w:eastAsia="新宋体" w:cs="新宋体"/>
                <w:color w:val="auto"/>
                <w:sz w:val="22"/>
                <w:szCs w:val="22"/>
                <w:highlight w:val="none"/>
              </w:rPr>
            </w:pPr>
          </w:p>
        </w:tc>
      </w:tr>
      <w:tr w14:paraId="1D2EE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0DE63209">
            <w:pPr>
              <w:widowControl/>
              <w:spacing w:line="460" w:lineRule="exact"/>
              <w:jc w:val="center"/>
              <w:textAlignment w:val="center"/>
              <w:rPr>
                <w:rFonts w:hint="eastAsia" w:ascii="新宋体" w:hAnsi="新宋体" w:eastAsia="新宋体" w:cs="新宋体"/>
                <w:color w:val="auto"/>
                <w:kern w:val="0"/>
                <w:sz w:val="22"/>
                <w:szCs w:val="22"/>
                <w:highlight w:val="none"/>
              </w:rPr>
            </w:pPr>
          </w:p>
        </w:tc>
        <w:tc>
          <w:tcPr>
            <w:tcW w:w="1605" w:type="dxa"/>
            <w:vAlign w:val="center"/>
          </w:tcPr>
          <w:p w14:paraId="2D539446">
            <w:pPr>
              <w:widowControl/>
              <w:jc w:val="center"/>
              <w:textAlignment w:val="center"/>
              <w:rPr>
                <w:rFonts w:hint="eastAsia" w:ascii="新宋体" w:hAnsi="新宋体" w:eastAsia="新宋体" w:cs="新宋体"/>
                <w:color w:val="auto"/>
                <w:kern w:val="0"/>
                <w:szCs w:val="21"/>
                <w:highlight w:val="none"/>
              </w:rPr>
            </w:pPr>
          </w:p>
        </w:tc>
        <w:tc>
          <w:tcPr>
            <w:tcW w:w="1477" w:type="dxa"/>
            <w:vAlign w:val="center"/>
          </w:tcPr>
          <w:p w14:paraId="74959BE5">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5D9CD851">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2E153F51">
            <w:pPr>
              <w:widowControl/>
              <w:jc w:val="center"/>
              <w:textAlignment w:val="center"/>
              <w:rPr>
                <w:rFonts w:hint="eastAsia" w:ascii="新宋体" w:hAnsi="新宋体" w:eastAsia="新宋体" w:cs="新宋体"/>
                <w:color w:val="auto"/>
                <w:szCs w:val="21"/>
                <w:highlight w:val="none"/>
              </w:rPr>
            </w:pPr>
          </w:p>
        </w:tc>
        <w:tc>
          <w:tcPr>
            <w:tcW w:w="708" w:type="dxa"/>
            <w:vAlign w:val="center"/>
          </w:tcPr>
          <w:p w14:paraId="5D74EF29">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21A7FC23">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667DEF06">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56626493">
            <w:pPr>
              <w:spacing w:line="460" w:lineRule="exact"/>
              <w:ind w:right="-11"/>
              <w:jc w:val="center"/>
              <w:rPr>
                <w:rFonts w:hint="eastAsia" w:ascii="新宋体" w:hAnsi="新宋体" w:eastAsia="新宋体" w:cs="新宋体"/>
                <w:color w:val="auto"/>
                <w:sz w:val="22"/>
                <w:szCs w:val="22"/>
                <w:highlight w:val="none"/>
              </w:rPr>
            </w:pPr>
          </w:p>
        </w:tc>
      </w:tr>
      <w:tr w14:paraId="7872E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5C0F059C">
            <w:pPr>
              <w:widowControl/>
              <w:spacing w:line="460" w:lineRule="exact"/>
              <w:jc w:val="center"/>
              <w:textAlignment w:val="center"/>
              <w:rPr>
                <w:rFonts w:hint="eastAsia" w:ascii="新宋体" w:hAnsi="新宋体" w:eastAsia="新宋体" w:cs="新宋体"/>
                <w:color w:val="auto"/>
                <w:kern w:val="0"/>
                <w:sz w:val="22"/>
                <w:szCs w:val="22"/>
                <w:highlight w:val="none"/>
              </w:rPr>
            </w:pPr>
          </w:p>
        </w:tc>
        <w:tc>
          <w:tcPr>
            <w:tcW w:w="1605" w:type="dxa"/>
            <w:vAlign w:val="center"/>
          </w:tcPr>
          <w:p w14:paraId="61683305">
            <w:pPr>
              <w:widowControl/>
              <w:spacing w:line="460" w:lineRule="exact"/>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w:t>
            </w:r>
          </w:p>
        </w:tc>
        <w:tc>
          <w:tcPr>
            <w:tcW w:w="1477" w:type="dxa"/>
            <w:vAlign w:val="center"/>
          </w:tcPr>
          <w:p w14:paraId="0E4E69B6">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41FAE916">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3E7DD816">
            <w:pPr>
              <w:spacing w:line="460" w:lineRule="exact"/>
              <w:jc w:val="center"/>
              <w:rPr>
                <w:rFonts w:hint="eastAsia" w:ascii="新宋体" w:hAnsi="新宋体" w:eastAsia="新宋体" w:cs="新宋体"/>
                <w:color w:val="auto"/>
                <w:sz w:val="22"/>
                <w:szCs w:val="22"/>
                <w:highlight w:val="none"/>
              </w:rPr>
            </w:pPr>
          </w:p>
        </w:tc>
        <w:tc>
          <w:tcPr>
            <w:tcW w:w="708" w:type="dxa"/>
            <w:vAlign w:val="center"/>
          </w:tcPr>
          <w:p w14:paraId="2A617750">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7C6EB426">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2FAFD726">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50A0F216">
            <w:pPr>
              <w:spacing w:line="460" w:lineRule="exact"/>
              <w:ind w:right="-11"/>
              <w:jc w:val="center"/>
              <w:rPr>
                <w:rFonts w:hint="eastAsia" w:ascii="新宋体" w:hAnsi="新宋体" w:eastAsia="新宋体" w:cs="新宋体"/>
                <w:color w:val="auto"/>
                <w:sz w:val="22"/>
                <w:szCs w:val="22"/>
                <w:highlight w:val="none"/>
              </w:rPr>
            </w:pPr>
          </w:p>
        </w:tc>
      </w:tr>
      <w:tr w14:paraId="140D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2A38B362">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运杂及保险费（含卸货）</w:t>
            </w:r>
          </w:p>
        </w:tc>
        <w:tc>
          <w:tcPr>
            <w:tcW w:w="6288" w:type="dxa"/>
            <w:gridSpan w:val="6"/>
          </w:tcPr>
          <w:p w14:paraId="4A672036">
            <w:pPr>
              <w:spacing w:line="460" w:lineRule="exact"/>
              <w:rPr>
                <w:rFonts w:hint="eastAsia" w:ascii="新宋体" w:hAnsi="新宋体" w:eastAsia="新宋体" w:cs="新宋体"/>
                <w:color w:val="auto"/>
                <w:sz w:val="22"/>
                <w:szCs w:val="22"/>
                <w:highlight w:val="none"/>
              </w:rPr>
            </w:pPr>
          </w:p>
        </w:tc>
      </w:tr>
      <w:tr w14:paraId="147D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76C99070">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安装调试费（包括设备的测试、调试、验收等费用）</w:t>
            </w:r>
          </w:p>
        </w:tc>
        <w:tc>
          <w:tcPr>
            <w:tcW w:w="6288" w:type="dxa"/>
            <w:gridSpan w:val="6"/>
          </w:tcPr>
          <w:p w14:paraId="4CE7B0DE">
            <w:pPr>
              <w:spacing w:line="460" w:lineRule="exact"/>
              <w:rPr>
                <w:rFonts w:hint="eastAsia" w:ascii="新宋体" w:hAnsi="新宋体" w:eastAsia="新宋体" w:cs="新宋体"/>
                <w:color w:val="auto"/>
                <w:sz w:val="22"/>
                <w:szCs w:val="22"/>
                <w:highlight w:val="none"/>
              </w:rPr>
            </w:pPr>
          </w:p>
        </w:tc>
      </w:tr>
      <w:tr w14:paraId="6E6F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7A77DF9E">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培训费、技术服务费、售后服务费等</w:t>
            </w:r>
          </w:p>
        </w:tc>
        <w:tc>
          <w:tcPr>
            <w:tcW w:w="6288" w:type="dxa"/>
            <w:gridSpan w:val="6"/>
          </w:tcPr>
          <w:p w14:paraId="659B301B">
            <w:pPr>
              <w:spacing w:line="460" w:lineRule="exact"/>
              <w:rPr>
                <w:rFonts w:hint="eastAsia" w:ascii="新宋体" w:hAnsi="新宋体" w:eastAsia="新宋体" w:cs="新宋体"/>
                <w:color w:val="auto"/>
                <w:sz w:val="22"/>
                <w:szCs w:val="22"/>
                <w:highlight w:val="none"/>
              </w:rPr>
            </w:pPr>
          </w:p>
        </w:tc>
      </w:tr>
      <w:tr w14:paraId="5854F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512C0CCC">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税金</w:t>
            </w:r>
          </w:p>
        </w:tc>
        <w:tc>
          <w:tcPr>
            <w:tcW w:w="6288" w:type="dxa"/>
            <w:gridSpan w:val="6"/>
          </w:tcPr>
          <w:p w14:paraId="5CF25F0B">
            <w:pPr>
              <w:spacing w:line="460" w:lineRule="exact"/>
              <w:rPr>
                <w:rFonts w:hint="eastAsia" w:ascii="新宋体" w:hAnsi="新宋体" w:eastAsia="新宋体" w:cs="新宋体"/>
                <w:color w:val="auto"/>
                <w:sz w:val="22"/>
                <w:szCs w:val="22"/>
                <w:highlight w:val="none"/>
              </w:rPr>
            </w:pPr>
          </w:p>
        </w:tc>
      </w:tr>
      <w:tr w14:paraId="3BB4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47A3BD4E">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总计价</w:t>
            </w:r>
          </w:p>
        </w:tc>
        <w:tc>
          <w:tcPr>
            <w:tcW w:w="6288" w:type="dxa"/>
            <w:gridSpan w:val="6"/>
          </w:tcPr>
          <w:p w14:paraId="6CCDDF31">
            <w:pPr>
              <w:spacing w:line="460" w:lineRule="exact"/>
              <w:rPr>
                <w:rFonts w:hint="eastAsia" w:ascii="新宋体" w:hAnsi="新宋体" w:eastAsia="新宋体" w:cs="新宋体"/>
                <w:color w:val="auto"/>
                <w:sz w:val="22"/>
                <w:szCs w:val="22"/>
                <w:highlight w:val="none"/>
              </w:rPr>
            </w:pPr>
          </w:p>
        </w:tc>
      </w:tr>
    </w:tbl>
    <w:p w14:paraId="069E3F7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说明：</w:t>
      </w:r>
      <w:r>
        <w:rPr>
          <w:rFonts w:hint="eastAsia" w:ascii="新宋体" w:hAnsi="新宋体" w:eastAsia="新宋体" w:cs="新宋体"/>
          <w:b/>
          <w:bCs/>
          <w:color w:val="auto"/>
          <w:sz w:val="22"/>
          <w:szCs w:val="22"/>
          <w:highlight w:val="none"/>
        </w:rPr>
        <w:t>1、此表总计价应与附件</w:t>
      </w:r>
      <w:r>
        <w:rPr>
          <w:rFonts w:hint="eastAsia" w:ascii="新宋体" w:hAnsi="新宋体" w:eastAsia="新宋体" w:cs="新宋体"/>
          <w:b/>
          <w:bCs/>
          <w:color w:val="auto"/>
          <w:sz w:val="22"/>
          <w:szCs w:val="22"/>
          <w:highlight w:val="none"/>
          <w:lang w:val="en-US" w:eastAsia="zh-CN"/>
        </w:rPr>
        <w:t>二</w:t>
      </w:r>
      <w:r>
        <w:rPr>
          <w:rFonts w:hint="eastAsia" w:ascii="新宋体" w:hAnsi="新宋体" w:eastAsia="新宋体" w:cs="新宋体"/>
          <w:b/>
          <w:bCs/>
          <w:color w:val="auto"/>
          <w:sz w:val="22"/>
          <w:szCs w:val="22"/>
          <w:highlight w:val="none"/>
        </w:rPr>
        <w:t>中“</w:t>
      </w:r>
      <w:r>
        <w:rPr>
          <w:rFonts w:hint="eastAsia" w:ascii="新宋体" w:hAnsi="新宋体" w:eastAsia="新宋体" w:cs="新宋体"/>
          <w:b/>
          <w:bCs/>
          <w:color w:val="auto"/>
          <w:sz w:val="22"/>
          <w:szCs w:val="22"/>
          <w:highlight w:val="none"/>
          <w:lang w:val="en-US" w:eastAsia="zh-CN"/>
        </w:rPr>
        <w:t>1</w:t>
      </w:r>
      <w:r>
        <w:rPr>
          <w:rFonts w:hint="eastAsia" w:ascii="新宋体" w:hAnsi="新宋体" w:eastAsia="新宋体" w:cs="新宋体"/>
          <w:b/>
          <w:bCs/>
          <w:color w:val="auto"/>
          <w:sz w:val="22"/>
          <w:szCs w:val="22"/>
          <w:highlight w:val="none"/>
        </w:rPr>
        <w:t>、投标报价一览表”中投标报价相一致。</w:t>
      </w:r>
    </w:p>
    <w:p w14:paraId="6903C9CF">
      <w:pPr>
        <w:keepNext w:val="0"/>
        <w:keepLines w:val="0"/>
        <w:pageBreakBefore w:val="0"/>
        <w:widowControl w:val="0"/>
        <w:kinsoku/>
        <w:wordWrap/>
        <w:overflowPunct/>
        <w:topLinePunct w:val="0"/>
        <w:autoSpaceDE/>
        <w:autoSpaceDN/>
        <w:bidi w:val="0"/>
        <w:adjustRightInd/>
        <w:snapToGrid/>
        <w:spacing w:line="460" w:lineRule="exact"/>
        <w:ind w:firstLine="663" w:firstLineChars="3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2、不提供详细投标分项报价将视为没有实质性响应招标文件。</w:t>
      </w:r>
    </w:p>
    <w:p w14:paraId="6D4E15DA">
      <w:pPr>
        <w:keepNext w:val="0"/>
        <w:keepLines w:val="0"/>
        <w:pageBreakBefore w:val="0"/>
        <w:widowControl w:val="0"/>
        <w:kinsoku/>
        <w:wordWrap/>
        <w:overflowPunct/>
        <w:topLinePunct w:val="0"/>
        <w:autoSpaceDE/>
        <w:autoSpaceDN/>
        <w:bidi w:val="0"/>
        <w:adjustRightInd/>
        <w:snapToGrid/>
        <w:spacing w:line="460" w:lineRule="exact"/>
        <w:ind w:firstLine="663" w:firstLineChars="3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3、如果免费请在该项内容栏内注明“免”，如果含在产品价格中则填“含”，如无此项内容则填“无”，不留空白。</w:t>
      </w:r>
    </w:p>
    <w:p w14:paraId="578D6A57">
      <w:pPr>
        <w:keepNext w:val="0"/>
        <w:keepLines w:val="0"/>
        <w:pageBreakBefore w:val="0"/>
        <w:widowControl w:val="0"/>
        <w:kinsoku/>
        <w:wordWrap/>
        <w:overflowPunct/>
        <w:topLinePunct w:val="0"/>
        <w:autoSpaceDE/>
        <w:autoSpaceDN/>
        <w:bidi w:val="0"/>
        <w:adjustRightInd/>
        <w:snapToGrid/>
        <w:spacing w:line="460" w:lineRule="exact"/>
        <w:ind w:firstLine="600" w:firstLineChars="300"/>
        <w:textAlignment w:val="auto"/>
        <w:rPr>
          <w:rFonts w:hint="eastAsia" w:ascii="新宋体" w:hAnsi="新宋体" w:eastAsia="新宋体" w:cs="新宋体"/>
          <w:color w:val="auto"/>
          <w:sz w:val="20"/>
          <w:szCs w:val="22"/>
          <w:highlight w:val="none"/>
        </w:rPr>
      </w:pPr>
    </w:p>
    <w:p w14:paraId="0019D8D0">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bookmarkStart w:id="30" w:name="OLE_LINK1"/>
      <w:r>
        <w:rPr>
          <w:rFonts w:hint="eastAsia" w:ascii="新宋体" w:hAnsi="新宋体" w:eastAsia="新宋体" w:cs="新宋体"/>
          <w:color w:val="auto"/>
          <w:sz w:val="22"/>
          <w:szCs w:val="22"/>
          <w:highlight w:val="none"/>
        </w:rPr>
        <w:t>投标人全称（盖章）：</w:t>
      </w:r>
    </w:p>
    <w:p w14:paraId="4019A9DD">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59BB39EA">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bookmarkEnd w:id="30"/>
    </w:p>
    <w:p w14:paraId="4E20E3E1">
      <w:pPr>
        <w:pStyle w:val="11"/>
        <w:ind w:firstLine="400"/>
        <w:rPr>
          <w:rFonts w:hint="eastAsia" w:ascii="新宋体" w:hAnsi="新宋体" w:eastAsia="新宋体" w:cs="新宋体"/>
          <w:color w:val="auto"/>
          <w:highlight w:val="none"/>
        </w:rPr>
      </w:pPr>
    </w:p>
    <w:p w14:paraId="56C2008C">
      <w:pPr>
        <w:rPr>
          <w:rFonts w:hint="eastAsia" w:ascii="新宋体" w:hAnsi="新宋体" w:eastAsia="新宋体" w:cs="新宋体"/>
          <w:b/>
          <w:bCs/>
          <w:color w:val="auto"/>
          <w:szCs w:val="21"/>
          <w:highlight w:val="none"/>
        </w:rPr>
      </w:pPr>
    </w:p>
    <w:p w14:paraId="78877AB9">
      <w:pPr>
        <w:rPr>
          <w:rFonts w:hint="eastAsia" w:ascii="新宋体" w:hAnsi="新宋体" w:eastAsia="新宋体" w:cs="新宋体"/>
          <w:color w:val="auto"/>
          <w:sz w:val="22"/>
          <w:szCs w:val="22"/>
          <w:highlight w:val="none"/>
        </w:rPr>
      </w:pPr>
    </w:p>
    <w:p w14:paraId="7095DE4A">
      <w:pPr>
        <w:rPr>
          <w:rFonts w:hint="eastAsia" w:ascii="新宋体" w:hAnsi="新宋体" w:eastAsia="新宋体" w:cs="新宋体"/>
          <w:color w:val="auto"/>
          <w:highlight w:val="none"/>
        </w:rPr>
      </w:pPr>
    </w:p>
    <w:p w14:paraId="41A741E3">
      <w:pPr>
        <w:pStyle w:val="23"/>
        <w:ind w:left="0" w:leftChars="0"/>
        <w:rPr>
          <w:rFonts w:hint="eastAsia" w:ascii="新宋体" w:hAnsi="新宋体" w:eastAsia="新宋体" w:cs="新宋体"/>
          <w:color w:val="auto"/>
          <w:sz w:val="22"/>
          <w:szCs w:val="22"/>
          <w:highlight w:val="none"/>
        </w:rPr>
      </w:pPr>
    </w:p>
    <w:p w14:paraId="7E462DAC">
      <w:pP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br w:type="page"/>
      </w:r>
    </w:p>
    <w:p w14:paraId="63825599">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3、符合财政价格优惠政策的证明材料（如有）</w:t>
      </w:r>
    </w:p>
    <w:p w14:paraId="613DA3B5">
      <w:pPr>
        <w:spacing w:line="460" w:lineRule="exact"/>
        <w:jc w:val="both"/>
        <w:outlineLvl w:val="4"/>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lang w:val="en-US" w:eastAsia="zh-CN"/>
        </w:rPr>
        <w:t>1</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中小企业的相关证明材料</w:t>
      </w:r>
    </w:p>
    <w:p w14:paraId="11C40EB4">
      <w:pPr>
        <w:snapToGrid w:val="0"/>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w:t>
      </w:r>
      <w:r>
        <w:rPr>
          <w:rFonts w:hint="eastAsia" w:ascii="新宋体" w:hAnsi="新宋体" w:eastAsia="新宋体" w:cs="新宋体"/>
          <w:color w:val="auto"/>
          <w:spacing w:val="6"/>
          <w:sz w:val="22"/>
          <w:szCs w:val="22"/>
          <w:highlight w:val="none"/>
          <w:lang w:val="zh-CN"/>
        </w:rPr>
        <w:t>小型、微型</w:t>
      </w:r>
      <w:r>
        <w:rPr>
          <w:rFonts w:hint="eastAsia" w:ascii="新宋体" w:hAnsi="新宋体" w:eastAsia="新宋体" w:cs="新宋体"/>
          <w:color w:val="auto"/>
          <w:spacing w:val="6"/>
          <w:sz w:val="22"/>
          <w:szCs w:val="22"/>
          <w:highlight w:val="none"/>
        </w:rPr>
        <w:t>企业不用提供】</w:t>
      </w:r>
    </w:p>
    <w:p w14:paraId="025CFC97">
      <w:pPr>
        <w:spacing w:line="380" w:lineRule="exact"/>
        <w:rPr>
          <w:rFonts w:hint="eastAsia" w:ascii="新宋体" w:hAnsi="新宋体" w:eastAsia="新宋体" w:cs="新宋体"/>
          <w:color w:val="auto"/>
          <w:sz w:val="22"/>
          <w:szCs w:val="22"/>
          <w:highlight w:val="none"/>
        </w:rPr>
      </w:pPr>
    </w:p>
    <w:p w14:paraId="72B4DE52">
      <w:pPr>
        <w:spacing w:line="460" w:lineRule="exact"/>
        <w:ind w:firstLine="442" w:firstLineChars="200"/>
        <w:rPr>
          <w:rFonts w:hint="eastAsia" w:ascii="新宋体" w:hAnsi="新宋体" w:eastAsia="新宋体" w:cs="新宋体"/>
          <w:b/>
          <w:bCs/>
          <w:color w:val="auto"/>
          <w:sz w:val="22"/>
          <w:szCs w:val="22"/>
          <w:highlight w:val="none"/>
          <w:lang w:val="zh-CN"/>
        </w:rPr>
      </w:pPr>
    </w:p>
    <w:p w14:paraId="45FE120D">
      <w:pPr>
        <w:spacing w:line="460" w:lineRule="exact"/>
        <w:jc w:val="center"/>
        <w:rPr>
          <w:rFonts w:hint="eastAsia" w:ascii="新宋体" w:hAnsi="新宋体" w:eastAsia="新宋体" w:cs="新宋体"/>
          <w:b/>
          <w:bCs/>
          <w:color w:val="auto"/>
          <w:sz w:val="22"/>
          <w:szCs w:val="22"/>
          <w:highlight w:val="none"/>
        </w:rPr>
      </w:pPr>
    </w:p>
    <w:p w14:paraId="73E4D8F3">
      <w:pPr>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pacing w:val="20"/>
          <w:sz w:val="22"/>
          <w:szCs w:val="22"/>
          <w:highlight w:val="none"/>
        </w:rPr>
        <w:t>中小企业声明函（货物）</w:t>
      </w:r>
      <w:r>
        <w:rPr>
          <w:rFonts w:hint="eastAsia" w:ascii="新宋体" w:hAnsi="新宋体" w:eastAsia="新宋体" w:cs="新宋体"/>
          <w:b/>
          <w:bCs/>
          <w:color w:val="auto"/>
          <w:sz w:val="22"/>
          <w:szCs w:val="22"/>
          <w:highlight w:val="none"/>
        </w:rPr>
        <w:t>》</w:t>
      </w:r>
    </w:p>
    <w:p w14:paraId="5135C996">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【不属于中小企业单位的无需填写、递交】</w:t>
      </w:r>
    </w:p>
    <w:p w14:paraId="0F733F70">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本公司（联合体）郑重声明，根据《政府采购促进中小企业发展管理办法》（财库﹝2020﹞46 号）的规定，本公司（联合体）参加</w:t>
      </w:r>
      <w:r>
        <w:rPr>
          <w:rFonts w:hint="eastAsia" w:ascii="新宋体" w:hAnsi="新宋体" w:eastAsia="新宋体" w:cs="新宋体"/>
          <w:color w:val="auto"/>
          <w:spacing w:val="20"/>
          <w:sz w:val="22"/>
          <w:szCs w:val="22"/>
          <w:highlight w:val="none"/>
          <w:u w:val="single"/>
        </w:rPr>
        <w:t>（单位名称）</w:t>
      </w:r>
      <w:r>
        <w:rPr>
          <w:rFonts w:hint="eastAsia" w:ascii="新宋体" w:hAnsi="新宋体" w:eastAsia="新宋体" w:cs="新宋体"/>
          <w:color w:val="auto"/>
          <w:spacing w:val="20"/>
          <w:sz w:val="22"/>
          <w:szCs w:val="22"/>
          <w:highlight w:val="none"/>
        </w:rPr>
        <w:t>的</w:t>
      </w:r>
      <w:r>
        <w:rPr>
          <w:rFonts w:hint="eastAsia" w:ascii="新宋体" w:hAnsi="新宋体" w:eastAsia="新宋体" w:cs="新宋体"/>
          <w:color w:val="auto"/>
          <w:spacing w:val="20"/>
          <w:sz w:val="22"/>
          <w:szCs w:val="22"/>
          <w:highlight w:val="none"/>
          <w:u w:val="single"/>
        </w:rPr>
        <w:t>（项目名称）</w:t>
      </w:r>
      <w:r>
        <w:rPr>
          <w:rFonts w:hint="eastAsia" w:ascii="新宋体" w:hAnsi="新宋体" w:eastAsia="新宋体" w:cs="新宋体"/>
          <w:color w:val="auto"/>
          <w:spacing w:val="20"/>
          <w:sz w:val="22"/>
          <w:szCs w:val="22"/>
          <w:highlight w:val="none"/>
        </w:rPr>
        <w:t>采购活动，提供的货物全部由符合政策要求的中小企业制造。相关企业（含联合体中的中小企业、签订分包意向协议的中小企业）的具体情况如下：</w:t>
      </w:r>
    </w:p>
    <w:p w14:paraId="53E34DD4">
      <w:pPr>
        <w:spacing w:line="460" w:lineRule="exact"/>
        <w:ind w:firstLine="44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z w:val="22"/>
          <w:szCs w:val="22"/>
          <w:highlight w:val="none"/>
          <w:lang w:val="zh-CN"/>
        </w:rPr>
        <w:t>1.</w:t>
      </w:r>
      <w:r>
        <w:rPr>
          <w:rFonts w:hint="eastAsia" w:ascii="新宋体" w:hAnsi="新宋体" w:eastAsia="新宋体" w:cs="新宋体"/>
          <w:color w:val="auto"/>
          <w:sz w:val="22"/>
          <w:szCs w:val="22"/>
          <w:highlight w:val="none"/>
          <w:u w:val="single"/>
          <w:lang w:val="zh-CN"/>
        </w:rPr>
        <w:t>（标的名称）</w:t>
      </w:r>
      <w:r>
        <w:rPr>
          <w:rFonts w:hint="eastAsia" w:ascii="新宋体" w:hAnsi="新宋体" w:eastAsia="新宋体" w:cs="新宋体"/>
          <w:color w:val="auto"/>
          <w:sz w:val="22"/>
          <w:szCs w:val="22"/>
          <w:highlight w:val="none"/>
          <w:lang w:val="zh-CN"/>
        </w:rPr>
        <w:t xml:space="preserve"> ，属于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pacing w:val="20"/>
          <w:sz w:val="22"/>
          <w:szCs w:val="22"/>
          <w:highlight w:val="none"/>
        </w:rPr>
        <w:t>行业；制造商为</w:t>
      </w:r>
      <w:r>
        <w:rPr>
          <w:rFonts w:hint="eastAsia" w:ascii="新宋体" w:hAnsi="新宋体" w:eastAsia="新宋体" w:cs="新宋体"/>
          <w:color w:val="auto"/>
          <w:spacing w:val="20"/>
          <w:sz w:val="22"/>
          <w:szCs w:val="22"/>
          <w:highlight w:val="none"/>
          <w:u w:val="single"/>
        </w:rPr>
        <w:t>（企业名称），</w:t>
      </w:r>
      <w:r>
        <w:rPr>
          <w:rFonts w:hint="eastAsia" w:ascii="新宋体" w:hAnsi="新宋体" w:eastAsia="新宋体" w:cs="新宋体"/>
          <w:color w:val="auto"/>
          <w:spacing w:val="20"/>
          <w:sz w:val="22"/>
          <w:szCs w:val="22"/>
          <w:highlight w:val="none"/>
        </w:rPr>
        <w:t>从业人员</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人，营业收入为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万元，资产总额为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万元，属于</w:t>
      </w:r>
      <w:r>
        <w:rPr>
          <w:rFonts w:hint="eastAsia" w:ascii="新宋体" w:hAnsi="新宋体" w:eastAsia="新宋体" w:cs="新宋体"/>
          <w:color w:val="auto"/>
          <w:spacing w:val="20"/>
          <w:sz w:val="22"/>
          <w:szCs w:val="22"/>
          <w:highlight w:val="none"/>
          <w:u w:val="single"/>
        </w:rPr>
        <w:t>（中型企业、小型企业、微型企业）</w:t>
      </w:r>
      <w:r>
        <w:rPr>
          <w:rFonts w:hint="eastAsia" w:ascii="新宋体" w:hAnsi="新宋体" w:eastAsia="新宋体" w:cs="新宋体"/>
          <w:color w:val="auto"/>
          <w:spacing w:val="20"/>
          <w:sz w:val="22"/>
          <w:szCs w:val="22"/>
          <w:highlight w:val="none"/>
        </w:rPr>
        <w:t>；</w:t>
      </w:r>
    </w:p>
    <w:p w14:paraId="377B306C">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2.</w:t>
      </w:r>
      <w:r>
        <w:rPr>
          <w:rFonts w:hint="eastAsia" w:ascii="新宋体" w:hAnsi="新宋体" w:eastAsia="新宋体" w:cs="新宋体"/>
          <w:color w:val="auto"/>
          <w:spacing w:val="20"/>
          <w:sz w:val="22"/>
          <w:szCs w:val="22"/>
          <w:highlight w:val="none"/>
          <w:u w:val="single"/>
        </w:rPr>
        <w:t>（标的名称）</w:t>
      </w:r>
      <w:r>
        <w:rPr>
          <w:rFonts w:hint="eastAsia" w:ascii="新宋体" w:hAnsi="新宋体" w:eastAsia="新宋体" w:cs="新宋体"/>
          <w:color w:val="auto"/>
          <w:spacing w:val="20"/>
          <w:sz w:val="22"/>
          <w:szCs w:val="22"/>
          <w:highlight w:val="none"/>
        </w:rPr>
        <w:t xml:space="preserve"> ，属于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pacing w:val="20"/>
          <w:sz w:val="22"/>
          <w:szCs w:val="22"/>
          <w:highlight w:val="none"/>
        </w:rPr>
        <w:t>行业；制造商为（企业名称），从业人员</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人，营业收入为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万元，资产总额为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万元，属于</w:t>
      </w:r>
      <w:r>
        <w:rPr>
          <w:rFonts w:hint="eastAsia" w:ascii="新宋体" w:hAnsi="新宋体" w:eastAsia="新宋体" w:cs="新宋体"/>
          <w:color w:val="auto"/>
          <w:spacing w:val="20"/>
          <w:sz w:val="22"/>
          <w:szCs w:val="22"/>
          <w:highlight w:val="none"/>
          <w:u w:val="single"/>
        </w:rPr>
        <w:t>（中型企业、小型企业、微型企业）</w:t>
      </w:r>
      <w:r>
        <w:rPr>
          <w:rFonts w:hint="eastAsia" w:ascii="新宋体" w:hAnsi="新宋体" w:eastAsia="新宋体" w:cs="新宋体"/>
          <w:color w:val="auto"/>
          <w:spacing w:val="20"/>
          <w:sz w:val="22"/>
          <w:szCs w:val="22"/>
          <w:highlight w:val="none"/>
        </w:rPr>
        <w:t>；</w:t>
      </w:r>
    </w:p>
    <w:p w14:paraId="65AEF4A4">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w:t>
      </w:r>
    </w:p>
    <w:p w14:paraId="35B54310">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以上企业，不属于大企业的分支机构，不存在控股股东为大企业的情形，也不存在与大企业的负责人为同一人的情形。</w:t>
      </w:r>
    </w:p>
    <w:p w14:paraId="3F61B28A">
      <w:pPr>
        <w:spacing w:line="460" w:lineRule="exact"/>
        <w:ind w:firstLine="52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20"/>
          <w:sz w:val="22"/>
          <w:szCs w:val="22"/>
          <w:highlight w:val="none"/>
        </w:rPr>
        <w:t>本企业对上述声明内容的真实性负责。如有虚假，将依法承担相应责任。</w:t>
      </w:r>
    </w:p>
    <w:p w14:paraId="30E12F7E">
      <w:pPr>
        <w:spacing w:line="460" w:lineRule="exact"/>
        <w:ind w:firstLine="4420" w:firstLineChars="1700"/>
        <w:jc w:val="both"/>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企业名称（盖章）：</w:t>
      </w:r>
    </w:p>
    <w:p w14:paraId="3C86EB5B">
      <w:pPr>
        <w:spacing w:line="460" w:lineRule="exact"/>
        <w:ind w:firstLine="4420" w:firstLineChars="1700"/>
        <w:jc w:val="both"/>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日 期：</w:t>
      </w:r>
    </w:p>
    <w:p w14:paraId="48E017D4">
      <w:pPr>
        <w:bidi w:val="0"/>
        <w:rPr>
          <w:rFonts w:hint="eastAsia"/>
          <w:color w:val="auto"/>
          <w:highlight w:val="none"/>
        </w:rPr>
      </w:pPr>
    </w:p>
    <w:p w14:paraId="0DCD5302">
      <w:pPr>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eastAsia="zh-CN"/>
        </w:rPr>
        <w:br w:type="page"/>
      </w:r>
    </w:p>
    <w:p w14:paraId="6F8CF94E">
      <w:pPr>
        <w:spacing w:line="460" w:lineRule="exact"/>
        <w:jc w:val="left"/>
        <w:outlineLvl w:val="4"/>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lang w:val="en-US" w:eastAsia="zh-CN"/>
        </w:rPr>
        <w:t>2</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监狱企业的相关证明材料</w:t>
      </w:r>
    </w:p>
    <w:p w14:paraId="6D993937">
      <w:pPr>
        <w:spacing w:line="460" w:lineRule="exact"/>
        <w:ind w:firstLine="466" w:firstLineChars="200"/>
        <w:rPr>
          <w:rFonts w:hint="eastAsia" w:ascii="新宋体" w:hAnsi="新宋体" w:eastAsia="新宋体" w:cs="新宋体"/>
          <w:b/>
          <w:bCs/>
          <w:color w:val="auto"/>
          <w:sz w:val="22"/>
          <w:szCs w:val="22"/>
          <w:highlight w:val="none"/>
          <w:u w:val="single"/>
          <w:lang w:val="zh-CN"/>
        </w:rPr>
      </w:pPr>
      <w:r>
        <w:rPr>
          <w:rFonts w:hint="eastAsia" w:ascii="新宋体" w:hAnsi="新宋体" w:eastAsia="新宋体" w:cs="新宋体"/>
          <w:b/>
          <w:color w:val="auto"/>
          <w:spacing w:val="6"/>
          <w:sz w:val="22"/>
          <w:szCs w:val="22"/>
          <w:highlight w:val="none"/>
        </w:rPr>
        <w:t>需提供相关证明材料，</w:t>
      </w:r>
      <w:r>
        <w:rPr>
          <w:rFonts w:hint="eastAsia" w:ascii="新宋体" w:hAnsi="新宋体" w:eastAsia="新宋体" w:cs="新宋体"/>
          <w:b/>
          <w:bCs/>
          <w:color w:val="auto"/>
          <w:sz w:val="22"/>
          <w:szCs w:val="22"/>
          <w:highlight w:val="none"/>
          <w:u w:val="single"/>
          <w:lang w:val="zh-CN"/>
        </w:rPr>
        <w:t>未提供证明材料或不能清楚辨析</w:t>
      </w:r>
      <w:r>
        <w:rPr>
          <w:rFonts w:hint="eastAsia" w:ascii="新宋体" w:hAnsi="新宋体" w:eastAsia="新宋体" w:cs="新宋体"/>
          <w:b/>
          <w:bCs/>
          <w:color w:val="auto"/>
          <w:sz w:val="22"/>
          <w:szCs w:val="22"/>
          <w:highlight w:val="none"/>
          <w:u w:val="single"/>
        </w:rPr>
        <w:t>是监狱企业的按非监狱企业处理，所提供的证明材料应为最新的最近的</w:t>
      </w:r>
      <w:r>
        <w:rPr>
          <w:rFonts w:hint="eastAsia" w:ascii="新宋体" w:hAnsi="新宋体" w:eastAsia="新宋体" w:cs="新宋体"/>
          <w:b/>
          <w:bCs/>
          <w:color w:val="auto"/>
          <w:sz w:val="22"/>
          <w:szCs w:val="22"/>
          <w:highlight w:val="none"/>
          <w:u w:val="single"/>
          <w:lang w:val="zh-CN"/>
        </w:rPr>
        <w:t>。</w:t>
      </w:r>
    </w:p>
    <w:p w14:paraId="64024E91">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1297AD2B">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1BF4E816">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23A740A6">
      <w:pPr>
        <w:adjustRightInd w:val="0"/>
        <w:snapToGrid w:val="0"/>
        <w:spacing w:line="300" w:lineRule="auto"/>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spacing w:val="6"/>
          <w:sz w:val="22"/>
          <w:szCs w:val="22"/>
          <w:highlight w:val="none"/>
        </w:rPr>
        <w:t>监狱企业声明函</w:t>
      </w:r>
    </w:p>
    <w:p w14:paraId="148ECACA">
      <w:pPr>
        <w:snapToGrid w:val="0"/>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【非监狱企业不用提供】</w:t>
      </w:r>
    </w:p>
    <w:p w14:paraId="500C8EBB">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本企业郑重声明，根据《关于政府采购支持监狱企业发展有关问题的通知》（财库[2014]68号）的规定，本企业为监狱企业。 </w:t>
      </w:r>
    </w:p>
    <w:p w14:paraId="31F31760">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根据上述标准，我企业属于监狱企业的理由为：</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 </w:t>
      </w:r>
    </w:p>
    <w:p w14:paraId="45AD6594">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本企业为参加（招标项目名称</w:t>
      </w:r>
      <w:r>
        <w:rPr>
          <w:rFonts w:hint="eastAsia" w:ascii="新宋体" w:hAnsi="新宋体" w:eastAsia="新宋体" w:cs="新宋体"/>
          <w:color w:val="auto"/>
          <w:spacing w:val="6"/>
          <w:sz w:val="22"/>
          <w:szCs w:val="22"/>
          <w:highlight w:val="none"/>
          <w:u w:val="none"/>
        </w:rPr>
        <w:t>：</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）（招标编号</w:t>
      </w:r>
      <w:r>
        <w:rPr>
          <w:rFonts w:hint="eastAsia" w:ascii="新宋体" w:hAnsi="新宋体" w:eastAsia="新宋体" w:cs="新宋体"/>
          <w:color w:val="auto"/>
          <w:spacing w:val="6"/>
          <w:sz w:val="22"/>
          <w:szCs w:val="22"/>
          <w:highlight w:val="none"/>
          <w:u w:val="none"/>
        </w:rPr>
        <w:t>：</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）采购活动并承担本工程。 </w:t>
      </w:r>
    </w:p>
    <w:p w14:paraId="53198744">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本企业对上述声明的真实性负责。如有虚假，将依法承担相应责任。  </w:t>
      </w:r>
    </w:p>
    <w:p w14:paraId="095931AE">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投标人全称（盖章）</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 xml:space="preserve">                   </w:t>
      </w:r>
    </w:p>
    <w:p w14:paraId="513ACAF8">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 xml:space="preserve">日期：    年    月   日 </w:t>
      </w:r>
    </w:p>
    <w:p w14:paraId="31817143">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14:paraId="58114E19">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2D8AFB5">
      <w:pPr>
        <w:spacing w:line="460" w:lineRule="exact"/>
        <w:rPr>
          <w:rFonts w:hint="eastAsia" w:ascii="新宋体" w:hAnsi="新宋体" w:eastAsia="新宋体" w:cs="新宋体"/>
          <w:color w:val="auto"/>
          <w:spacing w:val="20"/>
          <w:sz w:val="22"/>
          <w:szCs w:val="22"/>
          <w:highlight w:val="none"/>
        </w:rPr>
      </w:pPr>
    </w:p>
    <w:p w14:paraId="2F3B91EB">
      <w:pPr>
        <w:spacing w:line="460" w:lineRule="exact"/>
        <w:rPr>
          <w:rFonts w:hint="eastAsia" w:ascii="新宋体" w:hAnsi="新宋体" w:eastAsia="新宋体" w:cs="新宋体"/>
          <w:color w:val="auto"/>
          <w:spacing w:val="20"/>
          <w:sz w:val="22"/>
          <w:szCs w:val="22"/>
          <w:highlight w:val="none"/>
        </w:rPr>
      </w:pPr>
    </w:p>
    <w:p w14:paraId="7CDE4C5F">
      <w:pPr>
        <w:spacing w:line="380" w:lineRule="exact"/>
        <w:rPr>
          <w:rFonts w:hint="eastAsia" w:ascii="新宋体" w:hAnsi="新宋体" w:eastAsia="新宋体" w:cs="新宋体"/>
          <w:color w:val="auto"/>
          <w:sz w:val="22"/>
          <w:szCs w:val="22"/>
          <w:highlight w:val="none"/>
        </w:rPr>
      </w:pPr>
    </w:p>
    <w:p w14:paraId="20F270A2">
      <w:pPr>
        <w:spacing w:line="380" w:lineRule="exact"/>
        <w:rPr>
          <w:rFonts w:hint="eastAsia" w:ascii="新宋体" w:hAnsi="新宋体" w:eastAsia="新宋体" w:cs="新宋体"/>
          <w:color w:val="auto"/>
          <w:sz w:val="22"/>
          <w:szCs w:val="22"/>
          <w:highlight w:val="none"/>
        </w:rPr>
      </w:pPr>
    </w:p>
    <w:p w14:paraId="3B3D7576">
      <w:pPr>
        <w:spacing w:line="380" w:lineRule="exact"/>
        <w:rPr>
          <w:rFonts w:hint="eastAsia" w:ascii="新宋体" w:hAnsi="新宋体" w:eastAsia="新宋体" w:cs="新宋体"/>
          <w:color w:val="auto"/>
          <w:sz w:val="22"/>
          <w:szCs w:val="22"/>
          <w:highlight w:val="none"/>
        </w:rPr>
      </w:pPr>
    </w:p>
    <w:p w14:paraId="7B348083">
      <w:pPr>
        <w:spacing w:line="380" w:lineRule="exact"/>
        <w:rPr>
          <w:rFonts w:hint="eastAsia" w:ascii="新宋体" w:hAnsi="新宋体" w:eastAsia="新宋体" w:cs="新宋体"/>
          <w:color w:val="auto"/>
          <w:sz w:val="22"/>
          <w:szCs w:val="22"/>
          <w:highlight w:val="none"/>
        </w:rPr>
      </w:pPr>
    </w:p>
    <w:p w14:paraId="3C83BCF3">
      <w:pPr>
        <w:spacing w:line="380" w:lineRule="exact"/>
        <w:rPr>
          <w:rFonts w:hint="eastAsia" w:ascii="新宋体" w:hAnsi="新宋体" w:eastAsia="新宋体" w:cs="新宋体"/>
          <w:color w:val="auto"/>
          <w:sz w:val="22"/>
          <w:szCs w:val="22"/>
          <w:highlight w:val="none"/>
        </w:rPr>
      </w:pPr>
    </w:p>
    <w:p w14:paraId="23547B70">
      <w:pPr>
        <w:spacing w:line="380" w:lineRule="exact"/>
        <w:rPr>
          <w:rFonts w:hint="eastAsia" w:ascii="新宋体" w:hAnsi="新宋体" w:eastAsia="新宋体" w:cs="新宋体"/>
          <w:color w:val="auto"/>
          <w:sz w:val="22"/>
          <w:szCs w:val="22"/>
          <w:highlight w:val="none"/>
        </w:rPr>
      </w:pPr>
    </w:p>
    <w:p w14:paraId="60C4F2BA">
      <w:pPr>
        <w:spacing w:line="380" w:lineRule="exact"/>
        <w:rPr>
          <w:rFonts w:hint="eastAsia" w:ascii="新宋体" w:hAnsi="新宋体" w:eastAsia="新宋体" w:cs="新宋体"/>
          <w:color w:val="auto"/>
          <w:sz w:val="22"/>
          <w:szCs w:val="22"/>
          <w:highlight w:val="none"/>
        </w:rPr>
      </w:pPr>
    </w:p>
    <w:p w14:paraId="1F900BDB">
      <w:pPr>
        <w:spacing w:line="380" w:lineRule="exact"/>
        <w:rPr>
          <w:rFonts w:hint="eastAsia" w:ascii="新宋体" w:hAnsi="新宋体" w:eastAsia="新宋体" w:cs="新宋体"/>
          <w:color w:val="auto"/>
          <w:sz w:val="22"/>
          <w:szCs w:val="22"/>
          <w:highlight w:val="none"/>
        </w:rPr>
      </w:pPr>
    </w:p>
    <w:p w14:paraId="269FE598">
      <w:pPr>
        <w:pStyle w:val="23"/>
        <w:rPr>
          <w:rFonts w:hint="eastAsia" w:ascii="新宋体" w:hAnsi="新宋体" w:eastAsia="新宋体" w:cs="新宋体"/>
          <w:color w:val="auto"/>
          <w:highlight w:val="none"/>
        </w:rPr>
      </w:pPr>
    </w:p>
    <w:p w14:paraId="7027DCAA">
      <w:pPr>
        <w:pStyle w:val="23"/>
        <w:rPr>
          <w:rFonts w:hint="eastAsia" w:ascii="新宋体" w:hAnsi="新宋体" w:eastAsia="新宋体" w:cs="新宋体"/>
          <w:color w:val="auto"/>
          <w:highlight w:val="none"/>
        </w:rPr>
      </w:pPr>
    </w:p>
    <w:p w14:paraId="5478322A">
      <w:pPr>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br w:type="page"/>
      </w:r>
    </w:p>
    <w:p w14:paraId="6F80C791">
      <w:pPr>
        <w:spacing w:line="460" w:lineRule="exact"/>
        <w:jc w:val="left"/>
        <w:outlineLvl w:val="4"/>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val="en-US" w:eastAsia="zh-CN"/>
        </w:rPr>
        <w:t>（3）</w:t>
      </w:r>
      <w:r>
        <w:rPr>
          <w:rFonts w:hint="eastAsia" w:ascii="新宋体" w:hAnsi="新宋体" w:eastAsia="新宋体" w:cs="新宋体"/>
          <w:b/>
          <w:bCs/>
          <w:color w:val="auto"/>
          <w:sz w:val="24"/>
          <w:szCs w:val="24"/>
          <w:highlight w:val="none"/>
        </w:rPr>
        <w:t>残疾人福利性单位的相关证明材料</w:t>
      </w:r>
    </w:p>
    <w:p w14:paraId="4F49605A">
      <w:pPr>
        <w:spacing w:line="460" w:lineRule="exact"/>
        <w:rPr>
          <w:rFonts w:hint="eastAsia" w:ascii="新宋体" w:hAnsi="新宋体" w:eastAsia="新宋体" w:cs="新宋体"/>
          <w:color w:val="auto"/>
          <w:spacing w:val="20"/>
          <w:sz w:val="22"/>
          <w:szCs w:val="22"/>
          <w:highlight w:val="none"/>
        </w:rPr>
      </w:pPr>
    </w:p>
    <w:p w14:paraId="1A5C2BCD">
      <w:pPr>
        <w:spacing w:line="460" w:lineRule="exact"/>
        <w:rPr>
          <w:rFonts w:hint="eastAsia" w:ascii="新宋体" w:hAnsi="新宋体" w:eastAsia="新宋体" w:cs="新宋体"/>
          <w:color w:val="auto"/>
          <w:spacing w:val="20"/>
          <w:sz w:val="22"/>
          <w:szCs w:val="22"/>
          <w:highlight w:val="none"/>
        </w:rPr>
      </w:pPr>
    </w:p>
    <w:p w14:paraId="70A44E12">
      <w:pPr>
        <w:spacing w:line="460" w:lineRule="exact"/>
        <w:rPr>
          <w:rFonts w:hint="eastAsia" w:ascii="新宋体" w:hAnsi="新宋体" w:eastAsia="新宋体" w:cs="新宋体"/>
          <w:color w:val="auto"/>
          <w:spacing w:val="20"/>
          <w:sz w:val="22"/>
          <w:szCs w:val="22"/>
          <w:highlight w:val="none"/>
        </w:rPr>
      </w:pPr>
    </w:p>
    <w:p w14:paraId="79DB360A">
      <w:pPr>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b/>
          <w:color w:val="auto"/>
          <w:spacing w:val="6"/>
          <w:sz w:val="22"/>
          <w:szCs w:val="22"/>
          <w:highlight w:val="none"/>
        </w:rPr>
        <w:t>残疾人福利性单位声明函</w:t>
      </w:r>
    </w:p>
    <w:p w14:paraId="70AA280C">
      <w:pPr>
        <w:widowControl/>
        <w:adjustRightInd w:val="0"/>
        <w:snapToGrid w:val="0"/>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【不属于残疾人福利性单位的无需填写、递交】</w:t>
      </w:r>
    </w:p>
    <w:p w14:paraId="1EA52F0C">
      <w:pPr>
        <w:snapToGrid w:val="0"/>
        <w:spacing w:line="460" w:lineRule="exact"/>
        <w:jc w:val="center"/>
        <w:rPr>
          <w:rFonts w:hint="eastAsia" w:ascii="新宋体" w:hAnsi="新宋体" w:eastAsia="新宋体" w:cs="新宋体"/>
          <w:b/>
          <w:bCs/>
          <w:color w:val="auto"/>
          <w:sz w:val="22"/>
          <w:szCs w:val="22"/>
          <w:highlight w:val="none"/>
        </w:rPr>
      </w:pPr>
    </w:p>
    <w:p w14:paraId="604C4238">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本单位郑重声明，根据《财政部民政部中国残疾人联合会关于促进残疾人就业政府采购政策的通知》（财库</w:t>
      </w:r>
      <w:r>
        <w:rPr>
          <w:rFonts w:hint="eastAsia" w:ascii="新宋体" w:hAnsi="新宋体" w:eastAsia="新宋体" w:cs="新宋体"/>
          <w:color w:val="auto"/>
          <w:sz w:val="22"/>
          <w:szCs w:val="22"/>
          <w:highlight w:val="none"/>
        </w:rPr>
        <w:t>〔2017〕141</w:t>
      </w:r>
      <w:r>
        <w:rPr>
          <w:rFonts w:hint="eastAsia" w:ascii="新宋体" w:hAnsi="新宋体" w:eastAsia="新宋体" w:cs="新宋体"/>
          <w:color w:val="auto"/>
          <w:spacing w:val="6"/>
          <w:sz w:val="22"/>
          <w:szCs w:val="22"/>
          <w:highlight w:val="none"/>
        </w:rPr>
        <w:t>号）的规定，本单位为符合条件的残疾人福利性单位，且本单位参加</w:t>
      </w:r>
      <w:r>
        <w:rPr>
          <w:rFonts w:hint="eastAsia" w:ascii="新宋体" w:hAnsi="新宋体" w:eastAsia="新宋体" w:cs="新宋体"/>
          <w:color w:val="auto"/>
          <w:spacing w:val="6"/>
          <w:sz w:val="22"/>
          <w:szCs w:val="22"/>
          <w:highlight w:val="none"/>
          <w:u w:val="single"/>
        </w:rPr>
        <w:t>（招标人名称）</w:t>
      </w:r>
      <w:r>
        <w:rPr>
          <w:rFonts w:hint="eastAsia" w:ascii="新宋体" w:hAnsi="新宋体" w:eastAsia="新宋体" w:cs="新宋体"/>
          <w:color w:val="auto"/>
          <w:spacing w:val="6"/>
          <w:sz w:val="22"/>
          <w:szCs w:val="22"/>
          <w:highlight w:val="none"/>
        </w:rPr>
        <w:t>单位的</w:t>
      </w:r>
      <w:r>
        <w:rPr>
          <w:rFonts w:hint="eastAsia" w:ascii="新宋体" w:hAnsi="新宋体" w:eastAsia="新宋体" w:cs="新宋体"/>
          <w:color w:val="auto"/>
          <w:spacing w:val="6"/>
          <w:sz w:val="22"/>
          <w:szCs w:val="22"/>
          <w:highlight w:val="none"/>
          <w:u w:val="single"/>
        </w:rPr>
        <w:t>（招标项目名称）</w:t>
      </w:r>
      <w:r>
        <w:rPr>
          <w:rFonts w:hint="eastAsia" w:ascii="新宋体" w:hAnsi="新宋体" w:eastAsia="新宋体" w:cs="新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79FC1FF2">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本单位对上述声明的真实性负责。如有虚假，将依法承担相应责任。</w:t>
      </w:r>
    </w:p>
    <w:p w14:paraId="58AB976C">
      <w:pPr>
        <w:snapToGrid w:val="0"/>
        <w:spacing w:line="460" w:lineRule="exact"/>
        <w:ind w:firstLine="464" w:firstLineChars="200"/>
        <w:rPr>
          <w:rFonts w:hint="eastAsia" w:ascii="新宋体" w:hAnsi="新宋体" w:eastAsia="新宋体" w:cs="新宋体"/>
          <w:color w:val="auto"/>
          <w:spacing w:val="6"/>
          <w:sz w:val="22"/>
          <w:szCs w:val="22"/>
          <w:highlight w:val="none"/>
        </w:rPr>
      </w:pPr>
    </w:p>
    <w:p w14:paraId="002324A2">
      <w:pPr>
        <w:snapToGrid w:val="0"/>
        <w:spacing w:line="460" w:lineRule="exact"/>
        <w:ind w:firstLine="464" w:firstLineChars="200"/>
        <w:rPr>
          <w:rFonts w:hint="eastAsia" w:ascii="新宋体" w:hAnsi="新宋体" w:eastAsia="新宋体" w:cs="新宋体"/>
          <w:color w:val="auto"/>
          <w:spacing w:val="6"/>
          <w:sz w:val="22"/>
          <w:szCs w:val="22"/>
          <w:highlight w:val="none"/>
        </w:rPr>
      </w:pPr>
    </w:p>
    <w:p w14:paraId="5F1F990E">
      <w:pPr>
        <w:adjustRightInd w:val="0"/>
        <w:snapToGrid w:val="0"/>
        <w:spacing w:line="460" w:lineRule="exact"/>
        <w:ind w:firstLine="440" w:firstLineChars="20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投标人全称（盖章）：</w:t>
      </w:r>
      <w:r>
        <w:rPr>
          <w:rFonts w:hint="eastAsia" w:ascii="新宋体" w:hAnsi="新宋体" w:eastAsia="新宋体" w:cs="新宋体"/>
          <w:color w:val="auto"/>
          <w:kern w:val="0"/>
          <w:sz w:val="22"/>
          <w:szCs w:val="22"/>
          <w:highlight w:val="none"/>
          <w:u w:val="single"/>
        </w:rPr>
        <w:t xml:space="preserve">                    </w:t>
      </w:r>
    </w:p>
    <w:p w14:paraId="048ABC0D">
      <w:pPr>
        <w:pStyle w:val="23"/>
        <w:spacing w:line="460" w:lineRule="exact"/>
        <w:ind w:left="437" w:leftChars="208"/>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w:t>
      </w:r>
      <w:r>
        <w:rPr>
          <w:rFonts w:hint="eastAsia" w:ascii="新宋体" w:hAnsi="新宋体" w:eastAsia="新宋体" w:cs="新宋体"/>
          <w:color w:val="auto"/>
          <w:kern w:val="0"/>
          <w:sz w:val="22"/>
          <w:szCs w:val="22"/>
          <w:highlight w:val="none"/>
          <w:lang w:val="en-US" w:eastAsia="zh-CN"/>
        </w:rPr>
        <w:t xml:space="preserve"> </w:t>
      </w:r>
      <w:r>
        <w:rPr>
          <w:rFonts w:hint="eastAsia" w:ascii="新宋体" w:hAnsi="新宋体" w:eastAsia="新宋体" w:cs="新宋体"/>
          <w:color w:val="auto"/>
          <w:kern w:val="0"/>
          <w:sz w:val="22"/>
          <w:szCs w:val="22"/>
          <w:highlight w:val="none"/>
        </w:rPr>
        <w:t xml:space="preserve">  日</w:t>
      </w:r>
    </w:p>
    <w:p w14:paraId="66C3BAAE">
      <w:pPr>
        <w:pStyle w:val="23"/>
        <w:ind w:left="0" w:leftChars="0" w:firstLine="0" w:firstLineChars="0"/>
        <w:rPr>
          <w:rFonts w:hint="eastAsia" w:ascii="新宋体" w:hAnsi="新宋体" w:eastAsia="新宋体" w:cs="新宋体"/>
          <w:color w:val="auto"/>
          <w:kern w:val="0"/>
          <w:sz w:val="22"/>
          <w:szCs w:val="22"/>
          <w:highlight w:val="none"/>
        </w:rPr>
      </w:pPr>
    </w:p>
    <w:p w14:paraId="1BC8EA28">
      <w:pPr>
        <w:pStyle w:val="23"/>
        <w:ind w:left="860" w:hanging="440"/>
        <w:rPr>
          <w:rFonts w:hint="eastAsia" w:ascii="新宋体" w:hAnsi="新宋体" w:eastAsia="新宋体" w:cs="新宋体"/>
          <w:color w:val="auto"/>
          <w:kern w:val="0"/>
          <w:sz w:val="22"/>
          <w:szCs w:val="22"/>
          <w:highlight w:val="none"/>
        </w:rPr>
      </w:pPr>
    </w:p>
    <w:p w14:paraId="740D7409">
      <w:pPr>
        <w:pStyle w:val="23"/>
        <w:spacing w:line="460" w:lineRule="exact"/>
        <w:ind w:left="0" w:leftChars="0" w:firstLine="0" w:firstLineChars="0"/>
        <w:jc w:val="both"/>
        <w:rPr>
          <w:rFonts w:hint="eastAsia" w:ascii="新宋体" w:hAnsi="新宋体" w:eastAsia="新宋体" w:cs="新宋体"/>
          <w:b/>
          <w:color w:val="auto"/>
          <w:kern w:val="0"/>
          <w:sz w:val="22"/>
          <w:szCs w:val="22"/>
          <w:highlight w:val="none"/>
        </w:rPr>
      </w:pPr>
    </w:p>
    <w:p w14:paraId="7FAF4946">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p>
    <w:p w14:paraId="725CADD3">
      <w:pPr>
        <w:jc w:val="left"/>
        <w:outlineLvl w:val="1"/>
        <w:rPr>
          <w:rFonts w:hint="eastAsia" w:ascii="新宋体" w:hAnsi="新宋体" w:eastAsia="新宋体" w:cs="新宋体"/>
          <w:b/>
          <w:bCs/>
          <w:color w:val="auto"/>
          <w:sz w:val="22"/>
          <w:szCs w:val="22"/>
          <w:highlight w:val="none"/>
        </w:rPr>
      </w:pPr>
      <w:bookmarkStart w:id="31" w:name="_Toc7531"/>
      <w:r>
        <w:rPr>
          <w:rFonts w:hint="eastAsia" w:ascii="新宋体" w:hAnsi="新宋体" w:eastAsia="新宋体" w:cs="新宋体"/>
          <w:b/>
          <w:bCs/>
          <w:color w:val="auto"/>
          <w:sz w:val="22"/>
          <w:szCs w:val="22"/>
          <w:highlight w:val="none"/>
        </w:rPr>
        <w:t>附件三</w:t>
      </w:r>
      <w:bookmarkEnd w:id="31"/>
    </w:p>
    <w:p w14:paraId="3082B1B3">
      <w:pPr>
        <w:spacing w:line="380" w:lineRule="exact"/>
        <w:jc w:val="center"/>
        <w:outlineLvl w:val="2"/>
        <w:rPr>
          <w:rFonts w:hint="eastAsia" w:ascii="新宋体" w:hAnsi="新宋体" w:eastAsia="新宋体" w:cs="新宋体"/>
          <w:b/>
          <w:bCs/>
          <w:color w:val="auto"/>
          <w:sz w:val="28"/>
          <w:szCs w:val="28"/>
          <w:highlight w:val="none"/>
        </w:rPr>
      </w:pPr>
      <w:bookmarkStart w:id="32" w:name="_Toc8643"/>
      <w:r>
        <w:rPr>
          <w:rFonts w:hint="eastAsia" w:ascii="新宋体" w:hAnsi="新宋体" w:eastAsia="新宋体" w:cs="新宋体"/>
          <w:b/>
          <w:bCs/>
          <w:color w:val="auto"/>
          <w:sz w:val="28"/>
          <w:szCs w:val="28"/>
          <w:highlight w:val="none"/>
        </w:rPr>
        <w:t>商务技术文件</w:t>
      </w:r>
      <w:bookmarkEnd w:id="32"/>
    </w:p>
    <w:p w14:paraId="0A48A813">
      <w:pPr>
        <w:spacing w:line="460" w:lineRule="exact"/>
        <w:jc w:val="center"/>
        <w:outlineLvl w:val="3"/>
        <w:rPr>
          <w:rFonts w:hint="eastAsia" w:ascii="新宋体" w:hAnsi="新宋体" w:eastAsia="新宋体" w:cs="新宋体"/>
          <w:b/>
          <w:bCs/>
          <w:color w:val="auto"/>
          <w:sz w:val="24"/>
          <w:szCs w:val="24"/>
          <w:highlight w:val="none"/>
          <w:lang w:val="zh-CN" w:eastAsia="zh-CN"/>
        </w:rPr>
      </w:pPr>
      <w:r>
        <w:rPr>
          <w:rFonts w:hint="eastAsia" w:ascii="新宋体" w:hAnsi="新宋体" w:eastAsia="新宋体" w:cs="新宋体"/>
          <w:b/>
          <w:bCs/>
          <w:color w:val="auto"/>
          <w:sz w:val="24"/>
          <w:szCs w:val="24"/>
          <w:highlight w:val="none"/>
          <w:lang w:val="en-US" w:eastAsia="zh-CN"/>
        </w:rPr>
        <w:t>1、</w:t>
      </w:r>
      <w:r>
        <w:rPr>
          <w:rFonts w:hint="eastAsia" w:ascii="新宋体" w:hAnsi="新宋体" w:eastAsia="新宋体" w:cs="新宋体"/>
          <w:b/>
          <w:bCs/>
          <w:color w:val="auto"/>
          <w:sz w:val="24"/>
          <w:szCs w:val="24"/>
          <w:highlight w:val="none"/>
          <w:lang w:val="zh-CN" w:eastAsia="zh-CN"/>
        </w:rPr>
        <w:t>投标</w:t>
      </w:r>
      <w:r>
        <w:rPr>
          <w:rFonts w:hint="eastAsia" w:ascii="新宋体" w:hAnsi="新宋体" w:eastAsia="新宋体" w:cs="新宋体"/>
          <w:b/>
          <w:bCs/>
          <w:color w:val="auto"/>
          <w:sz w:val="24"/>
          <w:szCs w:val="24"/>
          <w:highlight w:val="none"/>
          <w:lang w:val="en-US" w:eastAsia="zh-CN"/>
        </w:rPr>
        <w:t>响应</w:t>
      </w:r>
      <w:r>
        <w:rPr>
          <w:rFonts w:hint="eastAsia" w:ascii="新宋体" w:hAnsi="新宋体" w:eastAsia="新宋体" w:cs="新宋体"/>
          <w:b/>
          <w:bCs/>
          <w:color w:val="auto"/>
          <w:sz w:val="24"/>
          <w:szCs w:val="24"/>
          <w:highlight w:val="none"/>
          <w:lang w:val="zh-CN" w:eastAsia="zh-CN"/>
        </w:rPr>
        <w:t>函</w:t>
      </w:r>
    </w:p>
    <w:p w14:paraId="52131131">
      <w:pPr>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致：</w:t>
      </w:r>
      <w:r>
        <w:rPr>
          <w:rFonts w:hint="eastAsia" w:ascii="新宋体" w:hAnsi="新宋体" w:eastAsia="新宋体" w:cs="新宋体"/>
          <w:color w:val="auto"/>
          <w:sz w:val="22"/>
          <w:szCs w:val="22"/>
          <w:highlight w:val="none"/>
          <w:lang w:eastAsia="zh-CN"/>
        </w:rPr>
        <w:t>温州市中医院</w:t>
      </w:r>
    </w:p>
    <w:p w14:paraId="604E3EA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根据贵方为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项目（招标编号：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b/>
          <w:color w:val="auto"/>
          <w:sz w:val="22"/>
          <w:szCs w:val="22"/>
          <w:highlight w:val="none"/>
          <w:u w:val="single"/>
        </w:rPr>
        <w:t xml:space="preserve"> </w:t>
      </w:r>
      <w:r>
        <w:rPr>
          <w:rFonts w:hint="eastAsia" w:ascii="新宋体" w:hAnsi="新宋体" w:eastAsia="新宋体" w:cs="新宋体"/>
          <w:color w:val="auto"/>
          <w:sz w:val="22"/>
          <w:szCs w:val="22"/>
          <w:highlight w:val="none"/>
        </w:rPr>
        <w:t>）的投标邀请，我方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（投标人名称）作为投标人正式授权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（授权代表全名，职务）代表我方处理有关本投标的一切事宜。为此：</w:t>
      </w:r>
    </w:p>
    <w:p w14:paraId="3E1F963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1、我方同意在投标人编制和提交投标文件须知规定的开标日期起遵守本投标书中的承诺且在投标有效期满之前均具有约束力。</w:t>
      </w:r>
    </w:p>
    <w:p w14:paraId="3285218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2、我方承诺已经具备《中华人民共和国政府采购法》中规定的参加政府采购活动的投标人应当具备的条件：</w:t>
      </w:r>
    </w:p>
    <w:p w14:paraId="3D4946C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（1）具有独立承担民事责任的能力；</w:t>
      </w:r>
    </w:p>
    <w:p w14:paraId="67FB2E0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（2）遵守国家法律、行政法规，具有良好的信誉和商业道德；</w:t>
      </w:r>
    </w:p>
    <w:p w14:paraId="3451651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（3）具有履行合同的能力和良好的履行合同记录；</w:t>
      </w:r>
    </w:p>
    <w:p w14:paraId="2B0F77C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（4）良好的资金、财务状况；</w:t>
      </w:r>
    </w:p>
    <w:p w14:paraId="1AD86A9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（5）提供的产品和服务符合中国政府规定的相应标准和环保标准；</w:t>
      </w:r>
    </w:p>
    <w:p w14:paraId="37E9081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（6）没有违反政府采购法规、政策的记录；</w:t>
      </w:r>
    </w:p>
    <w:p w14:paraId="5AFB335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（7）没有发生重大经济纠纷和走私犯罪记录。</w:t>
      </w:r>
    </w:p>
    <w:p w14:paraId="34E3827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3、提供编制和提交投标文件须知规定的全部投标文件，包括资格文件、报价文件、商务技术文件。具体内容为：</w:t>
      </w:r>
    </w:p>
    <w:p w14:paraId="6E338AB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（1）资格文件</w:t>
      </w:r>
    </w:p>
    <w:p w14:paraId="42E50FE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（2）报价文件；</w:t>
      </w:r>
    </w:p>
    <w:p w14:paraId="46B4009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zh-CN"/>
        </w:rPr>
        <w:t>商务技术文件</w:t>
      </w:r>
      <w:r>
        <w:rPr>
          <w:rFonts w:hint="eastAsia" w:ascii="新宋体" w:hAnsi="新宋体" w:eastAsia="新宋体" w:cs="新宋体"/>
          <w:color w:val="auto"/>
          <w:sz w:val="22"/>
          <w:szCs w:val="22"/>
          <w:highlight w:val="none"/>
        </w:rPr>
        <w:t>；</w:t>
      </w:r>
    </w:p>
    <w:p w14:paraId="3A2EBD9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（4）编制和提交投标文件须知要求投标人提交的全部文件；</w:t>
      </w:r>
    </w:p>
    <w:p w14:paraId="5D93031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（5）按招标文件要求提供和交付的货物和服务的投标报价详见开标一览表；</w:t>
      </w:r>
    </w:p>
    <w:p w14:paraId="111EF52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（6）保证忠实地执行双方所签订的合同，并承担合同规定的责任和义务；</w:t>
      </w:r>
    </w:p>
    <w:p w14:paraId="57987B6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（7）保证遵守招标文件中的其他有关规定。</w:t>
      </w:r>
    </w:p>
    <w:p w14:paraId="54E0493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4、投标有效期内不撤销投标文件，如中标，有效期将延至合同终止日为止。</w:t>
      </w:r>
    </w:p>
    <w:p w14:paraId="09CA38F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5、我方完全理解贵方不一定要接受最低价的投标。</w:t>
      </w:r>
    </w:p>
    <w:p w14:paraId="786F1F0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6、如中标，按招标文件规定与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签订合同。如拒绝签订合同，承诺按本项目预算金额的2%对</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进行赔偿；赔偿金额不足以弥补</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损失的，承诺继续承担超过部分的损失。</w:t>
      </w:r>
    </w:p>
    <w:p w14:paraId="135A1BD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7、如中标，按招标文件规定的招标代理服务费标准，在领取中标通知书时向</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支付招标代理服务费。</w:t>
      </w:r>
    </w:p>
    <w:p w14:paraId="3972BCC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8、我方愿意向贵方提供任何与该项投标有关的数据、情况和服务资料。若贵方需要，我方愿意提供我方作出的一切承诺的证明材料。</w:t>
      </w:r>
    </w:p>
    <w:p w14:paraId="7B4FC60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41604F1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02ACC9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（1）提供虚假材料谋取中标、成交的；</w:t>
      </w:r>
    </w:p>
    <w:p w14:paraId="6765359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（2）采取不正当手段诋毁、排挤其他投标人的；</w:t>
      </w:r>
    </w:p>
    <w:p w14:paraId="0321F0C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、其它投标人或者</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恶意串通的；</w:t>
      </w:r>
    </w:p>
    <w:p w14:paraId="7EE5346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行贿或者提供其他不正当利益的；</w:t>
      </w:r>
    </w:p>
    <w:p w14:paraId="4376117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（5）在招标采购过程中与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进行协商谈判的；</w:t>
      </w:r>
    </w:p>
    <w:p w14:paraId="5696F35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（6）拒绝有关部门监督检查或提供虚假情况的。</w:t>
      </w:r>
    </w:p>
    <w:p w14:paraId="1FF01CF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投标人有前款第（1）至（</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）项情形之一的，中标、成交无效。</w:t>
      </w:r>
    </w:p>
    <w:p w14:paraId="2EB91188">
      <w:pPr>
        <w:spacing w:line="460" w:lineRule="exact"/>
        <w:rPr>
          <w:rFonts w:hint="eastAsia" w:ascii="新宋体" w:hAnsi="新宋体" w:eastAsia="新宋体" w:cs="新宋体"/>
          <w:color w:val="auto"/>
          <w:sz w:val="22"/>
          <w:szCs w:val="22"/>
          <w:highlight w:val="none"/>
          <w:lang w:val="zh-CN"/>
        </w:rPr>
      </w:pPr>
    </w:p>
    <w:p w14:paraId="791B1508">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法定（授权）代表人（签字）：</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ab/>
      </w:r>
    </w:p>
    <w:p w14:paraId="233CCEB8">
      <w:pPr>
        <w:spacing w:line="460" w:lineRule="exact"/>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投标人（盖 章）：</w:t>
      </w:r>
      <w:r>
        <w:rPr>
          <w:rFonts w:hint="eastAsia" w:ascii="新宋体" w:hAnsi="新宋体" w:eastAsia="新宋体" w:cs="新宋体"/>
          <w:color w:val="auto"/>
          <w:sz w:val="22"/>
          <w:szCs w:val="22"/>
          <w:highlight w:val="none"/>
          <w:u w:val="single"/>
          <w:lang w:val="zh-CN"/>
        </w:rPr>
        <w:t xml:space="preserve">                   </w:t>
      </w:r>
    </w:p>
    <w:p w14:paraId="12C497A7">
      <w:pPr>
        <w:spacing w:line="460" w:lineRule="exact"/>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lang w:val="zh-CN"/>
        </w:rPr>
        <w:t>联系电话：</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传真：</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电子邮件：</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p>
    <w:p w14:paraId="19A43538">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联系地址：</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ab/>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p>
    <w:p w14:paraId="0B429D5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邮政编码：</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 xml:space="preserve"> </w:t>
      </w:r>
    </w:p>
    <w:p w14:paraId="7CAFE746">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日</w:t>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lang w:val="zh-CN"/>
        </w:rPr>
        <w:t>期</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lang w:val="zh-CN"/>
        </w:rPr>
        <w:t>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lang w:val="zh-CN"/>
        </w:rPr>
        <w:t>月</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日</w:t>
      </w:r>
    </w:p>
    <w:p w14:paraId="3CF5AC3A">
      <w:pPr>
        <w:spacing w:line="460" w:lineRule="exac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注：未按照本投标响应函要求填报的将被视为非实质性响应，从而可能导致该投标文件被拒绝。</w:t>
      </w:r>
    </w:p>
    <w:p w14:paraId="110DA3F1">
      <w:pPr>
        <w:pStyle w:val="23"/>
        <w:ind w:left="862" w:hanging="442"/>
        <w:rPr>
          <w:rFonts w:hint="eastAsia" w:ascii="新宋体" w:hAnsi="新宋体" w:eastAsia="新宋体" w:cs="新宋体"/>
          <w:b/>
          <w:bCs/>
          <w:color w:val="auto"/>
          <w:kern w:val="0"/>
          <w:sz w:val="22"/>
          <w:szCs w:val="22"/>
          <w:highlight w:val="none"/>
          <w:lang w:val="zh-CN"/>
        </w:rPr>
      </w:pPr>
    </w:p>
    <w:p w14:paraId="0F462DAB">
      <w:pPr>
        <w:pStyle w:val="23"/>
        <w:ind w:left="862" w:hanging="442"/>
        <w:rPr>
          <w:rFonts w:hint="eastAsia" w:ascii="新宋体" w:hAnsi="新宋体" w:eastAsia="新宋体" w:cs="新宋体"/>
          <w:b/>
          <w:bCs/>
          <w:color w:val="auto"/>
          <w:kern w:val="0"/>
          <w:sz w:val="22"/>
          <w:szCs w:val="22"/>
          <w:highlight w:val="none"/>
          <w:lang w:val="zh-CN"/>
        </w:rPr>
      </w:pPr>
    </w:p>
    <w:p w14:paraId="47A5FC25">
      <w:pPr>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br w:type="page"/>
      </w:r>
    </w:p>
    <w:p w14:paraId="61AB0D3A">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2、法定代表人授权书</w:t>
      </w:r>
    </w:p>
    <w:p w14:paraId="4F2B337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温州市中医院</w:t>
      </w:r>
      <w:r>
        <w:rPr>
          <w:rFonts w:hint="eastAsia" w:ascii="新宋体" w:hAnsi="新宋体" w:eastAsia="新宋体" w:cs="新宋体"/>
          <w:color w:val="auto"/>
          <w:sz w:val="22"/>
          <w:szCs w:val="22"/>
          <w:highlight w:val="none"/>
        </w:rPr>
        <w:t>：</w:t>
      </w:r>
    </w:p>
    <w:p w14:paraId="77BAC587">
      <w:pPr>
        <w:spacing w:line="460" w:lineRule="exact"/>
        <w:rPr>
          <w:rFonts w:hint="eastAsia" w:ascii="新宋体" w:hAnsi="新宋体" w:eastAsia="新宋体" w:cs="新宋体"/>
          <w:color w:val="auto"/>
          <w:sz w:val="22"/>
          <w:szCs w:val="22"/>
          <w:highlight w:val="none"/>
          <w:u w:val="single"/>
        </w:rPr>
      </w:pPr>
    </w:p>
    <w:p w14:paraId="1FD0B78F">
      <w:pPr>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（投标人全称）法定代表人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（全权代表姓名）为全权代表，参加贵处组织的（项目名称：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）的招标活动，全权代表我方处理招标活动中的一切事宜。</w:t>
      </w:r>
    </w:p>
    <w:p w14:paraId="3020165A">
      <w:pPr>
        <w:spacing w:line="460" w:lineRule="exact"/>
        <w:ind w:firstLine="2955"/>
        <w:rPr>
          <w:rFonts w:hint="eastAsia" w:ascii="新宋体" w:hAnsi="新宋体" w:eastAsia="新宋体" w:cs="新宋体"/>
          <w:color w:val="auto"/>
          <w:sz w:val="22"/>
          <w:szCs w:val="22"/>
          <w:highlight w:val="none"/>
        </w:rPr>
      </w:pPr>
    </w:p>
    <w:p w14:paraId="54E71390">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4742DCDA">
      <w:pPr>
        <w:spacing w:line="460" w:lineRule="exact"/>
        <w:ind w:firstLine="3740" w:firstLineChars="17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法定代表人（签字或盖章）：</w:t>
      </w:r>
    </w:p>
    <w:p w14:paraId="187B2742">
      <w:pPr>
        <w:spacing w:line="460" w:lineRule="exact"/>
        <w:ind w:firstLine="3740" w:firstLineChars="17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投标人全称（公章）：</w:t>
      </w:r>
    </w:p>
    <w:p w14:paraId="5CB12552">
      <w:pPr>
        <w:spacing w:line="460" w:lineRule="exact"/>
        <w:ind w:firstLine="3740" w:firstLineChars="17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日   期：  </w:t>
      </w:r>
    </w:p>
    <w:p w14:paraId="07255FD8">
      <w:pPr>
        <w:spacing w:line="380" w:lineRule="exact"/>
        <w:rPr>
          <w:rFonts w:hint="eastAsia" w:ascii="新宋体" w:hAnsi="新宋体" w:eastAsia="新宋体" w:cs="新宋体"/>
          <w:color w:val="auto"/>
          <w:sz w:val="22"/>
          <w:szCs w:val="22"/>
          <w:highlight w:val="none"/>
        </w:rPr>
      </w:pPr>
    </w:p>
    <w:p w14:paraId="1FA99E6D">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附：</w:t>
      </w:r>
    </w:p>
    <w:p w14:paraId="042090AA">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 xml:space="preserve">授权代表姓名：   </w:t>
      </w:r>
    </w:p>
    <w:p w14:paraId="4CF79C66">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职务：</w:t>
      </w:r>
    </w:p>
    <w:p w14:paraId="3F931FC4">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详细通讯地址：</w:t>
      </w:r>
    </w:p>
    <w:p w14:paraId="783E67F4">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电话：</w:t>
      </w:r>
    </w:p>
    <w:p w14:paraId="0E02BE22">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传真：</w:t>
      </w:r>
    </w:p>
    <w:p w14:paraId="6E373090">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p>
    <w:p w14:paraId="45B9DB60">
      <w:pPr>
        <w:pStyle w:val="11"/>
        <w:ind w:left="0" w:leftChars="0" w:firstLine="0" w:firstLineChars="0"/>
        <w:rPr>
          <w:rFonts w:hint="eastAsia" w:ascii="新宋体" w:hAnsi="新宋体" w:eastAsia="新宋体" w:cs="新宋体"/>
          <w:color w:val="auto"/>
          <w:sz w:val="22"/>
          <w:szCs w:val="22"/>
          <w:highlight w:val="none"/>
        </w:rPr>
      </w:pPr>
    </w:p>
    <w:p w14:paraId="02EEB0C1">
      <w:pPr>
        <w:rPr>
          <w:rFonts w:hint="eastAsia" w:ascii="新宋体" w:hAnsi="新宋体" w:eastAsia="新宋体" w:cs="新宋体"/>
          <w:color w:val="auto"/>
          <w:sz w:val="22"/>
          <w:szCs w:val="22"/>
          <w:highlight w:val="none"/>
        </w:rPr>
      </w:pPr>
    </w:p>
    <w:p w14:paraId="5E8BA3EE">
      <w:pPr>
        <w:pStyle w:val="11"/>
        <w:ind w:left="0" w:leftChars="0" w:firstLine="0" w:firstLineChars="0"/>
        <w:rPr>
          <w:rFonts w:hint="eastAsia" w:ascii="新宋体" w:hAnsi="新宋体" w:eastAsia="新宋体" w:cs="新宋体"/>
          <w:color w:val="auto"/>
          <w:sz w:val="22"/>
          <w:szCs w:val="22"/>
          <w:highlight w:val="none"/>
        </w:rPr>
      </w:pPr>
    </w:p>
    <w:p w14:paraId="56A101BA">
      <w:pPr>
        <w:rPr>
          <w:rFonts w:hint="eastAsia" w:ascii="新宋体" w:hAnsi="新宋体" w:eastAsia="新宋体" w:cs="新宋体"/>
          <w:color w:val="auto"/>
          <w:sz w:val="22"/>
          <w:szCs w:val="22"/>
          <w:highlight w:val="none"/>
        </w:rPr>
      </w:pPr>
    </w:p>
    <w:p w14:paraId="631CFC52">
      <w:pPr>
        <w:pStyle w:val="11"/>
        <w:ind w:left="0" w:leftChars="0" w:firstLine="0" w:firstLineChars="0"/>
        <w:rPr>
          <w:rFonts w:hint="eastAsia" w:ascii="新宋体" w:hAnsi="新宋体" w:eastAsia="新宋体" w:cs="新宋体"/>
          <w:color w:val="auto"/>
          <w:sz w:val="22"/>
          <w:szCs w:val="22"/>
          <w:highlight w:val="none"/>
        </w:rPr>
      </w:pPr>
    </w:p>
    <w:p w14:paraId="035CB19E">
      <w:pPr>
        <w:rPr>
          <w:rFonts w:hint="eastAsia" w:ascii="新宋体" w:hAnsi="新宋体" w:eastAsia="新宋体" w:cs="新宋体"/>
          <w:color w:val="auto"/>
          <w:sz w:val="22"/>
          <w:szCs w:val="22"/>
          <w:highlight w:val="none"/>
        </w:rPr>
      </w:pPr>
    </w:p>
    <w:p w14:paraId="46917926">
      <w:pPr>
        <w:pStyle w:val="11"/>
        <w:ind w:left="0" w:leftChars="0" w:firstLine="0" w:firstLineChars="0"/>
        <w:rPr>
          <w:rFonts w:hint="eastAsia" w:ascii="新宋体" w:hAnsi="新宋体" w:eastAsia="新宋体" w:cs="新宋体"/>
          <w:color w:val="auto"/>
          <w:sz w:val="22"/>
          <w:szCs w:val="22"/>
          <w:highlight w:val="none"/>
        </w:rPr>
      </w:pPr>
    </w:p>
    <w:p w14:paraId="64BA6A61">
      <w:pPr>
        <w:rPr>
          <w:rFonts w:hint="eastAsia" w:ascii="新宋体" w:hAnsi="新宋体" w:eastAsia="新宋体" w:cs="新宋体"/>
          <w:color w:val="auto"/>
          <w:highlight w:val="none"/>
        </w:rPr>
      </w:pPr>
    </w:p>
    <w:p w14:paraId="174675E4">
      <w:pPr>
        <w:pStyle w:val="11"/>
        <w:ind w:left="0" w:leftChars="0" w:firstLine="0" w:firstLineChars="0"/>
        <w:rPr>
          <w:rFonts w:hint="eastAsia" w:ascii="新宋体" w:hAnsi="新宋体" w:eastAsia="新宋体" w:cs="新宋体"/>
          <w:color w:val="auto"/>
          <w:sz w:val="22"/>
          <w:szCs w:val="22"/>
          <w:highlight w:val="none"/>
        </w:rPr>
      </w:pPr>
    </w:p>
    <w:p w14:paraId="335F14A5">
      <w:pPr>
        <w:rPr>
          <w:rFonts w:hint="eastAsia" w:ascii="新宋体" w:hAnsi="新宋体" w:eastAsia="新宋体" w:cs="新宋体"/>
          <w:color w:val="auto"/>
          <w:sz w:val="22"/>
          <w:szCs w:val="22"/>
          <w:highlight w:val="none"/>
        </w:rPr>
      </w:pPr>
    </w:p>
    <w:p w14:paraId="74D3FACA">
      <w:pPr>
        <w:pStyle w:val="23"/>
        <w:ind w:left="0" w:leftChars="0" w:firstLine="0" w:firstLineChars="0"/>
        <w:rPr>
          <w:rFonts w:hint="eastAsia" w:ascii="新宋体" w:hAnsi="新宋体" w:eastAsia="新宋体" w:cs="新宋体"/>
          <w:color w:val="auto"/>
          <w:sz w:val="22"/>
          <w:szCs w:val="22"/>
          <w:highlight w:val="none"/>
        </w:rPr>
      </w:pPr>
    </w:p>
    <w:p w14:paraId="1118EFEF">
      <w:pPr>
        <w:pStyle w:val="23"/>
        <w:ind w:left="0" w:leftChars="0" w:firstLine="0" w:firstLineChars="0"/>
        <w:rPr>
          <w:rFonts w:hint="eastAsia" w:ascii="新宋体" w:hAnsi="新宋体" w:eastAsia="新宋体" w:cs="新宋体"/>
          <w:color w:val="auto"/>
          <w:sz w:val="22"/>
          <w:szCs w:val="22"/>
          <w:highlight w:val="none"/>
        </w:rPr>
      </w:pPr>
    </w:p>
    <w:p w14:paraId="59D33F4B">
      <w:pPr>
        <w:pStyle w:val="23"/>
        <w:ind w:left="0" w:leftChars="0" w:firstLine="0" w:firstLineChars="0"/>
        <w:rPr>
          <w:rFonts w:hint="eastAsia" w:ascii="新宋体" w:hAnsi="新宋体" w:eastAsia="新宋体" w:cs="新宋体"/>
          <w:color w:val="auto"/>
          <w:sz w:val="22"/>
          <w:szCs w:val="22"/>
          <w:highlight w:val="none"/>
        </w:rPr>
      </w:pPr>
    </w:p>
    <w:p w14:paraId="5AAE26A6">
      <w:pPr>
        <w:rPr>
          <w:rFonts w:hint="eastAsia" w:ascii="新宋体" w:hAnsi="新宋体" w:eastAsia="新宋体" w:cs="新宋体"/>
          <w:color w:val="auto"/>
          <w:sz w:val="22"/>
          <w:szCs w:val="22"/>
          <w:highlight w:val="none"/>
        </w:rPr>
      </w:pPr>
    </w:p>
    <w:p w14:paraId="041E35BE">
      <w:pPr>
        <w:pStyle w:val="11"/>
        <w:ind w:left="0" w:leftChars="0" w:firstLine="0" w:firstLineChars="0"/>
        <w:rPr>
          <w:rFonts w:hint="eastAsia" w:ascii="新宋体" w:hAnsi="新宋体" w:eastAsia="新宋体" w:cs="新宋体"/>
          <w:color w:val="auto"/>
          <w:sz w:val="22"/>
          <w:szCs w:val="22"/>
          <w:highlight w:val="none"/>
        </w:rPr>
      </w:pPr>
    </w:p>
    <w:p w14:paraId="3A595F7D">
      <w:pPr>
        <w:rPr>
          <w:rFonts w:hint="eastAsia" w:ascii="新宋体" w:hAnsi="新宋体" w:eastAsia="新宋体" w:cs="新宋体"/>
          <w:color w:val="auto"/>
          <w:sz w:val="22"/>
          <w:szCs w:val="22"/>
          <w:highlight w:val="none"/>
        </w:rPr>
      </w:pPr>
    </w:p>
    <w:p w14:paraId="20603015">
      <w:pPr>
        <w:pStyle w:val="11"/>
        <w:ind w:firstLine="0" w:firstLineChars="0"/>
        <w:rPr>
          <w:rFonts w:hint="eastAsia" w:ascii="新宋体" w:hAnsi="新宋体" w:eastAsia="新宋体" w:cs="新宋体"/>
          <w:color w:val="auto"/>
          <w:highlight w:val="none"/>
        </w:rPr>
      </w:pPr>
    </w:p>
    <w:p w14:paraId="7851F5B7">
      <w:pPr>
        <w:rPr>
          <w:rFonts w:hint="eastAsia" w:ascii="新宋体" w:hAnsi="新宋体" w:eastAsia="新宋体" w:cs="新宋体"/>
          <w:color w:val="auto"/>
          <w:highlight w:val="none"/>
        </w:rPr>
      </w:pPr>
    </w:p>
    <w:p w14:paraId="05EDABB0">
      <w:pPr>
        <w:pStyle w:val="3"/>
        <w:ind w:left="0" w:leftChars="0" w:firstLine="0" w:firstLineChars="0"/>
        <w:rPr>
          <w:rFonts w:hint="eastAsia" w:ascii="新宋体" w:hAnsi="新宋体" w:eastAsia="新宋体" w:cs="新宋体"/>
          <w:color w:val="auto"/>
          <w:highlight w:val="none"/>
        </w:rPr>
      </w:pPr>
    </w:p>
    <w:p w14:paraId="44F77483">
      <w:pPr>
        <w:pStyle w:val="44"/>
        <w:ind w:left="0" w:leftChars="0" w:firstLine="0" w:firstLineChars="0"/>
        <w:rPr>
          <w:rFonts w:hint="eastAsia" w:ascii="新宋体" w:hAnsi="新宋体" w:eastAsia="新宋体" w:cs="新宋体"/>
          <w:color w:val="auto"/>
          <w:highlight w:val="none"/>
        </w:rPr>
      </w:pPr>
    </w:p>
    <w:p w14:paraId="5C6770A9">
      <w:pPr>
        <w:spacing w:line="460" w:lineRule="exact"/>
        <w:jc w:val="both"/>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54115" cy="3004185"/>
                        </a:xfrm>
                        <a:prstGeom prst="rect">
                          <a:avLst/>
                        </a:prstGeom>
                        <a:solidFill>
                          <a:srgbClr val="FFFFFF"/>
                        </a:solidFill>
                        <a:ln w="9525" cmpd="sng">
                          <a:solidFill>
                            <a:srgbClr val="000000"/>
                          </a:solidFill>
                          <a:miter lim="800000"/>
                        </a:ln>
                        <a:effectLst/>
                      </wps:spPr>
                      <wps:txbx>
                        <w:txbxContent>
                          <w:p w14:paraId="623FD03A">
                            <w:r>
                              <w:rPr>
                                <w:rFonts w:hint="eastAsia" w:ascii="新宋体" w:hAnsi="新宋体" w:eastAsia="新宋体"/>
                                <w:sz w:val="22"/>
                                <w:szCs w:val="22"/>
                              </w:rPr>
                              <w:t xml:space="preserve">  法定代表人身份证（正反面）：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X3CNo2AAAAAoBAAAPAAAA&#10;AAAAAAEAIAAAACIAAABkcnMvZG93bnJldi54bWxQSwECFAAUAAAACACHTuJAdbpxhU4CAAChBAAA&#10;DgAAAAAAAAABACAAAAAnAQAAZHJzL2Uyb0RvYy54bWxQSwUGAAAAAAYABgBZAQAA5wUAAAAA&#10;">
                <v:fill on="t" focussize="0,0"/>
                <v:stroke color="#000000" miterlimit="8" joinstyle="miter"/>
                <v:imagedata o:title=""/>
                <o:lock v:ext="edit" aspectratio="f"/>
                <v:textbox>
                  <w:txbxContent>
                    <w:p w14:paraId="623FD03A">
                      <w:r>
                        <w:rPr>
                          <w:rFonts w:hint="eastAsia" w:ascii="新宋体" w:hAnsi="新宋体" w:eastAsia="新宋体"/>
                          <w:sz w:val="22"/>
                          <w:szCs w:val="22"/>
                        </w:rPr>
                        <w:t xml:space="preserve">  法定代表人身份证（正反面）：</w:t>
                      </w:r>
                    </w:p>
                  </w:txbxContent>
                </v:textbox>
              </v:shape>
            </w:pict>
          </mc:Fallback>
        </mc:AlternateContent>
      </w:r>
    </w:p>
    <w:p w14:paraId="67021321">
      <w:pPr>
        <w:spacing w:line="460" w:lineRule="exact"/>
        <w:jc w:val="center"/>
        <w:rPr>
          <w:rFonts w:hint="eastAsia" w:ascii="新宋体" w:hAnsi="新宋体" w:eastAsia="新宋体" w:cs="新宋体"/>
          <w:b/>
          <w:bCs/>
          <w:color w:val="auto"/>
          <w:sz w:val="28"/>
          <w:szCs w:val="28"/>
          <w:highlight w:val="none"/>
        </w:rPr>
      </w:pPr>
    </w:p>
    <w:p w14:paraId="28EAF7EE">
      <w:pPr>
        <w:spacing w:line="460" w:lineRule="exact"/>
        <w:jc w:val="center"/>
        <w:rPr>
          <w:rFonts w:hint="eastAsia" w:ascii="新宋体" w:hAnsi="新宋体" w:eastAsia="新宋体" w:cs="新宋体"/>
          <w:b/>
          <w:bCs/>
          <w:color w:val="auto"/>
          <w:sz w:val="28"/>
          <w:szCs w:val="28"/>
          <w:highlight w:val="none"/>
        </w:rPr>
      </w:pPr>
    </w:p>
    <w:p w14:paraId="2C9FD010">
      <w:pPr>
        <w:spacing w:line="460" w:lineRule="exact"/>
        <w:jc w:val="center"/>
        <w:rPr>
          <w:rFonts w:hint="eastAsia" w:ascii="新宋体" w:hAnsi="新宋体" w:eastAsia="新宋体" w:cs="新宋体"/>
          <w:b/>
          <w:bCs/>
          <w:color w:val="auto"/>
          <w:sz w:val="28"/>
          <w:szCs w:val="28"/>
          <w:highlight w:val="none"/>
        </w:rPr>
      </w:pPr>
    </w:p>
    <w:p w14:paraId="36BE7778">
      <w:pPr>
        <w:spacing w:line="460" w:lineRule="exact"/>
        <w:jc w:val="center"/>
        <w:rPr>
          <w:rFonts w:hint="eastAsia" w:ascii="新宋体" w:hAnsi="新宋体" w:eastAsia="新宋体" w:cs="新宋体"/>
          <w:b/>
          <w:bCs/>
          <w:color w:val="auto"/>
          <w:sz w:val="28"/>
          <w:szCs w:val="28"/>
          <w:highlight w:val="none"/>
        </w:rPr>
      </w:pPr>
    </w:p>
    <w:p w14:paraId="15F9E8CC">
      <w:pPr>
        <w:spacing w:line="460" w:lineRule="exact"/>
        <w:jc w:val="center"/>
        <w:rPr>
          <w:rFonts w:hint="eastAsia" w:ascii="新宋体" w:hAnsi="新宋体" w:eastAsia="新宋体" w:cs="新宋体"/>
          <w:b/>
          <w:bCs/>
          <w:color w:val="auto"/>
          <w:sz w:val="28"/>
          <w:szCs w:val="28"/>
          <w:highlight w:val="none"/>
        </w:rPr>
      </w:pPr>
    </w:p>
    <w:p w14:paraId="34B9AC64">
      <w:pPr>
        <w:spacing w:line="460" w:lineRule="exact"/>
        <w:jc w:val="center"/>
        <w:rPr>
          <w:rFonts w:hint="eastAsia" w:ascii="新宋体" w:hAnsi="新宋体" w:eastAsia="新宋体" w:cs="新宋体"/>
          <w:b/>
          <w:bCs/>
          <w:color w:val="auto"/>
          <w:sz w:val="28"/>
          <w:szCs w:val="28"/>
          <w:highlight w:val="none"/>
        </w:rPr>
      </w:pPr>
    </w:p>
    <w:p w14:paraId="06B6A687">
      <w:pPr>
        <w:spacing w:line="460" w:lineRule="exact"/>
        <w:jc w:val="center"/>
        <w:rPr>
          <w:rFonts w:hint="eastAsia" w:ascii="新宋体" w:hAnsi="新宋体" w:eastAsia="新宋体" w:cs="新宋体"/>
          <w:b/>
          <w:bCs/>
          <w:color w:val="auto"/>
          <w:sz w:val="28"/>
          <w:szCs w:val="28"/>
          <w:highlight w:val="none"/>
        </w:rPr>
      </w:pPr>
    </w:p>
    <w:p w14:paraId="37617E7C">
      <w:pPr>
        <w:spacing w:line="460" w:lineRule="exact"/>
        <w:jc w:val="center"/>
        <w:rPr>
          <w:rFonts w:hint="eastAsia" w:ascii="新宋体" w:hAnsi="新宋体" w:eastAsia="新宋体" w:cs="新宋体"/>
          <w:b/>
          <w:bCs/>
          <w:color w:val="auto"/>
          <w:sz w:val="28"/>
          <w:szCs w:val="28"/>
          <w:highlight w:val="none"/>
        </w:rPr>
      </w:pPr>
    </w:p>
    <w:p w14:paraId="43D7626A">
      <w:pPr>
        <w:spacing w:line="460" w:lineRule="exact"/>
        <w:jc w:val="center"/>
        <w:rPr>
          <w:rFonts w:hint="eastAsia" w:ascii="新宋体" w:hAnsi="新宋体" w:eastAsia="新宋体" w:cs="新宋体"/>
          <w:b/>
          <w:bCs/>
          <w:color w:val="auto"/>
          <w:sz w:val="28"/>
          <w:szCs w:val="28"/>
          <w:highlight w:val="none"/>
        </w:rPr>
      </w:pPr>
    </w:p>
    <w:p w14:paraId="0B7D2713">
      <w:pPr>
        <w:spacing w:line="460" w:lineRule="exact"/>
        <w:jc w:val="center"/>
        <w:rPr>
          <w:rFonts w:hint="eastAsia" w:ascii="新宋体" w:hAnsi="新宋体" w:eastAsia="新宋体" w:cs="新宋体"/>
          <w:b/>
          <w:bCs/>
          <w:color w:val="auto"/>
          <w:sz w:val="28"/>
          <w:szCs w:val="28"/>
          <w:highlight w:val="none"/>
        </w:rPr>
      </w:pPr>
    </w:p>
    <w:p w14:paraId="6145CA5F">
      <w:pPr>
        <w:spacing w:line="460" w:lineRule="exact"/>
        <w:jc w:val="center"/>
        <w:rPr>
          <w:rFonts w:hint="eastAsia" w:ascii="新宋体" w:hAnsi="新宋体" w:eastAsia="新宋体" w:cs="新宋体"/>
          <w:b/>
          <w:bCs/>
          <w:color w:val="auto"/>
          <w:sz w:val="28"/>
          <w:szCs w:val="28"/>
          <w:highlight w:val="none"/>
        </w:rPr>
      </w:pPr>
    </w:p>
    <w:p w14:paraId="560D4CE7">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60288" behindDoc="0" locked="0" layoutInCell="1" allowOverlap="1">
                <wp:simplePos x="0" y="0"/>
                <wp:positionH relativeFrom="column">
                  <wp:posOffset>145415</wp:posOffset>
                </wp:positionH>
                <wp:positionV relativeFrom="paragraph">
                  <wp:posOffset>238125</wp:posOffset>
                </wp:positionV>
                <wp:extent cx="6246495" cy="3913505"/>
                <wp:effectExtent l="4445" t="4445" r="1651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46495" cy="3913505"/>
                        </a:xfrm>
                        <a:prstGeom prst="rect">
                          <a:avLst/>
                        </a:prstGeom>
                        <a:solidFill>
                          <a:srgbClr val="FFFFFF"/>
                        </a:solidFill>
                        <a:ln w="9525" cmpd="sng">
                          <a:solidFill>
                            <a:srgbClr val="000000"/>
                          </a:solidFill>
                          <a:miter lim="800000"/>
                        </a:ln>
                        <a:effectLst/>
                      </wps:spPr>
                      <wps:txbx>
                        <w:txbxContent>
                          <w:p w14:paraId="78C506DA">
                            <w:r>
                              <w:rPr>
                                <w:rFonts w:hint="eastAsia" w:ascii="新宋体" w:hAnsi="新宋体" w:eastAsia="新宋体"/>
                                <w:sz w:val="22"/>
                                <w:szCs w:val="22"/>
                              </w:rPr>
                              <w:t xml:space="preserve">  授权代表身份证（正反面）：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45pt;margin-top:18.75pt;height:308.15pt;width:491.85pt;z-index:251660288;mso-width-relative:page;mso-height-relative:page;" fillcolor="#FFFFFF" filled="t" stroked="t" coordsize="21600,21600" o:gfxdata="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QlNcXZAAAACgEAAA8A&#10;AAAAAAAAAQAgAAAAIgAAAGRycy9kb3ducmV2LnhtbFBLAQIUABQAAAAIAIdO4kC7fB4aTwIAAKEE&#10;AAAOAAAAAAAAAAEAIAAAACgBAABkcnMvZTJvRG9jLnhtbFBLBQYAAAAABgAGAFkBAADpBQAAAAA=&#10;">
                <v:fill on="t" focussize="0,0"/>
                <v:stroke color="#000000" miterlimit="8" joinstyle="miter"/>
                <v:imagedata o:title=""/>
                <o:lock v:ext="edit" aspectratio="f"/>
                <v:textbox>
                  <w:txbxContent>
                    <w:p w14:paraId="78C506DA">
                      <w:r>
                        <w:rPr>
                          <w:rFonts w:hint="eastAsia" w:ascii="新宋体" w:hAnsi="新宋体" w:eastAsia="新宋体"/>
                          <w:sz w:val="22"/>
                          <w:szCs w:val="22"/>
                        </w:rPr>
                        <w:t xml:space="preserve">  授权代表身份证（正反面）：</w:t>
                      </w:r>
                    </w:p>
                  </w:txbxContent>
                </v:textbox>
              </v:shape>
            </w:pict>
          </mc:Fallback>
        </mc:AlternateContent>
      </w:r>
    </w:p>
    <w:p w14:paraId="6604AB83">
      <w:pPr>
        <w:spacing w:line="460" w:lineRule="exact"/>
        <w:jc w:val="center"/>
        <w:rPr>
          <w:rFonts w:hint="eastAsia" w:ascii="新宋体" w:hAnsi="新宋体" w:eastAsia="新宋体" w:cs="新宋体"/>
          <w:b/>
          <w:bCs/>
          <w:color w:val="auto"/>
          <w:sz w:val="28"/>
          <w:szCs w:val="28"/>
          <w:highlight w:val="none"/>
        </w:rPr>
      </w:pPr>
    </w:p>
    <w:p w14:paraId="4869896C">
      <w:pPr>
        <w:spacing w:line="460" w:lineRule="exact"/>
        <w:jc w:val="center"/>
        <w:rPr>
          <w:rFonts w:hint="eastAsia" w:ascii="新宋体" w:hAnsi="新宋体" w:eastAsia="新宋体" w:cs="新宋体"/>
          <w:b/>
          <w:bCs/>
          <w:color w:val="auto"/>
          <w:sz w:val="28"/>
          <w:szCs w:val="28"/>
          <w:highlight w:val="none"/>
        </w:rPr>
      </w:pPr>
    </w:p>
    <w:p w14:paraId="4EA71307">
      <w:pPr>
        <w:spacing w:line="460" w:lineRule="exact"/>
        <w:jc w:val="center"/>
        <w:rPr>
          <w:rFonts w:hint="eastAsia" w:ascii="新宋体" w:hAnsi="新宋体" w:eastAsia="新宋体" w:cs="新宋体"/>
          <w:b/>
          <w:bCs/>
          <w:color w:val="auto"/>
          <w:sz w:val="28"/>
          <w:szCs w:val="28"/>
          <w:highlight w:val="none"/>
        </w:rPr>
      </w:pPr>
    </w:p>
    <w:p w14:paraId="5A439856">
      <w:pPr>
        <w:spacing w:line="460" w:lineRule="exact"/>
        <w:jc w:val="center"/>
        <w:rPr>
          <w:rFonts w:hint="eastAsia" w:ascii="新宋体" w:hAnsi="新宋体" w:eastAsia="新宋体" w:cs="新宋体"/>
          <w:b/>
          <w:bCs/>
          <w:color w:val="auto"/>
          <w:sz w:val="28"/>
          <w:szCs w:val="28"/>
          <w:highlight w:val="none"/>
        </w:rPr>
      </w:pPr>
    </w:p>
    <w:p w14:paraId="3969D7C9">
      <w:pPr>
        <w:spacing w:line="460" w:lineRule="exact"/>
        <w:jc w:val="center"/>
        <w:rPr>
          <w:rFonts w:hint="eastAsia" w:ascii="新宋体" w:hAnsi="新宋体" w:eastAsia="新宋体" w:cs="新宋体"/>
          <w:b/>
          <w:bCs/>
          <w:color w:val="auto"/>
          <w:sz w:val="28"/>
          <w:szCs w:val="28"/>
          <w:highlight w:val="none"/>
        </w:rPr>
      </w:pPr>
    </w:p>
    <w:p w14:paraId="2D2B5243">
      <w:pPr>
        <w:spacing w:line="460" w:lineRule="exact"/>
        <w:jc w:val="center"/>
        <w:rPr>
          <w:rFonts w:hint="eastAsia" w:ascii="新宋体" w:hAnsi="新宋体" w:eastAsia="新宋体" w:cs="新宋体"/>
          <w:b/>
          <w:bCs/>
          <w:color w:val="auto"/>
          <w:sz w:val="28"/>
          <w:szCs w:val="28"/>
          <w:highlight w:val="none"/>
        </w:rPr>
      </w:pPr>
    </w:p>
    <w:p w14:paraId="0F3789CD">
      <w:pPr>
        <w:spacing w:line="460" w:lineRule="exact"/>
        <w:jc w:val="center"/>
        <w:rPr>
          <w:rFonts w:hint="eastAsia" w:ascii="新宋体" w:hAnsi="新宋体" w:eastAsia="新宋体" w:cs="新宋体"/>
          <w:b/>
          <w:bCs/>
          <w:color w:val="auto"/>
          <w:sz w:val="28"/>
          <w:szCs w:val="28"/>
          <w:highlight w:val="none"/>
        </w:rPr>
      </w:pPr>
    </w:p>
    <w:p w14:paraId="381DE860">
      <w:pPr>
        <w:spacing w:line="460" w:lineRule="exact"/>
        <w:jc w:val="center"/>
        <w:rPr>
          <w:rFonts w:hint="eastAsia" w:ascii="新宋体" w:hAnsi="新宋体" w:eastAsia="新宋体" w:cs="新宋体"/>
          <w:b/>
          <w:bCs/>
          <w:color w:val="auto"/>
          <w:sz w:val="28"/>
          <w:szCs w:val="28"/>
          <w:highlight w:val="none"/>
        </w:rPr>
      </w:pPr>
    </w:p>
    <w:p w14:paraId="758C35F5">
      <w:pPr>
        <w:spacing w:line="460" w:lineRule="exact"/>
        <w:jc w:val="center"/>
        <w:rPr>
          <w:rFonts w:hint="eastAsia" w:ascii="新宋体" w:hAnsi="新宋体" w:eastAsia="新宋体" w:cs="新宋体"/>
          <w:b/>
          <w:bCs/>
          <w:color w:val="auto"/>
          <w:sz w:val="28"/>
          <w:szCs w:val="28"/>
          <w:highlight w:val="none"/>
        </w:rPr>
      </w:pPr>
    </w:p>
    <w:p w14:paraId="181D4588">
      <w:pPr>
        <w:spacing w:line="460" w:lineRule="exact"/>
        <w:jc w:val="center"/>
        <w:rPr>
          <w:rFonts w:hint="eastAsia" w:ascii="新宋体" w:hAnsi="新宋体" w:eastAsia="新宋体" w:cs="新宋体"/>
          <w:b/>
          <w:bCs/>
          <w:color w:val="auto"/>
          <w:sz w:val="28"/>
          <w:szCs w:val="28"/>
          <w:highlight w:val="none"/>
        </w:rPr>
      </w:pPr>
    </w:p>
    <w:p w14:paraId="49D63456">
      <w:pPr>
        <w:spacing w:line="460" w:lineRule="exact"/>
        <w:jc w:val="center"/>
        <w:rPr>
          <w:rFonts w:hint="eastAsia" w:ascii="新宋体" w:hAnsi="新宋体" w:eastAsia="新宋体" w:cs="新宋体"/>
          <w:b/>
          <w:bCs/>
          <w:color w:val="auto"/>
          <w:sz w:val="28"/>
          <w:szCs w:val="28"/>
          <w:highlight w:val="none"/>
        </w:rPr>
      </w:pPr>
    </w:p>
    <w:p w14:paraId="1E7725C5">
      <w:pPr>
        <w:spacing w:line="460" w:lineRule="exact"/>
        <w:jc w:val="center"/>
        <w:rPr>
          <w:rFonts w:hint="eastAsia" w:ascii="新宋体" w:hAnsi="新宋体" w:eastAsia="新宋体" w:cs="新宋体"/>
          <w:b/>
          <w:bCs/>
          <w:color w:val="auto"/>
          <w:sz w:val="28"/>
          <w:szCs w:val="28"/>
          <w:highlight w:val="none"/>
        </w:rPr>
      </w:pPr>
    </w:p>
    <w:p w14:paraId="2877A12B">
      <w:pPr>
        <w:spacing w:line="460" w:lineRule="exact"/>
        <w:jc w:val="center"/>
        <w:rPr>
          <w:rFonts w:hint="eastAsia" w:ascii="新宋体" w:hAnsi="新宋体" w:eastAsia="新宋体" w:cs="新宋体"/>
          <w:b/>
          <w:bCs/>
          <w:color w:val="auto"/>
          <w:sz w:val="28"/>
          <w:szCs w:val="28"/>
          <w:highlight w:val="none"/>
        </w:rPr>
      </w:pPr>
    </w:p>
    <w:p w14:paraId="5ED05943">
      <w:pPr>
        <w:spacing w:line="460" w:lineRule="exact"/>
        <w:jc w:val="center"/>
        <w:rPr>
          <w:rFonts w:hint="eastAsia" w:ascii="新宋体" w:hAnsi="新宋体" w:eastAsia="新宋体" w:cs="新宋体"/>
          <w:b/>
          <w:bCs/>
          <w:color w:val="auto"/>
          <w:sz w:val="28"/>
          <w:szCs w:val="28"/>
          <w:highlight w:val="none"/>
        </w:rPr>
      </w:pPr>
    </w:p>
    <w:p w14:paraId="3474794E">
      <w:pPr>
        <w:spacing w:line="460" w:lineRule="exact"/>
        <w:jc w:val="center"/>
        <w:rPr>
          <w:rFonts w:hint="eastAsia" w:ascii="新宋体" w:hAnsi="新宋体" w:eastAsia="新宋体" w:cs="新宋体"/>
          <w:b/>
          <w:bCs/>
          <w:color w:val="auto"/>
          <w:sz w:val="28"/>
          <w:szCs w:val="28"/>
          <w:highlight w:val="none"/>
        </w:rPr>
      </w:pPr>
    </w:p>
    <w:p w14:paraId="655E9B5D">
      <w:pPr>
        <w:spacing w:line="460" w:lineRule="exact"/>
        <w:jc w:val="center"/>
        <w:rPr>
          <w:rFonts w:hint="eastAsia" w:ascii="新宋体" w:hAnsi="新宋体" w:eastAsia="新宋体" w:cs="新宋体"/>
          <w:b/>
          <w:bCs/>
          <w:color w:val="auto"/>
          <w:sz w:val="28"/>
          <w:szCs w:val="28"/>
          <w:highlight w:val="none"/>
        </w:rPr>
      </w:pPr>
    </w:p>
    <w:p w14:paraId="216D1035">
      <w:pPr>
        <w:spacing w:line="460" w:lineRule="exact"/>
        <w:jc w:val="center"/>
        <w:rPr>
          <w:rFonts w:hint="eastAsia" w:ascii="新宋体" w:hAnsi="新宋体" w:eastAsia="新宋体" w:cs="新宋体"/>
          <w:b/>
          <w:bCs/>
          <w:color w:val="auto"/>
          <w:sz w:val="28"/>
          <w:szCs w:val="28"/>
          <w:highlight w:val="none"/>
        </w:rPr>
        <w:sectPr>
          <w:headerReference r:id="rId9" w:type="first"/>
          <w:footerReference r:id="rId11" w:type="first"/>
          <w:footerReference r:id="rId10" w:type="default"/>
          <w:pgSz w:w="11907" w:h="16840"/>
          <w:pgMar w:top="1134" w:right="1134" w:bottom="1134" w:left="1134" w:header="851" w:footer="992" w:gutter="0"/>
          <w:cols w:space="720" w:num="1"/>
          <w:titlePg/>
          <w:docGrid w:linePitch="312" w:charSpace="0"/>
        </w:sectPr>
      </w:pPr>
    </w:p>
    <w:p w14:paraId="2FE39B15">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3、投标人情况表</w:t>
      </w:r>
    </w:p>
    <w:p w14:paraId="3489A9AF">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项目名称：</w:t>
      </w:r>
    </w:p>
    <w:p w14:paraId="406716FE">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项目编号：</w:t>
      </w:r>
    </w:p>
    <w:tbl>
      <w:tblPr>
        <w:tblStyle w:val="53"/>
        <w:tblW w:w="1478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14:paraId="17585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41A03A0B">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单位名称（盖章）</w:t>
            </w:r>
          </w:p>
        </w:tc>
        <w:tc>
          <w:tcPr>
            <w:tcW w:w="2804" w:type="dxa"/>
            <w:gridSpan w:val="2"/>
          </w:tcPr>
          <w:p w14:paraId="4DBE6D94">
            <w:pPr>
              <w:spacing w:line="480" w:lineRule="exact"/>
              <w:rPr>
                <w:rFonts w:hint="eastAsia" w:ascii="新宋体" w:hAnsi="新宋体" w:eastAsia="新宋体" w:cs="新宋体"/>
                <w:color w:val="auto"/>
                <w:sz w:val="22"/>
                <w:szCs w:val="22"/>
                <w:highlight w:val="none"/>
              </w:rPr>
            </w:pPr>
          </w:p>
        </w:tc>
        <w:tc>
          <w:tcPr>
            <w:tcW w:w="1115" w:type="dxa"/>
            <w:gridSpan w:val="2"/>
          </w:tcPr>
          <w:p w14:paraId="384CF826">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 话</w:t>
            </w:r>
          </w:p>
        </w:tc>
        <w:tc>
          <w:tcPr>
            <w:tcW w:w="2588" w:type="dxa"/>
            <w:gridSpan w:val="2"/>
          </w:tcPr>
          <w:p w14:paraId="4E8AD03C">
            <w:pPr>
              <w:spacing w:line="480" w:lineRule="exact"/>
              <w:rPr>
                <w:rFonts w:hint="eastAsia" w:ascii="新宋体" w:hAnsi="新宋体" w:eastAsia="新宋体" w:cs="新宋体"/>
                <w:color w:val="auto"/>
                <w:sz w:val="22"/>
                <w:szCs w:val="22"/>
                <w:highlight w:val="none"/>
              </w:rPr>
            </w:pPr>
          </w:p>
        </w:tc>
        <w:tc>
          <w:tcPr>
            <w:tcW w:w="1488" w:type="dxa"/>
          </w:tcPr>
          <w:p w14:paraId="5ACEB08D">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主管部门</w:t>
            </w:r>
          </w:p>
        </w:tc>
        <w:tc>
          <w:tcPr>
            <w:tcW w:w="1502" w:type="dxa"/>
          </w:tcPr>
          <w:p w14:paraId="2171B2D4">
            <w:pPr>
              <w:spacing w:line="480" w:lineRule="exact"/>
              <w:rPr>
                <w:rFonts w:hint="eastAsia" w:ascii="新宋体" w:hAnsi="新宋体" w:eastAsia="新宋体" w:cs="新宋体"/>
                <w:color w:val="auto"/>
                <w:sz w:val="22"/>
                <w:szCs w:val="22"/>
                <w:highlight w:val="none"/>
              </w:rPr>
            </w:pPr>
          </w:p>
        </w:tc>
        <w:tc>
          <w:tcPr>
            <w:tcW w:w="1488" w:type="dxa"/>
          </w:tcPr>
          <w:p w14:paraId="596418EF">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企业负责人</w:t>
            </w:r>
          </w:p>
        </w:tc>
        <w:tc>
          <w:tcPr>
            <w:tcW w:w="1115" w:type="dxa"/>
          </w:tcPr>
          <w:p w14:paraId="0E7E8078">
            <w:pPr>
              <w:spacing w:line="480" w:lineRule="exact"/>
              <w:rPr>
                <w:rFonts w:hint="eastAsia" w:ascii="新宋体" w:hAnsi="新宋体" w:eastAsia="新宋体" w:cs="新宋体"/>
                <w:color w:val="auto"/>
                <w:sz w:val="22"/>
                <w:szCs w:val="22"/>
                <w:highlight w:val="none"/>
              </w:rPr>
            </w:pPr>
          </w:p>
        </w:tc>
        <w:tc>
          <w:tcPr>
            <w:tcW w:w="1461" w:type="dxa"/>
            <w:gridSpan w:val="2"/>
          </w:tcPr>
          <w:p w14:paraId="2A99ED3F">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14:paraId="13F5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1FF475E0">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w:t>
            </w:r>
          </w:p>
        </w:tc>
        <w:tc>
          <w:tcPr>
            <w:tcW w:w="2804" w:type="dxa"/>
            <w:gridSpan w:val="2"/>
          </w:tcPr>
          <w:p w14:paraId="17A24AA6">
            <w:pPr>
              <w:spacing w:line="480" w:lineRule="exact"/>
              <w:rPr>
                <w:rFonts w:hint="eastAsia" w:ascii="新宋体" w:hAnsi="新宋体" w:eastAsia="新宋体" w:cs="新宋体"/>
                <w:color w:val="auto"/>
                <w:sz w:val="22"/>
                <w:szCs w:val="22"/>
                <w:highlight w:val="none"/>
              </w:rPr>
            </w:pPr>
          </w:p>
        </w:tc>
        <w:tc>
          <w:tcPr>
            <w:tcW w:w="1115" w:type="dxa"/>
            <w:gridSpan w:val="2"/>
          </w:tcPr>
          <w:p w14:paraId="5915A4D0">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w:t>
            </w:r>
          </w:p>
        </w:tc>
        <w:tc>
          <w:tcPr>
            <w:tcW w:w="2588" w:type="dxa"/>
            <w:gridSpan w:val="2"/>
          </w:tcPr>
          <w:p w14:paraId="6CA34396">
            <w:pPr>
              <w:spacing w:line="480" w:lineRule="exact"/>
              <w:rPr>
                <w:rFonts w:hint="eastAsia" w:ascii="新宋体" w:hAnsi="新宋体" w:eastAsia="新宋体" w:cs="新宋体"/>
                <w:color w:val="auto"/>
                <w:sz w:val="22"/>
                <w:szCs w:val="22"/>
                <w:highlight w:val="none"/>
              </w:rPr>
            </w:pPr>
          </w:p>
        </w:tc>
        <w:tc>
          <w:tcPr>
            <w:tcW w:w="1488" w:type="dxa"/>
          </w:tcPr>
          <w:p w14:paraId="2A9CB797">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企业性质</w:t>
            </w:r>
          </w:p>
        </w:tc>
        <w:tc>
          <w:tcPr>
            <w:tcW w:w="1502" w:type="dxa"/>
          </w:tcPr>
          <w:p w14:paraId="11276387">
            <w:pPr>
              <w:spacing w:line="480" w:lineRule="exact"/>
              <w:rPr>
                <w:rFonts w:hint="eastAsia" w:ascii="新宋体" w:hAnsi="新宋体" w:eastAsia="新宋体" w:cs="新宋体"/>
                <w:color w:val="auto"/>
                <w:sz w:val="22"/>
                <w:szCs w:val="22"/>
                <w:highlight w:val="none"/>
              </w:rPr>
            </w:pPr>
          </w:p>
        </w:tc>
        <w:tc>
          <w:tcPr>
            <w:tcW w:w="1488" w:type="dxa"/>
          </w:tcPr>
          <w:p w14:paraId="42C467D7">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授权代表</w:t>
            </w:r>
          </w:p>
        </w:tc>
        <w:tc>
          <w:tcPr>
            <w:tcW w:w="1115" w:type="dxa"/>
          </w:tcPr>
          <w:p w14:paraId="2530ACF3">
            <w:pPr>
              <w:spacing w:line="480" w:lineRule="exact"/>
              <w:rPr>
                <w:rFonts w:hint="eastAsia" w:ascii="新宋体" w:hAnsi="新宋体" w:eastAsia="新宋体" w:cs="新宋体"/>
                <w:color w:val="auto"/>
                <w:sz w:val="22"/>
                <w:szCs w:val="22"/>
                <w:highlight w:val="none"/>
              </w:rPr>
            </w:pPr>
          </w:p>
        </w:tc>
        <w:tc>
          <w:tcPr>
            <w:tcW w:w="1461" w:type="dxa"/>
            <w:gridSpan w:val="2"/>
          </w:tcPr>
          <w:p w14:paraId="05061388">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14:paraId="38B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14:paraId="47F17D9A">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单位简介</w:t>
            </w:r>
          </w:p>
          <w:p w14:paraId="7C7D9642">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及机构</w:t>
            </w:r>
          </w:p>
        </w:tc>
        <w:tc>
          <w:tcPr>
            <w:tcW w:w="6507" w:type="dxa"/>
            <w:gridSpan w:val="6"/>
            <w:vAlign w:val="center"/>
          </w:tcPr>
          <w:p w14:paraId="1C6332D3">
            <w:pPr>
              <w:spacing w:line="480" w:lineRule="exact"/>
              <w:jc w:val="center"/>
              <w:rPr>
                <w:rFonts w:hint="eastAsia" w:ascii="新宋体" w:hAnsi="新宋体" w:eastAsia="新宋体" w:cs="新宋体"/>
                <w:color w:val="auto"/>
                <w:sz w:val="22"/>
                <w:szCs w:val="22"/>
                <w:highlight w:val="none"/>
              </w:rPr>
            </w:pPr>
          </w:p>
        </w:tc>
        <w:tc>
          <w:tcPr>
            <w:tcW w:w="1488" w:type="dxa"/>
            <w:vAlign w:val="center"/>
          </w:tcPr>
          <w:p w14:paraId="64CCD13E">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单位优势</w:t>
            </w:r>
          </w:p>
          <w:p w14:paraId="2DB4017E">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及特长</w:t>
            </w:r>
          </w:p>
        </w:tc>
        <w:tc>
          <w:tcPr>
            <w:tcW w:w="5566" w:type="dxa"/>
            <w:gridSpan w:val="5"/>
          </w:tcPr>
          <w:p w14:paraId="71BF3D3A">
            <w:pPr>
              <w:spacing w:line="480" w:lineRule="exact"/>
              <w:rPr>
                <w:rFonts w:hint="eastAsia" w:ascii="新宋体" w:hAnsi="新宋体" w:eastAsia="新宋体" w:cs="新宋体"/>
                <w:color w:val="auto"/>
                <w:sz w:val="22"/>
                <w:szCs w:val="22"/>
                <w:highlight w:val="none"/>
              </w:rPr>
            </w:pPr>
          </w:p>
        </w:tc>
      </w:tr>
      <w:tr w14:paraId="10E6B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14:paraId="08DB32D2">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单位概况</w:t>
            </w:r>
          </w:p>
        </w:tc>
        <w:tc>
          <w:tcPr>
            <w:tcW w:w="1115" w:type="dxa"/>
            <w:vMerge w:val="restart"/>
          </w:tcPr>
          <w:p w14:paraId="18E07B8C">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职工总数</w:t>
            </w:r>
          </w:p>
        </w:tc>
        <w:tc>
          <w:tcPr>
            <w:tcW w:w="1689" w:type="dxa"/>
            <w:vMerge w:val="restart"/>
          </w:tcPr>
          <w:p w14:paraId="11884E43">
            <w:pPr>
              <w:spacing w:line="480" w:lineRule="exact"/>
              <w:ind w:firstLine="1540" w:firstLineChars="700"/>
              <w:rPr>
                <w:rFonts w:hint="eastAsia" w:ascii="新宋体" w:hAnsi="新宋体" w:eastAsia="新宋体" w:cs="新宋体"/>
                <w:color w:val="auto"/>
                <w:sz w:val="22"/>
                <w:szCs w:val="22"/>
                <w:highlight w:val="none"/>
              </w:rPr>
            </w:pPr>
          </w:p>
        </w:tc>
        <w:tc>
          <w:tcPr>
            <w:tcW w:w="3703" w:type="dxa"/>
            <w:gridSpan w:val="4"/>
            <w:vMerge w:val="restart"/>
          </w:tcPr>
          <w:p w14:paraId="710EE343">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各人员构成情况</w:t>
            </w:r>
          </w:p>
        </w:tc>
        <w:tc>
          <w:tcPr>
            <w:tcW w:w="1488" w:type="dxa"/>
            <w:vMerge w:val="restart"/>
            <w:vAlign w:val="center"/>
          </w:tcPr>
          <w:p w14:paraId="1ED55D38">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上一年主要  经济指标</w:t>
            </w:r>
          </w:p>
        </w:tc>
        <w:tc>
          <w:tcPr>
            <w:tcW w:w="1502" w:type="dxa"/>
            <w:vAlign w:val="center"/>
          </w:tcPr>
          <w:p w14:paraId="026358AE">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指标名称</w:t>
            </w:r>
          </w:p>
        </w:tc>
        <w:tc>
          <w:tcPr>
            <w:tcW w:w="1488" w:type="dxa"/>
            <w:tcBorders>
              <w:tr2bl w:val="single" w:color="auto" w:sz="4" w:space="0"/>
            </w:tcBorders>
            <w:vAlign w:val="center"/>
          </w:tcPr>
          <w:p w14:paraId="27D80DD2">
            <w:pPr>
              <w:spacing w:line="480" w:lineRule="exact"/>
              <w:jc w:val="center"/>
              <w:rPr>
                <w:rFonts w:hint="eastAsia" w:ascii="新宋体" w:hAnsi="新宋体" w:eastAsia="新宋体" w:cs="新宋体"/>
                <w:color w:val="auto"/>
                <w:sz w:val="22"/>
                <w:szCs w:val="22"/>
                <w:highlight w:val="none"/>
              </w:rPr>
            </w:pPr>
          </w:p>
        </w:tc>
        <w:tc>
          <w:tcPr>
            <w:tcW w:w="1470" w:type="dxa"/>
            <w:gridSpan w:val="2"/>
            <w:vAlign w:val="center"/>
          </w:tcPr>
          <w:p w14:paraId="5DDFBB70">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实际完成</w:t>
            </w:r>
          </w:p>
        </w:tc>
        <w:tc>
          <w:tcPr>
            <w:tcW w:w="1106" w:type="dxa"/>
            <w:tcBorders>
              <w:tr2bl w:val="single" w:color="auto" w:sz="4" w:space="0"/>
            </w:tcBorders>
            <w:vAlign w:val="center"/>
          </w:tcPr>
          <w:p w14:paraId="13D159CD">
            <w:pPr>
              <w:spacing w:line="480" w:lineRule="exact"/>
              <w:jc w:val="center"/>
              <w:rPr>
                <w:rFonts w:hint="eastAsia" w:ascii="新宋体" w:hAnsi="新宋体" w:eastAsia="新宋体" w:cs="新宋体"/>
                <w:color w:val="auto"/>
                <w:sz w:val="22"/>
                <w:szCs w:val="22"/>
                <w:highlight w:val="none"/>
              </w:rPr>
            </w:pPr>
          </w:p>
        </w:tc>
      </w:tr>
      <w:tr w14:paraId="38738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14:paraId="2F49D554">
            <w:pPr>
              <w:spacing w:line="480" w:lineRule="exact"/>
              <w:rPr>
                <w:rFonts w:hint="eastAsia" w:ascii="新宋体" w:hAnsi="新宋体" w:eastAsia="新宋体" w:cs="新宋体"/>
                <w:color w:val="auto"/>
                <w:sz w:val="22"/>
                <w:szCs w:val="22"/>
                <w:highlight w:val="none"/>
              </w:rPr>
            </w:pPr>
          </w:p>
        </w:tc>
        <w:tc>
          <w:tcPr>
            <w:tcW w:w="1115" w:type="dxa"/>
            <w:vMerge w:val="continue"/>
          </w:tcPr>
          <w:p w14:paraId="467DBDB8">
            <w:pPr>
              <w:spacing w:line="480" w:lineRule="exact"/>
              <w:rPr>
                <w:rFonts w:hint="eastAsia" w:ascii="新宋体" w:hAnsi="新宋体" w:eastAsia="新宋体" w:cs="新宋体"/>
                <w:color w:val="auto"/>
                <w:sz w:val="22"/>
                <w:szCs w:val="22"/>
                <w:highlight w:val="none"/>
              </w:rPr>
            </w:pPr>
          </w:p>
        </w:tc>
        <w:tc>
          <w:tcPr>
            <w:tcW w:w="1689" w:type="dxa"/>
            <w:vMerge w:val="continue"/>
          </w:tcPr>
          <w:p w14:paraId="100A581C">
            <w:pPr>
              <w:spacing w:line="480" w:lineRule="exact"/>
              <w:rPr>
                <w:rFonts w:hint="eastAsia" w:ascii="新宋体" w:hAnsi="新宋体" w:eastAsia="新宋体" w:cs="新宋体"/>
                <w:color w:val="auto"/>
                <w:sz w:val="22"/>
                <w:szCs w:val="22"/>
                <w:highlight w:val="none"/>
              </w:rPr>
            </w:pPr>
          </w:p>
        </w:tc>
        <w:tc>
          <w:tcPr>
            <w:tcW w:w="3703" w:type="dxa"/>
            <w:gridSpan w:val="4"/>
            <w:vMerge w:val="continue"/>
          </w:tcPr>
          <w:p w14:paraId="24BB24F2">
            <w:pPr>
              <w:spacing w:line="480" w:lineRule="exact"/>
              <w:rPr>
                <w:rFonts w:hint="eastAsia" w:ascii="新宋体" w:hAnsi="新宋体" w:eastAsia="新宋体" w:cs="新宋体"/>
                <w:color w:val="auto"/>
                <w:sz w:val="22"/>
                <w:szCs w:val="22"/>
                <w:highlight w:val="none"/>
              </w:rPr>
            </w:pPr>
          </w:p>
        </w:tc>
        <w:tc>
          <w:tcPr>
            <w:tcW w:w="1488" w:type="dxa"/>
            <w:vMerge w:val="continue"/>
          </w:tcPr>
          <w:p w14:paraId="5F314F8B">
            <w:pPr>
              <w:spacing w:line="480" w:lineRule="exact"/>
              <w:rPr>
                <w:rFonts w:hint="eastAsia" w:ascii="新宋体" w:hAnsi="新宋体" w:eastAsia="新宋体" w:cs="新宋体"/>
                <w:color w:val="auto"/>
                <w:sz w:val="22"/>
                <w:szCs w:val="22"/>
                <w:highlight w:val="none"/>
              </w:rPr>
            </w:pPr>
          </w:p>
        </w:tc>
        <w:tc>
          <w:tcPr>
            <w:tcW w:w="1502" w:type="dxa"/>
            <w:vAlign w:val="center"/>
          </w:tcPr>
          <w:p w14:paraId="0E2D6656">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总产值</w:t>
            </w:r>
          </w:p>
        </w:tc>
        <w:tc>
          <w:tcPr>
            <w:tcW w:w="1488" w:type="dxa"/>
            <w:vAlign w:val="center"/>
          </w:tcPr>
          <w:p w14:paraId="2653BBF9">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70" w:type="dxa"/>
            <w:gridSpan w:val="2"/>
            <w:vAlign w:val="center"/>
          </w:tcPr>
          <w:p w14:paraId="1AAB676C">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总产值</w:t>
            </w:r>
          </w:p>
        </w:tc>
        <w:tc>
          <w:tcPr>
            <w:tcW w:w="1106" w:type="dxa"/>
            <w:vAlign w:val="center"/>
          </w:tcPr>
          <w:p w14:paraId="47ADB5F4">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r>
      <w:tr w14:paraId="7529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14:paraId="161B7396">
            <w:pPr>
              <w:spacing w:line="480" w:lineRule="exact"/>
              <w:rPr>
                <w:rFonts w:hint="eastAsia" w:ascii="新宋体" w:hAnsi="新宋体" w:eastAsia="新宋体" w:cs="新宋体"/>
                <w:color w:val="auto"/>
                <w:sz w:val="22"/>
                <w:szCs w:val="22"/>
                <w:highlight w:val="none"/>
              </w:rPr>
            </w:pPr>
          </w:p>
        </w:tc>
        <w:tc>
          <w:tcPr>
            <w:tcW w:w="1115" w:type="dxa"/>
            <w:vMerge w:val="restart"/>
          </w:tcPr>
          <w:p w14:paraId="5AF0E852">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流动资金</w:t>
            </w:r>
          </w:p>
        </w:tc>
        <w:tc>
          <w:tcPr>
            <w:tcW w:w="1689" w:type="dxa"/>
            <w:vMerge w:val="restart"/>
          </w:tcPr>
          <w:p w14:paraId="47EE193B">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502F2434">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万元 </w:t>
            </w:r>
          </w:p>
        </w:tc>
        <w:tc>
          <w:tcPr>
            <w:tcW w:w="728" w:type="dxa"/>
            <w:vMerge w:val="restart"/>
          </w:tcPr>
          <w:p w14:paraId="3315DA94">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w:t>
            </w:r>
          </w:p>
          <w:p w14:paraId="641030D1">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来源</w:t>
            </w:r>
          </w:p>
        </w:tc>
        <w:tc>
          <w:tcPr>
            <w:tcW w:w="1487" w:type="dxa"/>
            <w:gridSpan w:val="2"/>
            <w:vAlign w:val="center"/>
          </w:tcPr>
          <w:p w14:paraId="55812C0B">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自有资金</w:t>
            </w:r>
          </w:p>
        </w:tc>
        <w:tc>
          <w:tcPr>
            <w:tcW w:w="1488" w:type="dxa"/>
            <w:vAlign w:val="center"/>
          </w:tcPr>
          <w:p w14:paraId="15FE96DC">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Pr>
          <w:p w14:paraId="52E74E54">
            <w:pPr>
              <w:spacing w:line="480" w:lineRule="exact"/>
              <w:rPr>
                <w:rFonts w:hint="eastAsia" w:ascii="新宋体" w:hAnsi="新宋体" w:eastAsia="新宋体" w:cs="新宋体"/>
                <w:color w:val="auto"/>
                <w:sz w:val="22"/>
                <w:szCs w:val="22"/>
                <w:highlight w:val="none"/>
              </w:rPr>
            </w:pPr>
          </w:p>
        </w:tc>
        <w:tc>
          <w:tcPr>
            <w:tcW w:w="1502" w:type="dxa"/>
            <w:vAlign w:val="center"/>
          </w:tcPr>
          <w:p w14:paraId="009CF0BB">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实现利润</w:t>
            </w:r>
          </w:p>
        </w:tc>
        <w:tc>
          <w:tcPr>
            <w:tcW w:w="1488" w:type="dxa"/>
            <w:vAlign w:val="center"/>
          </w:tcPr>
          <w:p w14:paraId="1AA4E88B">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70" w:type="dxa"/>
            <w:gridSpan w:val="2"/>
            <w:vAlign w:val="center"/>
          </w:tcPr>
          <w:p w14:paraId="66E92C54">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实现利润</w:t>
            </w:r>
          </w:p>
        </w:tc>
        <w:tc>
          <w:tcPr>
            <w:tcW w:w="1106" w:type="dxa"/>
            <w:vAlign w:val="center"/>
          </w:tcPr>
          <w:p w14:paraId="203DDA41">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r>
      <w:tr w14:paraId="74346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14:paraId="44FA2F2B">
            <w:pPr>
              <w:spacing w:line="480" w:lineRule="exact"/>
              <w:rPr>
                <w:rFonts w:hint="eastAsia" w:ascii="新宋体" w:hAnsi="新宋体" w:eastAsia="新宋体" w:cs="新宋体"/>
                <w:color w:val="auto"/>
                <w:sz w:val="22"/>
                <w:szCs w:val="22"/>
                <w:highlight w:val="none"/>
              </w:rPr>
            </w:pPr>
          </w:p>
        </w:tc>
        <w:tc>
          <w:tcPr>
            <w:tcW w:w="1115" w:type="dxa"/>
            <w:vMerge w:val="continue"/>
            <w:tcBorders>
              <w:bottom w:val="single" w:color="auto" w:sz="4" w:space="0"/>
            </w:tcBorders>
          </w:tcPr>
          <w:p w14:paraId="56A8D8C6">
            <w:pPr>
              <w:spacing w:line="480" w:lineRule="exact"/>
              <w:rPr>
                <w:rFonts w:hint="eastAsia" w:ascii="新宋体" w:hAnsi="新宋体" w:eastAsia="新宋体" w:cs="新宋体"/>
                <w:color w:val="auto"/>
                <w:sz w:val="22"/>
                <w:szCs w:val="22"/>
                <w:highlight w:val="none"/>
              </w:rPr>
            </w:pPr>
          </w:p>
        </w:tc>
        <w:tc>
          <w:tcPr>
            <w:tcW w:w="1689" w:type="dxa"/>
            <w:vMerge w:val="continue"/>
            <w:tcBorders>
              <w:bottom w:val="single" w:color="auto" w:sz="4" w:space="0"/>
            </w:tcBorders>
          </w:tcPr>
          <w:p w14:paraId="4DA90412">
            <w:pPr>
              <w:spacing w:line="480" w:lineRule="exact"/>
              <w:rPr>
                <w:rFonts w:hint="eastAsia" w:ascii="新宋体" w:hAnsi="新宋体" w:eastAsia="新宋体" w:cs="新宋体"/>
                <w:color w:val="auto"/>
                <w:sz w:val="22"/>
                <w:szCs w:val="22"/>
                <w:highlight w:val="none"/>
              </w:rPr>
            </w:pPr>
          </w:p>
        </w:tc>
        <w:tc>
          <w:tcPr>
            <w:tcW w:w="728" w:type="dxa"/>
            <w:vMerge w:val="continue"/>
            <w:tcBorders>
              <w:bottom w:val="single" w:color="auto" w:sz="4" w:space="0"/>
            </w:tcBorders>
          </w:tcPr>
          <w:p w14:paraId="35C4FFA6">
            <w:pPr>
              <w:spacing w:line="480" w:lineRule="exact"/>
              <w:rPr>
                <w:rFonts w:hint="eastAsia" w:ascii="新宋体" w:hAnsi="新宋体" w:eastAsia="新宋体" w:cs="新宋体"/>
                <w:color w:val="auto"/>
                <w:sz w:val="22"/>
                <w:szCs w:val="22"/>
                <w:highlight w:val="none"/>
              </w:rPr>
            </w:pPr>
          </w:p>
        </w:tc>
        <w:tc>
          <w:tcPr>
            <w:tcW w:w="1487" w:type="dxa"/>
            <w:gridSpan w:val="2"/>
            <w:tcBorders>
              <w:bottom w:val="single" w:color="auto" w:sz="4" w:space="0"/>
            </w:tcBorders>
          </w:tcPr>
          <w:p w14:paraId="1FC16B03">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银行贷款</w:t>
            </w:r>
          </w:p>
        </w:tc>
        <w:tc>
          <w:tcPr>
            <w:tcW w:w="1488" w:type="dxa"/>
            <w:tcBorders>
              <w:bottom w:val="single" w:color="auto" w:sz="4" w:space="0"/>
            </w:tcBorders>
          </w:tcPr>
          <w:p w14:paraId="4C15A74B">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Borders>
              <w:bottom w:val="single" w:color="auto" w:sz="4" w:space="0"/>
            </w:tcBorders>
          </w:tcPr>
          <w:p w14:paraId="153CAA9B">
            <w:pPr>
              <w:spacing w:line="480" w:lineRule="exact"/>
              <w:rPr>
                <w:rFonts w:hint="eastAsia" w:ascii="新宋体" w:hAnsi="新宋体" w:eastAsia="新宋体" w:cs="新宋体"/>
                <w:color w:val="auto"/>
                <w:sz w:val="22"/>
                <w:szCs w:val="22"/>
                <w:highlight w:val="none"/>
              </w:rPr>
            </w:pPr>
          </w:p>
        </w:tc>
        <w:tc>
          <w:tcPr>
            <w:tcW w:w="1502" w:type="dxa"/>
            <w:vMerge w:val="restart"/>
            <w:tcBorders>
              <w:bottom w:val="single" w:color="auto" w:sz="4" w:space="0"/>
            </w:tcBorders>
            <w:vAlign w:val="center"/>
          </w:tcPr>
          <w:p w14:paraId="63C45980">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主要业绩</w:t>
            </w:r>
          </w:p>
        </w:tc>
        <w:tc>
          <w:tcPr>
            <w:tcW w:w="4064" w:type="dxa"/>
            <w:gridSpan w:val="4"/>
            <w:vMerge w:val="restart"/>
            <w:tcBorders>
              <w:bottom w:val="single" w:color="auto" w:sz="4" w:space="0"/>
            </w:tcBorders>
            <w:vAlign w:val="center"/>
          </w:tcPr>
          <w:p w14:paraId="59A7E3A5">
            <w:pPr>
              <w:spacing w:line="480" w:lineRule="exact"/>
              <w:jc w:val="center"/>
              <w:rPr>
                <w:rFonts w:hint="eastAsia" w:ascii="新宋体" w:hAnsi="新宋体" w:eastAsia="新宋体" w:cs="新宋体"/>
                <w:color w:val="auto"/>
                <w:sz w:val="22"/>
                <w:szCs w:val="22"/>
                <w:highlight w:val="none"/>
              </w:rPr>
            </w:pPr>
          </w:p>
        </w:tc>
      </w:tr>
      <w:tr w14:paraId="38D51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14:paraId="21D3A286">
            <w:pPr>
              <w:spacing w:line="480" w:lineRule="exact"/>
              <w:rPr>
                <w:rFonts w:hint="eastAsia" w:ascii="新宋体" w:hAnsi="新宋体" w:eastAsia="新宋体" w:cs="新宋体"/>
                <w:color w:val="auto"/>
                <w:sz w:val="22"/>
                <w:szCs w:val="22"/>
                <w:highlight w:val="none"/>
              </w:rPr>
            </w:pPr>
          </w:p>
        </w:tc>
        <w:tc>
          <w:tcPr>
            <w:tcW w:w="1115" w:type="dxa"/>
            <w:vMerge w:val="restart"/>
          </w:tcPr>
          <w:p w14:paraId="719BCBB5">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固定资产</w:t>
            </w:r>
          </w:p>
        </w:tc>
        <w:tc>
          <w:tcPr>
            <w:tcW w:w="1689" w:type="dxa"/>
            <w:vMerge w:val="restart"/>
          </w:tcPr>
          <w:p w14:paraId="3D7C5437">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原值   万元</w:t>
            </w:r>
          </w:p>
          <w:p w14:paraId="5A2000EA">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净值   万元</w:t>
            </w:r>
          </w:p>
        </w:tc>
        <w:tc>
          <w:tcPr>
            <w:tcW w:w="728" w:type="dxa"/>
            <w:vMerge w:val="restart"/>
          </w:tcPr>
          <w:p w14:paraId="4E282ABB">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w:t>
            </w:r>
          </w:p>
          <w:p w14:paraId="26C1AD90">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性质</w:t>
            </w:r>
          </w:p>
        </w:tc>
        <w:tc>
          <w:tcPr>
            <w:tcW w:w="1487" w:type="dxa"/>
            <w:gridSpan w:val="2"/>
          </w:tcPr>
          <w:p w14:paraId="2009404B">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生产性</w:t>
            </w:r>
          </w:p>
        </w:tc>
        <w:tc>
          <w:tcPr>
            <w:tcW w:w="1488" w:type="dxa"/>
          </w:tcPr>
          <w:p w14:paraId="3D9D06C8">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Pr>
          <w:p w14:paraId="080AC09D">
            <w:pPr>
              <w:spacing w:line="480" w:lineRule="exact"/>
              <w:rPr>
                <w:rFonts w:hint="eastAsia" w:ascii="新宋体" w:hAnsi="新宋体" w:eastAsia="新宋体" w:cs="新宋体"/>
                <w:color w:val="auto"/>
                <w:sz w:val="22"/>
                <w:szCs w:val="22"/>
                <w:highlight w:val="none"/>
              </w:rPr>
            </w:pPr>
          </w:p>
        </w:tc>
        <w:tc>
          <w:tcPr>
            <w:tcW w:w="1502" w:type="dxa"/>
            <w:vMerge w:val="continue"/>
          </w:tcPr>
          <w:p w14:paraId="31038753">
            <w:pPr>
              <w:spacing w:line="480" w:lineRule="exact"/>
              <w:rPr>
                <w:rFonts w:hint="eastAsia" w:ascii="新宋体" w:hAnsi="新宋体" w:eastAsia="新宋体" w:cs="新宋体"/>
                <w:color w:val="auto"/>
                <w:sz w:val="22"/>
                <w:szCs w:val="22"/>
                <w:highlight w:val="none"/>
              </w:rPr>
            </w:pPr>
          </w:p>
        </w:tc>
        <w:tc>
          <w:tcPr>
            <w:tcW w:w="4064" w:type="dxa"/>
            <w:gridSpan w:val="4"/>
            <w:vMerge w:val="continue"/>
          </w:tcPr>
          <w:p w14:paraId="2D1B40D1">
            <w:pPr>
              <w:spacing w:line="480" w:lineRule="exact"/>
              <w:rPr>
                <w:rFonts w:hint="eastAsia" w:ascii="新宋体" w:hAnsi="新宋体" w:eastAsia="新宋体" w:cs="新宋体"/>
                <w:color w:val="auto"/>
                <w:sz w:val="22"/>
                <w:szCs w:val="22"/>
                <w:highlight w:val="none"/>
              </w:rPr>
            </w:pPr>
          </w:p>
        </w:tc>
      </w:tr>
      <w:tr w14:paraId="44ED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14:paraId="1ADD93F7">
            <w:pPr>
              <w:spacing w:line="480" w:lineRule="exact"/>
              <w:rPr>
                <w:rFonts w:hint="eastAsia" w:ascii="新宋体" w:hAnsi="新宋体" w:eastAsia="新宋体" w:cs="新宋体"/>
                <w:color w:val="auto"/>
                <w:sz w:val="22"/>
                <w:szCs w:val="22"/>
                <w:highlight w:val="none"/>
              </w:rPr>
            </w:pPr>
          </w:p>
        </w:tc>
        <w:tc>
          <w:tcPr>
            <w:tcW w:w="1115" w:type="dxa"/>
            <w:vMerge w:val="continue"/>
          </w:tcPr>
          <w:p w14:paraId="65F8564F">
            <w:pPr>
              <w:spacing w:line="480" w:lineRule="exact"/>
              <w:rPr>
                <w:rFonts w:hint="eastAsia" w:ascii="新宋体" w:hAnsi="新宋体" w:eastAsia="新宋体" w:cs="新宋体"/>
                <w:color w:val="auto"/>
                <w:sz w:val="22"/>
                <w:szCs w:val="22"/>
                <w:highlight w:val="none"/>
              </w:rPr>
            </w:pPr>
          </w:p>
        </w:tc>
        <w:tc>
          <w:tcPr>
            <w:tcW w:w="1689" w:type="dxa"/>
            <w:vMerge w:val="continue"/>
          </w:tcPr>
          <w:p w14:paraId="24EBAA80">
            <w:pPr>
              <w:spacing w:line="480" w:lineRule="exact"/>
              <w:rPr>
                <w:rFonts w:hint="eastAsia" w:ascii="新宋体" w:hAnsi="新宋体" w:eastAsia="新宋体" w:cs="新宋体"/>
                <w:color w:val="auto"/>
                <w:sz w:val="22"/>
                <w:szCs w:val="22"/>
                <w:highlight w:val="none"/>
              </w:rPr>
            </w:pPr>
          </w:p>
        </w:tc>
        <w:tc>
          <w:tcPr>
            <w:tcW w:w="728" w:type="dxa"/>
            <w:vMerge w:val="continue"/>
          </w:tcPr>
          <w:p w14:paraId="08EFF6C7">
            <w:pPr>
              <w:spacing w:line="480" w:lineRule="exact"/>
              <w:rPr>
                <w:rFonts w:hint="eastAsia" w:ascii="新宋体" w:hAnsi="新宋体" w:eastAsia="新宋体" w:cs="新宋体"/>
                <w:color w:val="auto"/>
                <w:sz w:val="22"/>
                <w:szCs w:val="22"/>
                <w:highlight w:val="none"/>
              </w:rPr>
            </w:pPr>
          </w:p>
        </w:tc>
        <w:tc>
          <w:tcPr>
            <w:tcW w:w="1487" w:type="dxa"/>
            <w:gridSpan w:val="2"/>
          </w:tcPr>
          <w:p w14:paraId="48CF2FA8">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非生产性</w:t>
            </w:r>
          </w:p>
        </w:tc>
        <w:tc>
          <w:tcPr>
            <w:tcW w:w="1488" w:type="dxa"/>
          </w:tcPr>
          <w:p w14:paraId="0E4781F1">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Pr>
          <w:p w14:paraId="0149DE87">
            <w:pPr>
              <w:spacing w:line="480" w:lineRule="exact"/>
              <w:rPr>
                <w:rFonts w:hint="eastAsia" w:ascii="新宋体" w:hAnsi="新宋体" w:eastAsia="新宋体" w:cs="新宋体"/>
                <w:color w:val="auto"/>
                <w:sz w:val="22"/>
                <w:szCs w:val="22"/>
                <w:highlight w:val="none"/>
              </w:rPr>
            </w:pPr>
          </w:p>
        </w:tc>
        <w:tc>
          <w:tcPr>
            <w:tcW w:w="1502" w:type="dxa"/>
            <w:vMerge w:val="continue"/>
          </w:tcPr>
          <w:p w14:paraId="4132A451">
            <w:pPr>
              <w:spacing w:line="480" w:lineRule="exact"/>
              <w:rPr>
                <w:rFonts w:hint="eastAsia" w:ascii="新宋体" w:hAnsi="新宋体" w:eastAsia="新宋体" w:cs="新宋体"/>
                <w:color w:val="auto"/>
                <w:sz w:val="22"/>
                <w:szCs w:val="22"/>
                <w:highlight w:val="none"/>
              </w:rPr>
            </w:pPr>
          </w:p>
        </w:tc>
        <w:tc>
          <w:tcPr>
            <w:tcW w:w="4064" w:type="dxa"/>
            <w:gridSpan w:val="4"/>
            <w:vMerge w:val="continue"/>
          </w:tcPr>
          <w:p w14:paraId="79A80C26">
            <w:pPr>
              <w:spacing w:line="480" w:lineRule="exact"/>
              <w:rPr>
                <w:rFonts w:hint="eastAsia" w:ascii="新宋体" w:hAnsi="新宋体" w:eastAsia="新宋体" w:cs="新宋体"/>
                <w:color w:val="auto"/>
                <w:sz w:val="22"/>
                <w:szCs w:val="22"/>
                <w:highlight w:val="none"/>
              </w:rPr>
            </w:pPr>
          </w:p>
        </w:tc>
      </w:tr>
    </w:tbl>
    <w:p w14:paraId="66E06A22">
      <w:pPr>
        <w:spacing w:line="460" w:lineRule="exact"/>
        <w:rPr>
          <w:rFonts w:hint="eastAsia" w:ascii="新宋体" w:hAnsi="新宋体" w:eastAsia="新宋体" w:cs="新宋体"/>
          <w:color w:val="auto"/>
          <w:sz w:val="22"/>
          <w:szCs w:val="22"/>
          <w:highlight w:val="none"/>
        </w:rPr>
        <w:sectPr>
          <w:pgSz w:w="16840" w:h="11907" w:orient="landscape"/>
          <w:pgMar w:top="1134" w:right="1134" w:bottom="1134" w:left="1134" w:header="851" w:footer="992" w:gutter="0"/>
          <w:cols w:space="720" w:num="1"/>
          <w:titlePg/>
          <w:docGrid w:linePitch="312" w:charSpace="0"/>
        </w:sectPr>
      </w:pPr>
    </w:p>
    <w:p w14:paraId="481243FB">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4、廉政承诺书</w:t>
      </w:r>
    </w:p>
    <w:p w14:paraId="3B6434FF">
      <w:pPr>
        <w:tabs>
          <w:tab w:val="left" w:pos="360"/>
        </w:tabs>
        <w:spacing w:line="46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温州市中医院</w:t>
      </w:r>
      <w:r>
        <w:rPr>
          <w:rFonts w:hint="eastAsia" w:ascii="新宋体" w:hAnsi="新宋体" w:eastAsia="新宋体" w:cs="新宋体"/>
          <w:color w:val="auto"/>
          <w:sz w:val="22"/>
          <w:highlight w:val="none"/>
        </w:rPr>
        <w:t>、温州历程招标有限公司：</w:t>
      </w:r>
    </w:p>
    <w:p w14:paraId="385CD1DD">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为加强采购活动中的廉政建设，防止发生违法违纪行为，体现公开、公平、公正的原则，根据国家有关法律、法规和廉政建设责任制的规定，本投标人特作如下承诺：</w:t>
      </w:r>
    </w:p>
    <w:p w14:paraId="5F092574">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一、不与采购人、采购代理机构及其他投标人私下串通协商，进行围标、串标、抬标、控制投标价格。</w:t>
      </w:r>
    </w:p>
    <w:p w14:paraId="4C5CA78D">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二、不向采购人、采购代理机构、评标专家行贿，以不正当手段谋取中标。</w:t>
      </w:r>
    </w:p>
    <w:p w14:paraId="354D2E13">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三、不向监管人员请客、送礼及组织其他有可能影响客观公正监管的活动。</w:t>
      </w:r>
    </w:p>
    <w:p w14:paraId="0E20BA01">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四、自觉遵守开标、评标现场工作纪律，不私下接触评标专家，不干扰正常的开标评标秩序。</w:t>
      </w:r>
    </w:p>
    <w:p w14:paraId="36ECC54B">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五、不给责任人的违法违规行为说情、解脱。</w:t>
      </w:r>
    </w:p>
    <w:p w14:paraId="5138E9EF">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如违反上述承诺，你方有权立即取消我单位投标、中标或在建项目的履约资格，有权拒绝我单位在一定时期内进入你方进行政府采购或其他经营活动，并通报监督管理部门、纪检监察部门或司法机关调查处理。由此引起的相应损失均由我单位承担。</w:t>
      </w:r>
    </w:p>
    <w:p w14:paraId="4FB27E19">
      <w:pPr>
        <w:tabs>
          <w:tab w:val="left" w:pos="360"/>
        </w:tabs>
        <w:spacing w:line="460" w:lineRule="exact"/>
        <w:rPr>
          <w:rFonts w:hint="eastAsia" w:ascii="新宋体" w:hAnsi="新宋体" w:eastAsia="新宋体" w:cs="新宋体"/>
          <w:color w:val="auto"/>
          <w:sz w:val="22"/>
          <w:highlight w:val="none"/>
        </w:rPr>
      </w:pPr>
    </w:p>
    <w:p w14:paraId="491CC2C9">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特此承诺！</w:t>
      </w:r>
    </w:p>
    <w:p w14:paraId="1F204209">
      <w:pPr>
        <w:widowControl/>
        <w:snapToGrid w:val="0"/>
        <w:spacing w:line="460" w:lineRule="exact"/>
        <w:jc w:val="left"/>
        <w:rPr>
          <w:rFonts w:hint="eastAsia" w:ascii="新宋体" w:hAnsi="新宋体" w:eastAsia="新宋体" w:cs="新宋体"/>
          <w:color w:val="auto"/>
          <w:kern w:val="0"/>
          <w:sz w:val="22"/>
          <w:szCs w:val="22"/>
          <w:highlight w:val="none"/>
        </w:rPr>
      </w:pPr>
    </w:p>
    <w:p w14:paraId="08FBD41B">
      <w:pPr>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6D646742">
      <w:pPr>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7887552D">
      <w:pPr>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3AA7CC61">
      <w:pPr>
        <w:pStyle w:val="11"/>
        <w:ind w:left="0" w:leftChars="0" w:firstLine="0" w:firstLineChars="0"/>
        <w:rPr>
          <w:rFonts w:hint="eastAsia" w:ascii="新宋体" w:hAnsi="新宋体" w:eastAsia="新宋体" w:cs="新宋体"/>
          <w:color w:val="auto"/>
          <w:sz w:val="22"/>
          <w:szCs w:val="22"/>
          <w:highlight w:val="none"/>
        </w:rPr>
      </w:pPr>
    </w:p>
    <w:p w14:paraId="4974EA9D">
      <w:pPr>
        <w:rPr>
          <w:rFonts w:hint="eastAsia" w:ascii="新宋体" w:hAnsi="新宋体" w:eastAsia="新宋体" w:cs="新宋体"/>
          <w:color w:val="auto"/>
          <w:sz w:val="22"/>
          <w:szCs w:val="22"/>
          <w:highlight w:val="none"/>
        </w:rPr>
      </w:pPr>
    </w:p>
    <w:p w14:paraId="7B32A994">
      <w:pPr>
        <w:pStyle w:val="11"/>
        <w:ind w:left="0" w:leftChars="0" w:firstLine="0" w:firstLineChars="0"/>
        <w:rPr>
          <w:rFonts w:hint="eastAsia" w:ascii="新宋体" w:hAnsi="新宋体" w:eastAsia="新宋体" w:cs="新宋体"/>
          <w:color w:val="auto"/>
          <w:sz w:val="22"/>
          <w:szCs w:val="22"/>
          <w:highlight w:val="none"/>
        </w:rPr>
      </w:pPr>
    </w:p>
    <w:p w14:paraId="4D0DAC0F">
      <w:pPr>
        <w:rPr>
          <w:rFonts w:hint="eastAsia" w:ascii="新宋体" w:hAnsi="新宋体" w:eastAsia="新宋体" w:cs="新宋体"/>
          <w:color w:val="auto"/>
          <w:sz w:val="22"/>
          <w:szCs w:val="22"/>
          <w:highlight w:val="none"/>
        </w:rPr>
      </w:pPr>
    </w:p>
    <w:p w14:paraId="556DF455">
      <w:pPr>
        <w:pStyle w:val="11"/>
        <w:ind w:left="0" w:leftChars="0" w:firstLine="0" w:firstLineChars="0"/>
        <w:rPr>
          <w:rFonts w:hint="eastAsia" w:ascii="新宋体" w:hAnsi="新宋体" w:eastAsia="新宋体" w:cs="新宋体"/>
          <w:color w:val="auto"/>
          <w:sz w:val="22"/>
          <w:szCs w:val="22"/>
          <w:highlight w:val="none"/>
        </w:rPr>
      </w:pPr>
    </w:p>
    <w:p w14:paraId="77BB1276">
      <w:pPr>
        <w:rPr>
          <w:rFonts w:hint="eastAsia" w:ascii="新宋体" w:hAnsi="新宋体" w:eastAsia="新宋体" w:cs="新宋体"/>
          <w:color w:val="auto"/>
          <w:sz w:val="22"/>
          <w:szCs w:val="22"/>
          <w:highlight w:val="none"/>
        </w:rPr>
      </w:pPr>
    </w:p>
    <w:p w14:paraId="5C7E95E6">
      <w:pPr>
        <w:pStyle w:val="11"/>
        <w:ind w:left="0" w:leftChars="0" w:firstLine="0" w:firstLineChars="0"/>
        <w:rPr>
          <w:rFonts w:hint="eastAsia" w:ascii="新宋体" w:hAnsi="新宋体" w:eastAsia="新宋体" w:cs="新宋体"/>
          <w:color w:val="auto"/>
          <w:sz w:val="22"/>
          <w:szCs w:val="22"/>
          <w:highlight w:val="none"/>
        </w:rPr>
      </w:pPr>
    </w:p>
    <w:p w14:paraId="69670B5C">
      <w:pPr>
        <w:rPr>
          <w:rFonts w:hint="eastAsia" w:ascii="新宋体" w:hAnsi="新宋体" w:eastAsia="新宋体" w:cs="新宋体"/>
          <w:color w:val="auto"/>
          <w:sz w:val="22"/>
          <w:szCs w:val="22"/>
          <w:highlight w:val="none"/>
        </w:rPr>
      </w:pPr>
    </w:p>
    <w:p w14:paraId="469DC4D5">
      <w:pPr>
        <w:rPr>
          <w:rFonts w:hint="eastAsia" w:ascii="新宋体" w:hAnsi="新宋体" w:eastAsia="新宋体" w:cs="新宋体"/>
          <w:color w:val="auto"/>
          <w:sz w:val="22"/>
          <w:szCs w:val="22"/>
          <w:highlight w:val="none"/>
        </w:rPr>
      </w:pPr>
    </w:p>
    <w:p w14:paraId="453F29D9">
      <w:pPr>
        <w:pStyle w:val="11"/>
        <w:ind w:left="0" w:leftChars="0" w:firstLine="0" w:firstLineChars="0"/>
        <w:rPr>
          <w:rFonts w:hint="eastAsia" w:ascii="新宋体" w:hAnsi="新宋体" w:eastAsia="新宋体" w:cs="新宋体"/>
          <w:color w:val="auto"/>
          <w:sz w:val="22"/>
          <w:szCs w:val="22"/>
          <w:highlight w:val="none"/>
        </w:rPr>
      </w:pPr>
    </w:p>
    <w:p w14:paraId="3879BFC7">
      <w:pPr>
        <w:rPr>
          <w:rFonts w:hint="eastAsia" w:ascii="新宋体" w:hAnsi="新宋体" w:eastAsia="新宋体" w:cs="新宋体"/>
          <w:color w:val="auto"/>
          <w:sz w:val="22"/>
          <w:szCs w:val="22"/>
          <w:highlight w:val="none"/>
        </w:rPr>
      </w:pPr>
    </w:p>
    <w:p w14:paraId="51FD9A07">
      <w:pPr>
        <w:pStyle w:val="11"/>
        <w:ind w:left="0" w:leftChars="0" w:firstLine="0" w:firstLineChars="0"/>
        <w:rPr>
          <w:rFonts w:hint="eastAsia" w:ascii="新宋体" w:hAnsi="新宋体" w:eastAsia="新宋体" w:cs="新宋体"/>
          <w:color w:val="auto"/>
          <w:sz w:val="22"/>
          <w:szCs w:val="22"/>
          <w:highlight w:val="none"/>
        </w:rPr>
      </w:pPr>
    </w:p>
    <w:p w14:paraId="54F83774">
      <w:pPr>
        <w:rPr>
          <w:rFonts w:hint="eastAsia" w:ascii="新宋体" w:hAnsi="新宋体" w:eastAsia="新宋体" w:cs="新宋体"/>
          <w:color w:val="auto"/>
          <w:sz w:val="22"/>
          <w:szCs w:val="22"/>
          <w:highlight w:val="none"/>
        </w:rPr>
      </w:pPr>
    </w:p>
    <w:p w14:paraId="5A2CE08A">
      <w:pPr>
        <w:pStyle w:val="11"/>
        <w:ind w:left="0" w:leftChars="0" w:firstLine="0" w:firstLineChars="0"/>
        <w:rPr>
          <w:rFonts w:hint="eastAsia" w:ascii="新宋体" w:hAnsi="新宋体" w:eastAsia="新宋体" w:cs="新宋体"/>
          <w:color w:val="auto"/>
          <w:sz w:val="22"/>
          <w:szCs w:val="22"/>
          <w:highlight w:val="none"/>
        </w:rPr>
      </w:pPr>
    </w:p>
    <w:p w14:paraId="0C601238">
      <w:pPr>
        <w:rPr>
          <w:rFonts w:hint="eastAsia" w:ascii="新宋体" w:hAnsi="新宋体" w:eastAsia="新宋体" w:cs="新宋体"/>
          <w:color w:val="auto"/>
          <w:sz w:val="22"/>
          <w:szCs w:val="22"/>
          <w:highlight w:val="none"/>
        </w:rPr>
      </w:pPr>
    </w:p>
    <w:p w14:paraId="0DCCB6F5">
      <w:pPr>
        <w:pStyle w:val="11"/>
        <w:ind w:left="0" w:leftChars="0" w:firstLine="0" w:firstLineChars="0"/>
        <w:rPr>
          <w:rFonts w:hint="eastAsia" w:ascii="新宋体" w:hAnsi="新宋体" w:eastAsia="新宋体" w:cs="新宋体"/>
          <w:color w:val="auto"/>
          <w:sz w:val="22"/>
          <w:szCs w:val="22"/>
          <w:highlight w:val="none"/>
        </w:rPr>
      </w:pPr>
    </w:p>
    <w:p w14:paraId="2295419C">
      <w:pPr>
        <w:rPr>
          <w:rFonts w:hint="eastAsia" w:ascii="新宋体" w:hAnsi="新宋体" w:eastAsia="新宋体" w:cs="新宋体"/>
          <w:color w:val="auto"/>
          <w:sz w:val="22"/>
          <w:szCs w:val="22"/>
          <w:highlight w:val="none"/>
        </w:rPr>
      </w:pPr>
    </w:p>
    <w:p w14:paraId="7D05BAD3">
      <w:pPr>
        <w:pStyle w:val="11"/>
        <w:ind w:left="0" w:leftChars="0" w:firstLine="0" w:firstLineChars="0"/>
        <w:rPr>
          <w:rFonts w:hint="eastAsia" w:ascii="新宋体" w:hAnsi="新宋体" w:eastAsia="新宋体" w:cs="新宋体"/>
          <w:color w:val="auto"/>
          <w:sz w:val="22"/>
          <w:szCs w:val="22"/>
          <w:highlight w:val="none"/>
        </w:rPr>
      </w:pPr>
    </w:p>
    <w:p w14:paraId="757224FE">
      <w:pPr>
        <w:rPr>
          <w:rFonts w:hint="eastAsia" w:ascii="新宋体" w:hAnsi="新宋体" w:eastAsia="新宋体" w:cs="新宋体"/>
          <w:color w:val="auto"/>
          <w:sz w:val="22"/>
          <w:szCs w:val="22"/>
          <w:highlight w:val="none"/>
        </w:rPr>
      </w:pPr>
    </w:p>
    <w:p w14:paraId="46F15C5C">
      <w:pPr>
        <w:rPr>
          <w:rFonts w:hint="eastAsia" w:ascii="新宋体" w:hAnsi="新宋体" w:eastAsia="新宋体" w:cs="新宋体"/>
          <w:color w:val="auto"/>
          <w:sz w:val="22"/>
          <w:szCs w:val="22"/>
          <w:highlight w:val="none"/>
        </w:rPr>
      </w:pPr>
    </w:p>
    <w:p w14:paraId="49F938D3">
      <w:pPr>
        <w:spacing w:line="460" w:lineRule="exact"/>
        <w:jc w:val="left"/>
        <w:outlineLvl w:val="3"/>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5</w:t>
      </w: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zh-CN"/>
        </w:rPr>
        <w:t>投标人为医疗器械生产企业的：第二类、第三类医疗器械生产企业提供《医疗器械生产许可证》、第一类医疗器械生产企业提供第一类医疗器械生产备案凭证</w:t>
      </w:r>
      <w:r>
        <w:rPr>
          <w:rFonts w:hint="eastAsia" w:ascii="新宋体" w:hAnsi="新宋体" w:eastAsia="新宋体" w:cs="新宋体"/>
          <w:b/>
          <w:bCs/>
          <w:color w:val="auto"/>
          <w:sz w:val="22"/>
          <w:szCs w:val="22"/>
          <w:highlight w:val="none"/>
          <w:lang w:val="en-US" w:eastAsia="zh-CN"/>
        </w:rPr>
        <w:t>等</w:t>
      </w:r>
      <w:r>
        <w:rPr>
          <w:rFonts w:hint="eastAsia" w:ascii="新宋体" w:hAnsi="新宋体" w:eastAsia="新宋体" w:cs="新宋体"/>
          <w:b/>
          <w:bCs/>
          <w:color w:val="auto"/>
          <w:sz w:val="22"/>
          <w:szCs w:val="22"/>
          <w:highlight w:val="none"/>
          <w:lang w:val="zh-CN"/>
        </w:rPr>
        <w:t>销售许可文件；投标人为医疗器械经营企业的：第三类医疗器械经营企业提供《医疗器械经营许可证》、第二类医疗器械经营企业提供第二类医疗器械经营备案凭证</w:t>
      </w:r>
      <w:r>
        <w:rPr>
          <w:rFonts w:hint="eastAsia" w:ascii="新宋体" w:hAnsi="新宋体" w:eastAsia="新宋体" w:cs="新宋体"/>
          <w:b/>
          <w:bCs/>
          <w:color w:val="auto"/>
          <w:sz w:val="22"/>
          <w:szCs w:val="22"/>
          <w:highlight w:val="none"/>
          <w:lang w:val="en-US" w:eastAsia="zh-CN"/>
        </w:rPr>
        <w:t>等</w:t>
      </w:r>
      <w:r>
        <w:rPr>
          <w:rFonts w:hint="eastAsia" w:ascii="新宋体" w:hAnsi="新宋体" w:eastAsia="新宋体" w:cs="新宋体"/>
          <w:b/>
          <w:bCs/>
          <w:color w:val="auto"/>
          <w:sz w:val="22"/>
          <w:szCs w:val="22"/>
          <w:highlight w:val="none"/>
          <w:lang w:val="zh-CN"/>
        </w:rPr>
        <w:t>销售许可文件；（适用于按医疗器械管理的货物）</w:t>
      </w:r>
    </w:p>
    <w:p w14:paraId="4405E8E0">
      <w:pPr>
        <w:rPr>
          <w:rFonts w:ascii="新宋体" w:hAnsi="新宋体" w:eastAsia="新宋体" w:cs="新宋体"/>
          <w:color w:val="auto"/>
          <w:sz w:val="22"/>
          <w:szCs w:val="22"/>
          <w:highlight w:val="none"/>
        </w:rPr>
      </w:pPr>
    </w:p>
    <w:p w14:paraId="226EC1D5">
      <w:pPr>
        <w:spacing w:line="460" w:lineRule="exact"/>
        <w:jc w:val="left"/>
        <w:outlineLvl w:val="9"/>
        <w:rPr>
          <w:rFonts w:hint="eastAsia" w:ascii="新宋体" w:hAnsi="新宋体" w:eastAsia="新宋体" w:cs="新宋体"/>
          <w:b/>
          <w:bCs/>
          <w:color w:val="auto"/>
          <w:sz w:val="22"/>
          <w:szCs w:val="22"/>
          <w:highlight w:val="none"/>
        </w:rPr>
      </w:pPr>
    </w:p>
    <w:p w14:paraId="1C9C0EC1">
      <w:pPr>
        <w:spacing w:line="460" w:lineRule="exact"/>
        <w:jc w:val="left"/>
        <w:outlineLvl w:val="9"/>
        <w:rPr>
          <w:rFonts w:hint="eastAsia" w:ascii="新宋体" w:hAnsi="新宋体" w:eastAsia="新宋体" w:cs="新宋体"/>
          <w:b/>
          <w:bCs/>
          <w:color w:val="auto"/>
          <w:sz w:val="22"/>
          <w:szCs w:val="22"/>
          <w:highlight w:val="none"/>
        </w:rPr>
      </w:pPr>
    </w:p>
    <w:p w14:paraId="39E7EF2C">
      <w:pPr>
        <w:spacing w:line="460" w:lineRule="exact"/>
        <w:jc w:val="left"/>
        <w:outlineLvl w:val="3"/>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en-US" w:eastAsia="zh-CN"/>
        </w:rPr>
        <w:t>6</w:t>
      </w: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zh-CN"/>
        </w:rPr>
        <w:t>货物制造商或其它有销售资格（提供证明材料）的供应商出具的授权书</w:t>
      </w:r>
      <w:r>
        <w:rPr>
          <w:rFonts w:hint="eastAsia" w:ascii="新宋体" w:hAnsi="新宋体" w:eastAsia="新宋体" w:cs="新宋体"/>
          <w:b/>
          <w:bCs/>
          <w:color w:val="auto"/>
          <w:sz w:val="22"/>
          <w:szCs w:val="22"/>
          <w:highlight w:val="none"/>
          <w:lang w:val="en-US" w:eastAsia="zh-CN"/>
        </w:rPr>
        <w:t>等</w:t>
      </w:r>
      <w:r>
        <w:rPr>
          <w:rFonts w:hint="eastAsia" w:ascii="新宋体" w:hAnsi="新宋体" w:eastAsia="新宋体" w:cs="新宋体"/>
          <w:b/>
          <w:bCs/>
          <w:color w:val="auto"/>
          <w:sz w:val="22"/>
          <w:szCs w:val="22"/>
          <w:highlight w:val="none"/>
          <w:lang w:val="zh-CN"/>
        </w:rPr>
        <w:t>销售许可文件（适用于投标人是进口货物代理商的情形）</w:t>
      </w:r>
    </w:p>
    <w:p w14:paraId="1D937AFB">
      <w:pPr>
        <w:pStyle w:val="11"/>
        <w:ind w:left="0" w:leftChars="0" w:firstLine="0" w:firstLineChars="0"/>
        <w:rPr>
          <w:rFonts w:hint="eastAsia" w:ascii="新宋体" w:hAnsi="新宋体" w:eastAsia="新宋体" w:cs="新宋体"/>
          <w:color w:val="auto"/>
          <w:sz w:val="22"/>
          <w:szCs w:val="22"/>
          <w:highlight w:val="none"/>
        </w:rPr>
      </w:pPr>
    </w:p>
    <w:p w14:paraId="3CDEFA07">
      <w:pPr>
        <w:rPr>
          <w:rFonts w:hint="eastAsia" w:ascii="新宋体" w:hAnsi="新宋体" w:eastAsia="新宋体" w:cs="新宋体"/>
          <w:color w:val="auto"/>
          <w:highlight w:val="none"/>
        </w:rPr>
      </w:pPr>
    </w:p>
    <w:p w14:paraId="262426C6">
      <w:pPr>
        <w:rPr>
          <w:rFonts w:hint="eastAsia" w:ascii="新宋体" w:hAnsi="新宋体" w:eastAsia="新宋体" w:cs="新宋体"/>
          <w:color w:val="auto"/>
          <w:highlight w:val="none"/>
        </w:rPr>
      </w:pPr>
    </w:p>
    <w:p w14:paraId="603C6DF3">
      <w:pPr>
        <w:rPr>
          <w:rFonts w:hint="eastAsia" w:ascii="新宋体" w:hAnsi="新宋体" w:eastAsia="新宋体" w:cs="新宋体"/>
          <w:color w:val="auto"/>
          <w:highlight w:val="none"/>
        </w:rPr>
      </w:pPr>
    </w:p>
    <w:p w14:paraId="2213ED48">
      <w:pPr>
        <w:rPr>
          <w:rFonts w:hint="eastAsia" w:ascii="新宋体" w:hAnsi="新宋体" w:eastAsia="新宋体" w:cs="新宋体"/>
          <w:color w:val="auto"/>
          <w:highlight w:val="none"/>
        </w:rPr>
      </w:pPr>
    </w:p>
    <w:p w14:paraId="5CCE6ACD">
      <w:pPr>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14:paraId="06F452B8">
      <w:pPr>
        <w:spacing w:line="460" w:lineRule="exact"/>
        <w:jc w:val="center"/>
        <w:outlineLvl w:val="3"/>
        <w:rPr>
          <w:rFonts w:hint="eastAsia" w:ascii="新宋体" w:hAnsi="新宋体" w:eastAsia="新宋体" w:cs="新宋体"/>
          <w:b/>
          <w:bCs/>
          <w:color w:val="auto"/>
          <w:sz w:val="24"/>
          <w:szCs w:val="24"/>
          <w:highlight w:val="none"/>
          <w:lang w:val="zh-CN" w:eastAsia="zh-CN"/>
        </w:rPr>
      </w:pPr>
      <w:r>
        <w:rPr>
          <w:rFonts w:hint="eastAsia" w:ascii="新宋体" w:hAnsi="新宋体" w:eastAsia="新宋体" w:cs="新宋体"/>
          <w:b/>
          <w:bCs/>
          <w:color w:val="auto"/>
          <w:sz w:val="24"/>
          <w:szCs w:val="24"/>
          <w:highlight w:val="none"/>
          <w:lang w:val="en-US" w:eastAsia="zh-CN"/>
        </w:rPr>
        <w:t>7、</w:t>
      </w:r>
      <w:r>
        <w:rPr>
          <w:rFonts w:hint="eastAsia" w:ascii="新宋体" w:hAnsi="新宋体" w:eastAsia="新宋体" w:cs="新宋体"/>
          <w:b/>
          <w:bCs/>
          <w:color w:val="auto"/>
          <w:sz w:val="24"/>
          <w:szCs w:val="24"/>
          <w:highlight w:val="none"/>
          <w:lang w:val="zh-CN" w:eastAsia="zh-CN"/>
        </w:rPr>
        <w:t>详细供货清单说明一览表</w:t>
      </w:r>
    </w:p>
    <w:p w14:paraId="3C7CD276">
      <w:pPr>
        <w:keepNext w:val="0"/>
        <w:keepLines w:val="0"/>
        <w:pageBreakBefore w:val="0"/>
        <w:kinsoku/>
        <w:wordWrap/>
        <w:topLinePunct w:val="0"/>
        <w:bidi w:val="0"/>
        <w:snapToGrid/>
        <w:spacing w:line="460" w:lineRule="exac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项目名称：</w:t>
      </w:r>
    </w:p>
    <w:p w14:paraId="0F2CAF01">
      <w:pPr>
        <w:keepNext w:val="0"/>
        <w:keepLines w:val="0"/>
        <w:pageBreakBefore w:val="0"/>
        <w:kinsoku/>
        <w:wordWrap/>
        <w:topLinePunct w:val="0"/>
        <w:bidi w:val="0"/>
        <w:snapToGrid/>
        <w:spacing w:line="460" w:lineRule="exac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项目编号：</w:t>
      </w:r>
    </w:p>
    <w:tbl>
      <w:tblPr>
        <w:tblStyle w:val="53"/>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2"/>
        <w:gridCol w:w="2603"/>
        <w:gridCol w:w="1991"/>
        <w:gridCol w:w="1260"/>
        <w:gridCol w:w="1219"/>
      </w:tblGrid>
      <w:tr w14:paraId="4F50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28" w:type="dxa"/>
            <w:shd w:val="clear" w:color="auto" w:fill="FFFFFF"/>
            <w:vAlign w:val="center"/>
          </w:tcPr>
          <w:p w14:paraId="2F1ACA60">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692" w:type="dxa"/>
            <w:shd w:val="clear" w:color="auto" w:fill="FFFFFF"/>
            <w:vAlign w:val="center"/>
          </w:tcPr>
          <w:p w14:paraId="21BDE463">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设备名称/型号</w:t>
            </w:r>
          </w:p>
        </w:tc>
        <w:tc>
          <w:tcPr>
            <w:tcW w:w="2603" w:type="dxa"/>
            <w:shd w:val="clear" w:color="auto" w:fill="FFFFFF"/>
            <w:vAlign w:val="center"/>
          </w:tcPr>
          <w:p w14:paraId="2EAFA3EA">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规格及技术参数</w:t>
            </w:r>
          </w:p>
        </w:tc>
        <w:tc>
          <w:tcPr>
            <w:tcW w:w="1991" w:type="dxa"/>
            <w:shd w:val="clear" w:color="auto" w:fill="FFFFFF"/>
            <w:vAlign w:val="center"/>
          </w:tcPr>
          <w:p w14:paraId="7B57ED99">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w:t>
            </w:r>
          </w:p>
          <w:p w14:paraId="0CF216DF">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（生产厂家/品牌）</w:t>
            </w:r>
          </w:p>
        </w:tc>
        <w:tc>
          <w:tcPr>
            <w:tcW w:w="1260" w:type="dxa"/>
            <w:shd w:val="clear" w:color="auto" w:fill="FFFFFF"/>
            <w:vAlign w:val="center"/>
          </w:tcPr>
          <w:p w14:paraId="0AA4E598">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1219" w:type="dxa"/>
            <w:shd w:val="clear" w:color="auto" w:fill="FFFFFF"/>
            <w:vAlign w:val="center"/>
          </w:tcPr>
          <w:p w14:paraId="74CFDE5B">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质保期</w:t>
            </w:r>
          </w:p>
        </w:tc>
      </w:tr>
      <w:tr w14:paraId="44C6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ABE2DF2">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0A4AA436">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2603" w:type="dxa"/>
            <w:vAlign w:val="center"/>
          </w:tcPr>
          <w:p w14:paraId="34D452C8">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074FF771">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4911053D">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27A2394E">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0120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0C8AC725">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1AD2728C">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2603" w:type="dxa"/>
            <w:vAlign w:val="center"/>
          </w:tcPr>
          <w:p w14:paraId="374A157C">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183106D9">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3F513DA1">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0C97D755">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1A3B7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8EA639F">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308D85EA">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2603" w:type="dxa"/>
            <w:vAlign w:val="center"/>
          </w:tcPr>
          <w:p w14:paraId="746A0BF1">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4F48971A">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1178DC98">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50ED7D09">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388C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A680B86">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3243F186">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2603" w:type="dxa"/>
            <w:vAlign w:val="center"/>
          </w:tcPr>
          <w:p w14:paraId="4297C762">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53A9DFE1">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1970C43F">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464CAEA2">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5033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9B68AC0">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6C0EFCAF">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2603" w:type="dxa"/>
            <w:vAlign w:val="center"/>
          </w:tcPr>
          <w:p w14:paraId="5336E20D">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047E438A">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74F4773E">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37EE072A">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2CF9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5E8BC21">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7DF584F1">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2603" w:type="dxa"/>
            <w:vAlign w:val="center"/>
          </w:tcPr>
          <w:p w14:paraId="2F4696CA">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41FC694C">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1F3058E1">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01C4B7C8">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072F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4B8AF36">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07CFA449">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2603" w:type="dxa"/>
            <w:vAlign w:val="center"/>
          </w:tcPr>
          <w:p w14:paraId="6FEF11E6">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32F11A3B">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6E163F9E">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43D581B7">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3D46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09EBF6B0">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6CEF382D">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2603" w:type="dxa"/>
            <w:vAlign w:val="center"/>
          </w:tcPr>
          <w:p w14:paraId="61DC9F2D">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991" w:type="dxa"/>
            <w:vAlign w:val="center"/>
          </w:tcPr>
          <w:p w14:paraId="400730AF">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2A14913B">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2EC33498">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29F8D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15333A3">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65FF2169">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2603" w:type="dxa"/>
          </w:tcPr>
          <w:p w14:paraId="370B97EA">
            <w:pPr>
              <w:keepNext w:val="0"/>
              <w:keepLines w:val="0"/>
              <w:pageBreakBefore w:val="0"/>
              <w:kinsoku/>
              <w:wordWrap/>
              <w:topLinePunct w:val="0"/>
              <w:bidi w:val="0"/>
              <w:snapToGrid/>
              <w:spacing w:line="460" w:lineRule="exact"/>
              <w:rPr>
                <w:rFonts w:hint="eastAsia" w:ascii="新宋体" w:hAnsi="新宋体" w:eastAsia="新宋体" w:cs="新宋体"/>
                <w:b/>
                <w:bCs/>
                <w:color w:val="auto"/>
                <w:sz w:val="22"/>
                <w:szCs w:val="22"/>
                <w:highlight w:val="none"/>
              </w:rPr>
            </w:pPr>
          </w:p>
        </w:tc>
        <w:tc>
          <w:tcPr>
            <w:tcW w:w="1991" w:type="dxa"/>
            <w:vAlign w:val="center"/>
          </w:tcPr>
          <w:p w14:paraId="5EE28787">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5472A39E">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23BA258D">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4928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65B4DEB">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00FF5660">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2603" w:type="dxa"/>
          </w:tcPr>
          <w:p w14:paraId="1792B765">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c>
          <w:tcPr>
            <w:tcW w:w="1991" w:type="dxa"/>
            <w:vAlign w:val="center"/>
          </w:tcPr>
          <w:p w14:paraId="7FFEE198">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5B87E071">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5058C972">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3F2E8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7474476">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46AD81B5">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2603" w:type="dxa"/>
          </w:tcPr>
          <w:p w14:paraId="242E5CB6">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c>
          <w:tcPr>
            <w:tcW w:w="1991" w:type="dxa"/>
            <w:vAlign w:val="center"/>
          </w:tcPr>
          <w:p w14:paraId="1B4B1B71">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1CE05A6C">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1259E215">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3DFFF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99CE938">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20798725">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2603" w:type="dxa"/>
          </w:tcPr>
          <w:p w14:paraId="2CEC3DEC">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c>
          <w:tcPr>
            <w:tcW w:w="1991" w:type="dxa"/>
            <w:vAlign w:val="center"/>
          </w:tcPr>
          <w:p w14:paraId="53F4DDB3">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736D4257">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3527DE74">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3F15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BDFD972">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3A3BBB15">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2603" w:type="dxa"/>
            <w:vAlign w:val="center"/>
          </w:tcPr>
          <w:p w14:paraId="62C02C49">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749A5D7D">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5E89F967">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0B3FBD75">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60946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4850DC1">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24BC0CBD">
            <w:pPr>
              <w:keepNext w:val="0"/>
              <w:keepLines w:val="0"/>
              <w:pageBreakBefore w:val="0"/>
              <w:kinsoku/>
              <w:wordWrap/>
              <w:topLinePunct w:val="0"/>
              <w:bidi w:val="0"/>
              <w:snapToGrid/>
              <w:spacing w:line="460" w:lineRule="exact"/>
              <w:rPr>
                <w:rFonts w:hint="eastAsia" w:ascii="新宋体" w:hAnsi="新宋体" w:eastAsia="新宋体" w:cs="新宋体"/>
                <w:b/>
                <w:bCs/>
                <w:color w:val="auto"/>
                <w:sz w:val="22"/>
                <w:szCs w:val="22"/>
                <w:highlight w:val="none"/>
              </w:rPr>
            </w:pPr>
          </w:p>
        </w:tc>
        <w:tc>
          <w:tcPr>
            <w:tcW w:w="2603" w:type="dxa"/>
            <w:vAlign w:val="center"/>
          </w:tcPr>
          <w:p w14:paraId="33837B33">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31B95F24">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5F2FD104">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15DC492F">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5200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0B0BA57">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692" w:type="dxa"/>
            <w:vAlign w:val="center"/>
          </w:tcPr>
          <w:p w14:paraId="2F1B4DCD">
            <w:pPr>
              <w:keepNext w:val="0"/>
              <w:keepLines w:val="0"/>
              <w:pageBreakBefore w:val="0"/>
              <w:kinsoku/>
              <w:wordWrap/>
              <w:topLinePunct w:val="0"/>
              <w:bidi w:val="0"/>
              <w:snapToGrid/>
              <w:spacing w:line="460" w:lineRule="exact"/>
              <w:rPr>
                <w:rFonts w:hint="eastAsia" w:ascii="新宋体" w:hAnsi="新宋体" w:eastAsia="新宋体" w:cs="新宋体"/>
                <w:b/>
                <w:bCs/>
                <w:color w:val="auto"/>
                <w:sz w:val="22"/>
                <w:szCs w:val="22"/>
                <w:highlight w:val="none"/>
              </w:rPr>
            </w:pPr>
          </w:p>
        </w:tc>
        <w:tc>
          <w:tcPr>
            <w:tcW w:w="2603" w:type="dxa"/>
            <w:vAlign w:val="center"/>
          </w:tcPr>
          <w:p w14:paraId="3EE41589">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0970E0C0">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018516A9">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14288F56">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4B132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241C9DB">
            <w:pPr>
              <w:keepNext w:val="0"/>
              <w:keepLines w:val="0"/>
              <w:pageBreakBefore w:val="0"/>
              <w:kinsoku/>
              <w:wordWrap/>
              <w:topLinePunct w:val="0"/>
              <w:bidi w:val="0"/>
              <w:snapToGrid/>
              <w:spacing w:line="460" w:lineRule="exact"/>
              <w:jc w:val="center"/>
              <w:rPr>
                <w:rFonts w:hint="eastAsia" w:ascii="新宋体" w:hAnsi="新宋体" w:eastAsia="新宋体" w:cs="新宋体"/>
                <w:bCs/>
                <w:color w:val="auto"/>
                <w:sz w:val="22"/>
                <w:szCs w:val="22"/>
                <w:highlight w:val="none"/>
              </w:rPr>
            </w:pPr>
          </w:p>
        </w:tc>
        <w:tc>
          <w:tcPr>
            <w:tcW w:w="1692" w:type="dxa"/>
            <w:vAlign w:val="center"/>
          </w:tcPr>
          <w:p w14:paraId="07482E39">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c>
          <w:tcPr>
            <w:tcW w:w="2603" w:type="dxa"/>
            <w:vAlign w:val="center"/>
          </w:tcPr>
          <w:p w14:paraId="4AC42D60">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1BA95552">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2DAC56E7">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383E8B5A">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0DEE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41315F4">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692" w:type="dxa"/>
            <w:vAlign w:val="center"/>
          </w:tcPr>
          <w:p w14:paraId="4022CEDF">
            <w:pPr>
              <w:keepNext w:val="0"/>
              <w:keepLines w:val="0"/>
              <w:pageBreakBefore w:val="0"/>
              <w:kinsoku/>
              <w:wordWrap/>
              <w:topLinePunct w:val="0"/>
              <w:bidi w:val="0"/>
              <w:snapToGrid/>
              <w:spacing w:line="460" w:lineRule="exact"/>
              <w:rPr>
                <w:rFonts w:hint="eastAsia" w:ascii="新宋体" w:hAnsi="新宋体" w:eastAsia="新宋体" w:cs="新宋体"/>
                <w:b/>
                <w:bCs/>
                <w:color w:val="auto"/>
                <w:sz w:val="22"/>
                <w:szCs w:val="22"/>
                <w:highlight w:val="none"/>
              </w:rPr>
            </w:pPr>
          </w:p>
        </w:tc>
        <w:tc>
          <w:tcPr>
            <w:tcW w:w="2603" w:type="dxa"/>
            <w:vAlign w:val="center"/>
          </w:tcPr>
          <w:p w14:paraId="0BC97944">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7D7DF321">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6BD94A42">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54FA6D85">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50CD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E619C0A">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692" w:type="dxa"/>
            <w:vAlign w:val="center"/>
          </w:tcPr>
          <w:p w14:paraId="2D81FE21">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c>
          <w:tcPr>
            <w:tcW w:w="2603" w:type="dxa"/>
            <w:vAlign w:val="center"/>
          </w:tcPr>
          <w:p w14:paraId="4EAF55FF">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51894498">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5C3D0165">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7AC29A85">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18C0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88D764C">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692" w:type="dxa"/>
            <w:vAlign w:val="center"/>
          </w:tcPr>
          <w:p w14:paraId="3BD2B96D">
            <w:pPr>
              <w:keepNext w:val="0"/>
              <w:keepLines w:val="0"/>
              <w:pageBreakBefore w:val="0"/>
              <w:kinsoku/>
              <w:wordWrap/>
              <w:topLinePunct w:val="0"/>
              <w:bidi w:val="0"/>
              <w:snapToGrid/>
              <w:spacing w:line="460" w:lineRule="exact"/>
              <w:rPr>
                <w:rFonts w:hint="eastAsia" w:ascii="新宋体" w:hAnsi="新宋体" w:eastAsia="新宋体" w:cs="新宋体"/>
                <w:b/>
                <w:bCs/>
                <w:color w:val="auto"/>
                <w:sz w:val="22"/>
                <w:szCs w:val="22"/>
                <w:highlight w:val="none"/>
              </w:rPr>
            </w:pPr>
          </w:p>
        </w:tc>
        <w:tc>
          <w:tcPr>
            <w:tcW w:w="2603" w:type="dxa"/>
            <w:vAlign w:val="center"/>
          </w:tcPr>
          <w:p w14:paraId="731ACF42">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5884CD27">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187B9B30">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3237CC0C">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4638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B67A126">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692" w:type="dxa"/>
            <w:vAlign w:val="center"/>
          </w:tcPr>
          <w:p w14:paraId="292C4613">
            <w:pPr>
              <w:keepNext w:val="0"/>
              <w:keepLines w:val="0"/>
              <w:pageBreakBefore w:val="0"/>
              <w:kinsoku/>
              <w:wordWrap/>
              <w:topLinePunct w:val="0"/>
              <w:bidi w:val="0"/>
              <w:snapToGrid/>
              <w:spacing w:line="460" w:lineRule="exact"/>
              <w:rPr>
                <w:rFonts w:hint="eastAsia" w:ascii="新宋体" w:hAnsi="新宋体" w:eastAsia="新宋体" w:cs="新宋体"/>
                <w:b/>
                <w:bCs/>
                <w:color w:val="auto"/>
                <w:sz w:val="22"/>
                <w:szCs w:val="22"/>
                <w:highlight w:val="none"/>
              </w:rPr>
            </w:pPr>
          </w:p>
        </w:tc>
        <w:tc>
          <w:tcPr>
            <w:tcW w:w="2603" w:type="dxa"/>
            <w:vAlign w:val="center"/>
          </w:tcPr>
          <w:p w14:paraId="1E69E482">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53932740">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04BDD060">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41BB09C8">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76D54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31F138BE">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2DA578A4">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c>
          <w:tcPr>
            <w:tcW w:w="2603" w:type="dxa"/>
            <w:vAlign w:val="center"/>
          </w:tcPr>
          <w:p w14:paraId="0B5BA1F7">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384AE81A">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5B1798F9">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503F40B9">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bl>
    <w:p w14:paraId="12EDC8D2">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p w14:paraId="29C60EE4">
      <w:pPr>
        <w:keepNext w:val="0"/>
        <w:keepLines w:val="0"/>
        <w:pageBreakBefore w:val="0"/>
        <w:kinsoku/>
        <w:wordWrap/>
        <w:topLinePunct w:val="0"/>
        <w:bidi w:val="0"/>
        <w:snapToGrid/>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50767ADC">
      <w:pPr>
        <w:keepNext w:val="0"/>
        <w:keepLines w:val="0"/>
        <w:pageBreakBefore w:val="0"/>
        <w:kinsoku/>
        <w:wordWrap/>
        <w:topLinePunct w:val="0"/>
        <w:bidi w:val="0"/>
        <w:snapToGrid/>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2DAC2553">
      <w:pPr>
        <w:keepNext w:val="0"/>
        <w:keepLines w:val="0"/>
        <w:pageBreakBefore w:val="0"/>
        <w:kinsoku/>
        <w:wordWrap/>
        <w:topLinePunct w:val="0"/>
        <w:bidi w:val="0"/>
        <w:snapToGrid/>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315B8EC0">
      <w:pPr>
        <w:bidi w:val="0"/>
        <w:rPr>
          <w:rFonts w:hint="eastAsia" w:ascii="新宋体" w:hAnsi="新宋体" w:eastAsia="新宋体" w:cs="新宋体"/>
          <w:color w:val="auto"/>
          <w:highlight w:val="none"/>
        </w:rPr>
      </w:pPr>
    </w:p>
    <w:p w14:paraId="36AFF225">
      <w:pPr>
        <w:rPr>
          <w:rFonts w:hint="eastAsia" w:ascii="新宋体" w:hAnsi="新宋体" w:eastAsia="新宋体" w:cs="新宋体"/>
          <w:color w:val="auto"/>
          <w:highlight w:val="none"/>
        </w:rPr>
      </w:pPr>
    </w:p>
    <w:p w14:paraId="5ED6E606">
      <w:pPr>
        <w:pStyle w:val="11"/>
        <w:ind w:firstLine="400"/>
        <w:rPr>
          <w:rFonts w:hint="eastAsia" w:ascii="新宋体" w:hAnsi="新宋体" w:eastAsia="新宋体" w:cs="新宋体"/>
          <w:color w:val="auto"/>
          <w:highlight w:val="none"/>
        </w:rPr>
      </w:pPr>
    </w:p>
    <w:p w14:paraId="55F56528">
      <w:pPr>
        <w:rPr>
          <w:rFonts w:hint="eastAsia" w:ascii="新宋体" w:hAnsi="新宋体" w:eastAsia="新宋体" w:cs="新宋体"/>
          <w:color w:val="auto"/>
          <w:highlight w:val="none"/>
        </w:rPr>
      </w:pPr>
    </w:p>
    <w:p w14:paraId="51CE6DE0">
      <w:pPr>
        <w:rPr>
          <w:rFonts w:hint="eastAsia" w:ascii="新宋体" w:hAnsi="新宋体" w:eastAsia="新宋体" w:cs="新宋体"/>
          <w:color w:val="auto"/>
          <w:highlight w:val="none"/>
        </w:rPr>
      </w:pPr>
    </w:p>
    <w:p w14:paraId="7BCA8D8C">
      <w:pPr>
        <w:rPr>
          <w:rFonts w:hint="eastAsia" w:ascii="新宋体" w:hAnsi="新宋体" w:eastAsia="新宋体" w:cs="新宋体"/>
          <w:color w:val="auto"/>
          <w:highlight w:val="none"/>
        </w:rPr>
      </w:pPr>
    </w:p>
    <w:p w14:paraId="51991757">
      <w:pPr>
        <w:rPr>
          <w:rFonts w:hint="eastAsia" w:ascii="新宋体" w:hAnsi="新宋体" w:eastAsia="新宋体" w:cs="新宋体"/>
          <w:color w:val="auto"/>
          <w:highlight w:val="none"/>
        </w:rPr>
      </w:pPr>
    </w:p>
    <w:p w14:paraId="4E4D48B8">
      <w:pPr>
        <w:spacing w:line="460" w:lineRule="exact"/>
        <w:jc w:val="left"/>
        <w:outlineLvl w:val="3"/>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8</w:t>
      </w:r>
      <w:r>
        <w:rPr>
          <w:rFonts w:hint="eastAsia" w:ascii="新宋体" w:hAnsi="新宋体" w:eastAsia="新宋体" w:cs="新宋体"/>
          <w:b/>
          <w:bCs/>
          <w:color w:val="auto"/>
          <w:sz w:val="22"/>
          <w:szCs w:val="22"/>
          <w:highlight w:val="none"/>
        </w:rPr>
        <w:t>、提供食品药品监督管理部门核发的完整有效的医疗器械注册或备案证明</w:t>
      </w:r>
      <w:r>
        <w:rPr>
          <w:rFonts w:hint="eastAsia" w:ascii="新宋体" w:hAnsi="新宋体" w:eastAsia="新宋体" w:cs="新宋体"/>
          <w:b/>
          <w:bCs/>
          <w:color w:val="auto"/>
          <w:sz w:val="22"/>
          <w:szCs w:val="22"/>
          <w:highlight w:val="none"/>
          <w:lang w:val="en-US" w:eastAsia="zh-CN"/>
        </w:rPr>
        <w:t>等</w:t>
      </w:r>
      <w:r>
        <w:rPr>
          <w:rFonts w:hint="eastAsia" w:ascii="新宋体" w:hAnsi="新宋体" w:eastAsia="新宋体" w:cs="新宋体"/>
          <w:b/>
          <w:bCs/>
          <w:color w:val="auto"/>
          <w:sz w:val="22"/>
          <w:szCs w:val="22"/>
          <w:highlight w:val="none"/>
          <w:lang w:val="zh-CN"/>
        </w:rPr>
        <w:t>销售许可文件</w:t>
      </w:r>
      <w:r>
        <w:rPr>
          <w:rFonts w:hint="eastAsia" w:ascii="新宋体" w:hAnsi="新宋体" w:eastAsia="新宋体" w:cs="新宋体"/>
          <w:b/>
          <w:bCs/>
          <w:color w:val="auto"/>
          <w:sz w:val="22"/>
          <w:szCs w:val="22"/>
          <w:highlight w:val="none"/>
        </w:rPr>
        <w:t>；（适用于按医疗器械管理的设备）</w:t>
      </w:r>
    </w:p>
    <w:p w14:paraId="318CBBE9">
      <w:pPr>
        <w:rPr>
          <w:rFonts w:hint="eastAsia" w:ascii="新宋体" w:hAnsi="新宋体" w:eastAsia="新宋体" w:cs="新宋体"/>
          <w:color w:val="auto"/>
          <w:sz w:val="22"/>
          <w:szCs w:val="22"/>
          <w:highlight w:val="none"/>
        </w:rPr>
      </w:pPr>
    </w:p>
    <w:p w14:paraId="462461AF">
      <w:pPr>
        <w:rPr>
          <w:rFonts w:hint="eastAsia" w:ascii="新宋体" w:hAnsi="新宋体" w:eastAsia="新宋体" w:cs="新宋体"/>
          <w:color w:val="auto"/>
          <w:sz w:val="22"/>
          <w:szCs w:val="22"/>
          <w:highlight w:val="none"/>
        </w:rPr>
      </w:pPr>
    </w:p>
    <w:p w14:paraId="74F50D6B">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8"/>
          <w:szCs w:val="28"/>
          <w:highlight w:val="none"/>
        </w:rPr>
        <w:br w:type="page"/>
      </w:r>
      <w:r>
        <w:rPr>
          <w:rFonts w:hint="eastAsia" w:ascii="新宋体" w:hAnsi="新宋体" w:eastAsia="新宋体" w:cs="新宋体"/>
          <w:b/>
          <w:bCs/>
          <w:color w:val="auto"/>
          <w:sz w:val="24"/>
          <w:szCs w:val="24"/>
          <w:highlight w:val="none"/>
          <w:lang w:val="en-US" w:eastAsia="zh-CN"/>
        </w:rPr>
        <w:t>9、偏离表</w:t>
      </w:r>
      <w:r>
        <w:rPr>
          <w:rFonts w:hint="eastAsia" w:ascii="新宋体" w:hAnsi="新宋体" w:eastAsia="新宋体" w:cs="新宋体"/>
          <w:b/>
          <w:bCs/>
          <w:color w:val="auto"/>
          <w:sz w:val="24"/>
          <w:szCs w:val="24"/>
          <w:highlight w:val="none"/>
          <w:lang w:val="zh-CN" w:eastAsia="zh-CN"/>
        </w:rPr>
        <w:t>（</w:t>
      </w:r>
      <w:r>
        <w:rPr>
          <w:rFonts w:hint="eastAsia" w:ascii="新宋体" w:hAnsi="新宋体" w:eastAsia="新宋体" w:cs="新宋体"/>
          <w:b/>
          <w:bCs/>
          <w:color w:val="auto"/>
          <w:sz w:val="24"/>
          <w:szCs w:val="24"/>
          <w:highlight w:val="none"/>
          <w:lang w:val="en-US" w:eastAsia="zh-CN"/>
        </w:rPr>
        <w:t>商务、技术偏离</w:t>
      </w:r>
      <w:r>
        <w:rPr>
          <w:rFonts w:hint="eastAsia" w:ascii="新宋体" w:hAnsi="新宋体" w:eastAsia="新宋体" w:cs="新宋体"/>
          <w:b/>
          <w:bCs/>
          <w:color w:val="auto"/>
          <w:sz w:val="24"/>
          <w:szCs w:val="24"/>
          <w:highlight w:val="none"/>
          <w:lang w:val="zh-CN" w:eastAsia="zh-CN"/>
        </w:rPr>
        <w:t>）</w:t>
      </w:r>
    </w:p>
    <w:p w14:paraId="1571D06D">
      <w:pPr>
        <w:spacing w:line="5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（应对于</w:t>
      </w:r>
      <w:r>
        <w:rPr>
          <w:rFonts w:hint="eastAsia" w:ascii="新宋体" w:hAnsi="新宋体" w:eastAsia="新宋体" w:cs="新宋体"/>
          <w:b/>
          <w:bCs/>
          <w:color w:val="auto"/>
          <w:sz w:val="22"/>
          <w:szCs w:val="22"/>
          <w:highlight w:val="none"/>
          <w:lang w:val="en-US" w:eastAsia="zh-CN"/>
        </w:rPr>
        <w:t>采购</w:t>
      </w:r>
      <w:r>
        <w:rPr>
          <w:rFonts w:hint="eastAsia" w:ascii="新宋体" w:hAnsi="新宋体" w:eastAsia="新宋体" w:cs="新宋体"/>
          <w:b/>
          <w:bCs/>
          <w:color w:val="auto"/>
          <w:sz w:val="22"/>
          <w:szCs w:val="22"/>
          <w:highlight w:val="none"/>
        </w:rPr>
        <w:t>文件中“设备技术要求及商务要求”要求，逐项自行编制偏离情况）</w:t>
      </w:r>
    </w:p>
    <w:p w14:paraId="0E5463D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项目名称：</w:t>
      </w:r>
    </w:p>
    <w:p w14:paraId="3B4A6D3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val="0"/>
          <w:bCs w:val="0"/>
          <w:color w:val="auto"/>
          <w:sz w:val="22"/>
          <w:szCs w:val="22"/>
          <w:highlight w:val="none"/>
        </w:rPr>
        <w:t xml:space="preserve">项目编号： </w:t>
      </w:r>
    </w:p>
    <w:tbl>
      <w:tblPr>
        <w:tblStyle w:val="53"/>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44"/>
        <w:gridCol w:w="3402"/>
        <w:gridCol w:w="1843"/>
      </w:tblGrid>
      <w:tr w14:paraId="479F7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34" w:type="dxa"/>
            <w:shd w:val="clear" w:color="auto" w:fill="FFFFFF"/>
            <w:vAlign w:val="center"/>
          </w:tcPr>
          <w:p w14:paraId="30FDF160">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  号</w:t>
            </w:r>
          </w:p>
        </w:tc>
        <w:tc>
          <w:tcPr>
            <w:tcW w:w="3544" w:type="dxa"/>
            <w:shd w:val="clear" w:color="auto" w:fill="FFFFFF"/>
            <w:vAlign w:val="center"/>
          </w:tcPr>
          <w:p w14:paraId="6972B6C9">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采购</w:t>
            </w:r>
            <w:r>
              <w:rPr>
                <w:rFonts w:hint="eastAsia" w:ascii="新宋体" w:hAnsi="新宋体" w:eastAsia="新宋体" w:cs="新宋体"/>
                <w:b/>
                <w:color w:val="auto"/>
                <w:sz w:val="22"/>
                <w:szCs w:val="22"/>
                <w:highlight w:val="none"/>
              </w:rPr>
              <w:t>文件</w:t>
            </w:r>
          </w:p>
          <w:p w14:paraId="5A00AFE6">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规格要求</w:t>
            </w:r>
          </w:p>
        </w:tc>
        <w:tc>
          <w:tcPr>
            <w:tcW w:w="3402" w:type="dxa"/>
            <w:shd w:val="clear" w:color="auto" w:fill="FFFFFF"/>
            <w:vAlign w:val="center"/>
          </w:tcPr>
          <w:p w14:paraId="7D0431CA">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投标文件</w:t>
            </w:r>
          </w:p>
          <w:p w14:paraId="02745DDF">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对应规格</w:t>
            </w:r>
          </w:p>
        </w:tc>
        <w:tc>
          <w:tcPr>
            <w:tcW w:w="1843" w:type="dxa"/>
            <w:shd w:val="clear" w:color="auto" w:fill="FFFFFF"/>
            <w:vAlign w:val="center"/>
          </w:tcPr>
          <w:p w14:paraId="30272D50">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   明</w:t>
            </w:r>
          </w:p>
          <w:p w14:paraId="20A22259">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（偏离情况）</w:t>
            </w:r>
          </w:p>
        </w:tc>
      </w:tr>
      <w:tr w14:paraId="7B60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134" w:type="dxa"/>
            <w:vAlign w:val="center"/>
          </w:tcPr>
          <w:p w14:paraId="1E0F50A0">
            <w:pPr>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544" w:type="dxa"/>
            <w:vAlign w:val="center"/>
          </w:tcPr>
          <w:p w14:paraId="7EBE9FF6">
            <w:pPr>
              <w:jc w:val="center"/>
              <w:rPr>
                <w:rFonts w:hint="eastAsia" w:ascii="新宋体" w:hAnsi="新宋体" w:eastAsia="新宋体" w:cs="新宋体"/>
                <w:color w:val="auto"/>
                <w:sz w:val="22"/>
                <w:szCs w:val="22"/>
                <w:highlight w:val="none"/>
              </w:rPr>
            </w:pPr>
          </w:p>
        </w:tc>
        <w:tc>
          <w:tcPr>
            <w:tcW w:w="3402" w:type="dxa"/>
            <w:vAlign w:val="center"/>
          </w:tcPr>
          <w:p w14:paraId="76628F2F">
            <w:pPr>
              <w:jc w:val="center"/>
              <w:rPr>
                <w:rFonts w:hint="eastAsia" w:ascii="新宋体" w:hAnsi="新宋体" w:eastAsia="新宋体" w:cs="新宋体"/>
                <w:color w:val="auto"/>
                <w:sz w:val="22"/>
                <w:szCs w:val="22"/>
                <w:highlight w:val="none"/>
              </w:rPr>
            </w:pPr>
          </w:p>
        </w:tc>
        <w:tc>
          <w:tcPr>
            <w:tcW w:w="1843" w:type="dxa"/>
            <w:vAlign w:val="center"/>
          </w:tcPr>
          <w:p w14:paraId="749BFC6F">
            <w:pPr>
              <w:jc w:val="center"/>
              <w:rPr>
                <w:rFonts w:hint="eastAsia" w:ascii="新宋体" w:hAnsi="新宋体" w:eastAsia="新宋体" w:cs="新宋体"/>
                <w:color w:val="auto"/>
                <w:sz w:val="22"/>
                <w:szCs w:val="22"/>
                <w:highlight w:val="none"/>
              </w:rPr>
            </w:pPr>
          </w:p>
        </w:tc>
      </w:tr>
      <w:tr w14:paraId="77E55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60B0D695">
            <w:pPr>
              <w:jc w:val="center"/>
              <w:rPr>
                <w:rFonts w:hint="eastAsia" w:ascii="新宋体" w:hAnsi="新宋体" w:eastAsia="新宋体" w:cs="新宋体"/>
                <w:color w:val="auto"/>
                <w:sz w:val="22"/>
                <w:szCs w:val="22"/>
                <w:highlight w:val="none"/>
              </w:rPr>
            </w:pPr>
          </w:p>
        </w:tc>
        <w:tc>
          <w:tcPr>
            <w:tcW w:w="3544" w:type="dxa"/>
            <w:vAlign w:val="center"/>
          </w:tcPr>
          <w:p w14:paraId="733265E2">
            <w:pPr>
              <w:jc w:val="center"/>
              <w:rPr>
                <w:rFonts w:hint="eastAsia" w:ascii="新宋体" w:hAnsi="新宋体" w:eastAsia="新宋体" w:cs="新宋体"/>
                <w:color w:val="auto"/>
                <w:sz w:val="22"/>
                <w:szCs w:val="22"/>
                <w:highlight w:val="none"/>
              </w:rPr>
            </w:pPr>
          </w:p>
        </w:tc>
        <w:tc>
          <w:tcPr>
            <w:tcW w:w="3402" w:type="dxa"/>
            <w:vAlign w:val="center"/>
          </w:tcPr>
          <w:p w14:paraId="60E73483">
            <w:pPr>
              <w:jc w:val="center"/>
              <w:rPr>
                <w:rFonts w:hint="eastAsia" w:ascii="新宋体" w:hAnsi="新宋体" w:eastAsia="新宋体" w:cs="新宋体"/>
                <w:color w:val="auto"/>
                <w:sz w:val="22"/>
                <w:szCs w:val="22"/>
                <w:highlight w:val="none"/>
              </w:rPr>
            </w:pPr>
          </w:p>
        </w:tc>
        <w:tc>
          <w:tcPr>
            <w:tcW w:w="1843" w:type="dxa"/>
            <w:vAlign w:val="center"/>
          </w:tcPr>
          <w:p w14:paraId="02A9A87A">
            <w:pPr>
              <w:jc w:val="center"/>
              <w:rPr>
                <w:rFonts w:hint="eastAsia" w:ascii="新宋体" w:hAnsi="新宋体" w:eastAsia="新宋体" w:cs="新宋体"/>
                <w:color w:val="auto"/>
                <w:sz w:val="22"/>
                <w:szCs w:val="22"/>
                <w:highlight w:val="none"/>
              </w:rPr>
            </w:pPr>
          </w:p>
        </w:tc>
      </w:tr>
      <w:tr w14:paraId="5CECA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08A1358C">
            <w:pPr>
              <w:jc w:val="center"/>
              <w:rPr>
                <w:rFonts w:hint="eastAsia" w:ascii="新宋体" w:hAnsi="新宋体" w:eastAsia="新宋体" w:cs="新宋体"/>
                <w:color w:val="auto"/>
                <w:sz w:val="22"/>
                <w:szCs w:val="22"/>
                <w:highlight w:val="none"/>
              </w:rPr>
            </w:pPr>
          </w:p>
        </w:tc>
        <w:tc>
          <w:tcPr>
            <w:tcW w:w="3544" w:type="dxa"/>
            <w:vAlign w:val="center"/>
          </w:tcPr>
          <w:p w14:paraId="32DFEE9F">
            <w:pPr>
              <w:jc w:val="center"/>
              <w:rPr>
                <w:rFonts w:hint="eastAsia" w:ascii="新宋体" w:hAnsi="新宋体" w:eastAsia="新宋体" w:cs="新宋体"/>
                <w:color w:val="auto"/>
                <w:sz w:val="22"/>
                <w:szCs w:val="22"/>
                <w:highlight w:val="none"/>
              </w:rPr>
            </w:pPr>
          </w:p>
        </w:tc>
        <w:tc>
          <w:tcPr>
            <w:tcW w:w="3402" w:type="dxa"/>
            <w:vAlign w:val="center"/>
          </w:tcPr>
          <w:p w14:paraId="3542F6EC">
            <w:pPr>
              <w:jc w:val="center"/>
              <w:rPr>
                <w:rFonts w:hint="eastAsia" w:ascii="新宋体" w:hAnsi="新宋体" w:eastAsia="新宋体" w:cs="新宋体"/>
                <w:color w:val="auto"/>
                <w:sz w:val="22"/>
                <w:szCs w:val="22"/>
                <w:highlight w:val="none"/>
              </w:rPr>
            </w:pPr>
          </w:p>
        </w:tc>
        <w:tc>
          <w:tcPr>
            <w:tcW w:w="1843" w:type="dxa"/>
            <w:vAlign w:val="center"/>
          </w:tcPr>
          <w:p w14:paraId="7729C45C">
            <w:pPr>
              <w:jc w:val="center"/>
              <w:rPr>
                <w:rFonts w:hint="eastAsia" w:ascii="新宋体" w:hAnsi="新宋体" w:eastAsia="新宋体" w:cs="新宋体"/>
                <w:color w:val="auto"/>
                <w:sz w:val="22"/>
                <w:szCs w:val="22"/>
                <w:highlight w:val="none"/>
              </w:rPr>
            </w:pPr>
          </w:p>
        </w:tc>
      </w:tr>
      <w:tr w14:paraId="6B1E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0F623C20">
            <w:pPr>
              <w:jc w:val="center"/>
              <w:rPr>
                <w:rFonts w:hint="eastAsia" w:ascii="新宋体" w:hAnsi="新宋体" w:eastAsia="新宋体" w:cs="新宋体"/>
                <w:color w:val="auto"/>
                <w:sz w:val="22"/>
                <w:szCs w:val="22"/>
                <w:highlight w:val="none"/>
              </w:rPr>
            </w:pPr>
          </w:p>
        </w:tc>
        <w:tc>
          <w:tcPr>
            <w:tcW w:w="3544" w:type="dxa"/>
            <w:vAlign w:val="center"/>
          </w:tcPr>
          <w:p w14:paraId="3D75467D">
            <w:pPr>
              <w:jc w:val="center"/>
              <w:rPr>
                <w:rFonts w:hint="eastAsia" w:ascii="新宋体" w:hAnsi="新宋体" w:eastAsia="新宋体" w:cs="新宋体"/>
                <w:color w:val="auto"/>
                <w:sz w:val="22"/>
                <w:szCs w:val="22"/>
                <w:highlight w:val="none"/>
              </w:rPr>
            </w:pPr>
          </w:p>
        </w:tc>
        <w:tc>
          <w:tcPr>
            <w:tcW w:w="3402" w:type="dxa"/>
            <w:vAlign w:val="center"/>
          </w:tcPr>
          <w:p w14:paraId="704FA6E2">
            <w:pPr>
              <w:jc w:val="center"/>
              <w:rPr>
                <w:rFonts w:hint="eastAsia" w:ascii="新宋体" w:hAnsi="新宋体" w:eastAsia="新宋体" w:cs="新宋体"/>
                <w:color w:val="auto"/>
                <w:sz w:val="22"/>
                <w:szCs w:val="22"/>
                <w:highlight w:val="none"/>
              </w:rPr>
            </w:pPr>
          </w:p>
        </w:tc>
        <w:tc>
          <w:tcPr>
            <w:tcW w:w="1843" w:type="dxa"/>
            <w:vAlign w:val="center"/>
          </w:tcPr>
          <w:p w14:paraId="11447622">
            <w:pPr>
              <w:jc w:val="center"/>
              <w:rPr>
                <w:rFonts w:hint="eastAsia" w:ascii="新宋体" w:hAnsi="新宋体" w:eastAsia="新宋体" w:cs="新宋体"/>
                <w:color w:val="auto"/>
                <w:sz w:val="22"/>
                <w:szCs w:val="22"/>
                <w:highlight w:val="none"/>
              </w:rPr>
            </w:pPr>
          </w:p>
        </w:tc>
      </w:tr>
      <w:tr w14:paraId="64B9E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1264A1EB">
            <w:pPr>
              <w:jc w:val="center"/>
              <w:rPr>
                <w:rFonts w:hint="eastAsia" w:ascii="新宋体" w:hAnsi="新宋体" w:eastAsia="新宋体" w:cs="新宋体"/>
                <w:color w:val="auto"/>
                <w:sz w:val="22"/>
                <w:szCs w:val="22"/>
                <w:highlight w:val="none"/>
              </w:rPr>
            </w:pPr>
          </w:p>
        </w:tc>
        <w:tc>
          <w:tcPr>
            <w:tcW w:w="3544" w:type="dxa"/>
            <w:vAlign w:val="center"/>
          </w:tcPr>
          <w:p w14:paraId="1F9CD5A3">
            <w:pPr>
              <w:jc w:val="center"/>
              <w:rPr>
                <w:rFonts w:hint="eastAsia" w:ascii="新宋体" w:hAnsi="新宋体" w:eastAsia="新宋体" w:cs="新宋体"/>
                <w:color w:val="auto"/>
                <w:sz w:val="22"/>
                <w:szCs w:val="22"/>
                <w:highlight w:val="none"/>
              </w:rPr>
            </w:pPr>
          </w:p>
        </w:tc>
        <w:tc>
          <w:tcPr>
            <w:tcW w:w="3402" w:type="dxa"/>
            <w:vAlign w:val="center"/>
          </w:tcPr>
          <w:p w14:paraId="456D77E7">
            <w:pPr>
              <w:jc w:val="center"/>
              <w:rPr>
                <w:rFonts w:hint="eastAsia" w:ascii="新宋体" w:hAnsi="新宋体" w:eastAsia="新宋体" w:cs="新宋体"/>
                <w:color w:val="auto"/>
                <w:sz w:val="22"/>
                <w:szCs w:val="22"/>
                <w:highlight w:val="none"/>
              </w:rPr>
            </w:pPr>
          </w:p>
        </w:tc>
        <w:tc>
          <w:tcPr>
            <w:tcW w:w="1843" w:type="dxa"/>
            <w:vAlign w:val="center"/>
          </w:tcPr>
          <w:p w14:paraId="7D9C10F1">
            <w:pPr>
              <w:jc w:val="center"/>
              <w:rPr>
                <w:rFonts w:hint="eastAsia" w:ascii="新宋体" w:hAnsi="新宋体" w:eastAsia="新宋体" w:cs="新宋体"/>
                <w:color w:val="auto"/>
                <w:sz w:val="22"/>
                <w:szCs w:val="22"/>
                <w:highlight w:val="none"/>
              </w:rPr>
            </w:pPr>
          </w:p>
        </w:tc>
      </w:tr>
      <w:tr w14:paraId="68D8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2707F48C">
            <w:pPr>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544" w:type="dxa"/>
            <w:vAlign w:val="center"/>
          </w:tcPr>
          <w:p w14:paraId="37679929">
            <w:pPr>
              <w:jc w:val="center"/>
              <w:rPr>
                <w:rFonts w:hint="eastAsia" w:ascii="新宋体" w:hAnsi="新宋体" w:eastAsia="新宋体" w:cs="新宋体"/>
                <w:color w:val="auto"/>
                <w:sz w:val="22"/>
                <w:szCs w:val="22"/>
                <w:highlight w:val="none"/>
              </w:rPr>
            </w:pPr>
          </w:p>
        </w:tc>
        <w:tc>
          <w:tcPr>
            <w:tcW w:w="3402" w:type="dxa"/>
            <w:vAlign w:val="center"/>
          </w:tcPr>
          <w:p w14:paraId="7EDDC6D3">
            <w:pPr>
              <w:jc w:val="center"/>
              <w:rPr>
                <w:rFonts w:hint="eastAsia" w:ascii="新宋体" w:hAnsi="新宋体" w:eastAsia="新宋体" w:cs="新宋体"/>
                <w:color w:val="auto"/>
                <w:sz w:val="22"/>
                <w:szCs w:val="22"/>
                <w:highlight w:val="none"/>
              </w:rPr>
            </w:pPr>
          </w:p>
        </w:tc>
        <w:tc>
          <w:tcPr>
            <w:tcW w:w="1843" w:type="dxa"/>
            <w:vAlign w:val="center"/>
          </w:tcPr>
          <w:p w14:paraId="34F4645A">
            <w:pPr>
              <w:jc w:val="center"/>
              <w:rPr>
                <w:rFonts w:hint="eastAsia" w:ascii="新宋体" w:hAnsi="新宋体" w:eastAsia="新宋体" w:cs="新宋体"/>
                <w:color w:val="auto"/>
                <w:sz w:val="22"/>
                <w:szCs w:val="22"/>
                <w:highlight w:val="none"/>
              </w:rPr>
            </w:pPr>
          </w:p>
        </w:tc>
      </w:tr>
      <w:tr w14:paraId="7A14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5C93DEE6">
            <w:pPr>
              <w:jc w:val="center"/>
              <w:rPr>
                <w:rFonts w:hint="eastAsia" w:ascii="新宋体" w:hAnsi="新宋体" w:eastAsia="新宋体" w:cs="新宋体"/>
                <w:color w:val="auto"/>
                <w:sz w:val="22"/>
                <w:szCs w:val="22"/>
                <w:highlight w:val="none"/>
              </w:rPr>
            </w:pPr>
          </w:p>
        </w:tc>
        <w:tc>
          <w:tcPr>
            <w:tcW w:w="3544" w:type="dxa"/>
            <w:vAlign w:val="center"/>
          </w:tcPr>
          <w:p w14:paraId="6DB021E4">
            <w:pPr>
              <w:jc w:val="center"/>
              <w:rPr>
                <w:rFonts w:hint="eastAsia" w:ascii="新宋体" w:hAnsi="新宋体" w:eastAsia="新宋体" w:cs="新宋体"/>
                <w:color w:val="auto"/>
                <w:sz w:val="22"/>
                <w:szCs w:val="22"/>
                <w:highlight w:val="none"/>
              </w:rPr>
            </w:pPr>
          </w:p>
        </w:tc>
        <w:tc>
          <w:tcPr>
            <w:tcW w:w="3402" w:type="dxa"/>
            <w:vAlign w:val="center"/>
          </w:tcPr>
          <w:p w14:paraId="615EE087">
            <w:pPr>
              <w:jc w:val="center"/>
              <w:rPr>
                <w:rFonts w:hint="eastAsia" w:ascii="新宋体" w:hAnsi="新宋体" w:eastAsia="新宋体" w:cs="新宋体"/>
                <w:color w:val="auto"/>
                <w:sz w:val="22"/>
                <w:szCs w:val="22"/>
                <w:highlight w:val="none"/>
              </w:rPr>
            </w:pPr>
          </w:p>
        </w:tc>
        <w:tc>
          <w:tcPr>
            <w:tcW w:w="1843" w:type="dxa"/>
            <w:vAlign w:val="center"/>
          </w:tcPr>
          <w:p w14:paraId="69E4477D">
            <w:pPr>
              <w:jc w:val="center"/>
              <w:rPr>
                <w:rFonts w:hint="eastAsia" w:ascii="新宋体" w:hAnsi="新宋体" w:eastAsia="新宋体" w:cs="新宋体"/>
                <w:color w:val="auto"/>
                <w:sz w:val="22"/>
                <w:szCs w:val="22"/>
                <w:highlight w:val="none"/>
              </w:rPr>
            </w:pPr>
          </w:p>
        </w:tc>
      </w:tr>
      <w:tr w14:paraId="6E58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5C1A04C5">
            <w:pPr>
              <w:jc w:val="center"/>
              <w:rPr>
                <w:rFonts w:hint="eastAsia" w:ascii="新宋体" w:hAnsi="新宋体" w:eastAsia="新宋体" w:cs="新宋体"/>
                <w:color w:val="auto"/>
                <w:sz w:val="22"/>
                <w:szCs w:val="22"/>
                <w:highlight w:val="none"/>
              </w:rPr>
            </w:pPr>
          </w:p>
        </w:tc>
        <w:tc>
          <w:tcPr>
            <w:tcW w:w="3544" w:type="dxa"/>
            <w:vAlign w:val="center"/>
          </w:tcPr>
          <w:p w14:paraId="6CD70C87">
            <w:pPr>
              <w:jc w:val="center"/>
              <w:rPr>
                <w:rFonts w:hint="eastAsia" w:ascii="新宋体" w:hAnsi="新宋体" w:eastAsia="新宋体" w:cs="新宋体"/>
                <w:color w:val="auto"/>
                <w:sz w:val="22"/>
                <w:szCs w:val="22"/>
                <w:highlight w:val="none"/>
              </w:rPr>
            </w:pPr>
          </w:p>
        </w:tc>
        <w:tc>
          <w:tcPr>
            <w:tcW w:w="3402" w:type="dxa"/>
            <w:vAlign w:val="center"/>
          </w:tcPr>
          <w:p w14:paraId="61B7BD2E">
            <w:pPr>
              <w:jc w:val="center"/>
              <w:rPr>
                <w:rFonts w:hint="eastAsia" w:ascii="新宋体" w:hAnsi="新宋体" w:eastAsia="新宋体" w:cs="新宋体"/>
                <w:color w:val="auto"/>
                <w:sz w:val="22"/>
                <w:szCs w:val="22"/>
                <w:highlight w:val="none"/>
              </w:rPr>
            </w:pPr>
          </w:p>
        </w:tc>
        <w:tc>
          <w:tcPr>
            <w:tcW w:w="1843" w:type="dxa"/>
            <w:vAlign w:val="center"/>
          </w:tcPr>
          <w:p w14:paraId="44C85A1D">
            <w:pPr>
              <w:jc w:val="center"/>
              <w:rPr>
                <w:rFonts w:hint="eastAsia" w:ascii="新宋体" w:hAnsi="新宋体" w:eastAsia="新宋体" w:cs="新宋体"/>
                <w:color w:val="auto"/>
                <w:sz w:val="22"/>
                <w:szCs w:val="22"/>
                <w:highlight w:val="none"/>
              </w:rPr>
            </w:pPr>
          </w:p>
        </w:tc>
      </w:tr>
      <w:tr w14:paraId="21B9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0255E8DB">
            <w:pPr>
              <w:jc w:val="center"/>
              <w:rPr>
                <w:rFonts w:hint="eastAsia" w:ascii="新宋体" w:hAnsi="新宋体" w:eastAsia="新宋体" w:cs="新宋体"/>
                <w:color w:val="auto"/>
                <w:sz w:val="22"/>
                <w:szCs w:val="22"/>
                <w:highlight w:val="none"/>
              </w:rPr>
            </w:pPr>
          </w:p>
        </w:tc>
        <w:tc>
          <w:tcPr>
            <w:tcW w:w="3544" w:type="dxa"/>
            <w:vAlign w:val="center"/>
          </w:tcPr>
          <w:p w14:paraId="7A6F1FBF">
            <w:pPr>
              <w:jc w:val="center"/>
              <w:rPr>
                <w:rFonts w:hint="eastAsia" w:ascii="新宋体" w:hAnsi="新宋体" w:eastAsia="新宋体" w:cs="新宋体"/>
                <w:color w:val="auto"/>
                <w:sz w:val="22"/>
                <w:szCs w:val="22"/>
                <w:highlight w:val="none"/>
              </w:rPr>
            </w:pPr>
          </w:p>
        </w:tc>
        <w:tc>
          <w:tcPr>
            <w:tcW w:w="3402" w:type="dxa"/>
            <w:vAlign w:val="center"/>
          </w:tcPr>
          <w:p w14:paraId="052EEDE0">
            <w:pPr>
              <w:jc w:val="center"/>
              <w:rPr>
                <w:rFonts w:hint="eastAsia" w:ascii="新宋体" w:hAnsi="新宋体" w:eastAsia="新宋体" w:cs="新宋体"/>
                <w:color w:val="auto"/>
                <w:sz w:val="22"/>
                <w:szCs w:val="22"/>
                <w:highlight w:val="none"/>
              </w:rPr>
            </w:pPr>
          </w:p>
        </w:tc>
        <w:tc>
          <w:tcPr>
            <w:tcW w:w="1843" w:type="dxa"/>
            <w:vAlign w:val="center"/>
          </w:tcPr>
          <w:p w14:paraId="194158C0">
            <w:pPr>
              <w:jc w:val="center"/>
              <w:rPr>
                <w:rFonts w:hint="eastAsia" w:ascii="新宋体" w:hAnsi="新宋体" w:eastAsia="新宋体" w:cs="新宋体"/>
                <w:color w:val="auto"/>
                <w:sz w:val="22"/>
                <w:szCs w:val="22"/>
                <w:highlight w:val="none"/>
              </w:rPr>
            </w:pPr>
          </w:p>
        </w:tc>
      </w:tr>
      <w:tr w14:paraId="337E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7B3274BA">
            <w:pPr>
              <w:jc w:val="center"/>
              <w:rPr>
                <w:rFonts w:hint="eastAsia" w:ascii="新宋体" w:hAnsi="新宋体" w:eastAsia="新宋体" w:cs="新宋体"/>
                <w:color w:val="auto"/>
                <w:sz w:val="22"/>
                <w:szCs w:val="22"/>
                <w:highlight w:val="none"/>
              </w:rPr>
            </w:pPr>
          </w:p>
        </w:tc>
        <w:tc>
          <w:tcPr>
            <w:tcW w:w="3544" w:type="dxa"/>
            <w:vAlign w:val="center"/>
          </w:tcPr>
          <w:p w14:paraId="215CF1BA">
            <w:pPr>
              <w:jc w:val="center"/>
              <w:rPr>
                <w:rFonts w:hint="eastAsia" w:ascii="新宋体" w:hAnsi="新宋体" w:eastAsia="新宋体" w:cs="新宋体"/>
                <w:color w:val="auto"/>
                <w:sz w:val="22"/>
                <w:szCs w:val="22"/>
                <w:highlight w:val="none"/>
              </w:rPr>
            </w:pPr>
          </w:p>
        </w:tc>
        <w:tc>
          <w:tcPr>
            <w:tcW w:w="3402" w:type="dxa"/>
            <w:vAlign w:val="center"/>
          </w:tcPr>
          <w:p w14:paraId="135146C4">
            <w:pPr>
              <w:jc w:val="center"/>
              <w:rPr>
                <w:rFonts w:hint="eastAsia" w:ascii="新宋体" w:hAnsi="新宋体" w:eastAsia="新宋体" w:cs="新宋体"/>
                <w:color w:val="auto"/>
                <w:sz w:val="22"/>
                <w:szCs w:val="22"/>
                <w:highlight w:val="none"/>
              </w:rPr>
            </w:pPr>
          </w:p>
        </w:tc>
        <w:tc>
          <w:tcPr>
            <w:tcW w:w="1843" w:type="dxa"/>
            <w:vAlign w:val="center"/>
          </w:tcPr>
          <w:p w14:paraId="3664338F">
            <w:pPr>
              <w:jc w:val="center"/>
              <w:rPr>
                <w:rFonts w:hint="eastAsia" w:ascii="新宋体" w:hAnsi="新宋体" w:eastAsia="新宋体" w:cs="新宋体"/>
                <w:color w:val="auto"/>
                <w:sz w:val="22"/>
                <w:szCs w:val="22"/>
                <w:highlight w:val="none"/>
              </w:rPr>
            </w:pPr>
          </w:p>
        </w:tc>
      </w:tr>
    </w:tbl>
    <w:p w14:paraId="60128A91">
      <w:pPr>
        <w:pStyle w:val="29"/>
        <w:keepNext w:val="0"/>
        <w:keepLines w:val="0"/>
        <w:pageBreakBefore w:val="0"/>
        <w:kinsoku/>
        <w:wordWrap/>
        <w:topLinePunct w:val="0"/>
        <w:bidi w:val="0"/>
        <w:snapToGrid/>
        <w:spacing w:line="460" w:lineRule="exact"/>
        <w:ind w:left="537" w:hanging="537" w:hangingChars="243"/>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注：如有偏离，必须在偏离表中进行详细对比说明并注明正偏离（负偏离），如不说明偏离情况，视为完全响应</w:t>
      </w:r>
      <w:r>
        <w:rPr>
          <w:rFonts w:hint="eastAsia" w:ascii="新宋体" w:hAnsi="新宋体" w:eastAsia="新宋体" w:cs="新宋体"/>
          <w:color w:val="auto"/>
          <w:sz w:val="22"/>
          <w:szCs w:val="22"/>
          <w:highlight w:val="none"/>
          <w:lang w:val="en-US" w:eastAsia="zh-CN"/>
        </w:rPr>
        <w:t>采购</w:t>
      </w:r>
      <w:r>
        <w:rPr>
          <w:rFonts w:hint="eastAsia" w:ascii="新宋体" w:hAnsi="新宋体" w:eastAsia="新宋体" w:cs="新宋体"/>
          <w:color w:val="auto"/>
          <w:sz w:val="22"/>
          <w:szCs w:val="22"/>
          <w:highlight w:val="none"/>
        </w:rPr>
        <w:t>文件要求无偏离。</w:t>
      </w:r>
    </w:p>
    <w:p w14:paraId="68996CD4">
      <w:pPr>
        <w:keepNext w:val="0"/>
        <w:keepLines w:val="0"/>
        <w:pageBreakBefore w:val="0"/>
        <w:kinsoku/>
        <w:wordWrap/>
        <w:topLinePunct w:val="0"/>
        <w:bidi w:val="0"/>
        <w:snapToGrid/>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2C2850F8">
      <w:pPr>
        <w:keepNext w:val="0"/>
        <w:keepLines w:val="0"/>
        <w:pageBreakBefore w:val="0"/>
        <w:kinsoku/>
        <w:wordWrap/>
        <w:topLinePunct w:val="0"/>
        <w:bidi w:val="0"/>
        <w:snapToGrid/>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2821F0A4">
      <w:pPr>
        <w:keepNext w:val="0"/>
        <w:keepLines w:val="0"/>
        <w:pageBreakBefore w:val="0"/>
        <w:kinsoku/>
        <w:wordWrap/>
        <w:topLinePunct w:val="0"/>
        <w:bidi w:val="0"/>
        <w:snapToGrid/>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4CD401F5">
      <w:pPr>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br w:type="page"/>
      </w:r>
    </w:p>
    <w:p w14:paraId="797FD6C6">
      <w:pPr>
        <w:spacing w:line="460" w:lineRule="exact"/>
        <w:jc w:val="center"/>
        <w:outlineLvl w:val="3"/>
        <w:rPr>
          <w:rFonts w:hint="eastAsia" w:ascii="新宋体" w:hAnsi="新宋体" w:eastAsia="新宋体" w:cs="新宋体"/>
          <w:b/>
          <w:bCs/>
          <w:color w:val="auto"/>
          <w:sz w:val="24"/>
          <w:szCs w:val="24"/>
          <w:highlight w:val="none"/>
          <w:lang w:val="zh-CN" w:eastAsia="zh-CN"/>
        </w:rPr>
      </w:pPr>
      <w:r>
        <w:rPr>
          <w:rFonts w:hint="eastAsia" w:ascii="新宋体" w:hAnsi="新宋体" w:eastAsia="新宋体" w:cs="新宋体"/>
          <w:b/>
          <w:bCs/>
          <w:color w:val="auto"/>
          <w:sz w:val="24"/>
          <w:szCs w:val="24"/>
          <w:highlight w:val="none"/>
          <w:lang w:val="en-US" w:eastAsia="zh-CN"/>
        </w:rPr>
        <w:t>10、</w:t>
      </w:r>
      <w:r>
        <w:rPr>
          <w:rFonts w:hint="eastAsia" w:ascii="新宋体" w:hAnsi="新宋体" w:eastAsia="新宋体" w:cs="新宋体"/>
          <w:b/>
          <w:bCs/>
          <w:color w:val="auto"/>
          <w:sz w:val="24"/>
          <w:szCs w:val="24"/>
          <w:highlight w:val="none"/>
          <w:lang w:val="zh-CN" w:eastAsia="zh-CN"/>
        </w:rPr>
        <w:t>备品、易损件、备件、专用工具清单</w:t>
      </w:r>
    </w:p>
    <w:p w14:paraId="1362145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项目名称：</w:t>
      </w:r>
    </w:p>
    <w:p w14:paraId="4EBA859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val="0"/>
          <w:bCs w:val="0"/>
          <w:color w:val="auto"/>
          <w:sz w:val="22"/>
          <w:szCs w:val="22"/>
          <w:highlight w:val="none"/>
        </w:rPr>
        <w:t xml:space="preserve">项目编号： </w:t>
      </w:r>
    </w:p>
    <w:tbl>
      <w:tblPr>
        <w:tblStyle w:val="53"/>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40"/>
        <w:gridCol w:w="1404"/>
        <w:gridCol w:w="796"/>
        <w:gridCol w:w="3704"/>
        <w:gridCol w:w="1568"/>
      </w:tblGrid>
      <w:tr w14:paraId="53CC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6" w:type="dxa"/>
            <w:shd w:val="clear" w:color="auto" w:fill="FFFFFF"/>
            <w:vAlign w:val="center"/>
          </w:tcPr>
          <w:p w14:paraId="49582FB5">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240" w:type="dxa"/>
            <w:shd w:val="clear" w:color="auto" w:fill="FFFFFF"/>
            <w:vAlign w:val="center"/>
          </w:tcPr>
          <w:p w14:paraId="12AC2DC6">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404" w:type="dxa"/>
            <w:shd w:val="clear" w:color="auto" w:fill="FFFFFF"/>
            <w:vAlign w:val="center"/>
          </w:tcPr>
          <w:p w14:paraId="21814855">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规格型号</w:t>
            </w:r>
          </w:p>
        </w:tc>
        <w:tc>
          <w:tcPr>
            <w:tcW w:w="796" w:type="dxa"/>
            <w:shd w:val="clear" w:color="auto" w:fill="FFFFFF"/>
            <w:vAlign w:val="center"/>
          </w:tcPr>
          <w:p w14:paraId="191CAA23">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3704" w:type="dxa"/>
            <w:shd w:val="clear" w:color="auto" w:fill="FFFFFF"/>
            <w:vAlign w:val="center"/>
          </w:tcPr>
          <w:p w14:paraId="01BF69D1">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原产地/制造商</w:t>
            </w:r>
          </w:p>
        </w:tc>
        <w:tc>
          <w:tcPr>
            <w:tcW w:w="1568" w:type="dxa"/>
            <w:shd w:val="clear" w:color="auto" w:fill="FFFFFF"/>
            <w:vAlign w:val="center"/>
          </w:tcPr>
          <w:p w14:paraId="38A0B743">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14:paraId="7062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A589C20">
            <w:pPr>
              <w:spacing w:line="400" w:lineRule="exact"/>
              <w:jc w:val="center"/>
              <w:rPr>
                <w:rFonts w:hint="eastAsia" w:ascii="新宋体" w:hAnsi="新宋体" w:eastAsia="新宋体" w:cs="新宋体"/>
                <w:color w:val="auto"/>
                <w:sz w:val="22"/>
                <w:szCs w:val="22"/>
                <w:highlight w:val="none"/>
              </w:rPr>
            </w:pPr>
          </w:p>
        </w:tc>
        <w:tc>
          <w:tcPr>
            <w:tcW w:w="1240" w:type="dxa"/>
          </w:tcPr>
          <w:p w14:paraId="09DDFB37">
            <w:pPr>
              <w:spacing w:line="400" w:lineRule="exact"/>
              <w:rPr>
                <w:rFonts w:hint="eastAsia" w:ascii="新宋体" w:hAnsi="新宋体" w:eastAsia="新宋体" w:cs="新宋体"/>
                <w:color w:val="auto"/>
                <w:sz w:val="22"/>
                <w:szCs w:val="22"/>
                <w:highlight w:val="none"/>
              </w:rPr>
            </w:pPr>
          </w:p>
        </w:tc>
        <w:tc>
          <w:tcPr>
            <w:tcW w:w="1404" w:type="dxa"/>
          </w:tcPr>
          <w:p w14:paraId="0830D790">
            <w:pPr>
              <w:spacing w:line="400" w:lineRule="exact"/>
              <w:rPr>
                <w:rFonts w:hint="eastAsia" w:ascii="新宋体" w:hAnsi="新宋体" w:eastAsia="新宋体" w:cs="新宋体"/>
                <w:color w:val="auto"/>
                <w:sz w:val="22"/>
                <w:szCs w:val="22"/>
                <w:highlight w:val="none"/>
              </w:rPr>
            </w:pPr>
          </w:p>
        </w:tc>
        <w:tc>
          <w:tcPr>
            <w:tcW w:w="796" w:type="dxa"/>
          </w:tcPr>
          <w:p w14:paraId="7BAEC88F">
            <w:pPr>
              <w:spacing w:line="400" w:lineRule="exact"/>
              <w:rPr>
                <w:rFonts w:hint="eastAsia" w:ascii="新宋体" w:hAnsi="新宋体" w:eastAsia="新宋体" w:cs="新宋体"/>
                <w:color w:val="auto"/>
                <w:sz w:val="22"/>
                <w:szCs w:val="22"/>
                <w:highlight w:val="none"/>
              </w:rPr>
            </w:pPr>
          </w:p>
        </w:tc>
        <w:tc>
          <w:tcPr>
            <w:tcW w:w="3704" w:type="dxa"/>
          </w:tcPr>
          <w:p w14:paraId="48FA41AC">
            <w:pPr>
              <w:spacing w:line="400" w:lineRule="exact"/>
              <w:rPr>
                <w:rFonts w:hint="eastAsia" w:ascii="新宋体" w:hAnsi="新宋体" w:eastAsia="新宋体" w:cs="新宋体"/>
                <w:color w:val="auto"/>
                <w:sz w:val="22"/>
                <w:szCs w:val="22"/>
                <w:highlight w:val="none"/>
              </w:rPr>
            </w:pPr>
          </w:p>
        </w:tc>
        <w:tc>
          <w:tcPr>
            <w:tcW w:w="1568" w:type="dxa"/>
          </w:tcPr>
          <w:p w14:paraId="16BD2A1C">
            <w:pPr>
              <w:spacing w:line="400" w:lineRule="exact"/>
              <w:rPr>
                <w:rFonts w:hint="eastAsia" w:ascii="新宋体" w:hAnsi="新宋体" w:eastAsia="新宋体" w:cs="新宋体"/>
                <w:color w:val="auto"/>
                <w:sz w:val="22"/>
                <w:szCs w:val="22"/>
                <w:highlight w:val="none"/>
              </w:rPr>
            </w:pPr>
          </w:p>
        </w:tc>
      </w:tr>
      <w:tr w14:paraId="50F0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56B4E550">
            <w:pPr>
              <w:spacing w:line="400" w:lineRule="exact"/>
              <w:jc w:val="center"/>
              <w:rPr>
                <w:rFonts w:hint="eastAsia" w:ascii="新宋体" w:hAnsi="新宋体" w:eastAsia="新宋体" w:cs="新宋体"/>
                <w:color w:val="auto"/>
                <w:sz w:val="22"/>
                <w:szCs w:val="22"/>
                <w:highlight w:val="none"/>
              </w:rPr>
            </w:pPr>
          </w:p>
        </w:tc>
        <w:tc>
          <w:tcPr>
            <w:tcW w:w="1240" w:type="dxa"/>
          </w:tcPr>
          <w:p w14:paraId="3F00CE7C">
            <w:pPr>
              <w:spacing w:line="400" w:lineRule="exact"/>
              <w:rPr>
                <w:rFonts w:hint="eastAsia" w:ascii="新宋体" w:hAnsi="新宋体" w:eastAsia="新宋体" w:cs="新宋体"/>
                <w:color w:val="auto"/>
                <w:sz w:val="22"/>
                <w:szCs w:val="22"/>
                <w:highlight w:val="none"/>
              </w:rPr>
            </w:pPr>
          </w:p>
        </w:tc>
        <w:tc>
          <w:tcPr>
            <w:tcW w:w="1404" w:type="dxa"/>
          </w:tcPr>
          <w:p w14:paraId="1D26A4F5">
            <w:pPr>
              <w:spacing w:line="400" w:lineRule="exact"/>
              <w:rPr>
                <w:rFonts w:hint="eastAsia" w:ascii="新宋体" w:hAnsi="新宋体" w:eastAsia="新宋体" w:cs="新宋体"/>
                <w:color w:val="auto"/>
                <w:sz w:val="22"/>
                <w:szCs w:val="22"/>
                <w:highlight w:val="none"/>
              </w:rPr>
            </w:pPr>
          </w:p>
        </w:tc>
        <w:tc>
          <w:tcPr>
            <w:tcW w:w="796" w:type="dxa"/>
          </w:tcPr>
          <w:p w14:paraId="171E8E0C">
            <w:pPr>
              <w:spacing w:line="400" w:lineRule="exact"/>
              <w:rPr>
                <w:rFonts w:hint="eastAsia" w:ascii="新宋体" w:hAnsi="新宋体" w:eastAsia="新宋体" w:cs="新宋体"/>
                <w:color w:val="auto"/>
                <w:sz w:val="22"/>
                <w:szCs w:val="22"/>
                <w:highlight w:val="none"/>
              </w:rPr>
            </w:pPr>
          </w:p>
        </w:tc>
        <w:tc>
          <w:tcPr>
            <w:tcW w:w="3704" w:type="dxa"/>
          </w:tcPr>
          <w:p w14:paraId="002DF4E2">
            <w:pPr>
              <w:spacing w:line="400" w:lineRule="exact"/>
              <w:rPr>
                <w:rFonts w:hint="eastAsia" w:ascii="新宋体" w:hAnsi="新宋体" w:eastAsia="新宋体" w:cs="新宋体"/>
                <w:color w:val="auto"/>
                <w:sz w:val="22"/>
                <w:szCs w:val="22"/>
                <w:highlight w:val="none"/>
              </w:rPr>
            </w:pPr>
          </w:p>
        </w:tc>
        <w:tc>
          <w:tcPr>
            <w:tcW w:w="1568" w:type="dxa"/>
          </w:tcPr>
          <w:p w14:paraId="5F705CBF">
            <w:pPr>
              <w:spacing w:line="400" w:lineRule="exact"/>
              <w:rPr>
                <w:rFonts w:hint="eastAsia" w:ascii="新宋体" w:hAnsi="新宋体" w:eastAsia="新宋体" w:cs="新宋体"/>
                <w:color w:val="auto"/>
                <w:sz w:val="22"/>
                <w:szCs w:val="22"/>
                <w:highlight w:val="none"/>
              </w:rPr>
            </w:pPr>
          </w:p>
        </w:tc>
      </w:tr>
      <w:tr w14:paraId="2C44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782EF1C3">
            <w:pPr>
              <w:spacing w:line="400" w:lineRule="exact"/>
              <w:jc w:val="center"/>
              <w:rPr>
                <w:rFonts w:hint="eastAsia" w:ascii="新宋体" w:hAnsi="新宋体" w:eastAsia="新宋体" w:cs="新宋体"/>
                <w:color w:val="auto"/>
                <w:sz w:val="22"/>
                <w:szCs w:val="22"/>
                <w:highlight w:val="none"/>
              </w:rPr>
            </w:pPr>
          </w:p>
        </w:tc>
        <w:tc>
          <w:tcPr>
            <w:tcW w:w="1240" w:type="dxa"/>
          </w:tcPr>
          <w:p w14:paraId="49378E26">
            <w:pPr>
              <w:spacing w:line="400" w:lineRule="exact"/>
              <w:rPr>
                <w:rFonts w:hint="eastAsia" w:ascii="新宋体" w:hAnsi="新宋体" w:eastAsia="新宋体" w:cs="新宋体"/>
                <w:color w:val="auto"/>
                <w:sz w:val="22"/>
                <w:szCs w:val="22"/>
                <w:highlight w:val="none"/>
              </w:rPr>
            </w:pPr>
          </w:p>
        </w:tc>
        <w:tc>
          <w:tcPr>
            <w:tcW w:w="1404" w:type="dxa"/>
          </w:tcPr>
          <w:p w14:paraId="20B1282F">
            <w:pPr>
              <w:spacing w:line="400" w:lineRule="exact"/>
              <w:rPr>
                <w:rFonts w:hint="eastAsia" w:ascii="新宋体" w:hAnsi="新宋体" w:eastAsia="新宋体" w:cs="新宋体"/>
                <w:color w:val="auto"/>
                <w:sz w:val="22"/>
                <w:szCs w:val="22"/>
                <w:highlight w:val="none"/>
              </w:rPr>
            </w:pPr>
          </w:p>
        </w:tc>
        <w:tc>
          <w:tcPr>
            <w:tcW w:w="796" w:type="dxa"/>
          </w:tcPr>
          <w:p w14:paraId="0278B76B">
            <w:pPr>
              <w:spacing w:line="400" w:lineRule="exact"/>
              <w:rPr>
                <w:rFonts w:hint="eastAsia" w:ascii="新宋体" w:hAnsi="新宋体" w:eastAsia="新宋体" w:cs="新宋体"/>
                <w:color w:val="auto"/>
                <w:sz w:val="22"/>
                <w:szCs w:val="22"/>
                <w:highlight w:val="none"/>
              </w:rPr>
            </w:pPr>
          </w:p>
        </w:tc>
        <w:tc>
          <w:tcPr>
            <w:tcW w:w="3704" w:type="dxa"/>
          </w:tcPr>
          <w:p w14:paraId="433506D7">
            <w:pPr>
              <w:spacing w:line="400" w:lineRule="exact"/>
              <w:rPr>
                <w:rFonts w:hint="eastAsia" w:ascii="新宋体" w:hAnsi="新宋体" w:eastAsia="新宋体" w:cs="新宋体"/>
                <w:color w:val="auto"/>
                <w:sz w:val="22"/>
                <w:szCs w:val="22"/>
                <w:highlight w:val="none"/>
              </w:rPr>
            </w:pPr>
          </w:p>
        </w:tc>
        <w:tc>
          <w:tcPr>
            <w:tcW w:w="1568" w:type="dxa"/>
          </w:tcPr>
          <w:p w14:paraId="5BDA35B0">
            <w:pPr>
              <w:spacing w:line="400" w:lineRule="exact"/>
              <w:rPr>
                <w:rFonts w:hint="eastAsia" w:ascii="新宋体" w:hAnsi="新宋体" w:eastAsia="新宋体" w:cs="新宋体"/>
                <w:color w:val="auto"/>
                <w:sz w:val="22"/>
                <w:szCs w:val="22"/>
                <w:highlight w:val="none"/>
              </w:rPr>
            </w:pPr>
          </w:p>
        </w:tc>
      </w:tr>
      <w:tr w14:paraId="6738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FF14809">
            <w:pPr>
              <w:spacing w:line="400" w:lineRule="exact"/>
              <w:jc w:val="center"/>
              <w:rPr>
                <w:rFonts w:hint="eastAsia" w:ascii="新宋体" w:hAnsi="新宋体" w:eastAsia="新宋体" w:cs="新宋体"/>
                <w:color w:val="auto"/>
                <w:sz w:val="22"/>
                <w:szCs w:val="22"/>
                <w:highlight w:val="none"/>
              </w:rPr>
            </w:pPr>
          </w:p>
        </w:tc>
        <w:tc>
          <w:tcPr>
            <w:tcW w:w="1240" w:type="dxa"/>
          </w:tcPr>
          <w:p w14:paraId="1B9D1D18">
            <w:pPr>
              <w:spacing w:line="400" w:lineRule="exact"/>
              <w:rPr>
                <w:rFonts w:hint="eastAsia" w:ascii="新宋体" w:hAnsi="新宋体" w:eastAsia="新宋体" w:cs="新宋体"/>
                <w:color w:val="auto"/>
                <w:sz w:val="22"/>
                <w:szCs w:val="22"/>
                <w:highlight w:val="none"/>
              </w:rPr>
            </w:pPr>
          </w:p>
        </w:tc>
        <w:tc>
          <w:tcPr>
            <w:tcW w:w="1404" w:type="dxa"/>
          </w:tcPr>
          <w:p w14:paraId="2A658335">
            <w:pPr>
              <w:spacing w:line="400" w:lineRule="exact"/>
              <w:rPr>
                <w:rFonts w:hint="eastAsia" w:ascii="新宋体" w:hAnsi="新宋体" w:eastAsia="新宋体" w:cs="新宋体"/>
                <w:color w:val="auto"/>
                <w:sz w:val="22"/>
                <w:szCs w:val="22"/>
                <w:highlight w:val="none"/>
              </w:rPr>
            </w:pPr>
          </w:p>
        </w:tc>
        <w:tc>
          <w:tcPr>
            <w:tcW w:w="796" w:type="dxa"/>
          </w:tcPr>
          <w:p w14:paraId="1F41F0FD">
            <w:pPr>
              <w:spacing w:line="400" w:lineRule="exact"/>
              <w:rPr>
                <w:rFonts w:hint="eastAsia" w:ascii="新宋体" w:hAnsi="新宋体" w:eastAsia="新宋体" w:cs="新宋体"/>
                <w:color w:val="auto"/>
                <w:sz w:val="22"/>
                <w:szCs w:val="22"/>
                <w:highlight w:val="none"/>
              </w:rPr>
            </w:pPr>
          </w:p>
        </w:tc>
        <w:tc>
          <w:tcPr>
            <w:tcW w:w="3704" w:type="dxa"/>
          </w:tcPr>
          <w:p w14:paraId="0E1B7C84">
            <w:pPr>
              <w:spacing w:line="400" w:lineRule="exact"/>
              <w:rPr>
                <w:rFonts w:hint="eastAsia" w:ascii="新宋体" w:hAnsi="新宋体" w:eastAsia="新宋体" w:cs="新宋体"/>
                <w:color w:val="auto"/>
                <w:sz w:val="22"/>
                <w:szCs w:val="22"/>
                <w:highlight w:val="none"/>
              </w:rPr>
            </w:pPr>
          </w:p>
        </w:tc>
        <w:tc>
          <w:tcPr>
            <w:tcW w:w="1568" w:type="dxa"/>
          </w:tcPr>
          <w:p w14:paraId="322B70C5">
            <w:pPr>
              <w:spacing w:line="400" w:lineRule="exact"/>
              <w:rPr>
                <w:rFonts w:hint="eastAsia" w:ascii="新宋体" w:hAnsi="新宋体" w:eastAsia="新宋体" w:cs="新宋体"/>
                <w:color w:val="auto"/>
                <w:sz w:val="22"/>
                <w:szCs w:val="22"/>
                <w:highlight w:val="none"/>
              </w:rPr>
            </w:pPr>
          </w:p>
        </w:tc>
      </w:tr>
      <w:tr w14:paraId="2764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6883405E">
            <w:pPr>
              <w:spacing w:line="400" w:lineRule="exact"/>
              <w:jc w:val="center"/>
              <w:rPr>
                <w:rFonts w:hint="eastAsia" w:ascii="新宋体" w:hAnsi="新宋体" w:eastAsia="新宋体" w:cs="新宋体"/>
                <w:color w:val="auto"/>
                <w:sz w:val="22"/>
                <w:szCs w:val="22"/>
                <w:highlight w:val="none"/>
              </w:rPr>
            </w:pPr>
          </w:p>
        </w:tc>
        <w:tc>
          <w:tcPr>
            <w:tcW w:w="1240" w:type="dxa"/>
          </w:tcPr>
          <w:p w14:paraId="3529E107">
            <w:pPr>
              <w:spacing w:line="400" w:lineRule="exact"/>
              <w:rPr>
                <w:rFonts w:hint="eastAsia" w:ascii="新宋体" w:hAnsi="新宋体" w:eastAsia="新宋体" w:cs="新宋体"/>
                <w:color w:val="auto"/>
                <w:sz w:val="22"/>
                <w:szCs w:val="22"/>
                <w:highlight w:val="none"/>
              </w:rPr>
            </w:pPr>
          </w:p>
        </w:tc>
        <w:tc>
          <w:tcPr>
            <w:tcW w:w="1404" w:type="dxa"/>
          </w:tcPr>
          <w:p w14:paraId="30B1F692">
            <w:pPr>
              <w:spacing w:line="400" w:lineRule="exact"/>
              <w:rPr>
                <w:rFonts w:hint="eastAsia" w:ascii="新宋体" w:hAnsi="新宋体" w:eastAsia="新宋体" w:cs="新宋体"/>
                <w:color w:val="auto"/>
                <w:sz w:val="22"/>
                <w:szCs w:val="22"/>
                <w:highlight w:val="none"/>
              </w:rPr>
            </w:pPr>
          </w:p>
        </w:tc>
        <w:tc>
          <w:tcPr>
            <w:tcW w:w="796" w:type="dxa"/>
          </w:tcPr>
          <w:p w14:paraId="607C8220">
            <w:pPr>
              <w:spacing w:line="400" w:lineRule="exact"/>
              <w:rPr>
                <w:rFonts w:hint="eastAsia" w:ascii="新宋体" w:hAnsi="新宋体" w:eastAsia="新宋体" w:cs="新宋体"/>
                <w:color w:val="auto"/>
                <w:sz w:val="22"/>
                <w:szCs w:val="22"/>
                <w:highlight w:val="none"/>
              </w:rPr>
            </w:pPr>
          </w:p>
        </w:tc>
        <w:tc>
          <w:tcPr>
            <w:tcW w:w="3704" w:type="dxa"/>
          </w:tcPr>
          <w:p w14:paraId="5957831B">
            <w:pPr>
              <w:spacing w:line="400" w:lineRule="exact"/>
              <w:rPr>
                <w:rFonts w:hint="eastAsia" w:ascii="新宋体" w:hAnsi="新宋体" w:eastAsia="新宋体" w:cs="新宋体"/>
                <w:color w:val="auto"/>
                <w:sz w:val="22"/>
                <w:szCs w:val="22"/>
                <w:highlight w:val="none"/>
              </w:rPr>
            </w:pPr>
          </w:p>
        </w:tc>
        <w:tc>
          <w:tcPr>
            <w:tcW w:w="1568" w:type="dxa"/>
          </w:tcPr>
          <w:p w14:paraId="01365BA2">
            <w:pPr>
              <w:spacing w:line="400" w:lineRule="exact"/>
              <w:rPr>
                <w:rFonts w:hint="eastAsia" w:ascii="新宋体" w:hAnsi="新宋体" w:eastAsia="新宋体" w:cs="新宋体"/>
                <w:color w:val="auto"/>
                <w:sz w:val="22"/>
                <w:szCs w:val="22"/>
                <w:highlight w:val="none"/>
              </w:rPr>
            </w:pPr>
          </w:p>
        </w:tc>
      </w:tr>
      <w:tr w14:paraId="4B21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2B4FBEBA">
            <w:pPr>
              <w:spacing w:line="400" w:lineRule="exact"/>
              <w:jc w:val="center"/>
              <w:rPr>
                <w:rFonts w:hint="eastAsia" w:ascii="新宋体" w:hAnsi="新宋体" w:eastAsia="新宋体" w:cs="新宋体"/>
                <w:color w:val="auto"/>
                <w:sz w:val="22"/>
                <w:szCs w:val="22"/>
                <w:highlight w:val="none"/>
              </w:rPr>
            </w:pPr>
          </w:p>
        </w:tc>
        <w:tc>
          <w:tcPr>
            <w:tcW w:w="1240" w:type="dxa"/>
          </w:tcPr>
          <w:p w14:paraId="00350388">
            <w:pPr>
              <w:spacing w:line="400" w:lineRule="exact"/>
              <w:rPr>
                <w:rFonts w:hint="eastAsia" w:ascii="新宋体" w:hAnsi="新宋体" w:eastAsia="新宋体" w:cs="新宋体"/>
                <w:color w:val="auto"/>
                <w:sz w:val="22"/>
                <w:szCs w:val="22"/>
                <w:highlight w:val="none"/>
              </w:rPr>
            </w:pPr>
          </w:p>
        </w:tc>
        <w:tc>
          <w:tcPr>
            <w:tcW w:w="1404" w:type="dxa"/>
          </w:tcPr>
          <w:p w14:paraId="616350D6">
            <w:pPr>
              <w:spacing w:line="400" w:lineRule="exact"/>
              <w:rPr>
                <w:rFonts w:hint="eastAsia" w:ascii="新宋体" w:hAnsi="新宋体" w:eastAsia="新宋体" w:cs="新宋体"/>
                <w:color w:val="auto"/>
                <w:sz w:val="22"/>
                <w:szCs w:val="22"/>
                <w:highlight w:val="none"/>
              </w:rPr>
            </w:pPr>
          </w:p>
        </w:tc>
        <w:tc>
          <w:tcPr>
            <w:tcW w:w="796" w:type="dxa"/>
          </w:tcPr>
          <w:p w14:paraId="6A0FA1AA">
            <w:pPr>
              <w:spacing w:line="400" w:lineRule="exact"/>
              <w:rPr>
                <w:rFonts w:hint="eastAsia" w:ascii="新宋体" w:hAnsi="新宋体" w:eastAsia="新宋体" w:cs="新宋体"/>
                <w:color w:val="auto"/>
                <w:sz w:val="22"/>
                <w:szCs w:val="22"/>
                <w:highlight w:val="none"/>
              </w:rPr>
            </w:pPr>
          </w:p>
        </w:tc>
        <w:tc>
          <w:tcPr>
            <w:tcW w:w="3704" w:type="dxa"/>
          </w:tcPr>
          <w:p w14:paraId="09D43F50">
            <w:pPr>
              <w:spacing w:line="400" w:lineRule="exact"/>
              <w:rPr>
                <w:rFonts w:hint="eastAsia" w:ascii="新宋体" w:hAnsi="新宋体" w:eastAsia="新宋体" w:cs="新宋体"/>
                <w:color w:val="auto"/>
                <w:sz w:val="22"/>
                <w:szCs w:val="22"/>
                <w:highlight w:val="none"/>
              </w:rPr>
            </w:pPr>
          </w:p>
        </w:tc>
        <w:tc>
          <w:tcPr>
            <w:tcW w:w="1568" w:type="dxa"/>
          </w:tcPr>
          <w:p w14:paraId="245E7F9F">
            <w:pPr>
              <w:spacing w:line="400" w:lineRule="exact"/>
              <w:rPr>
                <w:rFonts w:hint="eastAsia" w:ascii="新宋体" w:hAnsi="新宋体" w:eastAsia="新宋体" w:cs="新宋体"/>
                <w:color w:val="auto"/>
                <w:sz w:val="22"/>
                <w:szCs w:val="22"/>
                <w:highlight w:val="none"/>
              </w:rPr>
            </w:pPr>
          </w:p>
        </w:tc>
      </w:tr>
      <w:tr w14:paraId="162F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030DDD66">
            <w:pPr>
              <w:spacing w:line="400" w:lineRule="exact"/>
              <w:jc w:val="center"/>
              <w:rPr>
                <w:rFonts w:hint="eastAsia" w:ascii="新宋体" w:hAnsi="新宋体" w:eastAsia="新宋体" w:cs="新宋体"/>
                <w:color w:val="auto"/>
                <w:sz w:val="22"/>
                <w:szCs w:val="22"/>
                <w:highlight w:val="none"/>
              </w:rPr>
            </w:pPr>
          </w:p>
        </w:tc>
        <w:tc>
          <w:tcPr>
            <w:tcW w:w="1240" w:type="dxa"/>
          </w:tcPr>
          <w:p w14:paraId="69953670">
            <w:pPr>
              <w:spacing w:line="400" w:lineRule="exact"/>
              <w:rPr>
                <w:rFonts w:hint="eastAsia" w:ascii="新宋体" w:hAnsi="新宋体" w:eastAsia="新宋体" w:cs="新宋体"/>
                <w:color w:val="auto"/>
                <w:sz w:val="22"/>
                <w:szCs w:val="22"/>
                <w:highlight w:val="none"/>
              </w:rPr>
            </w:pPr>
          </w:p>
        </w:tc>
        <w:tc>
          <w:tcPr>
            <w:tcW w:w="1404" w:type="dxa"/>
          </w:tcPr>
          <w:p w14:paraId="5A37076F">
            <w:pPr>
              <w:spacing w:line="400" w:lineRule="exact"/>
              <w:rPr>
                <w:rFonts w:hint="eastAsia" w:ascii="新宋体" w:hAnsi="新宋体" w:eastAsia="新宋体" w:cs="新宋体"/>
                <w:color w:val="auto"/>
                <w:sz w:val="22"/>
                <w:szCs w:val="22"/>
                <w:highlight w:val="none"/>
              </w:rPr>
            </w:pPr>
          </w:p>
        </w:tc>
        <w:tc>
          <w:tcPr>
            <w:tcW w:w="796" w:type="dxa"/>
          </w:tcPr>
          <w:p w14:paraId="51AC8214">
            <w:pPr>
              <w:spacing w:line="400" w:lineRule="exact"/>
              <w:rPr>
                <w:rFonts w:hint="eastAsia" w:ascii="新宋体" w:hAnsi="新宋体" w:eastAsia="新宋体" w:cs="新宋体"/>
                <w:color w:val="auto"/>
                <w:sz w:val="22"/>
                <w:szCs w:val="22"/>
                <w:highlight w:val="none"/>
              </w:rPr>
            </w:pPr>
          </w:p>
        </w:tc>
        <w:tc>
          <w:tcPr>
            <w:tcW w:w="3704" w:type="dxa"/>
          </w:tcPr>
          <w:p w14:paraId="1C3FD1DF">
            <w:pPr>
              <w:spacing w:line="400" w:lineRule="exact"/>
              <w:rPr>
                <w:rFonts w:hint="eastAsia" w:ascii="新宋体" w:hAnsi="新宋体" w:eastAsia="新宋体" w:cs="新宋体"/>
                <w:color w:val="auto"/>
                <w:sz w:val="22"/>
                <w:szCs w:val="22"/>
                <w:highlight w:val="none"/>
              </w:rPr>
            </w:pPr>
          </w:p>
        </w:tc>
        <w:tc>
          <w:tcPr>
            <w:tcW w:w="1568" w:type="dxa"/>
          </w:tcPr>
          <w:p w14:paraId="2D80B040">
            <w:pPr>
              <w:spacing w:line="400" w:lineRule="exact"/>
              <w:rPr>
                <w:rFonts w:hint="eastAsia" w:ascii="新宋体" w:hAnsi="新宋体" w:eastAsia="新宋体" w:cs="新宋体"/>
                <w:color w:val="auto"/>
                <w:sz w:val="22"/>
                <w:szCs w:val="22"/>
                <w:highlight w:val="none"/>
              </w:rPr>
            </w:pPr>
          </w:p>
        </w:tc>
      </w:tr>
      <w:tr w14:paraId="412D3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2733A707">
            <w:pPr>
              <w:spacing w:line="400" w:lineRule="exact"/>
              <w:jc w:val="center"/>
              <w:rPr>
                <w:rFonts w:hint="eastAsia" w:ascii="新宋体" w:hAnsi="新宋体" w:eastAsia="新宋体" w:cs="新宋体"/>
                <w:color w:val="auto"/>
                <w:sz w:val="22"/>
                <w:szCs w:val="22"/>
                <w:highlight w:val="none"/>
              </w:rPr>
            </w:pPr>
          </w:p>
        </w:tc>
        <w:tc>
          <w:tcPr>
            <w:tcW w:w="1240" w:type="dxa"/>
          </w:tcPr>
          <w:p w14:paraId="45CAF732">
            <w:pPr>
              <w:spacing w:line="400" w:lineRule="exact"/>
              <w:rPr>
                <w:rFonts w:hint="eastAsia" w:ascii="新宋体" w:hAnsi="新宋体" w:eastAsia="新宋体" w:cs="新宋体"/>
                <w:color w:val="auto"/>
                <w:sz w:val="22"/>
                <w:szCs w:val="22"/>
                <w:highlight w:val="none"/>
              </w:rPr>
            </w:pPr>
          </w:p>
        </w:tc>
        <w:tc>
          <w:tcPr>
            <w:tcW w:w="1404" w:type="dxa"/>
          </w:tcPr>
          <w:p w14:paraId="54BD1B9E">
            <w:pPr>
              <w:spacing w:line="400" w:lineRule="exact"/>
              <w:rPr>
                <w:rFonts w:hint="eastAsia" w:ascii="新宋体" w:hAnsi="新宋体" w:eastAsia="新宋体" w:cs="新宋体"/>
                <w:color w:val="auto"/>
                <w:sz w:val="22"/>
                <w:szCs w:val="22"/>
                <w:highlight w:val="none"/>
              </w:rPr>
            </w:pPr>
          </w:p>
        </w:tc>
        <w:tc>
          <w:tcPr>
            <w:tcW w:w="796" w:type="dxa"/>
          </w:tcPr>
          <w:p w14:paraId="14E79153">
            <w:pPr>
              <w:spacing w:line="400" w:lineRule="exact"/>
              <w:rPr>
                <w:rFonts w:hint="eastAsia" w:ascii="新宋体" w:hAnsi="新宋体" w:eastAsia="新宋体" w:cs="新宋体"/>
                <w:color w:val="auto"/>
                <w:sz w:val="22"/>
                <w:szCs w:val="22"/>
                <w:highlight w:val="none"/>
              </w:rPr>
            </w:pPr>
          </w:p>
        </w:tc>
        <w:tc>
          <w:tcPr>
            <w:tcW w:w="3704" w:type="dxa"/>
          </w:tcPr>
          <w:p w14:paraId="4A349497">
            <w:pPr>
              <w:spacing w:line="400" w:lineRule="exact"/>
              <w:rPr>
                <w:rFonts w:hint="eastAsia" w:ascii="新宋体" w:hAnsi="新宋体" w:eastAsia="新宋体" w:cs="新宋体"/>
                <w:color w:val="auto"/>
                <w:sz w:val="22"/>
                <w:szCs w:val="22"/>
                <w:highlight w:val="none"/>
              </w:rPr>
            </w:pPr>
          </w:p>
        </w:tc>
        <w:tc>
          <w:tcPr>
            <w:tcW w:w="1568" w:type="dxa"/>
          </w:tcPr>
          <w:p w14:paraId="08DA1C5A">
            <w:pPr>
              <w:spacing w:line="400" w:lineRule="exact"/>
              <w:rPr>
                <w:rFonts w:hint="eastAsia" w:ascii="新宋体" w:hAnsi="新宋体" w:eastAsia="新宋体" w:cs="新宋体"/>
                <w:color w:val="auto"/>
                <w:sz w:val="22"/>
                <w:szCs w:val="22"/>
                <w:highlight w:val="none"/>
              </w:rPr>
            </w:pPr>
          </w:p>
        </w:tc>
      </w:tr>
      <w:tr w14:paraId="66D5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E54DD63">
            <w:pPr>
              <w:spacing w:line="400" w:lineRule="exact"/>
              <w:jc w:val="center"/>
              <w:rPr>
                <w:rFonts w:hint="eastAsia" w:ascii="新宋体" w:hAnsi="新宋体" w:eastAsia="新宋体" w:cs="新宋体"/>
                <w:color w:val="auto"/>
                <w:sz w:val="22"/>
                <w:szCs w:val="22"/>
                <w:highlight w:val="none"/>
              </w:rPr>
            </w:pPr>
          </w:p>
        </w:tc>
        <w:tc>
          <w:tcPr>
            <w:tcW w:w="1240" w:type="dxa"/>
          </w:tcPr>
          <w:p w14:paraId="62820109">
            <w:pPr>
              <w:spacing w:line="400" w:lineRule="exact"/>
              <w:rPr>
                <w:rFonts w:hint="eastAsia" w:ascii="新宋体" w:hAnsi="新宋体" w:eastAsia="新宋体" w:cs="新宋体"/>
                <w:color w:val="auto"/>
                <w:sz w:val="22"/>
                <w:szCs w:val="22"/>
                <w:highlight w:val="none"/>
              </w:rPr>
            </w:pPr>
          </w:p>
        </w:tc>
        <w:tc>
          <w:tcPr>
            <w:tcW w:w="1404" w:type="dxa"/>
          </w:tcPr>
          <w:p w14:paraId="66DC9CD3">
            <w:pPr>
              <w:spacing w:line="400" w:lineRule="exact"/>
              <w:rPr>
                <w:rFonts w:hint="eastAsia" w:ascii="新宋体" w:hAnsi="新宋体" w:eastAsia="新宋体" w:cs="新宋体"/>
                <w:color w:val="auto"/>
                <w:sz w:val="22"/>
                <w:szCs w:val="22"/>
                <w:highlight w:val="none"/>
              </w:rPr>
            </w:pPr>
          </w:p>
        </w:tc>
        <w:tc>
          <w:tcPr>
            <w:tcW w:w="796" w:type="dxa"/>
          </w:tcPr>
          <w:p w14:paraId="15A03847">
            <w:pPr>
              <w:spacing w:line="400" w:lineRule="exact"/>
              <w:rPr>
                <w:rFonts w:hint="eastAsia" w:ascii="新宋体" w:hAnsi="新宋体" w:eastAsia="新宋体" w:cs="新宋体"/>
                <w:color w:val="auto"/>
                <w:sz w:val="22"/>
                <w:szCs w:val="22"/>
                <w:highlight w:val="none"/>
              </w:rPr>
            </w:pPr>
          </w:p>
        </w:tc>
        <w:tc>
          <w:tcPr>
            <w:tcW w:w="3704" w:type="dxa"/>
          </w:tcPr>
          <w:p w14:paraId="01B3AF1B">
            <w:pPr>
              <w:spacing w:line="400" w:lineRule="exact"/>
              <w:rPr>
                <w:rFonts w:hint="eastAsia" w:ascii="新宋体" w:hAnsi="新宋体" w:eastAsia="新宋体" w:cs="新宋体"/>
                <w:color w:val="auto"/>
                <w:sz w:val="22"/>
                <w:szCs w:val="22"/>
                <w:highlight w:val="none"/>
              </w:rPr>
            </w:pPr>
          </w:p>
        </w:tc>
        <w:tc>
          <w:tcPr>
            <w:tcW w:w="1568" w:type="dxa"/>
          </w:tcPr>
          <w:p w14:paraId="41A2636E">
            <w:pPr>
              <w:spacing w:line="400" w:lineRule="exact"/>
              <w:rPr>
                <w:rFonts w:hint="eastAsia" w:ascii="新宋体" w:hAnsi="新宋体" w:eastAsia="新宋体" w:cs="新宋体"/>
                <w:color w:val="auto"/>
                <w:sz w:val="22"/>
                <w:szCs w:val="22"/>
                <w:highlight w:val="none"/>
              </w:rPr>
            </w:pPr>
          </w:p>
        </w:tc>
      </w:tr>
      <w:tr w14:paraId="1AEA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744088C8">
            <w:pPr>
              <w:spacing w:line="400" w:lineRule="exact"/>
              <w:jc w:val="center"/>
              <w:rPr>
                <w:rFonts w:hint="eastAsia" w:ascii="新宋体" w:hAnsi="新宋体" w:eastAsia="新宋体" w:cs="新宋体"/>
                <w:color w:val="auto"/>
                <w:sz w:val="22"/>
                <w:szCs w:val="22"/>
                <w:highlight w:val="none"/>
              </w:rPr>
            </w:pPr>
          </w:p>
        </w:tc>
        <w:tc>
          <w:tcPr>
            <w:tcW w:w="1240" w:type="dxa"/>
          </w:tcPr>
          <w:p w14:paraId="2EE34D8E">
            <w:pPr>
              <w:spacing w:line="400" w:lineRule="exact"/>
              <w:rPr>
                <w:rFonts w:hint="eastAsia" w:ascii="新宋体" w:hAnsi="新宋体" w:eastAsia="新宋体" w:cs="新宋体"/>
                <w:color w:val="auto"/>
                <w:sz w:val="22"/>
                <w:szCs w:val="22"/>
                <w:highlight w:val="none"/>
              </w:rPr>
            </w:pPr>
          </w:p>
        </w:tc>
        <w:tc>
          <w:tcPr>
            <w:tcW w:w="1404" w:type="dxa"/>
          </w:tcPr>
          <w:p w14:paraId="5E863D0E">
            <w:pPr>
              <w:spacing w:line="400" w:lineRule="exact"/>
              <w:rPr>
                <w:rFonts w:hint="eastAsia" w:ascii="新宋体" w:hAnsi="新宋体" w:eastAsia="新宋体" w:cs="新宋体"/>
                <w:color w:val="auto"/>
                <w:sz w:val="22"/>
                <w:szCs w:val="22"/>
                <w:highlight w:val="none"/>
              </w:rPr>
            </w:pPr>
          </w:p>
        </w:tc>
        <w:tc>
          <w:tcPr>
            <w:tcW w:w="796" w:type="dxa"/>
          </w:tcPr>
          <w:p w14:paraId="7C96E061">
            <w:pPr>
              <w:spacing w:line="400" w:lineRule="exact"/>
              <w:rPr>
                <w:rFonts w:hint="eastAsia" w:ascii="新宋体" w:hAnsi="新宋体" w:eastAsia="新宋体" w:cs="新宋体"/>
                <w:color w:val="auto"/>
                <w:sz w:val="22"/>
                <w:szCs w:val="22"/>
                <w:highlight w:val="none"/>
              </w:rPr>
            </w:pPr>
          </w:p>
        </w:tc>
        <w:tc>
          <w:tcPr>
            <w:tcW w:w="3704" w:type="dxa"/>
          </w:tcPr>
          <w:p w14:paraId="154B76DE">
            <w:pPr>
              <w:spacing w:line="400" w:lineRule="exact"/>
              <w:rPr>
                <w:rFonts w:hint="eastAsia" w:ascii="新宋体" w:hAnsi="新宋体" w:eastAsia="新宋体" w:cs="新宋体"/>
                <w:color w:val="auto"/>
                <w:sz w:val="22"/>
                <w:szCs w:val="22"/>
                <w:highlight w:val="none"/>
              </w:rPr>
            </w:pPr>
          </w:p>
        </w:tc>
        <w:tc>
          <w:tcPr>
            <w:tcW w:w="1568" w:type="dxa"/>
          </w:tcPr>
          <w:p w14:paraId="7E7EC4B2">
            <w:pPr>
              <w:spacing w:line="400" w:lineRule="exact"/>
              <w:rPr>
                <w:rFonts w:hint="eastAsia" w:ascii="新宋体" w:hAnsi="新宋体" w:eastAsia="新宋体" w:cs="新宋体"/>
                <w:color w:val="auto"/>
                <w:sz w:val="22"/>
                <w:szCs w:val="22"/>
                <w:highlight w:val="none"/>
              </w:rPr>
            </w:pPr>
          </w:p>
        </w:tc>
      </w:tr>
      <w:tr w14:paraId="1532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227AD4A">
            <w:pPr>
              <w:spacing w:line="400" w:lineRule="exact"/>
              <w:jc w:val="center"/>
              <w:rPr>
                <w:rFonts w:hint="eastAsia" w:ascii="新宋体" w:hAnsi="新宋体" w:eastAsia="新宋体" w:cs="新宋体"/>
                <w:color w:val="auto"/>
                <w:sz w:val="22"/>
                <w:szCs w:val="22"/>
                <w:highlight w:val="none"/>
              </w:rPr>
            </w:pPr>
          </w:p>
        </w:tc>
        <w:tc>
          <w:tcPr>
            <w:tcW w:w="1240" w:type="dxa"/>
          </w:tcPr>
          <w:p w14:paraId="5E6FB0B5">
            <w:pPr>
              <w:spacing w:line="400" w:lineRule="exact"/>
              <w:rPr>
                <w:rFonts w:hint="eastAsia" w:ascii="新宋体" w:hAnsi="新宋体" w:eastAsia="新宋体" w:cs="新宋体"/>
                <w:color w:val="auto"/>
                <w:sz w:val="22"/>
                <w:szCs w:val="22"/>
                <w:highlight w:val="none"/>
              </w:rPr>
            </w:pPr>
          </w:p>
        </w:tc>
        <w:tc>
          <w:tcPr>
            <w:tcW w:w="1404" w:type="dxa"/>
          </w:tcPr>
          <w:p w14:paraId="04CDBC45">
            <w:pPr>
              <w:spacing w:line="400" w:lineRule="exact"/>
              <w:rPr>
                <w:rFonts w:hint="eastAsia" w:ascii="新宋体" w:hAnsi="新宋体" w:eastAsia="新宋体" w:cs="新宋体"/>
                <w:color w:val="auto"/>
                <w:sz w:val="22"/>
                <w:szCs w:val="22"/>
                <w:highlight w:val="none"/>
              </w:rPr>
            </w:pPr>
          </w:p>
        </w:tc>
        <w:tc>
          <w:tcPr>
            <w:tcW w:w="796" w:type="dxa"/>
          </w:tcPr>
          <w:p w14:paraId="56563EA5">
            <w:pPr>
              <w:spacing w:line="400" w:lineRule="exact"/>
              <w:rPr>
                <w:rFonts w:hint="eastAsia" w:ascii="新宋体" w:hAnsi="新宋体" w:eastAsia="新宋体" w:cs="新宋体"/>
                <w:color w:val="auto"/>
                <w:sz w:val="22"/>
                <w:szCs w:val="22"/>
                <w:highlight w:val="none"/>
              </w:rPr>
            </w:pPr>
          </w:p>
        </w:tc>
        <w:tc>
          <w:tcPr>
            <w:tcW w:w="3704" w:type="dxa"/>
          </w:tcPr>
          <w:p w14:paraId="1C0BFBE8">
            <w:pPr>
              <w:spacing w:line="400" w:lineRule="exact"/>
              <w:rPr>
                <w:rFonts w:hint="eastAsia" w:ascii="新宋体" w:hAnsi="新宋体" w:eastAsia="新宋体" w:cs="新宋体"/>
                <w:color w:val="auto"/>
                <w:sz w:val="22"/>
                <w:szCs w:val="22"/>
                <w:highlight w:val="none"/>
              </w:rPr>
            </w:pPr>
          </w:p>
        </w:tc>
        <w:tc>
          <w:tcPr>
            <w:tcW w:w="1568" w:type="dxa"/>
          </w:tcPr>
          <w:p w14:paraId="07DB2C51">
            <w:pPr>
              <w:spacing w:line="400" w:lineRule="exact"/>
              <w:rPr>
                <w:rFonts w:hint="eastAsia" w:ascii="新宋体" w:hAnsi="新宋体" w:eastAsia="新宋体" w:cs="新宋体"/>
                <w:color w:val="auto"/>
                <w:sz w:val="22"/>
                <w:szCs w:val="22"/>
                <w:highlight w:val="none"/>
              </w:rPr>
            </w:pPr>
          </w:p>
        </w:tc>
      </w:tr>
      <w:tr w14:paraId="2D619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3AB1BDA">
            <w:pPr>
              <w:spacing w:line="400" w:lineRule="exact"/>
              <w:jc w:val="center"/>
              <w:rPr>
                <w:rFonts w:hint="eastAsia" w:ascii="新宋体" w:hAnsi="新宋体" w:eastAsia="新宋体" w:cs="新宋体"/>
                <w:color w:val="auto"/>
                <w:sz w:val="22"/>
                <w:szCs w:val="22"/>
                <w:highlight w:val="none"/>
              </w:rPr>
            </w:pPr>
          </w:p>
        </w:tc>
        <w:tc>
          <w:tcPr>
            <w:tcW w:w="1240" w:type="dxa"/>
          </w:tcPr>
          <w:p w14:paraId="0E719E82">
            <w:pPr>
              <w:spacing w:line="400" w:lineRule="exact"/>
              <w:rPr>
                <w:rFonts w:hint="eastAsia" w:ascii="新宋体" w:hAnsi="新宋体" w:eastAsia="新宋体" w:cs="新宋体"/>
                <w:color w:val="auto"/>
                <w:sz w:val="22"/>
                <w:szCs w:val="22"/>
                <w:highlight w:val="none"/>
              </w:rPr>
            </w:pPr>
          </w:p>
        </w:tc>
        <w:tc>
          <w:tcPr>
            <w:tcW w:w="1404" w:type="dxa"/>
          </w:tcPr>
          <w:p w14:paraId="7F6745D3">
            <w:pPr>
              <w:spacing w:line="400" w:lineRule="exact"/>
              <w:rPr>
                <w:rFonts w:hint="eastAsia" w:ascii="新宋体" w:hAnsi="新宋体" w:eastAsia="新宋体" w:cs="新宋体"/>
                <w:color w:val="auto"/>
                <w:sz w:val="22"/>
                <w:szCs w:val="22"/>
                <w:highlight w:val="none"/>
              </w:rPr>
            </w:pPr>
          </w:p>
        </w:tc>
        <w:tc>
          <w:tcPr>
            <w:tcW w:w="796" w:type="dxa"/>
          </w:tcPr>
          <w:p w14:paraId="344A54C7">
            <w:pPr>
              <w:spacing w:line="400" w:lineRule="exact"/>
              <w:rPr>
                <w:rFonts w:hint="eastAsia" w:ascii="新宋体" w:hAnsi="新宋体" w:eastAsia="新宋体" w:cs="新宋体"/>
                <w:color w:val="auto"/>
                <w:sz w:val="22"/>
                <w:szCs w:val="22"/>
                <w:highlight w:val="none"/>
              </w:rPr>
            </w:pPr>
          </w:p>
        </w:tc>
        <w:tc>
          <w:tcPr>
            <w:tcW w:w="3704" w:type="dxa"/>
          </w:tcPr>
          <w:p w14:paraId="67122988">
            <w:pPr>
              <w:spacing w:line="400" w:lineRule="exact"/>
              <w:rPr>
                <w:rFonts w:hint="eastAsia" w:ascii="新宋体" w:hAnsi="新宋体" w:eastAsia="新宋体" w:cs="新宋体"/>
                <w:color w:val="auto"/>
                <w:sz w:val="22"/>
                <w:szCs w:val="22"/>
                <w:highlight w:val="none"/>
              </w:rPr>
            </w:pPr>
          </w:p>
        </w:tc>
        <w:tc>
          <w:tcPr>
            <w:tcW w:w="1568" w:type="dxa"/>
          </w:tcPr>
          <w:p w14:paraId="7CA4C345">
            <w:pPr>
              <w:spacing w:line="400" w:lineRule="exact"/>
              <w:rPr>
                <w:rFonts w:hint="eastAsia" w:ascii="新宋体" w:hAnsi="新宋体" w:eastAsia="新宋体" w:cs="新宋体"/>
                <w:color w:val="auto"/>
                <w:sz w:val="22"/>
                <w:szCs w:val="22"/>
                <w:highlight w:val="none"/>
              </w:rPr>
            </w:pPr>
          </w:p>
        </w:tc>
      </w:tr>
      <w:tr w14:paraId="0899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1AF7C4A0">
            <w:pPr>
              <w:spacing w:line="400" w:lineRule="exact"/>
              <w:jc w:val="center"/>
              <w:rPr>
                <w:rFonts w:hint="eastAsia" w:ascii="新宋体" w:hAnsi="新宋体" w:eastAsia="新宋体" w:cs="新宋体"/>
                <w:color w:val="auto"/>
                <w:sz w:val="22"/>
                <w:szCs w:val="22"/>
                <w:highlight w:val="none"/>
              </w:rPr>
            </w:pPr>
          </w:p>
        </w:tc>
        <w:tc>
          <w:tcPr>
            <w:tcW w:w="1240" w:type="dxa"/>
          </w:tcPr>
          <w:p w14:paraId="4DD51D92">
            <w:pPr>
              <w:spacing w:line="400" w:lineRule="exact"/>
              <w:rPr>
                <w:rFonts w:hint="eastAsia" w:ascii="新宋体" w:hAnsi="新宋体" w:eastAsia="新宋体" w:cs="新宋体"/>
                <w:color w:val="auto"/>
                <w:sz w:val="22"/>
                <w:szCs w:val="22"/>
                <w:highlight w:val="none"/>
              </w:rPr>
            </w:pPr>
          </w:p>
        </w:tc>
        <w:tc>
          <w:tcPr>
            <w:tcW w:w="1404" w:type="dxa"/>
          </w:tcPr>
          <w:p w14:paraId="6E70D15F">
            <w:pPr>
              <w:spacing w:line="400" w:lineRule="exact"/>
              <w:rPr>
                <w:rFonts w:hint="eastAsia" w:ascii="新宋体" w:hAnsi="新宋体" w:eastAsia="新宋体" w:cs="新宋体"/>
                <w:color w:val="auto"/>
                <w:sz w:val="22"/>
                <w:szCs w:val="22"/>
                <w:highlight w:val="none"/>
              </w:rPr>
            </w:pPr>
          </w:p>
        </w:tc>
        <w:tc>
          <w:tcPr>
            <w:tcW w:w="796" w:type="dxa"/>
          </w:tcPr>
          <w:p w14:paraId="6C7D381A">
            <w:pPr>
              <w:spacing w:line="400" w:lineRule="exact"/>
              <w:rPr>
                <w:rFonts w:hint="eastAsia" w:ascii="新宋体" w:hAnsi="新宋体" w:eastAsia="新宋体" w:cs="新宋体"/>
                <w:color w:val="auto"/>
                <w:sz w:val="22"/>
                <w:szCs w:val="22"/>
                <w:highlight w:val="none"/>
              </w:rPr>
            </w:pPr>
          </w:p>
        </w:tc>
        <w:tc>
          <w:tcPr>
            <w:tcW w:w="3704" w:type="dxa"/>
          </w:tcPr>
          <w:p w14:paraId="4410B0AA">
            <w:pPr>
              <w:spacing w:line="400" w:lineRule="exact"/>
              <w:rPr>
                <w:rFonts w:hint="eastAsia" w:ascii="新宋体" w:hAnsi="新宋体" w:eastAsia="新宋体" w:cs="新宋体"/>
                <w:color w:val="auto"/>
                <w:sz w:val="22"/>
                <w:szCs w:val="22"/>
                <w:highlight w:val="none"/>
              </w:rPr>
            </w:pPr>
          </w:p>
        </w:tc>
        <w:tc>
          <w:tcPr>
            <w:tcW w:w="1568" w:type="dxa"/>
          </w:tcPr>
          <w:p w14:paraId="7CF65E9F">
            <w:pPr>
              <w:spacing w:line="400" w:lineRule="exact"/>
              <w:rPr>
                <w:rFonts w:hint="eastAsia" w:ascii="新宋体" w:hAnsi="新宋体" w:eastAsia="新宋体" w:cs="新宋体"/>
                <w:color w:val="auto"/>
                <w:sz w:val="22"/>
                <w:szCs w:val="22"/>
                <w:highlight w:val="none"/>
              </w:rPr>
            </w:pPr>
          </w:p>
        </w:tc>
      </w:tr>
      <w:tr w14:paraId="078D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2F0C12B2">
            <w:pPr>
              <w:spacing w:line="400" w:lineRule="exact"/>
              <w:jc w:val="center"/>
              <w:rPr>
                <w:rFonts w:hint="eastAsia" w:ascii="新宋体" w:hAnsi="新宋体" w:eastAsia="新宋体" w:cs="新宋体"/>
                <w:color w:val="auto"/>
                <w:sz w:val="22"/>
                <w:szCs w:val="22"/>
                <w:highlight w:val="none"/>
              </w:rPr>
            </w:pPr>
          </w:p>
        </w:tc>
        <w:tc>
          <w:tcPr>
            <w:tcW w:w="1240" w:type="dxa"/>
          </w:tcPr>
          <w:p w14:paraId="5CE1C30B">
            <w:pPr>
              <w:spacing w:line="400" w:lineRule="exact"/>
              <w:rPr>
                <w:rFonts w:hint="eastAsia" w:ascii="新宋体" w:hAnsi="新宋体" w:eastAsia="新宋体" w:cs="新宋体"/>
                <w:color w:val="auto"/>
                <w:sz w:val="22"/>
                <w:szCs w:val="22"/>
                <w:highlight w:val="none"/>
              </w:rPr>
            </w:pPr>
          </w:p>
        </w:tc>
        <w:tc>
          <w:tcPr>
            <w:tcW w:w="1404" w:type="dxa"/>
          </w:tcPr>
          <w:p w14:paraId="7D3011CB">
            <w:pPr>
              <w:spacing w:line="400" w:lineRule="exact"/>
              <w:rPr>
                <w:rFonts w:hint="eastAsia" w:ascii="新宋体" w:hAnsi="新宋体" w:eastAsia="新宋体" w:cs="新宋体"/>
                <w:color w:val="auto"/>
                <w:sz w:val="22"/>
                <w:szCs w:val="22"/>
                <w:highlight w:val="none"/>
              </w:rPr>
            </w:pPr>
          </w:p>
        </w:tc>
        <w:tc>
          <w:tcPr>
            <w:tcW w:w="796" w:type="dxa"/>
          </w:tcPr>
          <w:p w14:paraId="03D85CA3">
            <w:pPr>
              <w:spacing w:line="400" w:lineRule="exact"/>
              <w:rPr>
                <w:rFonts w:hint="eastAsia" w:ascii="新宋体" w:hAnsi="新宋体" w:eastAsia="新宋体" w:cs="新宋体"/>
                <w:color w:val="auto"/>
                <w:sz w:val="22"/>
                <w:szCs w:val="22"/>
                <w:highlight w:val="none"/>
              </w:rPr>
            </w:pPr>
          </w:p>
        </w:tc>
        <w:tc>
          <w:tcPr>
            <w:tcW w:w="3704" w:type="dxa"/>
          </w:tcPr>
          <w:p w14:paraId="5E5B4678">
            <w:pPr>
              <w:spacing w:line="400" w:lineRule="exact"/>
              <w:rPr>
                <w:rFonts w:hint="eastAsia" w:ascii="新宋体" w:hAnsi="新宋体" w:eastAsia="新宋体" w:cs="新宋体"/>
                <w:color w:val="auto"/>
                <w:sz w:val="22"/>
                <w:szCs w:val="22"/>
                <w:highlight w:val="none"/>
              </w:rPr>
            </w:pPr>
          </w:p>
        </w:tc>
        <w:tc>
          <w:tcPr>
            <w:tcW w:w="1568" w:type="dxa"/>
          </w:tcPr>
          <w:p w14:paraId="492E8B27">
            <w:pPr>
              <w:spacing w:line="400" w:lineRule="exact"/>
              <w:rPr>
                <w:rFonts w:hint="eastAsia" w:ascii="新宋体" w:hAnsi="新宋体" w:eastAsia="新宋体" w:cs="新宋体"/>
                <w:color w:val="auto"/>
                <w:sz w:val="22"/>
                <w:szCs w:val="22"/>
                <w:highlight w:val="none"/>
              </w:rPr>
            </w:pPr>
          </w:p>
        </w:tc>
      </w:tr>
    </w:tbl>
    <w:p w14:paraId="6882CADD">
      <w:pPr>
        <w:tabs>
          <w:tab w:val="left" w:pos="360"/>
        </w:tabs>
        <w:spacing w:line="460" w:lineRule="exact"/>
        <w:ind w:firstLine="552" w:firstLineChars="25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说明：  1、此表仅提供了表格形式，投标人可按此表格复制。</w:t>
      </w:r>
    </w:p>
    <w:p w14:paraId="29A890D4">
      <w:pPr>
        <w:tabs>
          <w:tab w:val="left" w:pos="360"/>
        </w:tabs>
        <w:spacing w:line="460" w:lineRule="exact"/>
        <w:ind w:firstLine="1436" w:firstLineChars="65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2、如果无此内容，投标时需说明。</w:t>
      </w:r>
    </w:p>
    <w:p w14:paraId="15F48B58">
      <w:pPr>
        <w:spacing w:line="400" w:lineRule="exact"/>
        <w:ind w:firstLine="4620" w:firstLineChars="2100"/>
        <w:rPr>
          <w:rFonts w:hint="eastAsia" w:ascii="新宋体" w:hAnsi="新宋体" w:eastAsia="新宋体" w:cs="新宋体"/>
          <w:color w:val="auto"/>
          <w:sz w:val="22"/>
          <w:szCs w:val="22"/>
          <w:highlight w:val="none"/>
        </w:rPr>
      </w:pPr>
    </w:p>
    <w:p w14:paraId="0E747603">
      <w:pPr>
        <w:spacing w:line="460" w:lineRule="exact"/>
        <w:ind w:firstLine="5280" w:firstLineChars="2400"/>
        <w:rPr>
          <w:rFonts w:hint="eastAsia" w:ascii="新宋体" w:hAnsi="新宋体" w:eastAsia="新宋体" w:cs="新宋体"/>
          <w:color w:val="auto"/>
          <w:sz w:val="22"/>
          <w:szCs w:val="22"/>
          <w:highlight w:val="none"/>
        </w:rPr>
      </w:pPr>
      <w:bookmarkStart w:id="33" w:name="OLE_LINK2"/>
      <w:r>
        <w:rPr>
          <w:rFonts w:hint="eastAsia" w:ascii="新宋体" w:hAnsi="新宋体" w:eastAsia="新宋体" w:cs="新宋体"/>
          <w:color w:val="auto"/>
          <w:sz w:val="22"/>
          <w:szCs w:val="22"/>
          <w:highlight w:val="none"/>
        </w:rPr>
        <w:t>投标人全称（盖章）：</w:t>
      </w:r>
    </w:p>
    <w:p w14:paraId="091867A1">
      <w:pPr>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41939EE9">
      <w:pPr>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bookmarkEnd w:id="33"/>
    </w:p>
    <w:p w14:paraId="6BF46C96">
      <w:pPr>
        <w:pStyle w:val="350"/>
        <w:rPr>
          <w:rFonts w:hint="eastAsia" w:ascii="新宋体" w:hAnsi="新宋体" w:eastAsia="新宋体" w:cs="新宋体"/>
          <w:color w:val="auto"/>
          <w:sz w:val="22"/>
          <w:szCs w:val="22"/>
          <w:highlight w:val="none"/>
        </w:rPr>
      </w:pPr>
    </w:p>
    <w:p w14:paraId="0D1F6964">
      <w:pPr>
        <w:spacing w:line="460" w:lineRule="exact"/>
        <w:rPr>
          <w:rFonts w:hint="eastAsia" w:ascii="新宋体" w:hAnsi="新宋体" w:eastAsia="新宋体" w:cs="新宋体"/>
          <w:bCs/>
          <w:color w:val="auto"/>
          <w:sz w:val="22"/>
          <w:szCs w:val="22"/>
          <w:highlight w:val="none"/>
        </w:rPr>
      </w:pPr>
    </w:p>
    <w:p w14:paraId="5424865F">
      <w:pPr>
        <w:spacing w:line="460" w:lineRule="exact"/>
        <w:rPr>
          <w:rFonts w:hint="eastAsia" w:ascii="新宋体" w:hAnsi="新宋体" w:eastAsia="新宋体" w:cs="新宋体"/>
          <w:b/>
          <w:color w:val="auto"/>
          <w:kern w:val="0"/>
          <w:sz w:val="22"/>
          <w:szCs w:val="21"/>
          <w:highlight w:val="none"/>
        </w:rPr>
      </w:pPr>
    </w:p>
    <w:p w14:paraId="637A4C11">
      <w:pPr>
        <w:rPr>
          <w:rFonts w:hint="eastAsia" w:ascii="新宋体" w:hAnsi="新宋体" w:eastAsia="新宋体" w:cs="新宋体"/>
          <w:color w:val="auto"/>
          <w:highlight w:val="none"/>
        </w:rPr>
      </w:pPr>
    </w:p>
    <w:p w14:paraId="388A6636">
      <w:pPr>
        <w:rPr>
          <w:rFonts w:hint="eastAsia" w:ascii="新宋体" w:hAnsi="新宋体" w:eastAsia="新宋体" w:cs="新宋体"/>
          <w:color w:val="auto"/>
          <w:highlight w:val="none"/>
        </w:rPr>
      </w:pPr>
    </w:p>
    <w:p w14:paraId="62BA98CB">
      <w:pPr>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br w:type="page"/>
      </w:r>
    </w:p>
    <w:p w14:paraId="2E3DBA15">
      <w:pPr>
        <w:spacing w:line="460" w:lineRule="exact"/>
        <w:jc w:val="center"/>
        <w:outlineLvl w:val="3"/>
        <w:rPr>
          <w:rFonts w:hint="eastAsia" w:ascii="新宋体" w:hAnsi="新宋体" w:eastAsia="新宋体" w:cs="新宋体"/>
          <w:b/>
          <w:bCs/>
          <w:color w:val="auto"/>
          <w:sz w:val="24"/>
          <w:szCs w:val="24"/>
          <w:highlight w:val="none"/>
          <w:lang w:val="zh-CN" w:eastAsia="zh-CN"/>
        </w:rPr>
      </w:pPr>
      <w:r>
        <w:rPr>
          <w:rFonts w:hint="eastAsia" w:ascii="新宋体" w:hAnsi="新宋体" w:eastAsia="新宋体" w:cs="新宋体"/>
          <w:b/>
          <w:bCs/>
          <w:color w:val="auto"/>
          <w:sz w:val="24"/>
          <w:szCs w:val="24"/>
          <w:highlight w:val="none"/>
          <w:lang w:val="en-US" w:eastAsia="zh-CN"/>
        </w:rPr>
        <w:t>11</w:t>
      </w:r>
      <w:r>
        <w:rPr>
          <w:rFonts w:hint="eastAsia" w:ascii="新宋体" w:hAnsi="新宋体" w:eastAsia="新宋体" w:cs="新宋体"/>
          <w:b/>
          <w:bCs/>
          <w:color w:val="auto"/>
          <w:sz w:val="24"/>
          <w:szCs w:val="24"/>
          <w:highlight w:val="none"/>
          <w:lang w:val="zh-CN" w:eastAsia="zh-CN"/>
        </w:rPr>
        <w:t>、其他必要提供的资料</w:t>
      </w:r>
    </w:p>
    <w:p w14:paraId="3795B53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项目名称：</w:t>
      </w:r>
    </w:p>
    <w:p w14:paraId="3533CC3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val="0"/>
          <w:color w:val="auto"/>
          <w:sz w:val="22"/>
          <w:szCs w:val="22"/>
          <w:highlight w:val="none"/>
        </w:rPr>
        <w:t>项目编号：</w:t>
      </w:r>
    </w:p>
    <w:tbl>
      <w:tblPr>
        <w:tblStyle w:val="53"/>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7357E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top"/>
          </w:tcPr>
          <w:p w14:paraId="399775DF">
            <w:pPr>
              <w:pStyle w:val="312"/>
              <w:spacing w:after="0" w:line="460" w:lineRule="exact"/>
              <w:jc w:val="center"/>
              <w:rPr>
                <w:rFonts w:hint="eastAsia" w:ascii="新宋体" w:hAnsi="新宋体" w:eastAsia="新宋体" w:cs="新宋体"/>
                <w:color w:val="auto"/>
                <w:highlight w:val="none"/>
              </w:rPr>
            </w:pPr>
            <w:r>
              <w:rPr>
                <w:rFonts w:hint="eastAsia" w:ascii="新宋体" w:hAnsi="新宋体" w:eastAsia="新宋体" w:cs="新宋体"/>
                <w:color w:val="auto"/>
                <w:highlight w:val="none"/>
                <w:lang w:val="zh-CN" w:eastAsia="zh-CN"/>
              </w:rPr>
              <w:t>根据评分细则自行提供，格式自拟</w:t>
            </w:r>
          </w:p>
        </w:tc>
      </w:tr>
    </w:tbl>
    <w:p w14:paraId="27CDF6E5">
      <w:pPr>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 xml:space="preserve">   </w:t>
      </w:r>
    </w:p>
    <w:p w14:paraId="4873B4BB">
      <w:pPr>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21979995">
      <w:pPr>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1A66FC76">
      <w:pPr>
        <w:spacing w:line="460" w:lineRule="exact"/>
        <w:ind w:firstLine="5280" w:firstLineChars="2400"/>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日   期：</w:t>
      </w:r>
    </w:p>
    <w:p w14:paraId="4BFC833F">
      <w:pPr>
        <w:bidi w:val="0"/>
        <w:rPr>
          <w:rFonts w:hint="eastAsia" w:ascii="新宋体" w:hAnsi="新宋体" w:eastAsia="新宋体" w:cs="新宋体"/>
          <w:color w:val="auto"/>
          <w:highlight w:val="none"/>
        </w:rPr>
      </w:pPr>
    </w:p>
    <w:p w14:paraId="5FD1C581">
      <w:pPr>
        <w:rPr>
          <w:rFonts w:hint="eastAsia" w:ascii="新宋体" w:hAnsi="新宋体" w:eastAsia="新宋体" w:cs="新宋体"/>
          <w:color w:val="auto"/>
          <w:highlight w:val="none"/>
        </w:rPr>
      </w:pPr>
    </w:p>
    <w:p w14:paraId="333FBF5B">
      <w:pPr>
        <w:rPr>
          <w:rFonts w:hint="eastAsia" w:ascii="新宋体" w:hAnsi="新宋体" w:eastAsia="新宋体" w:cs="新宋体"/>
          <w:color w:val="auto"/>
          <w:highlight w:val="none"/>
        </w:rPr>
      </w:pPr>
    </w:p>
    <w:p w14:paraId="57EE7A37">
      <w:pPr>
        <w:pStyle w:val="23"/>
        <w:spacing w:line="460" w:lineRule="exact"/>
        <w:ind w:left="0" w:left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bookmarkStart w:id="34" w:name="_Toc26024"/>
      <w:r>
        <w:rPr>
          <w:rFonts w:hint="eastAsia" w:ascii="新宋体" w:hAnsi="新宋体" w:eastAsia="新宋体" w:cs="新宋体"/>
          <w:b/>
          <w:color w:val="auto"/>
          <w:sz w:val="30"/>
          <w:highlight w:val="none"/>
        </w:rPr>
        <w:t>第四部分   项目技术规范和服务要求</w:t>
      </w:r>
      <w:bookmarkEnd w:id="34"/>
    </w:p>
    <w:tbl>
      <w:tblPr>
        <w:tblStyle w:val="53"/>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4"/>
        <w:gridCol w:w="975"/>
        <w:gridCol w:w="1872"/>
        <w:gridCol w:w="3333"/>
      </w:tblGrid>
      <w:tr w14:paraId="780B3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3134" w:type="dxa"/>
            <w:tcBorders>
              <w:top w:val="single" w:color="auto" w:sz="4" w:space="0"/>
              <w:left w:val="single" w:color="auto" w:sz="4" w:space="0"/>
              <w:bottom w:val="single" w:color="auto" w:sz="4" w:space="0"/>
              <w:right w:val="single" w:color="auto" w:sz="4" w:space="0"/>
            </w:tcBorders>
            <w:vAlign w:val="center"/>
          </w:tcPr>
          <w:p w14:paraId="10D99E45">
            <w:pPr>
              <w:widowControl/>
              <w:snapToGrid w:val="0"/>
              <w:spacing w:line="460" w:lineRule="exact"/>
              <w:jc w:val="center"/>
              <w:rPr>
                <w:rFonts w:hint="eastAsia" w:ascii="新宋体" w:hAnsi="新宋体" w:eastAsia="新宋体" w:cs="新宋体"/>
                <w:color w:val="auto"/>
                <w:sz w:val="22"/>
                <w:szCs w:val="22"/>
                <w:highlight w:val="none"/>
              </w:rPr>
            </w:pPr>
            <w:bookmarkStart w:id="35" w:name="_Toc11306"/>
            <w:r>
              <w:rPr>
                <w:rFonts w:hint="eastAsia" w:ascii="新宋体" w:hAnsi="新宋体" w:eastAsia="新宋体" w:cs="新宋体"/>
                <w:color w:val="auto"/>
                <w:kern w:val="0"/>
                <w:sz w:val="22"/>
                <w:szCs w:val="22"/>
                <w:highlight w:val="none"/>
              </w:rPr>
              <w:t>项目内容</w:t>
            </w:r>
          </w:p>
        </w:tc>
        <w:tc>
          <w:tcPr>
            <w:tcW w:w="975" w:type="dxa"/>
            <w:tcBorders>
              <w:top w:val="single" w:color="auto" w:sz="4" w:space="0"/>
              <w:left w:val="single" w:color="auto" w:sz="4" w:space="0"/>
              <w:bottom w:val="single" w:color="auto" w:sz="4" w:space="0"/>
              <w:right w:val="single" w:color="auto" w:sz="4" w:space="0"/>
            </w:tcBorders>
            <w:vAlign w:val="center"/>
          </w:tcPr>
          <w:p w14:paraId="19E63BAE">
            <w:pPr>
              <w:widowControl/>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数量</w:t>
            </w:r>
          </w:p>
        </w:tc>
        <w:tc>
          <w:tcPr>
            <w:tcW w:w="1872" w:type="dxa"/>
            <w:tcBorders>
              <w:top w:val="single" w:color="auto" w:sz="4" w:space="0"/>
              <w:left w:val="single" w:color="auto" w:sz="4" w:space="0"/>
              <w:bottom w:val="single" w:color="auto" w:sz="4" w:space="0"/>
              <w:right w:val="single" w:color="auto" w:sz="4" w:space="0"/>
            </w:tcBorders>
            <w:vAlign w:val="center"/>
          </w:tcPr>
          <w:p w14:paraId="05608B7C">
            <w:pPr>
              <w:widowControl/>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rPr>
              <w:t>预算金额</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元</w:t>
            </w:r>
            <w:r>
              <w:rPr>
                <w:rFonts w:hint="eastAsia" w:ascii="新宋体" w:hAnsi="新宋体" w:eastAsia="新宋体" w:cs="新宋体"/>
                <w:color w:val="auto"/>
                <w:kern w:val="0"/>
                <w:sz w:val="22"/>
                <w:szCs w:val="22"/>
                <w:highlight w:val="none"/>
                <w:lang w:eastAsia="zh-CN"/>
              </w:rPr>
              <w:t>）</w:t>
            </w:r>
          </w:p>
        </w:tc>
        <w:tc>
          <w:tcPr>
            <w:tcW w:w="3333" w:type="dxa"/>
            <w:tcBorders>
              <w:top w:val="single" w:color="auto" w:sz="4" w:space="0"/>
              <w:left w:val="single" w:color="auto" w:sz="4" w:space="0"/>
              <w:bottom w:val="single" w:color="auto" w:sz="4" w:space="0"/>
              <w:right w:val="single" w:color="auto" w:sz="4" w:space="0"/>
            </w:tcBorders>
            <w:vAlign w:val="center"/>
          </w:tcPr>
          <w:p w14:paraId="500B5F52">
            <w:pPr>
              <w:widowControl/>
              <w:snapToGrid w:val="0"/>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备注</w:t>
            </w:r>
          </w:p>
        </w:tc>
      </w:tr>
      <w:tr w14:paraId="1809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34" w:type="dxa"/>
            <w:tcBorders>
              <w:top w:val="single" w:color="auto" w:sz="4" w:space="0"/>
              <w:left w:val="single" w:color="auto" w:sz="4" w:space="0"/>
              <w:bottom w:val="single" w:color="auto" w:sz="4" w:space="0"/>
              <w:right w:val="single" w:color="auto" w:sz="4" w:space="0"/>
            </w:tcBorders>
            <w:vAlign w:val="center"/>
          </w:tcPr>
          <w:p w14:paraId="0F31633D">
            <w:pPr>
              <w:widowControl/>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highlight w:val="none"/>
                <w:lang w:eastAsia="zh-CN"/>
              </w:rPr>
              <w:t>双能X射线骨密度仪</w:t>
            </w:r>
          </w:p>
        </w:tc>
        <w:tc>
          <w:tcPr>
            <w:tcW w:w="975" w:type="dxa"/>
            <w:tcBorders>
              <w:top w:val="single" w:color="auto" w:sz="4" w:space="0"/>
              <w:left w:val="single" w:color="auto" w:sz="4" w:space="0"/>
              <w:bottom w:val="single" w:color="auto" w:sz="4" w:space="0"/>
              <w:right w:val="single" w:color="auto" w:sz="4" w:space="0"/>
            </w:tcBorders>
            <w:vAlign w:val="center"/>
          </w:tcPr>
          <w:p w14:paraId="7BC23E39">
            <w:pPr>
              <w:widowControl/>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1套</w:t>
            </w:r>
          </w:p>
        </w:tc>
        <w:tc>
          <w:tcPr>
            <w:tcW w:w="1872" w:type="dxa"/>
            <w:tcBorders>
              <w:top w:val="single" w:color="auto" w:sz="4" w:space="0"/>
              <w:left w:val="single" w:color="auto" w:sz="4" w:space="0"/>
              <w:bottom w:val="single" w:color="auto" w:sz="4" w:space="0"/>
              <w:right w:val="single" w:color="auto" w:sz="4" w:space="0"/>
            </w:tcBorders>
            <w:vAlign w:val="center"/>
          </w:tcPr>
          <w:p w14:paraId="3812D83E">
            <w:pPr>
              <w:widowControl/>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color w:val="auto"/>
                <w:sz w:val="22"/>
                <w:highlight w:val="none"/>
                <w:lang w:eastAsia="zh-CN"/>
              </w:rPr>
              <w:t>700000</w:t>
            </w:r>
          </w:p>
        </w:tc>
        <w:tc>
          <w:tcPr>
            <w:tcW w:w="3333" w:type="dxa"/>
            <w:tcBorders>
              <w:top w:val="single" w:color="auto" w:sz="4" w:space="0"/>
              <w:left w:val="single" w:color="auto" w:sz="4" w:space="0"/>
            </w:tcBorders>
            <w:vAlign w:val="center"/>
          </w:tcPr>
          <w:p w14:paraId="1DCF4286">
            <w:pPr>
              <w:widowControl/>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本项目允许进口设备投标</w:t>
            </w:r>
          </w:p>
        </w:tc>
      </w:tr>
    </w:tbl>
    <w:p w14:paraId="77E2C1C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b/>
          <w:color w:val="auto"/>
          <w:sz w:val="22"/>
          <w:szCs w:val="22"/>
          <w:highlight w:val="none"/>
        </w:rPr>
        <w:t>如投标人报价超过预算金额按无效标处理</w:t>
      </w:r>
    </w:p>
    <w:p w14:paraId="3CA997EE">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kern w:val="0"/>
          <w:sz w:val="22"/>
          <w:szCs w:val="22"/>
          <w:highlight w:val="none"/>
          <w:lang w:val="en-US" w:eastAsia="zh-CN" w:bidi="ar-SA"/>
        </w:rPr>
        <w:t>一、</w:t>
      </w:r>
      <w:r>
        <w:rPr>
          <w:rFonts w:hint="eastAsia" w:ascii="新宋体" w:hAnsi="新宋体" w:eastAsia="新宋体" w:cs="新宋体"/>
          <w:b/>
          <w:bCs/>
          <w:color w:val="auto"/>
          <w:sz w:val="22"/>
          <w:szCs w:val="22"/>
          <w:highlight w:val="none"/>
          <w:lang w:bidi="ar"/>
        </w:rPr>
        <w:t>技术参数要求</w:t>
      </w:r>
    </w:p>
    <w:tbl>
      <w:tblPr>
        <w:tblStyle w:val="53"/>
        <w:tblW w:w="4926" w:type="pct"/>
        <w:tblInd w:w="6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70" w:type="dxa"/>
          <w:bottom w:w="0" w:type="dxa"/>
          <w:right w:w="70" w:type="dxa"/>
        </w:tblCellMar>
      </w:tblPr>
      <w:tblGrid>
        <w:gridCol w:w="1295"/>
        <w:gridCol w:w="8339"/>
      </w:tblGrid>
      <w:tr w14:paraId="1A4005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0" w:hRule="atLeast"/>
          <w:tblHeader/>
        </w:trPr>
        <w:tc>
          <w:tcPr>
            <w:tcW w:w="672" w:type="pct"/>
            <w:shd w:val="clear" w:color="auto" w:fill="CCCCCC"/>
            <w:noWrap w:val="0"/>
            <w:vAlign w:val="center"/>
          </w:tcPr>
          <w:p w14:paraId="149C4A4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4327" w:type="pct"/>
            <w:shd w:val="clear" w:color="auto" w:fill="CCCCCC"/>
            <w:noWrap w:val="0"/>
            <w:vAlign w:val="center"/>
          </w:tcPr>
          <w:p w14:paraId="6220470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招标要求</w:t>
            </w:r>
          </w:p>
        </w:tc>
      </w:tr>
      <w:tr w14:paraId="3F7392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3197262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一</w:t>
            </w:r>
          </w:p>
        </w:tc>
        <w:tc>
          <w:tcPr>
            <w:tcW w:w="4327" w:type="pct"/>
            <w:noWrap w:val="0"/>
            <w:vAlign w:val="center"/>
          </w:tcPr>
          <w:p w14:paraId="6B92484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技术参数要求</w:t>
            </w:r>
          </w:p>
        </w:tc>
      </w:tr>
      <w:tr w14:paraId="0D0C8D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1FC8215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p>
        </w:tc>
        <w:tc>
          <w:tcPr>
            <w:tcW w:w="4327" w:type="pct"/>
            <w:noWrap w:val="0"/>
            <w:vAlign w:val="top"/>
          </w:tcPr>
          <w:p w14:paraId="3D29761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用途：人体骨矿及全身肌肉脂肪含量，诊断骨质疏松症，预测骨折风险，监测骨质疏松疗效，儿科骨密度及小动物骨密度及肌肉脂肪含量。</w:t>
            </w:r>
          </w:p>
        </w:tc>
      </w:tr>
      <w:tr w14:paraId="5A8FB2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78A3416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2</w:t>
            </w:r>
          </w:p>
        </w:tc>
        <w:tc>
          <w:tcPr>
            <w:tcW w:w="4327" w:type="pct"/>
            <w:noWrap w:val="0"/>
            <w:vAlign w:val="center"/>
          </w:tcPr>
          <w:p w14:paraId="6E01FD0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主要技术规格及系统概述：</w:t>
            </w:r>
          </w:p>
        </w:tc>
      </w:tr>
      <w:tr w14:paraId="13A54B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26EC70F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2.1</w:t>
            </w:r>
          </w:p>
        </w:tc>
        <w:tc>
          <w:tcPr>
            <w:tcW w:w="4327" w:type="pct"/>
            <w:noWrap w:val="0"/>
            <w:vAlign w:val="top"/>
          </w:tcPr>
          <w:p w14:paraId="6674222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X线源</w:t>
            </w:r>
          </w:p>
        </w:tc>
      </w:tr>
      <w:tr w14:paraId="50524A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76C9A17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2.1.1</w:t>
            </w:r>
          </w:p>
        </w:tc>
        <w:tc>
          <w:tcPr>
            <w:tcW w:w="4327" w:type="pct"/>
            <w:noWrap w:val="0"/>
            <w:vAlign w:val="top"/>
          </w:tcPr>
          <w:p w14:paraId="694F5D4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双能X线发生方式:稳恒电压,脉冲式产生高低双能X线或K缘过滤</w:t>
            </w:r>
          </w:p>
        </w:tc>
      </w:tr>
      <w:tr w14:paraId="06A7AE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4CEBB0F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★2.1.2</w:t>
            </w:r>
          </w:p>
        </w:tc>
        <w:tc>
          <w:tcPr>
            <w:tcW w:w="4327" w:type="pct"/>
            <w:noWrap w:val="0"/>
            <w:vAlign w:val="center"/>
          </w:tcPr>
          <w:p w14:paraId="4728BD7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双能的电压峰值范围：高能≥99Kv，低能≥39Kv（</w:t>
            </w:r>
            <w:r>
              <w:rPr>
                <w:rFonts w:hint="eastAsia" w:ascii="新宋体" w:hAnsi="新宋体" w:eastAsia="新宋体" w:cs="新宋体"/>
                <w:color w:val="auto"/>
                <w:sz w:val="22"/>
                <w:szCs w:val="22"/>
                <w:highlight w:val="none"/>
                <w:lang w:val="en-US" w:eastAsia="zh-CN"/>
              </w:rPr>
              <w:t>投标时提供</w:t>
            </w:r>
            <w:r>
              <w:rPr>
                <w:rFonts w:hint="eastAsia" w:ascii="新宋体" w:hAnsi="新宋体" w:eastAsia="新宋体" w:cs="新宋体"/>
                <w:color w:val="auto"/>
                <w:sz w:val="22"/>
                <w:szCs w:val="22"/>
                <w:highlight w:val="none"/>
                <w:lang w:val="en-US" w:eastAsia="zh-CN"/>
              </w:rPr>
              <w:t>国家相关部门检测报告或原厂Datasheet）</w:t>
            </w:r>
          </w:p>
        </w:tc>
      </w:tr>
      <w:tr w14:paraId="7D1E64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59DA48E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2.1.3</w:t>
            </w:r>
          </w:p>
        </w:tc>
        <w:tc>
          <w:tcPr>
            <w:tcW w:w="4327" w:type="pct"/>
            <w:noWrap w:val="0"/>
            <w:vAlign w:val="center"/>
          </w:tcPr>
          <w:p w14:paraId="35EF46E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 xml:space="preserve">球管最大耐受电流≥2.5mA </w:t>
            </w:r>
          </w:p>
        </w:tc>
      </w:tr>
      <w:tr w14:paraId="24BFA7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20750D1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2.1.4</w:t>
            </w:r>
          </w:p>
        </w:tc>
        <w:tc>
          <w:tcPr>
            <w:tcW w:w="4327" w:type="pct"/>
            <w:noWrap w:val="0"/>
            <w:vAlign w:val="top"/>
          </w:tcPr>
          <w:p w14:paraId="4B0FDC5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球管冷却方式：油冷或风冷</w:t>
            </w:r>
          </w:p>
        </w:tc>
      </w:tr>
      <w:tr w14:paraId="15E312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6E6F82D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2.1.5</w:t>
            </w:r>
          </w:p>
        </w:tc>
        <w:tc>
          <w:tcPr>
            <w:tcW w:w="4327" w:type="pct"/>
            <w:noWrap w:val="0"/>
            <w:vAlign w:val="top"/>
          </w:tcPr>
          <w:p w14:paraId="3BF7075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扫描方式：连续扇形束扫描</w:t>
            </w:r>
          </w:p>
        </w:tc>
      </w:tr>
      <w:tr w14:paraId="3D9F61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2D4FAF6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2.1.6</w:t>
            </w:r>
          </w:p>
        </w:tc>
        <w:tc>
          <w:tcPr>
            <w:tcW w:w="4327" w:type="pct"/>
            <w:noWrap w:val="0"/>
            <w:vAlign w:val="top"/>
          </w:tcPr>
          <w:p w14:paraId="1232601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自动智能扫描: 无需预扫</w:t>
            </w:r>
          </w:p>
        </w:tc>
      </w:tr>
      <w:tr w14:paraId="2D0808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73B0D61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2.2</w:t>
            </w:r>
          </w:p>
        </w:tc>
        <w:tc>
          <w:tcPr>
            <w:tcW w:w="4327" w:type="pct"/>
            <w:noWrap w:val="0"/>
            <w:vAlign w:val="top"/>
          </w:tcPr>
          <w:p w14:paraId="655340A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探测器系统</w:t>
            </w:r>
          </w:p>
        </w:tc>
      </w:tr>
      <w:tr w14:paraId="5323EC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5E88F03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2.2.1</w:t>
            </w:r>
          </w:p>
        </w:tc>
        <w:tc>
          <w:tcPr>
            <w:tcW w:w="4327" w:type="pct"/>
            <w:noWrap w:val="0"/>
            <w:vAlign w:val="center"/>
          </w:tcPr>
          <w:p w14:paraId="393096E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探测器的类型：光子计数探测器或多元陶瓷数字探测器或非晶硅探测器</w:t>
            </w:r>
          </w:p>
        </w:tc>
      </w:tr>
      <w:tr w14:paraId="3A9549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370405F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★2.2.2</w:t>
            </w:r>
          </w:p>
        </w:tc>
        <w:tc>
          <w:tcPr>
            <w:tcW w:w="4327" w:type="pct"/>
            <w:noWrap w:val="0"/>
            <w:vAlign w:val="top"/>
          </w:tcPr>
          <w:p w14:paraId="0044614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探测器个数≥60个或通道数≥200个（</w:t>
            </w:r>
            <w:r>
              <w:rPr>
                <w:rFonts w:hint="eastAsia" w:ascii="新宋体" w:hAnsi="新宋体" w:eastAsia="新宋体" w:cs="新宋体"/>
                <w:color w:val="auto"/>
                <w:sz w:val="22"/>
                <w:szCs w:val="22"/>
                <w:highlight w:val="none"/>
                <w:lang w:val="en-US" w:eastAsia="zh-CN"/>
              </w:rPr>
              <w:t>投标时提供</w:t>
            </w:r>
            <w:r>
              <w:rPr>
                <w:rFonts w:hint="eastAsia" w:ascii="新宋体" w:hAnsi="新宋体" w:eastAsia="新宋体" w:cs="新宋体"/>
                <w:color w:val="auto"/>
                <w:sz w:val="22"/>
                <w:szCs w:val="22"/>
                <w:highlight w:val="none"/>
                <w:lang w:val="en-US" w:eastAsia="zh-CN"/>
              </w:rPr>
              <w:t>国家相关部门检测报告或原厂Datasheet）</w:t>
            </w:r>
          </w:p>
        </w:tc>
      </w:tr>
      <w:tr w14:paraId="2807E3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172EAC5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2.3</w:t>
            </w:r>
          </w:p>
        </w:tc>
        <w:tc>
          <w:tcPr>
            <w:tcW w:w="4327" w:type="pct"/>
            <w:noWrap w:val="0"/>
            <w:vAlign w:val="top"/>
          </w:tcPr>
          <w:p w14:paraId="77F83E8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扫描</w:t>
            </w:r>
          </w:p>
        </w:tc>
      </w:tr>
      <w:tr w14:paraId="1A003D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7176594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2.3.1</w:t>
            </w:r>
          </w:p>
        </w:tc>
        <w:tc>
          <w:tcPr>
            <w:tcW w:w="4327" w:type="pct"/>
            <w:noWrap w:val="0"/>
            <w:vAlign w:val="top"/>
          </w:tcPr>
          <w:p w14:paraId="4CB4FE9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开放式扫描床</w:t>
            </w:r>
          </w:p>
        </w:tc>
      </w:tr>
      <w:tr w14:paraId="1833FE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045C97E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★2.3.2</w:t>
            </w:r>
          </w:p>
        </w:tc>
        <w:tc>
          <w:tcPr>
            <w:tcW w:w="4327" w:type="pct"/>
            <w:noWrap w:val="0"/>
            <w:vAlign w:val="top"/>
          </w:tcPr>
          <w:p w14:paraId="758F48C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床面可以前后左右移动，床面尺寸：长度≥200cm；宽度≥80cm</w:t>
            </w:r>
          </w:p>
        </w:tc>
      </w:tr>
      <w:tr w14:paraId="354246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6C4D5BC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★2.3.3</w:t>
            </w:r>
          </w:p>
        </w:tc>
        <w:tc>
          <w:tcPr>
            <w:tcW w:w="4327" w:type="pct"/>
            <w:noWrap w:val="0"/>
            <w:vAlign w:val="top"/>
          </w:tcPr>
          <w:p w14:paraId="5DA4AB4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最大有效扫描视野：长度X宽度≥ 195cm</w:t>
            </w:r>
            <w:r>
              <w:rPr>
                <w:rFonts w:hint="default" w:ascii="Arial" w:hAnsi="Arial" w:eastAsia="新宋体" w:cs="Arial"/>
                <w:color w:val="auto"/>
                <w:sz w:val="22"/>
                <w:szCs w:val="22"/>
                <w:highlight w:val="none"/>
                <w:lang w:val="en-US" w:eastAsia="zh-CN"/>
              </w:rPr>
              <w:t>×</w:t>
            </w:r>
            <w:r>
              <w:rPr>
                <w:rFonts w:hint="eastAsia" w:ascii="新宋体" w:hAnsi="新宋体" w:eastAsia="新宋体" w:cs="新宋体"/>
                <w:color w:val="auto"/>
                <w:sz w:val="22"/>
                <w:szCs w:val="22"/>
                <w:highlight w:val="none"/>
                <w:lang w:val="en-US" w:eastAsia="zh-CN"/>
              </w:rPr>
              <w:t>65cm</w:t>
            </w:r>
          </w:p>
        </w:tc>
      </w:tr>
      <w:tr w14:paraId="2A6A3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56EE457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★2.3.4</w:t>
            </w:r>
          </w:p>
        </w:tc>
        <w:tc>
          <w:tcPr>
            <w:tcW w:w="4327" w:type="pct"/>
            <w:noWrap w:val="0"/>
            <w:vAlign w:val="top"/>
          </w:tcPr>
          <w:p w14:paraId="0831443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扫描时间：正位腰椎或髋关节标准扫描模式≤30秒 ；全身≤5分钟（</w:t>
            </w:r>
            <w:r>
              <w:rPr>
                <w:rFonts w:hint="eastAsia" w:ascii="新宋体" w:hAnsi="新宋体" w:eastAsia="新宋体" w:cs="新宋体"/>
                <w:color w:val="auto"/>
                <w:sz w:val="22"/>
                <w:szCs w:val="22"/>
                <w:highlight w:val="none"/>
                <w:lang w:val="en-US" w:eastAsia="zh-CN"/>
              </w:rPr>
              <w:t>投标时提供</w:t>
            </w:r>
            <w:r>
              <w:rPr>
                <w:rFonts w:hint="eastAsia" w:ascii="新宋体" w:hAnsi="新宋体" w:eastAsia="新宋体" w:cs="新宋体"/>
                <w:color w:val="auto"/>
                <w:sz w:val="22"/>
                <w:szCs w:val="22"/>
                <w:highlight w:val="none"/>
                <w:lang w:val="en-US" w:eastAsia="zh-CN"/>
              </w:rPr>
              <w:t>国家相关部门检测报告或原厂Datasheet）</w:t>
            </w:r>
          </w:p>
        </w:tc>
      </w:tr>
      <w:tr w14:paraId="7C7C86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66254CB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2.3.5</w:t>
            </w:r>
          </w:p>
        </w:tc>
        <w:tc>
          <w:tcPr>
            <w:tcW w:w="4327" w:type="pct"/>
            <w:noWrap w:val="0"/>
            <w:vAlign w:val="top"/>
          </w:tcPr>
          <w:p w14:paraId="7D0DE0E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精确激光定位灯及全套扫描定位器</w:t>
            </w:r>
          </w:p>
        </w:tc>
      </w:tr>
      <w:tr w14:paraId="7B4973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137395F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2.3.6</w:t>
            </w:r>
          </w:p>
        </w:tc>
        <w:tc>
          <w:tcPr>
            <w:tcW w:w="4327" w:type="pct"/>
            <w:noWrap w:val="0"/>
            <w:vAlign w:val="top"/>
          </w:tcPr>
          <w:p w14:paraId="28560C7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扫描台最大病人重量限制: ≥195kg</w:t>
            </w:r>
          </w:p>
        </w:tc>
      </w:tr>
      <w:tr w14:paraId="753D4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4AC464C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2.3.7</w:t>
            </w:r>
          </w:p>
        </w:tc>
        <w:tc>
          <w:tcPr>
            <w:tcW w:w="4327" w:type="pct"/>
            <w:noWrap w:val="0"/>
            <w:vAlign w:val="top"/>
          </w:tcPr>
          <w:p w14:paraId="35F12D5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扫描臂与扫描床距离 ≥60cm</w:t>
            </w:r>
          </w:p>
        </w:tc>
      </w:tr>
      <w:tr w14:paraId="7EABC4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5C7B284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2.3.8</w:t>
            </w:r>
          </w:p>
        </w:tc>
        <w:tc>
          <w:tcPr>
            <w:tcW w:w="4327" w:type="pct"/>
            <w:noWrap w:val="0"/>
            <w:vAlign w:val="top"/>
          </w:tcPr>
          <w:p w14:paraId="280E301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扫描精度:活体腰椎或髋关节: ≤1.0%</w:t>
            </w:r>
          </w:p>
        </w:tc>
      </w:tr>
      <w:tr w14:paraId="47ABBE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3EFAB2E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2.3.9</w:t>
            </w:r>
          </w:p>
        </w:tc>
        <w:tc>
          <w:tcPr>
            <w:tcW w:w="4327" w:type="pct"/>
            <w:noWrap w:val="0"/>
            <w:vAlign w:val="top"/>
          </w:tcPr>
          <w:p w14:paraId="3167F55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仿人体腰椎的质控模块扫描精度：≤1.0%</w:t>
            </w:r>
          </w:p>
        </w:tc>
      </w:tr>
      <w:tr w14:paraId="04D885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250B2C7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★2.3.10</w:t>
            </w:r>
          </w:p>
        </w:tc>
        <w:tc>
          <w:tcPr>
            <w:tcW w:w="4327" w:type="pct"/>
            <w:noWrap w:val="0"/>
            <w:vAlign w:val="top"/>
          </w:tcPr>
          <w:p w14:paraId="7503096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长期稳定，4年长期精度≤0.8%（</w:t>
            </w:r>
            <w:r>
              <w:rPr>
                <w:rFonts w:hint="eastAsia" w:ascii="新宋体" w:hAnsi="新宋体" w:eastAsia="新宋体" w:cs="新宋体"/>
                <w:color w:val="auto"/>
                <w:sz w:val="22"/>
                <w:szCs w:val="22"/>
                <w:highlight w:val="none"/>
                <w:lang w:val="en-US" w:eastAsia="zh-CN"/>
              </w:rPr>
              <w:t>提供</w:t>
            </w:r>
            <w:r>
              <w:rPr>
                <w:rFonts w:hint="eastAsia" w:ascii="新宋体" w:hAnsi="新宋体" w:eastAsia="新宋体" w:cs="新宋体"/>
                <w:color w:val="auto"/>
                <w:sz w:val="22"/>
                <w:szCs w:val="22"/>
                <w:highlight w:val="none"/>
                <w:lang w:val="en-US" w:eastAsia="zh-CN"/>
              </w:rPr>
              <w:t>国家相关部门检测报告或第三方</w:t>
            </w:r>
            <w:r>
              <w:rPr>
                <w:rFonts w:hint="eastAsia" w:ascii="新宋体" w:hAnsi="新宋体" w:eastAsia="新宋体" w:cs="新宋体"/>
                <w:strike/>
                <w:dstrike w:val="0"/>
                <w:color w:val="auto"/>
                <w:sz w:val="22"/>
                <w:szCs w:val="22"/>
                <w:highlight w:val="none"/>
                <w:lang w:val="en-US" w:eastAsia="zh-CN"/>
              </w:rPr>
              <w:t>权威</w:t>
            </w:r>
            <w:r>
              <w:rPr>
                <w:rFonts w:hint="eastAsia" w:ascii="新宋体" w:hAnsi="新宋体" w:eastAsia="新宋体" w:cs="新宋体"/>
                <w:color w:val="auto"/>
                <w:sz w:val="22"/>
                <w:szCs w:val="22"/>
                <w:highlight w:val="none"/>
                <w:lang w:val="en-US" w:eastAsia="zh-CN"/>
              </w:rPr>
              <w:t>文章，否则视为不符）</w:t>
            </w:r>
          </w:p>
        </w:tc>
      </w:tr>
      <w:tr w14:paraId="5B5DD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75FED06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2.4</w:t>
            </w:r>
          </w:p>
        </w:tc>
        <w:tc>
          <w:tcPr>
            <w:tcW w:w="4327" w:type="pct"/>
            <w:noWrap w:val="0"/>
            <w:vAlign w:val="top"/>
          </w:tcPr>
          <w:p w14:paraId="4F525AF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扫描部位及临床应用功能</w:t>
            </w:r>
          </w:p>
        </w:tc>
      </w:tr>
      <w:tr w14:paraId="5FAAB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34B4C4C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2.4.1</w:t>
            </w:r>
          </w:p>
        </w:tc>
        <w:tc>
          <w:tcPr>
            <w:tcW w:w="4327" w:type="pct"/>
            <w:noWrap w:val="0"/>
            <w:vAlign w:val="top"/>
          </w:tcPr>
          <w:p w14:paraId="405FD77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正位脊柱扫描、评估</w:t>
            </w:r>
          </w:p>
        </w:tc>
      </w:tr>
      <w:tr w14:paraId="4CEA97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0E0E714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2.4.2</w:t>
            </w:r>
          </w:p>
        </w:tc>
        <w:tc>
          <w:tcPr>
            <w:tcW w:w="4327" w:type="pct"/>
            <w:noWrap w:val="0"/>
            <w:vAlign w:val="top"/>
          </w:tcPr>
          <w:p w14:paraId="2652C99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侧位脊柱扫描、评估</w:t>
            </w:r>
          </w:p>
        </w:tc>
      </w:tr>
      <w:tr w14:paraId="44872B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477850E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2.4.3</w:t>
            </w:r>
          </w:p>
        </w:tc>
        <w:tc>
          <w:tcPr>
            <w:tcW w:w="4327" w:type="pct"/>
            <w:noWrap w:val="0"/>
            <w:vAlign w:val="top"/>
          </w:tcPr>
          <w:p w14:paraId="20180C0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单侧股骨扫描</w:t>
            </w:r>
          </w:p>
        </w:tc>
      </w:tr>
      <w:tr w14:paraId="0EE219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114ADC2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2.4.4</w:t>
            </w:r>
          </w:p>
        </w:tc>
        <w:tc>
          <w:tcPr>
            <w:tcW w:w="4327" w:type="pct"/>
            <w:noWrap w:val="0"/>
            <w:vAlign w:val="top"/>
          </w:tcPr>
          <w:p w14:paraId="7266748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双侧股骨自动扫描、评估</w:t>
            </w:r>
          </w:p>
        </w:tc>
      </w:tr>
      <w:tr w14:paraId="53358D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5116CF1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2.4.5</w:t>
            </w:r>
          </w:p>
        </w:tc>
        <w:tc>
          <w:tcPr>
            <w:tcW w:w="4327" w:type="pct"/>
            <w:noWrap w:val="0"/>
            <w:vAlign w:val="top"/>
          </w:tcPr>
          <w:p w14:paraId="5A00CA1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全身BMD扫描，并可进行四肢、胸部、腹部的单独区域分析测量</w:t>
            </w:r>
          </w:p>
        </w:tc>
      </w:tr>
      <w:tr w14:paraId="66625A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123D7E8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2.4.6</w:t>
            </w:r>
          </w:p>
        </w:tc>
        <w:tc>
          <w:tcPr>
            <w:tcW w:w="4327" w:type="pct"/>
            <w:noWrap w:val="0"/>
            <w:vAlign w:val="top"/>
          </w:tcPr>
          <w:p w14:paraId="076671B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全身肌肉/脂肪成分分析，并可进行四肢、胸部、腹部的单独区域分析测量</w:t>
            </w:r>
          </w:p>
        </w:tc>
      </w:tr>
      <w:tr w14:paraId="76EEEB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0DFAA7D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2.4.7</w:t>
            </w:r>
          </w:p>
        </w:tc>
        <w:tc>
          <w:tcPr>
            <w:tcW w:w="4327" w:type="pct"/>
            <w:noWrap w:val="0"/>
            <w:vAlign w:val="top"/>
          </w:tcPr>
          <w:p w14:paraId="0779DEE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自动WHO体重指数评估</w:t>
            </w:r>
          </w:p>
        </w:tc>
      </w:tr>
      <w:tr w14:paraId="57C302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388456E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2.4.8</w:t>
            </w:r>
          </w:p>
        </w:tc>
        <w:tc>
          <w:tcPr>
            <w:tcW w:w="4327" w:type="pct"/>
            <w:noWrap w:val="0"/>
            <w:vAlign w:val="top"/>
          </w:tcPr>
          <w:p w14:paraId="02F2CEF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人工关节置换后的自动扫描、评估。</w:t>
            </w:r>
          </w:p>
        </w:tc>
      </w:tr>
      <w:tr w14:paraId="393179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126B6F7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2.4.9</w:t>
            </w:r>
          </w:p>
        </w:tc>
        <w:tc>
          <w:tcPr>
            <w:tcW w:w="4327" w:type="pct"/>
            <w:noWrap w:val="0"/>
            <w:vAlign w:val="top"/>
          </w:tcPr>
          <w:p w14:paraId="529F323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儿科扫描</w:t>
            </w:r>
          </w:p>
        </w:tc>
      </w:tr>
      <w:tr w14:paraId="26872D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6FEBFA1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2.4.10</w:t>
            </w:r>
          </w:p>
        </w:tc>
        <w:tc>
          <w:tcPr>
            <w:tcW w:w="4327" w:type="pct"/>
            <w:noWrap w:val="0"/>
            <w:vAlign w:val="top"/>
          </w:tcPr>
          <w:p w14:paraId="796F60D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前臂自动扫描、评估</w:t>
            </w:r>
          </w:p>
        </w:tc>
      </w:tr>
      <w:tr w14:paraId="71FB2E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0E5B5A3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2.4.11</w:t>
            </w:r>
          </w:p>
        </w:tc>
        <w:tc>
          <w:tcPr>
            <w:tcW w:w="4327" w:type="pct"/>
            <w:noWrap w:val="0"/>
            <w:vAlign w:val="top"/>
          </w:tcPr>
          <w:p w14:paraId="11B320E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支持DICOM3.0，包括：</w:t>
            </w:r>
          </w:p>
          <w:p w14:paraId="1319A76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DICOM Send，</w:t>
            </w:r>
          </w:p>
          <w:p w14:paraId="1FD850D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DICOM Print，</w:t>
            </w:r>
          </w:p>
          <w:p w14:paraId="3E99AAF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DICOM Storage commitment，</w:t>
            </w:r>
          </w:p>
          <w:p w14:paraId="5CA04F6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DICOM Query/Retrieve</w:t>
            </w:r>
          </w:p>
          <w:p w14:paraId="44E2C46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DICOM Worklist/MPPS</w:t>
            </w:r>
          </w:p>
        </w:tc>
      </w:tr>
      <w:tr w14:paraId="510D26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57CF306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2.5</w:t>
            </w:r>
          </w:p>
        </w:tc>
        <w:tc>
          <w:tcPr>
            <w:tcW w:w="4327" w:type="pct"/>
            <w:noWrap w:val="0"/>
            <w:vAlign w:val="top"/>
          </w:tcPr>
          <w:p w14:paraId="3A91CE5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临床应用软件包</w:t>
            </w:r>
          </w:p>
        </w:tc>
      </w:tr>
      <w:tr w14:paraId="53C45F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1B0A633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2.5.1</w:t>
            </w:r>
          </w:p>
        </w:tc>
        <w:tc>
          <w:tcPr>
            <w:tcW w:w="4327" w:type="pct"/>
            <w:noWrap w:val="0"/>
            <w:vAlign w:val="top"/>
          </w:tcPr>
          <w:p w14:paraId="4B08FDC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运行环境：WINDOWS 系统</w:t>
            </w:r>
          </w:p>
        </w:tc>
      </w:tr>
      <w:tr w14:paraId="133DC8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260FAFD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2.5.2</w:t>
            </w:r>
          </w:p>
        </w:tc>
        <w:tc>
          <w:tcPr>
            <w:tcW w:w="4327" w:type="pct"/>
            <w:noWrap w:val="0"/>
            <w:vAlign w:val="top"/>
          </w:tcPr>
          <w:p w14:paraId="425518B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骨密度仪中英文操作软件</w:t>
            </w:r>
          </w:p>
        </w:tc>
      </w:tr>
      <w:tr w14:paraId="166F41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357C2FB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2.5.3</w:t>
            </w:r>
          </w:p>
        </w:tc>
        <w:tc>
          <w:tcPr>
            <w:tcW w:w="4327" w:type="pct"/>
            <w:noWrap w:val="0"/>
            <w:vAlign w:val="top"/>
          </w:tcPr>
          <w:p w14:paraId="095C1BC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骨密度结果中文影像检测报告</w:t>
            </w:r>
          </w:p>
        </w:tc>
      </w:tr>
      <w:tr w14:paraId="3CFC09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44624B1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2.5.4</w:t>
            </w:r>
          </w:p>
        </w:tc>
        <w:tc>
          <w:tcPr>
            <w:tcW w:w="4327" w:type="pct"/>
            <w:noWrap w:val="0"/>
            <w:vAlign w:val="top"/>
          </w:tcPr>
          <w:p w14:paraId="2266625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骨密度及标准骨密度计算软件包</w:t>
            </w:r>
          </w:p>
        </w:tc>
      </w:tr>
      <w:tr w14:paraId="0E77AB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3F5C7EA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2.5.5</w:t>
            </w:r>
          </w:p>
        </w:tc>
        <w:tc>
          <w:tcPr>
            <w:tcW w:w="4327" w:type="pct"/>
            <w:noWrap w:val="0"/>
            <w:vAlign w:val="top"/>
          </w:tcPr>
          <w:p w14:paraId="25EBBD3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NHANES  参照数据库</w:t>
            </w:r>
          </w:p>
        </w:tc>
      </w:tr>
      <w:tr w14:paraId="341E34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7013636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2.5.6</w:t>
            </w:r>
          </w:p>
        </w:tc>
        <w:tc>
          <w:tcPr>
            <w:tcW w:w="4327" w:type="pct"/>
            <w:noWrap w:val="0"/>
            <w:vAlign w:val="top"/>
          </w:tcPr>
          <w:p w14:paraId="296C6BC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ISCD国际临床骨密度仪协会分析报告系统</w:t>
            </w:r>
          </w:p>
        </w:tc>
      </w:tr>
      <w:tr w14:paraId="0C25BC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692E194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2.5.7</w:t>
            </w:r>
          </w:p>
        </w:tc>
        <w:tc>
          <w:tcPr>
            <w:tcW w:w="4327" w:type="pct"/>
            <w:noWrap w:val="0"/>
            <w:vAlign w:val="top"/>
          </w:tcPr>
          <w:p w14:paraId="3ED2FE1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中国大陆人骨密度参考数据库</w:t>
            </w:r>
          </w:p>
        </w:tc>
      </w:tr>
      <w:tr w14:paraId="3A2556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3C88873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2.5.8</w:t>
            </w:r>
          </w:p>
        </w:tc>
        <w:tc>
          <w:tcPr>
            <w:tcW w:w="4327" w:type="pct"/>
            <w:noWrap w:val="0"/>
            <w:vAlign w:val="top"/>
          </w:tcPr>
          <w:p w14:paraId="21A9B67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与前一次扫描结果对比分析</w:t>
            </w:r>
          </w:p>
        </w:tc>
      </w:tr>
      <w:tr w14:paraId="0B131C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0B6C912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2.5.9</w:t>
            </w:r>
          </w:p>
        </w:tc>
        <w:tc>
          <w:tcPr>
            <w:tcW w:w="4327" w:type="pct"/>
            <w:noWrap w:val="0"/>
            <w:vAlign w:val="top"/>
          </w:tcPr>
          <w:p w14:paraId="1B21812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异常骨密度区域或金属自动排除软件</w:t>
            </w:r>
          </w:p>
        </w:tc>
      </w:tr>
      <w:tr w14:paraId="3D63EF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6CBCB6E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2.5.10</w:t>
            </w:r>
          </w:p>
        </w:tc>
        <w:tc>
          <w:tcPr>
            <w:tcW w:w="4327" w:type="pct"/>
            <w:noWrap w:val="0"/>
            <w:vAlign w:val="top"/>
          </w:tcPr>
          <w:p w14:paraId="5A7D49D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屏幕上扫描部位调整（可以通过软件，在屏幕上对扫描部位做精细调整，保证测量的精确性）</w:t>
            </w:r>
          </w:p>
        </w:tc>
      </w:tr>
      <w:tr w14:paraId="0551A8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3FBFF89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2.5.11</w:t>
            </w:r>
          </w:p>
        </w:tc>
        <w:tc>
          <w:tcPr>
            <w:tcW w:w="4327" w:type="pct"/>
            <w:noWrap w:val="0"/>
            <w:vAlign w:val="top"/>
          </w:tcPr>
          <w:p w14:paraId="1A053B4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体重/种族差异校正软件</w:t>
            </w:r>
          </w:p>
        </w:tc>
      </w:tr>
      <w:tr w14:paraId="71BD02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3A51B05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2.5.12</w:t>
            </w:r>
          </w:p>
        </w:tc>
        <w:tc>
          <w:tcPr>
            <w:tcW w:w="4327" w:type="pct"/>
            <w:noWrap w:val="0"/>
            <w:vAlign w:val="top"/>
          </w:tcPr>
          <w:p w14:paraId="12C745B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T值和Z值分析软件</w:t>
            </w:r>
          </w:p>
        </w:tc>
      </w:tr>
      <w:tr w14:paraId="581D0A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3BAFA9C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2.5.13</w:t>
            </w:r>
          </w:p>
        </w:tc>
        <w:tc>
          <w:tcPr>
            <w:tcW w:w="4327" w:type="pct"/>
            <w:noWrap w:val="0"/>
            <w:vAlign w:val="top"/>
          </w:tcPr>
          <w:p w14:paraId="53D1C73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WHO骨折风险评估</w:t>
            </w:r>
          </w:p>
        </w:tc>
      </w:tr>
      <w:tr w14:paraId="6189C7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552AAF7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2.5.14</w:t>
            </w:r>
          </w:p>
        </w:tc>
        <w:tc>
          <w:tcPr>
            <w:tcW w:w="4327" w:type="pct"/>
            <w:noWrap w:val="0"/>
            <w:vAlign w:val="top"/>
          </w:tcPr>
          <w:p w14:paraId="129CA67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校准系统： 含质量检测程序，QA态势分析及质检模</w:t>
            </w:r>
          </w:p>
        </w:tc>
      </w:tr>
      <w:tr w14:paraId="734F09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4743258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2.5.15</w:t>
            </w:r>
          </w:p>
        </w:tc>
        <w:tc>
          <w:tcPr>
            <w:tcW w:w="4327" w:type="pct"/>
            <w:noWrap w:val="0"/>
            <w:vAlign w:val="top"/>
          </w:tcPr>
          <w:p w14:paraId="3EE1EAD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检测结果趋势分析软件</w:t>
            </w:r>
          </w:p>
        </w:tc>
      </w:tr>
      <w:tr w14:paraId="6BC236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6F42031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2.5.16</w:t>
            </w:r>
          </w:p>
        </w:tc>
        <w:tc>
          <w:tcPr>
            <w:tcW w:w="4327" w:type="pct"/>
            <w:noWrap w:val="0"/>
            <w:vAlign w:val="top"/>
          </w:tcPr>
          <w:p w14:paraId="19B9A86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弯曲脊柱专用分析</w:t>
            </w:r>
          </w:p>
        </w:tc>
      </w:tr>
      <w:tr w14:paraId="214F31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78D3B2E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2.5.17</w:t>
            </w:r>
          </w:p>
        </w:tc>
        <w:tc>
          <w:tcPr>
            <w:tcW w:w="4327" w:type="pct"/>
            <w:noWrap w:val="0"/>
            <w:vAlign w:val="top"/>
          </w:tcPr>
          <w:p w14:paraId="5AA4A7B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扫描时自动对比该病人以往图像</w:t>
            </w:r>
          </w:p>
        </w:tc>
      </w:tr>
      <w:tr w14:paraId="78E043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55E3D57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2.5.18</w:t>
            </w:r>
          </w:p>
        </w:tc>
        <w:tc>
          <w:tcPr>
            <w:tcW w:w="4327" w:type="pct"/>
            <w:noWrap w:val="0"/>
            <w:vAlign w:val="top"/>
          </w:tcPr>
          <w:p w14:paraId="5BA3A96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中文多部位集成报告软件-多部位集成报告系统，将所有检测部位打印在一张报告上进行联合评估</w:t>
            </w:r>
          </w:p>
        </w:tc>
      </w:tr>
      <w:tr w14:paraId="62492E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4F5124F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★2.5.19</w:t>
            </w:r>
          </w:p>
        </w:tc>
        <w:tc>
          <w:tcPr>
            <w:tcW w:w="4327" w:type="pct"/>
            <w:noWrap w:val="0"/>
            <w:vAlign w:val="top"/>
          </w:tcPr>
          <w:p w14:paraId="72F71C1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具备内脏脂肪分析科研软件，并可测量内脏脂肪的面积（提供具备内脏脂肪面积数值的图文报告，否则视为不符）</w:t>
            </w:r>
          </w:p>
        </w:tc>
      </w:tr>
      <w:tr w14:paraId="7684CC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0E233B5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2.5.20</w:t>
            </w:r>
          </w:p>
        </w:tc>
        <w:tc>
          <w:tcPr>
            <w:tcW w:w="4327" w:type="pct"/>
            <w:noWrap w:val="0"/>
            <w:vAlign w:val="top"/>
          </w:tcPr>
          <w:p w14:paraId="63833CC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具备儿童测量软件</w:t>
            </w:r>
          </w:p>
        </w:tc>
      </w:tr>
      <w:tr w14:paraId="0165C0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49D1199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2.5.21</w:t>
            </w:r>
          </w:p>
        </w:tc>
        <w:tc>
          <w:tcPr>
            <w:tcW w:w="4327" w:type="pct"/>
            <w:noWrap w:val="0"/>
            <w:vAlign w:val="top"/>
          </w:tcPr>
          <w:p w14:paraId="45EA440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具备IVA 快速脊柱形态评估功能软件</w:t>
            </w:r>
          </w:p>
        </w:tc>
      </w:tr>
      <w:tr w14:paraId="6BC158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624F44A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2.5.22</w:t>
            </w:r>
          </w:p>
        </w:tc>
        <w:tc>
          <w:tcPr>
            <w:tcW w:w="4327" w:type="pct"/>
            <w:noWrap w:val="0"/>
            <w:vAlign w:val="top"/>
          </w:tcPr>
          <w:p w14:paraId="1ABCDB9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具备小动物科研软件</w:t>
            </w:r>
          </w:p>
        </w:tc>
      </w:tr>
      <w:tr w14:paraId="3B6180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54F03E9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2.6</w:t>
            </w:r>
          </w:p>
        </w:tc>
        <w:tc>
          <w:tcPr>
            <w:tcW w:w="4327" w:type="pct"/>
            <w:noWrap w:val="0"/>
            <w:vAlign w:val="top"/>
          </w:tcPr>
          <w:p w14:paraId="0B0C183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校准</w:t>
            </w:r>
          </w:p>
        </w:tc>
      </w:tr>
      <w:tr w14:paraId="041C98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7DB3828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2.6.1</w:t>
            </w:r>
          </w:p>
        </w:tc>
        <w:tc>
          <w:tcPr>
            <w:tcW w:w="4327" w:type="pct"/>
            <w:noWrap w:val="0"/>
            <w:vAlign w:val="top"/>
          </w:tcPr>
          <w:p w14:paraId="2DBE3BC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自动质控测试程序</w:t>
            </w:r>
          </w:p>
        </w:tc>
      </w:tr>
      <w:tr w14:paraId="45906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64F26CC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2.6.2</w:t>
            </w:r>
          </w:p>
        </w:tc>
        <w:tc>
          <w:tcPr>
            <w:tcW w:w="4327" w:type="pct"/>
            <w:noWrap w:val="0"/>
            <w:vAlign w:val="top"/>
          </w:tcPr>
          <w:p w14:paraId="357D8B9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外校准系统----仿真人体脊柱体模</w:t>
            </w:r>
          </w:p>
        </w:tc>
      </w:tr>
      <w:tr w14:paraId="7B0C7E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3E46C68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★2.6.3</w:t>
            </w:r>
          </w:p>
        </w:tc>
        <w:tc>
          <w:tcPr>
            <w:tcW w:w="4327" w:type="pct"/>
            <w:noWrap w:val="0"/>
            <w:vAlign w:val="top"/>
          </w:tcPr>
          <w:p w14:paraId="0616FB0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实时内校准系统</w:t>
            </w:r>
          </w:p>
        </w:tc>
      </w:tr>
      <w:tr w14:paraId="7B3F15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437FFB1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2.7</w:t>
            </w:r>
          </w:p>
        </w:tc>
        <w:tc>
          <w:tcPr>
            <w:tcW w:w="4327" w:type="pct"/>
            <w:noWrap w:val="0"/>
            <w:vAlign w:val="top"/>
          </w:tcPr>
          <w:p w14:paraId="7D56346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电脑工作站系统</w:t>
            </w:r>
          </w:p>
        </w:tc>
      </w:tr>
      <w:tr w14:paraId="01A07B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3E1F80C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2.7.1</w:t>
            </w:r>
          </w:p>
        </w:tc>
        <w:tc>
          <w:tcPr>
            <w:tcW w:w="4327" w:type="pct"/>
            <w:noWrap w:val="0"/>
            <w:vAlign w:val="top"/>
          </w:tcPr>
          <w:p w14:paraId="295E5D9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图文工作站:CPU双核,主频：≥3GHz；内存：≥4G；硬盘：≥500GB ；DVD±RW驱动器；显示器：≥19寸液晶显示器</w:t>
            </w:r>
          </w:p>
        </w:tc>
      </w:tr>
      <w:tr w14:paraId="544F08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44ABEFF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2.7.2</w:t>
            </w:r>
          </w:p>
        </w:tc>
        <w:tc>
          <w:tcPr>
            <w:tcW w:w="4327" w:type="pct"/>
            <w:noWrap w:val="0"/>
            <w:vAlign w:val="top"/>
          </w:tcPr>
          <w:p w14:paraId="04432F4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具备打印功能</w:t>
            </w:r>
          </w:p>
        </w:tc>
      </w:tr>
    </w:tbl>
    <w:p w14:paraId="357DEF9E">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color w:val="auto"/>
          <w:highlight w:val="none"/>
        </w:rPr>
      </w:pPr>
      <w:r>
        <w:rPr>
          <w:rFonts w:hint="eastAsia" w:ascii="新宋体" w:hAnsi="新宋体" w:eastAsia="新宋体" w:cs="新宋体"/>
          <w:b/>
          <w:bCs/>
          <w:color w:val="auto"/>
          <w:sz w:val="22"/>
          <w:szCs w:val="22"/>
          <w:highlight w:val="none"/>
          <w:u w:val="none"/>
          <w:lang w:val="en-US" w:eastAsia="zh-CN"/>
        </w:rPr>
        <w:t>二、</w:t>
      </w:r>
      <w:r>
        <w:rPr>
          <w:rFonts w:hint="eastAsia" w:ascii="新宋体" w:hAnsi="新宋体" w:eastAsia="新宋体" w:cs="新宋体"/>
          <w:b/>
          <w:bCs/>
          <w:color w:val="auto"/>
          <w:sz w:val="22"/>
          <w:szCs w:val="22"/>
          <w:highlight w:val="none"/>
          <w:u w:val="none"/>
        </w:rPr>
        <w:t>配置</w:t>
      </w:r>
    </w:p>
    <w:tbl>
      <w:tblPr>
        <w:tblStyle w:val="53"/>
        <w:tblW w:w="4926" w:type="pct"/>
        <w:tblInd w:w="6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70" w:type="dxa"/>
          <w:bottom w:w="0" w:type="dxa"/>
          <w:right w:w="70" w:type="dxa"/>
        </w:tblCellMar>
      </w:tblPr>
      <w:tblGrid>
        <w:gridCol w:w="1295"/>
        <w:gridCol w:w="8339"/>
      </w:tblGrid>
      <w:tr w14:paraId="4FD287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7EBBB67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w:t>
            </w:r>
          </w:p>
        </w:tc>
        <w:tc>
          <w:tcPr>
            <w:tcW w:w="4327" w:type="pct"/>
            <w:noWrap w:val="0"/>
            <w:vAlign w:val="center"/>
          </w:tcPr>
          <w:p w14:paraId="7D2ABE4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配置</w:t>
            </w:r>
          </w:p>
        </w:tc>
      </w:tr>
      <w:tr w14:paraId="15761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000998E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4327" w:type="pct"/>
            <w:noWrap w:val="0"/>
            <w:vAlign w:val="center"/>
          </w:tcPr>
          <w:p w14:paraId="0B6AD78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套</w:t>
            </w:r>
          </w:p>
        </w:tc>
      </w:tr>
      <w:tr w14:paraId="610E2A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32448BE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4327" w:type="pct"/>
            <w:noWrap w:val="0"/>
            <w:vAlign w:val="center"/>
          </w:tcPr>
          <w:p w14:paraId="2375FD6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每套设备含主机</w:t>
            </w:r>
            <w:r>
              <w:rPr>
                <w:rFonts w:hint="eastAsia" w:ascii="新宋体" w:hAnsi="新宋体" w:eastAsia="新宋体" w:cs="新宋体"/>
                <w:color w:val="auto"/>
                <w:sz w:val="22"/>
                <w:szCs w:val="22"/>
                <w:highlight w:val="none"/>
                <w:lang w:val="en-US" w:eastAsia="zh-CN"/>
              </w:rPr>
              <w:t>1套，图文工作站1套</w:t>
            </w:r>
          </w:p>
        </w:tc>
      </w:tr>
      <w:tr w14:paraId="5CA3EB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0535E82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w:t>
            </w:r>
          </w:p>
        </w:tc>
        <w:tc>
          <w:tcPr>
            <w:tcW w:w="4327" w:type="pct"/>
            <w:noWrap w:val="0"/>
            <w:vAlign w:val="center"/>
          </w:tcPr>
          <w:p w14:paraId="0D937E6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负责接入医院</w:t>
            </w:r>
            <w:r>
              <w:rPr>
                <w:rFonts w:hint="eastAsia" w:ascii="新宋体" w:hAnsi="新宋体" w:eastAsia="新宋体" w:cs="新宋体"/>
                <w:color w:val="auto"/>
                <w:sz w:val="22"/>
                <w:szCs w:val="22"/>
                <w:highlight w:val="none"/>
                <w:lang w:val="en-US" w:eastAsia="zh-CN"/>
              </w:rPr>
              <w:t>PACS</w:t>
            </w:r>
          </w:p>
        </w:tc>
      </w:tr>
    </w:tbl>
    <w:p w14:paraId="3800E809">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color w:val="auto"/>
          <w:highlight w:val="none"/>
        </w:rPr>
      </w:pPr>
      <w:r>
        <w:rPr>
          <w:rFonts w:hint="eastAsia" w:ascii="新宋体" w:hAnsi="新宋体" w:eastAsia="新宋体" w:cs="新宋体"/>
          <w:b/>
          <w:bCs/>
          <w:color w:val="auto"/>
          <w:sz w:val="22"/>
          <w:szCs w:val="22"/>
          <w:highlight w:val="none"/>
          <w:u w:val="none"/>
          <w:lang w:val="en-US" w:eastAsia="zh-CN"/>
        </w:rPr>
        <w:t>三、商务要求</w:t>
      </w:r>
    </w:p>
    <w:tbl>
      <w:tblPr>
        <w:tblStyle w:val="53"/>
        <w:tblW w:w="4926" w:type="pct"/>
        <w:tblInd w:w="6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70" w:type="dxa"/>
          <w:bottom w:w="0" w:type="dxa"/>
          <w:right w:w="70" w:type="dxa"/>
        </w:tblCellMar>
      </w:tblPr>
      <w:tblGrid>
        <w:gridCol w:w="1295"/>
        <w:gridCol w:w="8339"/>
      </w:tblGrid>
      <w:tr w14:paraId="1D6FB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7C96F8C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三</w:t>
            </w:r>
          </w:p>
        </w:tc>
        <w:tc>
          <w:tcPr>
            <w:tcW w:w="4327" w:type="pct"/>
            <w:noWrap w:val="0"/>
            <w:vAlign w:val="center"/>
          </w:tcPr>
          <w:p w14:paraId="1C61CE1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其他</w:t>
            </w:r>
          </w:p>
        </w:tc>
      </w:tr>
      <w:tr w14:paraId="5FA227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69DDA24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1</w:t>
            </w:r>
          </w:p>
        </w:tc>
        <w:tc>
          <w:tcPr>
            <w:tcW w:w="4327" w:type="pct"/>
            <w:noWrap w:val="0"/>
            <w:vAlign w:val="center"/>
          </w:tcPr>
          <w:p w14:paraId="6286810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投标产品验收合格后保修≥</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年，投标时提供制造商原厂保修证明。整机终生免费提供软件功能升级服务，并及时提供设备新功能和临床应用的资料。零配件在该设备停产后仍需保证10年的供应。</w:t>
            </w:r>
          </w:p>
        </w:tc>
      </w:tr>
      <w:tr w14:paraId="474FBE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3212C3F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2</w:t>
            </w:r>
          </w:p>
        </w:tc>
        <w:tc>
          <w:tcPr>
            <w:tcW w:w="4327" w:type="pct"/>
            <w:noWrap w:val="0"/>
            <w:vAlign w:val="center"/>
          </w:tcPr>
          <w:p w14:paraId="4FE7D2C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报出保后每套设备的年保修价格（允许非连保），不含在投标总价中，今后医院购买保修，制造商承诺不得高于此价格。</w:t>
            </w:r>
          </w:p>
        </w:tc>
      </w:tr>
      <w:tr w14:paraId="7F6A0B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3FCF9AC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3</w:t>
            </w:r>
          </w:p>
        </w:tc>
        <w:tc>
          <w:tcPr>
            <w:tcW w:w="4327" w:type="pct"/>
            <w:noWrap w:val="0"/>
            <w:vAlign w:val="center"/>
          </w:tcPr>
          <w:p w14:paraId="5785CA4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合同签订后</w:t>
            </w:r>
            <w:r>
              <w:rPr>
                <w:rFonts w:hint="eastAsia" w:ascii="新宋体" w:hAnsi="新宋体" w:eastAsia="新宋体" w:cs="新宋体"/>
                <w:color w:val="auto"/>
                <w:sz w:val="22"/>
                <w:szCs w:val="22"/>
                <w:highlight w:val="none"/>
                <w:lang w:val="en-US" w:eastAsia="zh-CN"/>
              </w:rPr>
              <w:t>60</w:t>
            </w:r>
            <w:r>
              <w:rPr>
                <w:rFonts w:hint="eastAsia" w:ascii="新宋体" w:hAnsi="新宋体" w:eastAsia="新宋体" w:cs="新宋体"/>
                <w:color w:val="auto"/>
                <w:sz w:val="22"/>
                <w:szCs w:val="22"/>
                <w:highlight w:val="none"/>
              </w:rPr>
              <w:t>天内到货，货物必须是</w:t>
            </w:r>
            <w:r>
              <w:rPr>
                <w:rFonts w:hint="eastAsia" w:ascii="新宋体" w:hAnsi="新宋体" w:eastAsia="新宋体" w:cs="新宋体"/>
                <w:color w:val="auto"/>
                <w:sz w:val="22"/>
                <w:szCs w:val="22"/>
                <w:highlight w:val="none"/>
                <w:lang w:eastAsia="zh-CN"/>
              </w:rPr>
              <w:t>距投标日</w:t>
            </w:r>
            <w:r>
              <w:rPr>
                <w:rFonts w:hint="eastAsia" w:ascii="新宋体" w:hAnsi="新宋体" w:eastAsia="新宋体" w:cs="新宋体"/>
                <w:color w:val="auto"/>
                <w:sz w:val="22"/>
                <w:szCs w:val="22"/>
                <w:highlight w:val="none"/>
                <w:lang w:val="en-US" w:eastAsia="zh-CN"/>
              </w:rPr>
              <w:t>10个月内</w:t>
            </w:r>
            <w:r>
              <w:rPr>
                <w:rFonts w:hint="eastAsia" w:ascii="新宋体" w:hAnsi="新宋体" w:eastAsia="新宋体" w:cs="新宋体"/>
                <w:color w:val="auto"/>
                <w:sz w:val="22"/>
                <w:szCs w:val="22"/>
                <w:highlight w:val="none"/>
              </w:rPr>
              <w:t>生产。</w:t>
            </w:r>
          </w:p>
        </w:tc>
      </w:tr>
      <w:tr w14:paraId="21C9FA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21CDF95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4</w:t>
            </w:r>
          </w:p>
        </w:tc>
        <w:tc>
          <w:tcPr>
            <w:tcW w:w="4327" w:type="pct"/>
            <w:noWrap w:val="0"/>
            <w:vAlign w:val="center"/>
          </w:tcPr>
          <w:p w14:paraId="221268B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投标产品使用寿命≥</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rPr>
              <w:t>年，投标时须提供证明材料（依据注册证或说明书或产品铭牌照片）</w:t>
            </w:r>
          </w:p>
        </w:tc>
      </w:tr>
      <w:tr w14:paraId="150996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2183E3C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5</w:t>
            </w:r>
          </w:p>
        </w:tc>
        <w:tc>
          <w:tcPr>
            <w:tcW w:w="4327" w:type="pct"/>
            <w:noWrap w:val="0"/>
            <w:vAlign w:val="center"/>
          </w:tcPr>
          <w:p w14:paraId="04B8D66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保修期内，除一次性耗材，易耗品外其他维修部件全部免费提供，投标时列明一次性耗材、易耗品清单及价格，未列明的视为免费提供。</w:t>
            </w:r>
          </w:p>
        </w:tc>
      </w:tr>
      <w:tr w14:paraId="7B497D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221CD37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6</w:t>
            </w:r>
          </w:p>
        </w:tc>
        <w:tc>
          <w:tcPr>
            <w:tcW w:w="4327" w:type="pct"/>
            <w:noWrap w:val="0"/>
            <w:vAlign w:val="center"/>
          </w:tcPr>
          <w:p w14:paraId="3339846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设备生命周期内（需满足国家法定要求），因配件无法供应、耗材无法供应、国家法律法规或地方法规、政策原因等等（包括但不限于上述原因的非院方因素）导致设备无法正常使用的，中标商承担设备后续折旧费。设备验收后导致生命周期无法满足国家规定报废最低年限要求的，中标商承担设备不足部分年限折旧费。</w:t>
            </w:r>
          </w:p>
        </w:tc>
      </w:tr>
      <w:tr w14:paraId="3499F2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42E4692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7</w:t>
            </w:r>
          </w:p>
        </w:tc>
        <w:tc>
          <w:tcPr>
            <w:tcW w:w="4327" w:type="pct"/>
            <w:noWrap w:val="0"/>
            <w:vAlign w:val="center"/>
          </w:tcPr>
          <w:p w14:paraId="32A11B8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投标时标明所有单价1000元以上维修备件的清单和供货价。提供不高于同期温州市其他市级医院相同产品的采购价格的最优惠报价，并承诺8年内售价不得高于此价格。如未列明，则默认为日后日常使用中免费提供。</w:t>
            </w:r>
          </w:p>
        </w:tc>
      </w:tr>
      <w:tr w14:paraId="680515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5C0D255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8</w:t>
            </w:r>
          </w:p>
        </w:tc>
        <w:tc>
          <w:tcPr>
            <w:tcW w:w="4327" w:type="pct"/>
            <w:noWrap w:val="0"/>
            <w:vAlign w:val="center"/>
          </w:tcPr>
          <w:p w14:paraId="50B2C2E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质保期内每年每套设备故障率均不得超过14天，每超过一天该设备质保期相应延长10天。</w:t>
            </w:r>
          </w:p>
        </w:tc>
      </w:tr>
      <w:tr w14:paraId="3C9A72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124425E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9</w:t>
            </w:r>
          </w:p>
        </w:tc>
        <w:tc>
          <w:tcPr>
            <w:tcW w:w="4327" w:type="pct"/>
            <w:noWrap w:val="0"/>
            <w:vAlign w:val="center"/>
          </w:tcPr>
          <w:p w14:paraId="2D30C45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提供原厂DATASHEET</w:t>
            </w:r>
          </w:p>
        </w:tc>
      </w:tr>
      <w:tr w14:paraId="044EF8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72C4482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10</w:t>
            </w:r>
          </w:p>
        </w:tc>
        <w:tc>
          <w:tcPr>
            <w:tcW w:w="4327" w:type="pct"/>
            <w:noWrap w:val="0"/>
            <w:vAlign w:val="center"/>
          </w:tcPr>
          <w:p w14:paraId="0250B24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设备安装、调试</w:t>
            </w:r>
          </w:p>
        </w:tc>
      </w:tr>
      <w:tr w14:paraId="10C85A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5A4840A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10.1</w:t>
            </w:r>
          </w:p>
        </w:tc>
        <w:tc>
          <w:tcPr>
            <w:tcW w:w="4327" w:type="pct"/>
            <w:noWrap w:val="0"/>
            <w:vAlign w:val="center"/>
          </w:tcPr>
          <w:p w14:paraId="0F497BF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安装地点：采购单位指定位置。</w:t>
            </w:r>
          </w:p>
        </w:tc>
      </w:tr>
      <w:tr w14:paraId="4871E6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5E36B70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10.2</w:t>
            </w:r>
          </w:p>
        </w:tc>
        <w:tc>
          <w:tcPr>
            <w:tcW w:w="4327" w:type="pct"/>
            <w:noWrap w:val="0"/>
            <w:vAlign w:val="center"/>
          </w:tcPr>
          <w:p w14:paraId="6A70F15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安装完成时间：投标方应在投标文件中明确正常完成安装调试的时间期限，并提供超出期限情况下投标方对因此给买方造成损失的赔偿计划。</w:t>
            </w:r>
          </w:p>
        </w:tc>
      </w:tr>
      <w:tr w14:paraId="349803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0046A52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10.3</w:t>
            </w:r>
          </w:p>
        </w:tc>
        <w:tc>
          <w:tcPr>
            <w:tcW w:w="4327" w:type="pct"/>
            <w:noWrap w:val="0"/>
            <w:vAlign w:val="center"/>
          </w:tcPr>
          <w:p w14:paraId="148E10F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安装标准：符合中华人民共和国国家有关技术规范要求和技术标准。所有的软件和硬件必须保证同时安装到位。</w:t>
            </w:r>
          </w:p>
        </w:tc>
      </w:tr>
      <w:tr w14:paraId="05AD06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47AF5F7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10.4</w:t>
            </w:r>
          </w:p>
        </w:tc>
        <w:tc>
          <w:tcPr>
            <w:tcW w:w="4327" w:type="pct"/>
            <w:noWrap w:val="0"/>
            <w:vAlign w:val="center"/>
          </w:tcPr>
          <w:p w14:paraId="415589A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安装费用：安装过程中发生的费用（含检测、耗材等）由卖方负责。投标方应在投标文件中提供其安装调试计划和对安装场地和环境的要求。</w:t>
            </w:r>
          </w:p>
        </w:tc>
      </w:tr>
      <w:tr w14:paraId="0B37BD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2C10B54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10.5</w:t>
            </w:r>
          </w:p>
        </w:tc>
        <w:tc>
          <w:tcPr>
            <w:tcW w:w="4327" w:type="pct"/>
            <w:noWrap w:val="0"/>
            <w:vAlign w:val="center"/>
          </w:tcPr>
          <w:p w14:paraId="2B566B2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安装人员：应由中标方有三台以上（含）同类型设备安装经验的原厂工程师负责安装。</w:t>
            </w:r>
          </w:p>
        </w:tc>
      </w:tr>
      <w:tr w14:paraId="37BCD9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07EC14B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11</w:t>
            </w:r>
          </w:p>
        </w:tc>
        <w:tc>
          <w:tcPr>
            <w:tcW w:w="4327" w:type="pct"/>
            <w:noWrap w:val="0"/>
            <w:vAlign w:val="center"/>
          </w:tcPr>
          <w:p w14:paraId="65AEDFF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培训</w:t>
            </w:r>
          </w:p>
        </w:tc>
      </w:tr>
      <w:tr w14:paraId="40B675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05D40C0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11.1</w:t>
            </w:r>
          </w:p>
        </w:tc>
        <w:tc>
          <w:tcPr>
            <w:tcW w:w="4327" w:type="pct"/>
            <w:noWrap w:val="0"/>
            <w:vAlign w:val="center"/>
          </w:tcPr>
          <w:p w14:paraId="7C9777F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中标方应对买方的维修人员进行培训并承担所有费用，使其能对设备进行日常的维护保养并能对一般故障及时进行维修。所有的维修图纸、维修手册及维修调试软件的密码及专用的维修工具应全部免费提供。</w:t>
            </w:r>
          </w:p>
        </w:tc>
      </w:tr>
      <w:tr w14:paraId="1E6291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2408A3D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11.2</w:t>
            </w:r>
          </w:p>
        </w:tc>
        <w:tc>
          <w:tcPr>
            <w:tcW w:w="4327" w:type="pct"/>
            <w:noWrap w:val="0"/>
            <w:vAlign w:val="center"/>
          </w:tcPr>
          <w:p w14:paraId="099114F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中标方应对买方的操作人员进行培训并承担所有费用。</w:t>
            </w:r>
          </w:p>
        </w:tc>
      </w:tr>
      <w:tr w14:paraId="00240C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17B5E38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11.3</w:t>
            </w:r>
          </w:p>
        </w:tc>
        <w:tc>
          <w:tcPr>
            <w:tcW w:w="4327" w:type="pct"/>
            <w:noWrap w:val="0"/>
            <w:vAlign w:val="center"/>
          </w:tcPr>
          <w:p w14:paraId="7663A69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培训完成后，中标方须提供详细培训记录，培训记录应有培训内容、参加人员（签字）、培训地点、培训时间以及操作人员考核情况。</w:t>
            </w:r>
          </w:p>
        </w:tc>
      </w:tr>
      <w:tr w14:paraId="2617C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5A5C713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p>
        </w:tc>
        <w:tc>
          <w:tcPr>
            <w:tcW w:w="4327" w:type="pct"/>
            <w:noWrap w:val="0"/>
            <w:vAlign w:val="center"/>
          </w:tcPr>
          <w:p w14:paraId="19FC591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验收</w:t>
            </w:r>
          </w:p>
        </w:tc>
      </w:tr>
      <w:tr w14:paraId="598F0C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4482E2E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12.1</w:t>
            </w:r>
          </w:p>
        </w:tc>
        <w:tc>
          <w:tcPr>
            <w:tcW w:w="4327" w:type="pct"/>
            <w:noWrap w:val="0"/>
            <w:vAlign w:val="center"/>
          </w:tcPr>
          <w:p w14:paraId="346E0A3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投标方在投标时应提供设备的验收标准、安装技术规范，供买方参考。</w:t>
            </w:r>
          </w:p>
        </w:tc>
      </w:tr>
      <w:tr w14:paraId="4C9B1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3CDAB7E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12.2</w:t>
            </w:r>
          </w:p>
        </w:tc>
        <w:tc>
          <w:tcPr>
            <w:tcW w:w="4327" w:type="pct"/>
            <w:noWrap w:val="0"/>
            <w:vAlign w:val="center"/>
          </w:tcPr>
          <w:p w14:paraId="33FFAE9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验收依据：按投标文件、招标文件及国家标准验收。</w:t>
            </w:r>
          </w:p>
        </w:tc>
      </w:tr>
      <w:tr w14:paraId="5F3211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3F2B41C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12.3</w:t>
            </w:r>
          </w:p>
        </w:tc>
        <w:tc>
          <w:tcPr>
            <w:tcW w:w="4327" w:type="pct"/>
            <w:noWrap w:val="0"/>
            <w:vAlign w:val="center"/>
          </w:tcPr>
          <w:p w14:paraId="00058AF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验收时，投标人提供下列资料：</w:t>
            </w:r>
          </w:p>
          <w:p w14:paraId="6596B30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提供三证，完整的中英文技术资料，包括操作手册</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套、维修手册1套及电子版的操作规程等。同时应提供原厂的出厂配置清单、设备出厂检验报告和质量合格证书等，如系进口产品，还应提供报关证明、检验检疫合格证明（如需）。如属计量产品还需提供计量检定报告。</w:t>
            </w:r>
          </w:p>
        </w:tc>
      </w:tr>
      <w:tr w14:paraId="719F3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6C238B6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12.4</w:t>
            </w:r>
          </w:p>
        </w:tc>
        <w:tc>
          <w:tcPr>
            <w:tcW w:w="4327" w:type="pct"/>
            <w:noWrap w:val="0"/>
            <w:vAlign w:val="center"/>
          </w:tcPr>
          <w:p w14:paraId="003CAD5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设备到达最终用户后，要求卖方及安装人员会同买方共同参与设备验收。设备安装调试后，卖方负责安装质量，并经验收合格后，买卖双方共同签署设备验收合格证书。</w:t>
            </w:r>
          </w:p>
        </w:tc>
      </w:tr>
      <w:tr w14:paraId="45375D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7A11C05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12.5</w:t>
            </w:r>
          </w:p>
        </w:tc>
        <w:tc>
          <w:tcPr>
            <w:tcW w:w="4327" w:type="pct"/>
            <w:noWrap w:val="0"/>
            <w:vAlign w:val="center"/>
          </w:tcPr>
          <w:p w14:paraId="4C10E5B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验收过程中发现货物性能或功能达不到要求，卖方必须更换有关部件，使货物最终达到规定的性能指标和功能要求，但必须在发现问题后15个工作日内完成。</w:t>
            </w:r>
          </w:p>
        </w:tc>
      </w:tr>
      <w:tr w14:paraId="4464A1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6D47371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12.6</w:t>
            </w:r>
          </w:p>
        </w:tc>
        <w:tc>
          <w:tcPr>
            <w:tcW w:w="4327" w:type="pct"/>
            <w:noWrap w:val="0"/>
            <w:vAlign w:val="center"/>
          </w:tcPr>
          <w:p w14:paraId="4D67D0D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所有验收相关费用由产品中标方负担</w:t>
            </w:r>
          </w:p>
        </w:tc>
      </w:tr>
      <w:tr w14:paraId="3F7D3B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27E238A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w:t>
            </w:r>
          </w:p>
        </w:tc>
        <w:tc>
          <w:tcPr>
            <w:tcW w:w="4327" w:type="pct"/>
            <w:noWrap w:val="0"/>
            <w:vAlign w:val="center"/>
          </w:tcPr>
          <w:p w14:paraId="41288FA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付款方式和条件</w:t>
            </w:r>
          </w:p>
        </w:tc>
      </w:tr>
      <w:tr w14:paraId="324BAA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38D8909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13.1</w:t>
            </w:r>
          </w:p>
        </w:tc>
        <w:tc>
          <w:tcPr>
            <w:tcW w:w="4327" w:type="pct"/>
            <w:noWrap w:val="0"/>
            <w:vAlign w:val="center"/>
          </w:tcPr>
          <w:p w14:paraId="2F9864B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zh-CN" w:eastAsia="zh-CN"/>
              </w:rPr>
            </w:pPr>
            <w:r>
              <w:rPr>
                <w:rFonts w:hint="eastAsia" w:ascii="新宋体" w:hAnsi="新宋体" w:eastAsia="新宋体" w:cs="新宋体"/>
                <w:color w:val="auto"/>
                <w:sz w:val="22"/>
                <w:szCs w:val="22"/>
                <w:highlight w:val="none"/>
                <w:lang w:val="zh-CN" w:eastAsia="zh-CN"/>
              </w:rPr>
              <w:t>付款方式：对经评审小组按招标文件规定认定为中小微企业的，合同签订并通知中标方发货之日起7个工作日内，支付全部货款的40%作为预付款。剩余全部货款的60%在项目全部验收合格并收到中标人发票后的7个工作日内支付给中标人。</w:t>
            </w:r>
          </w:p>
          <w:p w14:paraId="6542C49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eastAsia="zh-CN"/>
              </w:rPr>
              <w:t>对非中小微企业中标的，项目全部货款在项目全部验收合格并收到中标人发票后的7个工作日内支付给中标人。</w:t>
            </w:r>
          </w:p>
        </w:tc>
      </w:tr>
      <w:tr w14:paraId="5805CA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781E484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13.2</w:t>
            </w:r>
          </w:p>
        </w:tc>
        <w:tc>
          <w:tcPr>
            <w:tcW w:w="4327" w:type="pct"/>
            <w:noWrap w:val="0"/>
            <w:vAlign w:val="center"/>
          </w:tcPr>
          <w:p w14:paraId="3EF78BB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投标商按合同开具多张发票的，额度应大于等于投标单台设备价格，且发票号需连续不中断。</w:t>
            </w:r>
          </w:p>
        </w:tc>
      </w:tr>
      <w:tr w14:paraId="6D63D6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776EFB4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w:t>
            </w:r>
          </w:p>
        </w:tc>
        <w:tc>
          <w:tcPr>
            <w:tcW w:w="4327" w:type="pct"/>
            <w:noWrap w:val="0"/>
            <w:vAlign w:val="center"/>
          </w:tcPr>
          <w:p w14:paraId="47474B7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延期交货罚款：延期交货每7天，按合同总价的0.5%支付迟交违约金，不足7天按7天计，依次累计，最高罚款为合同总价的5%。</w:t>
            </w:r>
          </w:p>
        </w:tc>
      </w:tr>
      <w:tr w14:paraId="7748BF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59B9F72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w:t>
            </w:r>
          </w:p>
        </w:tc>
        <w:tc>
          <w:tcPr>
            <w:tcW w:w="4327" w:type="pct"/>
            <w:noWrap w:val="0"/>
            <w:vAlign w:val="center"/>
          </w:tcPr>
          <w:p w14:paraId="74161FC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保密：招投标及合同中凡涉及买方项目的有关信息，不得透露给第三方。</w:t>
            </w:r>
          </w:p>
        </w:tc>
      </w:tr>
      <w:tr w14:paraId="46EF01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2" w:type="pct"/>
            <w:noWrap w:val="0"/>
            <w:vAlign w:val="center"/>
          </w:tcPr>
          <w:p w14:paraId="5DD8E47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w:t>
            </w:r>
          </w:p>
        </w:tc>
        <w:tc>
          <w:tcPr>
            <w:tcW w:w="4327" w:type="pct"/>
            <w:noWrap w:val="0"/>
            <w:vAlign w:val="center"/>
          </w:tcPr>
          <w:p w14:paraId="11E0D2A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货物购销合同签订的同时，双方须签订廉洁购销合同</w:t>
            </w:r>
          </w:p>
        </w:tc>
      </w:tr>
    </w:tbl>
    <w:p w14:paraId="3073B5D6">
      <w:pPr>
        <w:keepNext w:val="0"/>
        <w:keepLines w:val="0"/>
        <w:pageBreakBefore w:val="0"/>
        <w:kinsoku/>
        <w:wordWrap/>
        <w:topLinePunct w:val="0"/>
        <w:bidi w:val="0"/>
        <w:spacing w:line="460" w:lineRule="exact"/>
        <w:rPr>
          <w:rFonts w:hint="eastAsia" w:ascii="新宋体" w:hAnsi="新宋体" w:eastAsia="新宋体" w:cs="新宋体"/>
          <w:color w:val="auto"/>
          <w:sz w:val="22"/>
          <w:szCs w:val="22"/>
          <w:highlight w:val="none"/>
        </w:rPr>
      </w:pPr>
    </w:p>
    <w:bookmarkEnd w:id="35"/>
    <w:p w14:paraId="26B02C7C">
      <w:pPr>
        <w:pStyle w:val="23"/>
        <w:spacing w:line="460" w:lineRule="exact"/>
        <w:ind w:left="0" w:left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bookmarkStart w:id="36" w:name="_Toc27039"/>
      <w:r>
        <w:rPr>
          <w:rFonts w:hint="eastAsia" w:ascii="新宋体" w:hAnsi="新宋体" w:eastAsia="新宋体" w:cs="新宋体"/>
          <w:b/>
          <w:color w:val="auto"/>
          <w:sz w:val="30"/>
          <w:highlight w:val="none"/>
        </w:rPr>
        <w:t>第五部分   评标原则及方法</w:t>
      </w:r>
      <w:bookmarkEnd w:id="36"/>
    </w:p>
    <w:p w14:paraId="1B50CDEA">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按照《中华人民共和国政府采购法》、《政府采购货物和服务招标投标管理办法》、《中华人民共和国政府采购法实施条例》和《关于进一步规范政府采购活动的若干意见》等相关法规特制定以下评标办法</w:t>
      </w:r>
      <w:r>
        <w:rPr>
          <w:rFonts w:hint="eastAsia" w:ascii="新宋体" w:hAnsi="新宋体" w:eastAsia="新宋体" w:cs="新宋体"/>
          <w:b/>
          <w:color w:val="auto"/>
          <w:sz w:val="22"/>
          <w:szCs w:val="22"/>
          <w:highlight w:val="none"/>
        </w:rPr>
        <w:t>。</w:t>
      </w:r>
    </w:p>
    <w:p w14:paraId="655A37DF">
      <w:pPr>
        <w:spacing w:line="460" w:lineRule="exact"/>
        <w:ind w:firstLine="442" w:firstLineChars="200"/>
        <w:outlineLvl w:val="1"/>
        <w:rPr>
          <w:rFonts w:hint="eastAsia" w:ascii="新宋体" w:hAnsi="新宋体" w:eastAsia="新宋体" w:cs="新宋体"/>
          <w:b/>
          <w:color w:val="auto"/>
          <w:sz w:val="22"/>
          <w:szCs w:val="22"/>
          <w:highlight w:val="none"/>
        </w:rPr>
      </w:pPr>
      <w:bookmarkStart w:id="37" w:name="_Toc26486"/>
      <w:r>
        <w:rPr>
          <w:rFonts w:hint="eastAsia" w:ascii="新宋体" w:hAnsi="新宋体" w:eastAsia="新宋体" w:cs="新宋体"/>
          <w:b/>
          <w:color w:val="auto"/>
          <w:sz w:val="22"/>
          <w:szCs w:val="22"/>
          <w:highlight w:val="none"/>
        </w:rPr>
        <w:t>一、总 则</w:t>
      </w:r>
      <w:bookmarkEnd w:id="37"/>
    </w:p>
    <w:p w14:paraId="181FB56E">
      <w:pPr>
        <w:spacing w:line="460" w:lineRule="exact"/>
        <w:ind w:firstLine="440" w:firstLineChars="200"/>
        <w:rPr>
          <w:rFonts w:hint="eastAsia" w:ascii="新宋体" w:hAnsi="新宋体" w:eastAsia="新宋体" w:cs="新宋体"/>
          <w:b/>
          <w:color w:val="auto"/>
          <w:sz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2A5C2C8B">
      <w:pPr>
        <w:spacing w:line="460" w:lineRule="exact"/>
        <w:ind w:firstLine="442" w:firstLineChars="200"/>
        <w:outlineLvl w:val="1"/>
        <w:rPr>
          <w:rFonts w:hint="eastAsia" w:ascii="新宋体" w:hAnsi="新宋体" w:eastAsia="新宋体" w:cs="新宋体"/>
          <w:b/>
          <w:color w:val="auto"/>
          <w:sz w:val="22"/>
          <w:szCs w:val="22"/>
          <w:highlight w:val="none"/>
        </w:rPr>
      </w:pPr>
      <w:bookmarkStart w:id="38" w:name="_Toc9900"/>
      <w:r>
        <w:rPr>
          <w:rFonts w:hint="eastAsia" w:ascii="新宋体" w:hAnsi="新宋体" w:eastAsia="新宋体" w:cs="新宋体"/>
          <w:b/>
          <w:color w:val="auto"/>
          <w:sz w:val="22"/>
          <w:szCs w:val="22"/>
          <w:highlight w:val="none"/>
        </w:rPr>
        <w:t>二、</w:t>
      </w:r>
      <w:r>
        <w:rPr>
          <w:rFonts w:hint="eastAsia" w:ascii="新宋体" w:hAnsi="新宋体" w:eastAsia="新宋体" w:cs="新宋体"/>
          <w:b/>
          <w:bCs/>
          <w:color w:val="auto"/>
          <w:sz w:val="22"/>
          <w:szCs w:val="22"/>
          <w:highlight w:val="none"/>
        </w:rPr>
        <w:t>评标</w:t>
      </w:r>
      <w:r>
        <w:rPr>
          <w:rFonts w:hint="eastAsia" w:ascii="新宋体" w:hAnsi="新宋体" w:eastAsia="新宋体" w:cs="新宋体"/>
          <w:b/>
          <w:color w:val="auto"/>
          <w:sz w:val="22"/>
          <w:szCs w:val="22"/>
          <w:highlight w:val="none"/>
        </w:rPr>
        <w:t>组织</w:t>
      </w:r>
      <w:bookmarkEnd w:id="38"/>
    </w:p>
    <w:p w14:paraId="39CD308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组建的评标委员会负责，评标全过程由有关部门指导监督。</w:t>
      </w:r>
    </w:p>
    <w:p w14:paraId="6C506615">
      <w:pPr>
        <w:spacing w:line="460" w:lineRule="exact"/>
        <w:ind w:firstLine="442" w:firstLineChars="200"/>
        <w:outlineLvl w:val="1"/>
        <w:rPr>
          <w:rFonts w:hint="eastAsia" w:ascii="新宋体" w:hAnsi="新宋体" w:eastAsia="新宋体" w:cs="新宋体"/>
          <w:b/>
          <w:color w:val="auto"/>
          <w:sz w:val="22"/>
          <w:szCs w:val="22"/>
          <w:highlight w:val="none"/>
        </w:rPr>
      </w:pPr>
      <w:bookmarkStart w:id="39" w:name="_Toc32011"/>
      <w:r>
        <w:rPr>
          <w:rFonts w:hint="eastAsia" w:ascii="新宋体" w:hAnsi="新宋体" w:eastAsia="新宋体" w:cs="新宋体"/>
          <w:b/>
          <w:color w:val="auto"/>
          <w:sz w:val="22"/>
          <w:szCs w:val="22"/>
          <w:highlight w:val="none"/>
        </w:rPr>
        <w:t>三、</w:t>
      </w:r>
      <w:r>
        <w:rPr>
          <w:rFonts w:hint="eastAsia" w:ascii="新宋体" w:hAnsi="新宋体" w:eastAsia="新宋体" w:cs="新宋体"/>
          <w:b/>
          <w:bCs/>
          <w:color w:val="auto"/>
          <w:sz w:val="22"/>
          <w:szCs w:val="22"/>
          <w:highlight w:val="none"/>
        </w:rPr>
        <w:t>评标</w:t>
      </w:r>
      <w:r>
        <w:rPr>
          <w:rFonts w:hint="eastAsia" w:ascii="新宋体" w:hAnsi="新宋体" w:eastAsia="新宋体" w:cs="新宋体"/>
          <w:b/>
          <w:color w:val="auto"/>
          <w:sz w:val="22"/>
          <w:szCs w:val="22"/>
          <w:highlight w:val="none"/>
        </w:rPr>
        <w:t>程序</w:t>
      </w:r>
      <w:bookmarkEnd w:id="39"/>
    </w:p>
    <w:p w14:paraId="10054D2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1、评标委员按照招标文件中规定的评标方法和标准，对投标文件进行商务和技术评估，综合比较与评价</w:t>
      </w:r>
      <w:r>
        <w:rPr>
          <w:rFonts w:hint="eastAsia" w:ascii="新宋体" w:hAnsi="新宋体" w:eastAsia="新宋体" w:cs="新宋体"/>
          <w:color w:val="auto"/>
          <w:sz w:val="22"/>
          <w:szCs w:val="22"/>
          <w:highlight w:val="none"/>
        </w:rPr>
        <w:t>，根据综合评审结果，提交评审报告。</w:t>
      </w:r>
    </w:p>
    <w:p w14:paraId="2662007D">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2、提供相同品牌产品且通过资格审查、符合性审查的不同投标人参加同一合同项下投标的</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按一家投标人计算</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评审后综合得分最高的同品牌投标人获得中标人推荐资格；综合得分相同的</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报价最低一家供应商获得中标人推荐资格；均相同时采取随机抽取方式确认一个投标人获得中标人推荐资格</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其他同品牌投标人不作为中标候选人。</w:t>
      </w:r>
    </w:p>
    <w:p w14:paraId="52662516">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rPr>
        <w:t>非单一产品采购项目，应当根据采购项目技术构成、产品价格比重等合理确定核心产品。多家投标人提供的核心产品品牌相同的，按前款规定处理。</w:t>
      </w:r>
    </w:p>
    <w:p w14:paraId="4ED95450">
      <w:pPr>
        <w:spacing w:line="460" w:lineRule="exact"/>
        <w:ind w:firstLine="442" w:firstLineChars="200"/>
        <w:outlineLvl w:val="1"/>
        <w:rPr>
          <w:rFonts w:hint="eastAsia" w:ascii="新宋体" w:hAnsi="新宋体" w:eastAsia="新宋体" w:cs="新宋体"/>
          <w:b/>
          <w:color w:val="auto"/>
          <w:sz w:val="22"/>
          <w:szCs w:val="22"/>
          <w:highlight w:val="none"/>
        </w:rPr>
      </w:pPr>
      <w:bookmarkStart w:id="40" w:name="_Toc17238"/>
      <w:r>
        <w:rPr>
          <w:rFonts w:hint="eastAsia" w:ascii="新宋体" w:hAnsi="新宋体" w:eastAsia="新宋体" w:cs="新宋体"/>
          <w:b/>
          <w:color w:val="auto"/>
          <w:sz w:val="22"/>
          <w:szCs w:val="22"/>
          <w:highlight w:val="none"/>
        </w:rPr>
        <w:t>四、评标办法</w:t>
      </w:r>
      <w:bookmarkEnd w:id="40"/>
    </w:p>
    <w:p w14:paraId="28D0B059">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本次采购采用百分制综合评分法，即投标人最大限度地满足招标文件实质性要求的基础上，按照招标文件的各项因素进行综合评审后，按评审后得分（即商务技术分与报价分之和）由高到低顺序排序，确定中标候选人的评标方法。根据采购要求，</w:t>
      </w:r>
      <w:r>
        <w:rPr>
          <w:rFonts w:hint="eastAsia" w:ascii="新宋体" w:hAnsi="新宋体" w:eastAsia="新宋体" w:cs="新宋体"/>
          <w:b/>
          <w:color w:val="auto"/>
          <w:sz w:val="22"/>
          <w:szCs w:val="22"/>
          <w:highlight w:val="none"/>
        </w:rPr>
        <w:t>总分设定为100分：商务技术</w:t>
      </w:r>
      <w:r>
        <w:rPr>
          <w:rFonts w:hint="eastAsia" w:ascii="新宋体" w:hAnsi="新宋体" w:eastAsia="新宋体" w:cs="新宋体"/>
          <w:b/>
          <w:color w:val="auto"/>
          <w:sz w:val="22"/>
          <w:szCs w:val="22"/>
          <w:highlight w:val="none"/>
          <w:lang w:val="en-US" w:eastAsia="zh-CN"/>
        </w:rPr>
        <w:t>70</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70</w:t>
      </w:r>
      <w:r>
        <w:rPr>
          <w:rFonts w:hint="eastAsia" w:ascii="新宋体" w:hAnsi="新宋体" w:eastAsia="新宋体" w:cs="新宋体"/>
          <w:b/>
          <w:color w:val="auto"/>
          <w:sz w:val="22"/>
          <w:szCs w:val="22"/>
          <w:highlight w:val="none"/>
        </w:rPr>
        <w:t>%），报价</w:t>
      </w:r>
      <w:r>
        <w:rPr>
          <w:rFonts w:hint="eastAsia" w:ascii="新宋体" w:hAnsi="新宋体" w:eastAsia="新宋体" w:cs="新宋体"/>
          <w:b/>
          <w:color w:val="auto"/>
          <w:sz w:val="22"/>
          <w:szCs w:val="22"/>
          <w:highlight w:val="none"/>
          <w:lang w:val="en-US" w:eastAsia="zh-CN"/>
        </w:rPr>
        <w:t>30</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30</w:t>
      </w:r>
      <w:r>
        <w:rPr>
          <w:rFonts w:hint="eastAsia" w:ascii="新宋体" w:hAnsi="新宋体" w:eastAsia="新宋体" w:cs="新宋体"/>
          <w:b/>
          <w:color w:val="auto"/>
          <w:sz w:val="22"/>
          <w:szCs w:val="22"/>
          <w:highlight w:val="none"/>
        </w:rPr>
        <w:t>%）。</w:t>
      </w:r>
    </w:p>
    <w:p w14:paraId="59A07671">
      <w:pPr>
        <w:spacing w:line="460" w:lineRule="exact"/>
        <w:ind w:firstLine="442" w:firstLineChars="200"/>
        <w:outlineLvl w:val="1"/>
        <w:rPr>
          <w:rFonts w:hint="eastAsia" w:ascii="新宋体" w:hAnsi="新宋体" w:eastAsia="新宋体" w:cs="新宋体"/>
          <w:b/>
          <w:color w:val="auto"/>
          <w:sz w:val="22"/>
          <w:szCs w:val="22"/>
          <w:highlight w:val="none"/>
        </w:rPr>
      </w:pPr>
      <w:bookmarkStart w:id="41" w:name="_Toc17388"/>
      <w:r>
        <w:rPr>
          <w:rFonts w:hint="eastAsia" w:ascii="新宋体" w:hAnsi="新宋体" w:eastAsia="新宋体" w:cs="新宋体"/>
          <w:b/>
          <w:color w:val="auto"/>
          <w:sz w:val="22"/>
          <w:szCs w:val="22"/>
          <w:highlight w:val="none"/>
        </w:rPr>
        <w:t>五、</w:t>
      </w:r>
      <w:r>
        <w:rPr>
          <w:rFonts w:hint="eastAsia" w:ascii="新宋体" w:hAnsi="新宋体" w:eastAsia="新宋体" w:cs="新宋体"/>
          <w:b/>
          <w:bCs/>
          <w:color w:val="auto"/>
          <w:sz w:val="22"/>
          <w:szCs w:val="22"/>
          <w:highlight w:val="none"/>
        </w:rPr>
        <w:t>评分</w:t>
      </w:r>
      <w:r>
        <w:rPr>
          <w:rFonts w:hint="eastAsia" w:ascii="新宋体" w:hAnsi="新宋体" w:eastAsia="新宋体" w:cs="新宋体"/>
          <w:b/>
          <w:color w:val="auto"/>
          <w:sz w:val="22"/>
          <w:szCs w:val="22"/>
          <w:highlight w:val="none"/>
        </w:rPr>
        <w:t>细则</w:t>
      </w:r>
      <w:bookmarkEnd w:id="41"/>
    </w:p>
    <w:p w14:paraId="73EC808C">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1、技术分的评定：商务技术</w:t>
      </w:r>
      <w:r>
        <w:rPr>
          <w:rFonts w:hint="eastAsia" w:ascii="新宋体" w:hAnsi="新宋体" w:eastAsia="新宋体" w:cs="新宋体"/>
          <w:b/>
          <w:color w:val="auto"/>
          <w:sz w:val="22"/>
          <w:szCs w:val="22"/>
          <w:highlight w:val="none"/>
          <w:lang w:val="en-US" w:eastAsia="zh-CN"/>
        </w:rPr>
        <w:t>70</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70</w:t>
      </w:r>
      <w:r>
        <w:rPr>
          <w:rFonts w:hint="eastAsia" w:ascii="新宋体" w:hAnsi="新宋体" w:eastAsia="新宋体" w:cs="新宋体"/>
          <w:b/>
          <w:color w:val="auto"/>
          <w:sz w:val="22"/>
          <w:szCs w:val="22"/>
          <w:highlight w:val="none"/>
        </w:rPr>
        <w:t>%）</w:t>
      </w:r>
    </w:p>
    <w:p w14:paraId="36EC92C6">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新宋体" w:hAnsi="新宋体" w:eastAsia="新宋体" w:cs="新宋体"/>
          <w:color w:val="auto"/>
          <w:sz w:val="22"/>
          <w:highlight w:val="none"/>
        </w:rPr>
        <w:t>各评标委员会成员对各投标人的各项评分内容评分的算术平均值为各投标人技术分得分</w:t>
      </w:r>
      <w:r>
        <w:rPr>
          <w:rFonts w:hint="eastAsia" w:ascii="新宋体" w:hAnsi="新宋体" w:eastAsia="新宋体" w:cs="新宋体"/>
          <w:color w:val="auto"/>
          <w:sz w:val="22"/>
          <w:szCs w:val="22"/>
          <w:highlight w:val="none"/>
        </w:rPr>
        <w:t>（小数点后按四舍五入保留2位）。</w:t>
      </w:r>
    </w:p>
    <w:tbl>
      <w:tblPr>
        <w:tblStyle w:val="53"/>
        <w:tblW w:w="96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681"/>
        <w:gridCol w:w="2437"/>
        <w:gridCol w:w="719"/>
        <w:gridCol w:w="5821"/>
      </w:tblGrid>
      <w:tr w14:paraId="640BBE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jc w:val="center"/>
        </w:trPr>
        <w:tc>
          <w:tcPr>
            <w:tcW w:w="681" w:type="dxa"/>
            <w:vAlign w:val="center"/>
          </w:tcPr>
          <w:p w14:paraId="380D1DF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2437" w:type="dxa"/>
            <w:vAlign w:val="center"/>
          </w:tcPr>
          <w:p w14:paraId="397B793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w:t>
            </w:r>
            <w:r>
              <w:rPr>
                <w:rFonts w:hint="eastAsia" w:ascii="新宋体" w:hAnsi="新宋体" w:eastAsia="新宋体" w:cs="新宋体"/>
                <w:color w:val="auto"/>
                <w:sz w:val="22"/>
                <w:szCs w:val="22"/>
                <w:highlight w:val="none"/>
                <w:lang w:val="en-US" w:eastAsia="zh-CN"/>
              </w:rPr>
              <w:t>分</w:t>
            </w:r>
            <w:r>
              <w:rPr>
                <w:rFonts w:hint="eastAsia" w:ascii="新宋体" w:hAnsi="新宋体" w:eastAsia="新宋体" w:cs="新宋体"/>
                <w:color w:val="auto"/>
                <w:sz w:val="22"/>
                <w:szCs w:val="22"/>
                <w:highlight w:val="none"/>
              </w:rPr>
              <w:t>项目</w:t>
            </w:r>
          </w:p>
        </w:tc>
        <w:tc>
          <w:tcPr>
            <w:tcW w:w="719" w:type="dxa"/>
            <w:vAlign w:val="center"/>
          </w:tcPr>
          <w:p w14:paraId="57BE619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分值</w:t>
            </w:r>
          </w:p>
        </w:tc>
        <w:tc>
          <w:tcPr>
            <w:tcW w:w="5821" w:type="dxa"/>
            <w:vAlign w:val="center"/>
          </w:tcPr>
          <w:p w14:paraId="2169A7C1">
            <w:pPr>
              <w:keepNext w:val="0"/>
              <w:keepLines w:val="0"/>
              <w:pageBreakBefore w:val="0"/>
              <w:widowControl w:val="0"/>
              <w:kinsoku/>
              <w:wordWrap/>
              <w:overflowPunct/>
              <w:topLinePunct w:val="0"/>
              <w:autoSpaceDE/>
              <w:autoSpaceDN/>
              <w:bidi w:val="0"/>
              <w:adjustRightInd/>
              <w:snapToGrid/>
              <w:spacing w:line="460" w:lineRule="exact"/>
              <w:ind w:left="105" w:leftChars="50" w:right="10" w:rightChars="5"/>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评分细则</w:t>
            </w:r>
          </w:p>
        </w:tc>
      </w:tr>
      <w:tr w14:paraId="11291F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21" w:hRule="atLeast"/>
          <w:jc w:val="center"/>
        </w:trPr>
        <w:tc>
          <w:tcPr>
            <w:tcW w:w="681" w:type="dxa"/>
            <w:vAlign w:val="center"/>
          </w:tcPr>
          <w:p w14:paraId="2663CA5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2437" w:type="dxa"/>
            <w:vAlign w:val="center"/>
          </w:tcPr>
          <w:p w14:paraId="46CC08E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对应于招标文件货物技术规格及配置等的偏离度</w:t>
            </w:r>
          </w:p>
        </w:tc>
        <w:tc>
          <w:tcPr>
            <w:tcW w:w="719" w:type="dxa"/>
            <w:vAlign w:val="center"/>
          </w:tcPr>
          <w:p w14:paraId="324606B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40.5</w:t>
            </w:r>
            <w:r>
              <w:rPr>
                <w:rFonts w:hint="eastAsia" w:ascii="新宋体" w:hAnsi="新宋体" w:eastAsia="新宋体" w:cs="新宋体"/>
                <w:color w:val="auto"/>
                <w:sz w:val="22"/>
                <w:szCs w:val="22"/>
                <w:highlight w:val="none"/>
              </w:rPr>
              <w:t>分</w:t>
            </w:r>
          </w:p>
        </w:tc>
        <w:tc>
          <w:tcPr>
            <w:tcW w:w="5821" w:type="dxa"/>
            <w:vAlign w:val="center"/>
          </w:tcPr>
          <w:p w14:paraId="04DDBFC9">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与招标文件第四部分的货物技术规格要求对比，一项指标</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共49项</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负偏离扣</w:t>
            </w:r>
            <w:r>
              <w:rPr>
                <w:rFonts w:hint="eastAsia" w:ascii="新宋体" w:hAnsi="新宋体" w:eastAsia="新宋体" w:cs="新宋体"/>
                <w:color w:val="auto"/>
                <w:sz w:val="22"/>
                <w:szCs w:val="22"/>
                <w:highlight w:val="none"/>
                <w:lang w:val="en-US" w:eastAsia="zh-CN"/>
              </w:rPr>
              <w:t>0.5</w:t>
            </w:r>
            <w:r>
              <w:rPr>
                <w:rFonts w:hint="eastAsia" w:ascii="新宋体" w:hAnsi="新宋体" w:eastAsia="新宋体" w:cs="新宋体"/>
                <w:color w:val="auto"/>
                <w:sz w:val="22"/>
                <w:szCs w:val="22"/>
                <w:highlight w:val="none"/>
              </w:rPr>
              <w:t>分，标注★的指标</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共8项</w:t>
            </w:r>
            <w:r>
              <w:rPr>
                <w:rFonts w:hint="eastAsia" w:ascii="新宋体" w:hAnsi="新宋体" w:eastAsia="新宋体" w:cs="新宋体"/>
                <w:color w:val="auto"/>
                <w:sz w:val="22"/>
                <w:szCs w:val="22"/>
                <w:highlight w:val="none"/>
                <w:lang w:eastAsia="zh-CN"/>
              </w:rPr>
              <w:t>）负</w:t>
            </w:r>
            <w:r>
              <w:rPr>
                <w:rFonts w:hint="eastAsia" w:ascii="新宋体" w:hAnsi="新宋体" w:eastAsia="新宋体" w:cs="新宋体"/>
                <w:color w:val="auto"/>
                <w:sz w:val="22"/>
                <w:szCs w:val="22"/>
                <w:highlight w:val="none"/>
              </w:rPr>
              <w:t>偏离每项扣</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扣完为止</w:t>
            </w:r>
            <w:r>
              <w:rPr>
                <w:rFonts w:hint="eastAsia" w:ascii="新宋体" w:hAnsi="新宋体" w:eastAsia="新宋体" w:cs="新宋体"/>
                <w:color w:val="auto"/>
                <w:sz w:val="22"/>
                <w:szCs w:val="22"/>
                <w:highlight w:val="none"/>
                <w:lang w:eastAsia="zh-CN"/>
              </w:rPr>
              <w:t>。</w:t>
            </w:r>
          </w:p>
        </w:tc>
      </w:tr>
      <w:tr w14:paraId="7F25B5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58" w:hRule="atLeast"/>
          <w:jc w:val="center"/>
        </w:trPr>
        <w:tc>
          <w:tcPr>
            <w:tcW w:w="681" w:type="dxa"/>
            <w:vAlign w:val="center"/>
          </w:tcPr>
          <w:p w14:paraId="21405AA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2437" w:type="dxa"/>
            <w:vAlign w:val="center"/>
          </w:tcPr>
          <w:p w14:paraId="7296D27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投标货物配套的合理性</w:t>
            </w:r>
          </w:p>
        </w:tc>
        <w:tc>
          <w:tcPr>
            <w:tcW w:w="719" w:type="dxa"/>
            <w:vAlign w:val="center"/>
          </w:tcPr>
          <w:p w14:paraId="22DA34E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4.5</w:t>
            </w:r>
            <w:r>
              <w:rPr>
                <w:rFonts w:hint="eastAsia" w:ascii="新宋体" w:hAnsi="新宋体" w:eastAsia="新宋体" w:cs="新宋体"/>
                <w:color w:val="auto"/>
                <w:sz w:val="22"/>
                <w:szCs w:val="22"/>
                <w:highlight w:val="none"/>
              </w:rPr>
              <w:t>分</w:t>
            </w:r>
          </w:p>
        </w:tc>
        <w:tc>
          <w:tcPr>
            <w:tcW w:w="5821" w:type="dxa"/>
            <w:vAlign w:val="center"/>
          </w:tcPr>
          <w:p w14:paraId="61BDD6F6">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评委对投标设备配套的合理性、功能实现程度进行评价：投标设备配套合理、功能实现程度高的，得</w:t>
            </w:r>
            <w:r>
              <w:rPr>
                <w:rFonts w:hint="eastAsia" w:ascii="新宋体" w:hAnsi="新宋体" w:eastAsia="新宋体" w:cs="新宋体"/>
                <w:color w:val="auto"/>
                <w:sz w:val="22"/>
                <w:szCs w:val="22"/>
                <w:highlight w:val="none"/>
                <w:lang w:val="en-US" w:eastAsia="zh-CN"/>
              </w:rPr>
              <w:t>4.5</w:t>
            </w:r>
            <w:r>
              <w:rPr>
                <w:rFonts w:hint="eastAsia" w:ascii="新宋体" w:hAnsi="新宋体" w:eastAsia="新宋体" w:cs="新宋体"/>
                <w:color w:val="auto"/>
                <w:sz w:val="22"/>
                <w:szCs w:val="22"/>
                <w:highlight w:val="none"/>
              </w:rPr>
              <w:t>分；配套较合理、功能实现程度较高的，得2</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分；配套合理性一般、不能完全达到临床要求功能的，得1分。</w:t>
            </w:r>
          </w:p>
        </w:tc>
      </w:tr>
      <w:tr w14:paraId="1C9838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79" w:hRule="atLeast"/>
          <w:jc w:val="center"/>
        </w:trPr>
        <w:tc>
          <w:tcPr>
            <w:tcW w:w="681" w:type="dxa"/>
            <w:vAlign w:val="center"/>
          </w:tcPr>
          <w:p w14:paraId="1653D82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2437" w:type="dxa"/>
            <w:vAlign w:val="center"/>
          </w:tcPr>
          <w:p w14:paraId="7B7E263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投标货物的先进性</w:t>
            </w:r>
          </w:p>
        </w:tc>
        <w:tc>
          <w:tcPr>
            <w:tcW w:w="719" w:type="dxa"/>
            <w:vAlign w:val="center"/>
          </w:tcPr>
          <w:p w14:paraId="38D7071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w:t>
            </w:r>
          </w:p>
        </w:tc>
        <w:tc>
          <w:tcPr>
            <w:tcW w:w="5821" w:type="dxa"/>
            <w:vAlign w:val="center"/>
          </w:tcPr>
          <w:p w14:paraId="057FDF0B">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评委对投标设备技术指标的先进性进行评价：技术指标高于招标要求且具有较高临床使用价值的，每项得1分；最高得4分。</w:t>
            </w:r>
          </w:p>
        </w:tc>
      </w:tr>
      <w:tr w14:paraId="1EB3C8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82" w:hRule="atLeast"/>
          <w:jc w:val="center"/>
        </w:trPr>
        <w:tc>
          <w:tcPr>
            <w:tcW w:w="681" w:type="dxa"/>
            <w:vAlign w:val="center"/>
          </w:tcPr>
          <w:p w14:paraId="15AEA7E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2437" w:type="dxa"/>
            <w:vAlign w:val="center"/>
          </w:tcPr>
          <w:p w14:paraId="170EF580">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投标机型的临床应用</w:t>
            </w:r>
          </w:p>
        </w:tc>
        <w:tc>
          <w:tcPr>
            <w:tcW w:w="719" w:type="dxa"/>
            <w:vAlign w:val="center"/>
          </w:tcPr>
          <w:p w14:paraId="7108C6D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4分</w:t>
            </w:r>
          </w:p>
        </w:tc>
        <w:tc>
          <w:tcPr>
            <w:tcW w:w="5821" w:type="dxa"/>
            <w:vAlign w:val="center"/>
          </w:tcPr>
          <w:p w14:paraId="071B7EC4">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投标机型在临床上使用效果好、成熟度高的，得4分；使用效果、成熟度一般的，得2分；使用效果不佳或成熟度不高的，得1分。</w:t>
            </w:r>
          </w:p>
        </w:tc>
      </w:tr>
      <w:tr w14:paraId="607444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72" w:hRule="atLeast"/>
          <w:jc w:val="center"/>
        </w:trPr>
        <w:tc>
          <w:tcPr>
            <w:tcW w:w="681" w:type="dxa"/>
            <w:vAlign w:val="center"/>
          </w:tcPr>
          <w:p w14:paraId="4D67EA3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2437" w:type="dxa"/>
            <w:vAlign w:val="center"/>
          </w:tcPr>
          <w:p w14:paraId="4A56733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运行成本</w:t>
            </w:r>
          </w:p>
        </w:tc>
        <w:tc>
          <w:tcPr>
            <w:tcW w:w="719" w:type="dxa"/>
            <w:vAlign w:val="center"/>
          </w:tcPr>
          <w:p w14:paraId="22B0A53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4分</w:t>
            </w:r>
          </w:p>
        </w:tc>
        <w:tc>
          <w:tcPr>
            <w:tcW w:w="5821" w:type="dxa"/>
            <w:vAlign w:val="center"/>
          </w:tcPr>
          <w:p w14:paraId="1C1A2119">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包括保修价格、年运行费用和消耗品或易耗品价格等综合运行成本进行评价</w:t>
            </w:r>
          </w:p>
          <w:p w14:paraId="6DC2B221">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运行成本低的得4分；</w:t>
            </w:r>
          </w:p>
          <w:p w14:paraId="13C3FE9E">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运行成本一般的得2分；</w:t>
            </w:r>
          </w:p>
          <w:p w14:paraId="0BB97D26">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运行成本高的得1分；</w:t>
            </w:r>
          </w:p>
          <w:p w14:paraId="2C1B03E0">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未提供不得分。</w:t>
            </w:r>
          </w:p>
        </w:tc>
      </w:tr>
      <w:tr w14:paraId="5378B6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635" w:hRule="atLeast"/>
          <w:jc w:val="center"/>
        </w:trPr>
        <w:tc>
          <w:tcPr>
            <w:tcW w:w="681" w:type="dxa"/>
            <w:vAlign w:val="center"/>
          </w:tcPr>
          <w:p w14:paraId="19692C0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w:t>
            </w:r>
          </w:p>
        </w:tc>
        <w:tc>
          <w:tcPr>
            <w:tcW w:w="2437" w:type="dxa"/>
            <w:vAlign w:val="center"/>
          </w:tcPr>
          <w:p w14:paraId="7803C9B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投标产品稳定性、故障率</w:t>
            </w:r>
          </w:p>
        </w:tc>
        <w:tc>
          <w:tcPr>
            <w:tcW w:w="719" w:type="dxa"/>
            <w:vAlign w:val="center"/>
          </w:tcPr>
          <w:p w14:paraId="4C14832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w:t>
            </w:r>
          </w:p>
        </w:tc>
        <w:tc>
          <w:tcPr>
            <w:tcW w:w="5821" w:type="dxa"/>
            <w:vAlign w:val="center"/>
          </w:tcPr>
          <w:p w14:paraId="0834D4E8">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投标产品在稳定性、故障率等总体质量性能综合评价，提供证明材料。投标产品稳定性好、故障率低的，得4分；投标产品稳定性较高、故障率较低的，得3分；投标产品稳定性不好、故障率较高的，得2分；投标产品稳定性差、故障率高的，得1分；</w:t>
            </w:r>
            <w:r>
              <w:rPr>
                <w:rFonts w:hint="eastAsia" w:ascii="新宋体" w:hAnsi="新宋体" w:eastAsia="新宋体" w:cs="新宋体"/>
                <w:color w:val="auto"/>
                <w:sz w:val="22"/>
                <w:szCs w:val="22"/>
                <w:highlight w:val="none"/>
                <w:lang w:val="en-US" w:eastAsia="zh-CN"/>
              </w:rPr>
              <w:t>提供用户或者第三方的带公章证明，</w:t>
            </w:r>
            <w:r>
              <w:rPr>
                <w:rFonts w:hint="eastAsia" w:ascii="新宋体" w:hAnsi="新宋体" w:eastAsia="新宋体" w:cs="新宋体"/>
                <w:color w:val="auto"/>
                <w:sz w:val="22"/>
                <w:szCs w:val="22"/>
                <w:highlight w:val="none"/>
                <w:lang w:eastAsia="zh-CN"/>
              </w:rPr>
              <w:t>未提供证明材料</w:t>
            </w:r>
            <w:r>
              <w:rPr>
                <w:rFonts w:hint="eastAsia" w:ascii="新宋体" w:hAnsi="新宋体" w:eastAsia="新宋体" w:cs="新宋体"/>
                <w:color w:val="auto"/>
                <w:sz w:val="22"/>
                <w:szCs w:val="22"/>
                <w:highlight w:val="none"/>
                <w:lang w:val="en-US" w:eastAsia="zh-CN"/>
              </w:rPr>
              <w:t>不得分</w:t>
            </w:r>
            <w:r>
              <w:rPr>
                <w:rFonts w:hint="eastAsia" w:ascii="新宋体" w:hAnsi="新宋体" w:eastAsia="新宋体" w:cs="新宋体"/>
                <w:color w:val="auto"/>
                <w:sz w:val="22"/>
                <w:szCs w:val="22"/>
                <w:highlight w:val="none"/>
                <w:lang w:eastAsia="zh-CN"/>
              </w:rPr>
              <w:t>。</w:t>
            </w:r>
          </w:p>
        </w:tc>
      </w:tr>
      <w:tr w14:paraId="62D975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681" w:type="dxa"/>
            <w:vAlign w:val="center"/>
          </w:tcPr>
          <w:p w14:paraId="33EE440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7</w:t>
            </w:r>
          </w:p>
        </w:tc>
        <w:tc>
          <w:tcPr>
            <w:tcW w:w="2437" w:type="dxa"/>
            <w:vAlign w:val="center"/>
          </w:tcPr>
          <w:p w14:paraId="325802B4">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保修服务</w:t>
            </w:r>
          </w:p>
        </w:tc>
        <w:tc>
          <w:tcPr>
            <w:tcW w:w="719" w:type="dxa"/>
            <w:vAlign w:val="center"/>
          </w:tcPr>
          <w:p w14:paraId="2644A68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3分</w:t>
            </w:r>
          </w:p>
        </w:tc>
        <w:tc>
          <w:tcPr>
            <w:tcW w:w="5821" w:type="dxa"/>
            <w:vAlign w:val="center"/>
          </w:tcPr>
          <w:p w14:paraId="63E48828">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设备保修期超过招标文件要求的，每增加1年加1分，增加部分不足1年的不计分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最多得3分。</w:t>
            </w:r>
          </w:p>
        </w:tc>
      </w:tr>
      <w:tr w14:paraId="6BB055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22" w:hRule="atLeast"/>
          <w:jc w:val="center"/>
        </w:trPr>
        <w:tc>
          <w:tcPr>
            <w:tcW w:w="681" w:type="dxa"/>
            <w:vAlign w:val="center"/>
          </w:tcPr>
          <w:p w14:paraId="136BA74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8</w:t>
            </w:r>
          </w:p>
        </w:tc>
        <w:tc>
          <w:tcPr>
            <w:tcW w:w="2437" w:type="dxa"/>
            <w:vAlign w:val="center"/>
          </w:tcPr>
          <w:p w14:paraId="3CAD8AB4">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业绩</w:t>
            </w:r>
          </w:p>
        </w:tc>
        <w:tc>
          <w:tcPr>
            <w:tcW w:w="719" w:type="dxa"/>
            <w:vAlign w:val="center"/>
          </w:tcPr>
          <w:p w14:paraId="477DBB3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3分</w:t>
            </w:r>
          </w:p>
        </w:tc>
        <w:tc>
          <w:tcPr>
            <w:tcW w:w="5821" w:type="dxa"/>
            <w:vAlign w:val="center"/>
          </w:tcPr>
          <w:p w14:paraId="6BE8DEA1">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提供20</w:t>
            </w:r>
            <w:r>
              <w:rPr>
                <w:rFonts w:hint="eastAsia" w:ascii="新宋体" w:hAnsi="新宋体" w:eastAsia="新宋体" w:cs="新宋体"/>
                <w:color w:val="auto"/>
                <w:sz w:val="22"/>
                <w:szCs w:val="22"/>
                <w:highlight w:val="none"/>
                <w:lang w:val="en-US" w:eastAsia="zh-CN"/>
              </w:rPr>
              <w:t>22</w:t>
            </w:r>
            <w:r>
              <w:rPr>
                <w:rFonts w:hint="eastAsia" w:ascii="新宋体" w:hAnsi="新宋体" w:eastAsia="新宋体" w:cs="新宋体"/>
                <w:color w:val="auto"/>
                <w:sz w:val="22"/>
                <w:szCs w:val="22"/>
                <w:highlight w:val="none"/>
              </w:rPr>
              <w:t>年1月1日</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以合同签订时间为准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起至今与最终不同医院用户签订的投标产品采购</w:t>
            </w:r>
            <w:r>
              <w:rPr>
                <w:rFonts w:hint="eastAsia" w:ascii="新宋体" w:hAnsi="新宋体" w:eastAsia="新宋体" w:cs="新宋体"/>
                <w:color w:val="auto"/>
                <w:sz w:val="22"/>
                <w:szCs w:val="22"/>
                <w:highlight w:val="none"/>
                <w:lang w:val="en-US" w:eastAsia="zh-CN"/>
              </w:rPr>
              <w:t>合同原件扫描件</w:t>
            </w:r>
            <w:r>
              <w:rPr>
                <w:rFonts w:hint="eastAsia" w:ascii="新宋体" w:hAnsi="新宋体" w:eastAsia="新宋体" w:cs="新宋体"/>
                <w:color w:val="auto"/>
                <w:sz w:val="22"/>
                <w:szCs w:val="22"/>
                <w:highlight w:val="none"/>
              </w:rPr>
              <w:t>，每份有效合同得</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分，最多得3分。</w:t>
            </w:r>
          </w:p>
          <w:p w14:paraId="4A065C22">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tc>
      </w:tr>
      <w:tr w14:paraId="706F78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05" w:hRule="atLeast"/>
          <w:jc w:val="center"/>
        </w:trPr>
        <w:tc>
          <w:tcPr>
            <w:tcW w:w="681" w:type="dxa"/>
            <w:vAlign w:val="center"/>
          </w:tcPr>
          <w:p w14:paraId="5BFC6B2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9</w:t>
            </w:r>
          </w:p>
        </w:tc>
        <w:tc>
          <w:tcPr>
            <w:tcW w:w="2437" w:type="dxa"/>
            <w:vAlign w:val="center"/>
          </w:tcPr>
          <w:p w14:paraId="2F6159A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制造商或代理商的售后服务和维修能力</w:t>
            </w:r>
          </w:p>
        </w:tc>
        <w:tc>
          <w:tcPr>
            <w:tcW w:w="719" w:type="dxa"/>
            <w:vAlign w:val="center"/>
          </w:tcPr>
          <w:p w14:paraId="5A95266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2分</w:t>
            </w:r>
          </w:p>
        </w:tc>
        <w:tc>
          <w:tcPr>
            <w:tcW w:w="5821" w:type="dxa"/>
            <w:vAlign w:val="center"/>
          </w:tcPr>
          <w:p w14:paraId="7A3BFBD6">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制造商或代理商的售后服务和维修能力，服务响应速度、服务人员水平、备品备件配置等综合评价。</w:t>
            </w:r>
          </w:p>
          <w:p w14:paraId="678D6B05">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售后服务、维修能力等综合情况好的得2分；</w:t>
            </w:r>
          </w:p>
          <w:p w14:paraId="73E816DF">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售后服务、维修能力等综合情况一般的得1分；</w:t>
            </w:r>
          </w:p>
          <w:p w14:paraId="6E9E4E04">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售后服务、维修能力等综合情况差的或未提供相应材料的不得分。</w:t>
            </w:r>
          </w:p>
        </w:tc>
      </w:tr>
      <w:tr w14:paraId="0B6A0C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459" w:hRule="atLeast"/>
          <w:jc w:val="center"/>
        </w:trPr>
        <w:tc>
          <w:tcPr>
            <w:tcW w:w="681" w:type="dxa"/>
            <w:vAlign w:val="center"/>
          </w:tcPr>
          <w:p w14:paraId="0C8D9C4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0</w:t>
            </w:r>
          </w:p>
        </w:tc>
        <w:tc>
          <w:tcPr>
            <w:tcW w:w="2437" w:type="dxa"/>
            <w:vAlign w:val="center"/>
          </w:tcPr>
          <w:p w14:paraId="3EE1825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环境标志产品、节能产品</w:t>
            </w:r>
          </w:p>
        </w:tc>
        <w:tc>
          <w:tcPr>
            <w:tcW w:w="719" w:type="dxa"/>
            <w:vAlign w:val="center"/>
          </w:tcPr>
          <w:p w14:paraId="1185D1D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w:t>
            </w:r>
          </w:p>
        </w:tc>
        <w:tc>
          <w:tcPr>
            <w:tcW w:w="5821" w:type="dxa"/>
            <w:vAlign w:val="center"/>
          </w:tcPr>
          <w:p w14:paraId="32BCB8F0">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主体列入财政部、环境保护部“环境标志产品政府采购清单”的、列入财政部、国家发展改革委“节能产品政府采购清单”的，每项得0.5分；投标人须提供由《市场监管总局关于发布参与实施政府采购节能产品、环境标志产品认证机构名录的公告》文件指定的节能产品、环境标志产品认证机构出具的处于有效期内的节能产品、环境标志产品认证证书复印件，否则不得分。</w:t>
            </w:r>
          </w:p>
        </w:tc>
      </w:tr>
    </w:tbl>
    <w:p w14:paraId="58EF48E4">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2、报价评分（权值</w:t>
      </w:r>
      <w:r>
        <w:rPr>
          <w:rFonts w:hint="eastAsia" w:ascii="新宋体" w:hAnsi="新宋体" w:eastAsia="新宋体" w:cs="新宋体"/>
          <w:b/>
          <w:bCs/>
          <w:color w:val="auto"/>
          <w:sz w:val="22"/>
          <w:szCs w:val="22"/>
          <w:highlight w:val="none"/>
          <w:lang w:val="en-US" w:eastAsia="zh-CN"/>
        </w:rPr>
        <w:t>30</w:t>
      </w:r>
      <w:r>
        <w:rPr>
          <w:rFonts w:hint="eastAsia" w:ascii="新宋体" w:hAnsi="新宋体" w:eastAsia="新宋体" w:cs="新宋体"/>
          <w:b/>
          <w:bCs/>
          <w:color w:val="auto"/>
          <w:sz w:val="22"/>
          <w:szCs w:val="22"/>
          <w:highlight w:val="none"/>
        </w:rPr>
        <w:t>%）：</w:t>
      </w:r>
    </w:p>
    <w:p w14:paraId="6B81D27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满足招标文件要求且投标报价最低的投标报价为评标基准价，其余投标人投标报价与该基准价对比，计算出报价评分值（保留小数2位）：</w:t>
      </w:r>
    </w:p>
    <w:p w14:paraId="3D80D9E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1）有效投标人的投标报价等于评标基准价时其报价分为满分</w:t>
      </w:r>
      <w:r>
        <w:rPr>
          <w:rFonts w:hint="eastAsia" w:ascii="新宋体" w:hAnsi="新宋体" w:eastAsia="新宋体" w:cs="新宋体"/>
          <w:color w:val="auto"/>
          <w:sz w:val="22"/>
          <w:szCs w:val="22"/>
          <w:highlight w:val="none"/>
          <w:lang w:val="en-US" w:eastAsia="zh-CN"/>
        </w:rPr>
        <w:t>30</w:t>
      </w:r>
      <w:r>
        <w:rPr>
          <w:rFonts w:hint="eastAsia" w:ascii="新宋体" w:hAnsi="新宋体" w:eastAsia="新宋体" w:cs="新宋体"/>
          <w:color w:val="auto"/>
          <w:sz w:val="22"/>
          <w:szCs w:val="22"/>
          <w:highlight w:val="none"/>
        </w:rPr>
        <w:t>分；</w:t>
      </w:r>
    </w:p>
    <w:p w14:paraId="6F87179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2）其他投标人的价格分按以下公式计算：</w:t>
      </w:r>
    </w:p>
    <w:p w14:paraId="64E190FF">
      <w:pPr>
        <w:spacing w:line="460" w:lineRule="exact"/>
        <w:ind w:firstLine="440" w:firstLineChars="200"/>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color w:val="auto"/>
          <w:sz w:val="22"/>
          <w:szCs w:val="22"/>
          <w:highlight w:val="none"/>
        </w:rPr>
        <w:t>投标报价得分=（评分基准价/投标人投标报价）× 价格权值 ×100（保留小数2位）</w:t>
      </w:r>
    </w:p>
    <w:p w14:paraId="669748AE">
      <w:pPr>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根据《政府采购促进中小企业发展管理办法》（财库〔2020〕46号）、《财政部关于进一步加大政府采购支持中小企业力度的通知》（财库〔2022〕19号）有关规定，对货物类项目投标产品为小型或微型企业生产的，</w:t>
      </w:r>
      <w:r>
        <w:rPr>
          <w:rFonts w:hint="eastAsia" w:ascii="新宋体" w:hAnsi="新宋体" w:eastAsia="新宋体" w:cs="新宋体"/>
          <w:b/>
          <w:bCs/>
          <w:color w:val="auto"/>
          <w:sz w:val="22"/>
          <w:szCs w:val="22"/>
          <w:highlight w:val="none"/>
          <w:u w:val="single"/>
          <w:lang w:val="zh-CN"/>
        </w:rPr>
        <w:t>价格给予</w:t>
      </w:r>
      <w:r>
        <w:rPr>
          <w:rFonts w:hint="eastAsia" w:ascii="新宋体" w:hAnsi="新宋体" w:eastAsia="新宋体" w:cs="新宋体"/>
          <w:b/>
          <w:bCs/>
          <w:color w:val="auto"/>
          <w:sz w:val="22"/>
          <w:szCs w:val="22"/>
          <w:highlight w:val="none"/>
          <w:u w:val="single"/>
          <w:lang w:val="en-US" w:eastAsia="zh-CN"/>
        </w:rPr>
        <w:t>1</w:t>
      </w:r>
      <w:r>
        <w:rPr>
          <w:rFonts w:hint="eastAsia" w:ascii="新宋体" w:hAnsi="新宋体" w:eastAsia="新宋体" w:cs="新宋体"/>
          <w:b/>
          <w:bCs/>
          <w:color w:val="auto"/>
          <w:sz w:val="22"/>
          <w:szCs w:val="22"/>
          <w:highlight w:val="none"/>
          <w:u w:val="single"/>
        </w:rPr>
        <w:t>0</w:t>
      </w:r>
      <w:r>
        <w:rPr>
          <w:rFonts w:hint="eastAsia" w:ascii="新宋体" w:hAnsi="新宋体" w:eastAsia="新宋体" w:cs="新宋体"/>
          <w:b/>
          <w:bCs/>
          <w:color w:val="auto"/>
          <w:sz w:val="22"/>
          <w:szCs w:val="22"/>
          <w:highlight w:val="none"/>
          <w:u w:val="single"/>
          <w:lang w:val="zh-CN"/>
        </w:rPr>
        <w:t>%的扣除</w:t>
      </w:r>
      <w:r>
        <w:rPr>
          <w:rFonts w:hint="eastAsia" w:ascii="新宋体" w:hAnsi="新宋体" w:eastAsia="新宋体" w:cs="新宋体"/>
          <w:color w:val="auto"/>
          <w:sz w:val="22"/>
          <w:szCs w:val="22"/>
          <w:highlight w:val="none"/>
          <w:lang w:val="zh-CN"/>
        </w:rPr>
        <w:t>，用扣除后的价格参与价格评分。</w:t>
      </w:r>
    </w:p>
    <w:p w14:paraId="18135FA7">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zh-CN"/>
        </w:rPr>
        <w:t>监狱企业、</w:t>
      </w:r>
      <w:r>
        <w:rPr>
          <w:rFonts w:hint="eastAsia" w:ascii="新宋体" w:hAnsi="新宋体" w:eastAsia="新宋体" w:cs="新宋体"/>
          <w:b/>
          <w:color w:val="auto"/>
          <w:sz w:val="22"/>
          <w:szCs w:val="22"/>
          <w:highlight w:val="none"/>
        </w:rPr>
        <w:t>残疾人福利性单位</w:t>
      </w:r>
      <w:r>
        <w:rPr>
          <w:rFonts w:hint="eastAsia" w:ascii="新宋体" w:hAnsi="新宋体" w:eastAsia="新宋体" w:cs="新宋体"/>
          <w:b/>
          <w:bCs/>
          <w:color w:val="auto"/>
          <w:sz w:val="22"/>
          <w:szCs w:val="22"/>
          <w:highlight w:val="none"/>
          <w:lang w:val="zh-CN"/>
        </w:rPr>
        <w:t>视同小微企业，其产品参加本项目投标的，享受小微企业同等的价格扣除。</w:t>
      </w:r>
    </w:p>
    <w:p w14:paraId="45B76F7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w:t>
      </w:r>
      <w:r>
        <w:rPr>
          <w:rFonts w:hint="eastAsia" w:ascii="新宋体" w:hAnsi="新宋体" w:eastAsia="新宋体" w:cs="新宋体"/>
          <w:color w:val="auto"/>
          <w:sz w:val="22"/>
          <w:szCs w:val="22"/>
          <w:highlight w:val="none"/>
          <w:lang w:val="en-US" w:eastAsia="zh-CN"/>
        </w:rPr>
        <w:t>小微企业</w:t>
      </w:r>
      <w:r>
        <w:rPr>
          <w:rFonts w:hint="eastAsia" w:ascii="新宋体" w:hAnsi="新宋体" w:eastAsia="新宋体" w:cs="新宋体"/>
          <w:color w:val="auto"/>
          <w:sz w:val="22"/>
          <w:szCs w:val="22"/>
          <w:highlight w:val="none"/>
        </w:rPr>
        <w:t>折扣条件的商务（报价）分=[评标基准价/(投标报价*</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rPr>
        <w:t>0%)]×</w:t>
      </w:r>
      <w:r>
        <w:rPr>
          <w:rFonts w:hint="eastAsia" w:ascii="新宋体" w:hAnsi="新宋体" w:eastAsia="新宋体" w:cs="新宋体"/>
          <w:color w:val="auto"/>
          <w:sz w:val="22"/>
          <w:szCs w:val="22"/>
          <w:highlight w:val="none"/>
          <w:lang w:val="en-US" w:eastAsia="zh-CN"/>
        </w:rPr>
        <w:t>30</w:t>
      </w:r>
      <w:r>
        <w:rPr>
          <w:rFonts w:hint="eastAsia" w:ascii="新宋体" w:hAnsi="新宋体" w:eastAsia="新宋体" w:cs="新宋体"/>
          <w:color w:val="auto"/>
          <w:sz w:val="22"/>
          <w:szCs w:val="22"/>
          <w:highlight w:val="none"/>
        </w:rPr>
        <w:t>。</w:t>
      </w:r>
    </w:p>
    <w:p w14:paraId="2D9CDE3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w:t>
      </w: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折扣条件的商务（报价）分=[评标基准价/(投标报价*</w:t>
      </w:r>
      <w:r>
        <w:rPr>
          <w:rFonts w:hint="eastAsia" w:ascii="新宋体" w:hAnsi="新宋体" w:eastAsia="新宋体" w:cs="新宋体"/>
          <w:color w:val="auto"/>
          <w:sz w:val="22"/>
          <w:szCs w:val="22"/>
          <w:highlight w:val="none"/>
          <w:lang w:val="en-US" w:eastAsia="zh-CN"/>
        </w:rPr>
        <w:t>96</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30</w:t>
      </w:r>
      <w:r>
        <w:rPr>
          <w:rFonts w:hint="eastAsia" w:ascii="新宋体" w:hAnsi="新宋体" w:eastAsia="新宋体" w:cs="新宋体"/>
          <w:color w:val="auto"/>
          <w:sz w:val="22"/>
          <w:szCs w:val="22"/>
          <w:highlight w:val="none"/>
        </w:rPr>
        <w:t>。</w:t>
      </w:r>
    </w:p>
    <w:p w14:paraId="73FFBAE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3、有效投标人的综合得分为商务技术分和报价分的总和。</w:t>
      </w:r>
    </w:p>
    <w:p w14:paraId="19B8FDC7">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A02B23F">
      <w:pPr>
        <w:spacing w:line="460" w:lineRule="exact"/>
        <w:ind w:firstLine="442" w:firstLineChars="200"/>
        <w:outlineLvl w:val="1"/>
        <w:rPr>
          <w:rFonts w:hint="eastAsia" w:ascii="新宋体" w:hAnsi="新宋体" w:eastAsia="新宋体" w:cs="新宋体"/>
          <w:b/>
          <w:bCs/>
          <w:color w:val="auto"/>
          <w:sz w:val="22"/>
          <w:szCs w:val="22"/>
          <w:highlight w:val="none"/>
        </w:rPr>
      </w:pPr>
      <w:bookmarkStart w:id="42" w:name="_Toc30900"/>
      <w:r>
        <w:rPr>
          <w:rFonts w:hint="eastAsia" w:ascii="新宋体" w:hAnsi="新宋体" w:eastAsia="新宋体" w:cs="新宋体"/>
          <w:b/>
          <w:bCs/>
          <w:color w:val="auto"/>
          <w:sz w:val="22"/>
          <w:szCs w:val="22"/>
          <w:highlight w:val="none"/>
        </w:rPr>
        <w:t>六、定标办法</w:t>
      </w:r>
      <w:bookmarkEnd w:id="42"/>
    </w:p>
    <w:p w14:paraId="17F80120">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65D29AE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1.1由评标委员会确定中标候选人。</w:t>
      </w:r>
    </w:p>
    <w:p w14:paraId="2D66824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评标委员会依据法律、法规及招标文件有关规定按评审后得分（即商务技术分与报价分之和）由高到低顺序排序，得分前二名的投标人确定为该项目的第一和第二中标候选人（得分相同的，按投标报价由低到高顺序排列。得分且投标报价相同的并列。）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推荐。</w:t>
      </w:r>
    </w:p>
    <w:p w14:paraId="586045EA">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2、确定成交投标人</w:t>
      </w:r>
    </w:p>
    <w:p w14:paraId="170F6C59">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2.1</w:t>
      </w:r>
      <w:r>
        <w:rPr>
          <w:rFonts w:hint="eastAsia" w:ascii="新宋体" w:hAnsi="新宋体" w:eastAsia="新宋体" w:cs="新宋体"/>
          <w:b/>
          <w:bCs/>
          <w:color w:val="auto"/>
          <w:sz w:val="22"/>
          <w:szCs w:val="22"/>
          <w:highlight w:val="none"/>
          <w:lang w:eastAsia="zh-CN"/>
        </w:rPr>
        <w:t>采购人</w:t>
      </w:r>
      <w:r>
        <w:rPr>
          <w:rFonts w:hint="eastAsia" w:ascii="新宋体" w:hAnsi="新宋体" w:eastAsia="新宋体" w:cs="新宋体"/>
          <w:b/>
          <w:bCs/>
          <w:color w:val="auto"/>
          <w:sz w:val="22"/>
          <w:szCs w:val="22"/>
          <w:highlight w:val="none"/>
        </w:rPr>
        <w:t>按照书面评标报告中推荐的中标候选投标人顺序确定成交投标人；也可以事先授权评标委员会按照推荐的中标候选投标人顺序直接确定成交投标人。中标候选人并列的，由评标委员会全体成员记名投票按少数服从多数的原则确定排名。</w:t>
      </w:r>
    </w:p>
    <w:p w14:paraId="70D9BAD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2.2如成交投标人放弃中标；或未能在规定时间内与采购单位签订合同的；或者经质疑，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审查后，确因排名第一的候选人在本次采购活动中存在违法违规行为或其他原因使质疑成立的，</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可以视情况直接确定排名第二的候选人为成交投标人或重新组织招标。</w:t>
      </w:r>
    </w:p>
    <w:p w14:paraId="65F655A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成交投标人确定后，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将在指定媒体公告中标结果，</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向成交投标人发出中标通知书。</w:t>
      </w:r>
    </w:p>
    <w:p w14:paraId="1B450CF9">
      <w:pPr>
        <w:spacing w:line="460" w:lineRule="exact"/>
        <w:ind w:firstLine="442" w:firstLineChars="200"/>
        <w:outlineLvl w:val="1"/>
        <w:rPr>
          <w:rFonts w:hint="eastAsia" w:ascii="新宋体" w:hAnsi="新宋体" w:eastAsia="新宋体" w:cs="新宋体"/>
          <w:b/>
          <w:color w:val="auto"/>
          <w:sz w:val="22"/>
          <w:szCs w:val="22"/>
          <w:highlight w:val="none"/>
        </w:rPr>
      </w:pPr>
      <w:bookmarkStart w:id="43" w:name="_Toc25585"/>
      <w:r>
        <w:rPr>
          <w:rFonts w:hint="eastAsia" w:ascii="新宋体" w:hAnsi="新宋体" w:eastAsia="新宋体" w:cs="新宋体"/>
          <w:b/>
          <w:color w:val="auto"/>
          <w:sz w:val="22"/>
          <w:szCs w:val="22"/>
          <w:highlight w:val="none"/>
        </w:rPr>
        <w:t>七、投标人义务</w:t>
      </w:r>
      <w:bookmarkEnd w:id="43"/>
    </w:p>
    <w:p w14:paraId="2F8ECE3F">
      <w:pPr>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投标人应随时接受评标委员会的询标，解答包括有关的商务技术、报价问题等。评标结束，</w:t>
      </w:r>
      <w:r>
        <w:rPr>
          <w:rFonts w:hint="eastAsia" w:ascii="新宋体" w:hAnsi="新宋体" w:eastAsia="新宋体" w:cs="新宋体"/>
          <w:color w:val="auto"/>
          <w:sz w:val="22"/>
          <w:szCs w:val="22"/>
          <w:highlight w:val="none"/>
          <w:lang w:val="en-US" w:eastAsia="zh-CN"/>
        </w:rPr>
        <w:t>所有评标资料存招标机构备查。</w:t>
      </w:r>
    </w:p>
    <w:p w14:paraId="0D0B06D9">
      <w:pPr>
        <w:spacing w:line="460" w:lineRule="exact"/>
        <w:ind w:firstLine="442"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2、项目开评标结束后，投标供应商须提供纸质投标响应文件并加盖单位公章一份，送至代理公司。</w:t>
      </w:r>
    </w:p>
    <w:sectPr>
      <w:headerReference r:id="rId12" w:type="default"/>
      <w:footerReference r:id="rId13" w:type="default"/>
      <w:pgSz w:w="11907" w:h="16840"/>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elvetica">
    <w:altName w:val="Arial"/>
    <w:panose1 w:val="020B0604020202020204"/>
    <w:charset w:val="00"/>
    <w:family w:val="swiss"/>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45F17">
    <w:pPr>
      <w:pStyle w:val="35"/>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446AA">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EE6B9">
    <w:pPr>
      <w:pStyle w:val="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CA7B0">
    <w:pPr>
      <w:pStyle w:val="35"/>
      <w:ind w:right="360" w:firstLine="4500" w:firstLineChars="25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08A67FA">
                          <w:pPr>
                            <w:pStyle w:val="35"/>
                          </w:pPr>
                          <w:r>
                            <w:fldChar w:fldCharType="begin"/>
                          </w:r>
                          <w:r>
                            <w:instrText xml:space="preserve"> PAGE  \* MERGEFORMAT </w:instrText>
                          </w:r>
                          <w:r>
                            <w:fldChar w:fldCharType="separate"/>
                          </w:r>
                          <w:r>
                            <w:t>44</w:t>
                          </w:r>
                          <w:r>
                            <w:fldChar w:fldCharType="end"/>
                          </w:r>
                        </w:p>
                      </w:txbxContent>
                    </wps:txbx>
                    <wps:bodyPr vert="horz" wrap="none" lIns="0" tIns="0" rIns="0" bIns="0" anchor="t" anchorCtr="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Ax0wuu2wEAAMADAAAOAAAAAAAAAAEA&#10;IAAAAB4BAABkcnMvZTJvRG9jLnhtbFBLBQYAAAAABgAGAFkBAABrBQAAAAA=&#10;">
              <v:fill on="f" focussize="0,0"/>
              <v:stroke on="f"/>
              <v:imagedata o:title=""/>
              <o:lock v:ext="edit" aspectratio="f"/>
              <v:textbox inset="0mm,0mm,0mm,0mm" style="mso-fit-shape-to-text:t;">
                <w:txbxContent>
                  <w:p w14:paraId="008A67FA">
                    <w:pPr>
                      <w:pStyle w:val="3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11B9A">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406355">
                          <w:pPr>
                            <w:pStyle w:val="35"/>
                          </w:pPr>
                          <w:r>
                            <w:fldChar w:fldCharType="begin"/>
                          </w:r>
                          <w:r>
                            <w:instrText xml:space="preserve"> PAGE  \* MERGEFORMAT </w:instrText>
                          </w:r>
                          <w:r>
                            <w:fldChar w:fldCharType="separate"/>
                          </w:r>
                          <w:r>
                            <w:t>45</w:t>
                          </w:r>
                          <w:r>
                            <w:fldChar w:fldCharType="end"/>
                          </w:r>
                        </w:p>
                      </w:txbxContent>
                    </wps:txbx>
                    <wps:bodyPr vert="horz" wrap="none" lIns="0" tIns="0" rIns="0" bIns="0" anchor="t" anchorCtr="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Aqn2d/2wEAAMEDAAAOAAAAAAAAAAEA&#10;IAAAAB4BAABkcnMvZTJvRG9jLnhtbFBLBQYAAAAABgAGAFkBAABrBQAAAAA=&#10;">
              <v:fill on="f" focussize="0,0"/>
              <v:stroke on="f"/>
              <v:imagedata o:title=""/>
              <o:lock v:ext="edit" aspectratio="f"/>
              <v:textbox inset="0mm,0mm,0mm,0mm" style="mso-fit-shape-to-text:t;">
                <w:txbxContent>
                  <w:p w14:paraId="55406355">
                    <w:pPr>
                      <w:pStyle w:val="3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AB077">
    <w:pPr>
      <w:pStyle w:val="35"/>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4CEC35A">
                          <w:pPr>
                            <w:pStyle w:val="35"/>
                          </w:pPr>
                          <w:r>
                            <w:fldChar w:fldCharType="begin"/>
                          </w:r>
                          <w:r>
                            <w:instrText xml:space="preserve"> PAGE  \* MERGEFORMAT </w:instrText>
                          </w:r>
                          <w:r>
                            <w:fldChar w:fldCharType="separate"/>
                          </w:r>
                          <w:r>
                            <w:t>70</w:t>
                          </w:r>
                          <w:r>
                            <w:fldChar w:fldCharType="end"/>
                          </w:r>
                        </w:p>
                      </w:txbxContent>
                    </wps:txbx>
                    <wps:bodyPr vert="horz" wrap="none" lIns="0" tIns="0" rIns="0" bIns="0" anchor="t" anchorCtr="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0Pe+9twBAADBAwAADgAAAAAAAAAB&#10;ACAAAAAeAQAAZHJzL2Uyb0RvYy54bWxQSwUGAAAAAAYABgBZAQAAbAUAAAAA&#10;">
              <v:fill on="f" focussize="0,0"/>
              <v:stroke on="f"/>
              <v:imagedata o:title=""/>
              <o:lock v:ext="edit" aspectratio="f"/>
              <v:textbox inset="0mm,0mm,0mm,0mm" style="mso-fit-shape-to-text:t;">
                <w:txbxContent>
                  <w:p w14:paraId="44CEC35A">
                    <w:pPr>
                      <w:pStyle w:val="35"/>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14794">
    <w:pPr>
      <w:pStyle w:val="37"/>
      <w:jc w:val="both"/>
      <w:rPr>
        <w:rFonts w:hint="eastAsia" w:eastAsia="宋体"/>
        <w:lang w:eastAsia="zh-CN"/>
      </w:rPr>
    </w:pPr>
    <w:r>
      <w:rPr>
        <w:rFonts w:hint="eastAsia" w:ascii="新宋体" w:hAnsi="新宋体" w:eastAsia="新宋体" w:cs="新宋体"/>
      </w:rPr>
      <w:t>温州市政府（分散）采购招标文件                                        项目编号：</w:t>
    </w:r>
    <w:r>
      <w:rPr>
        <w:rFonts w:hint="eastAsia" w:ascii="新宋体" w:hAnsi="新宋体" w:eastAsia="新宋体" w:cs="新宋体"/>
        <w:lang w:eastAsia="zh-CN"/>
      </w:rPr>
      <w:t>WZLCZB（L）-2025-06070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F7BBD">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17BF5">
    <w:pPr>
      <w:pStyle w:val="37"/>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0E1CD">
    <w:pPr>
      <w:pStyle w:val="37"/>
      <w:pBdr>
        <w:bottom w:val="single" w:color="auto" w:sz="4" w:space="1"/>
      </w:pBdr>
      <w:jc w:val="both"/>
      <w:rPr>
        <w:rFonts w:hint="eastAsia" w:eastAsia="宋体"/>
        <w:lang w:eastAsia="zh-CN"/>
      </w:rPr>
    </w:pPr>
    <w:r>
      <w:rPr>
        <w:rFonts w:hint="eastAsia" w:ascii="新宋体" w:hAnsi="新宋体" w:eastAsia="新宋体" w:cs="新宋体"/>
      </w:rPr>
      <w:t>温州市政府（分散）采购招标文件                                        项目编号：</w:t>
    </w:r>
    <w:r>
      <w:rPr>
        <w:rFonts w:hint="eastAsia" w:ascii="新宋体" w:hAnsi="新宋体" w:eastAsia="新宋体" w:cs="新宋体"/>
        <w:lang w:eastAsia="zh-CN"/>
      </w:rPr>
      <w:t>WZLCZB（L）-2025-06070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7D050">
    <w:pPr>
      <w:pStyle w:val="37"/>
      <w:pBdr>
        <w:bottom w:val="single" w:color="auto" w:sz="4" w:space="0"/>
      </w:pBdr>
      <w:jc w:val="both"/>
      <w:rPr>
        <w:rFonts w:hint="eastAsia" w:eastAsia="宋体"/>
        <w:lang w:eastAsia="zh-CN"/>
      </w:rPr>
    </w:pPr>
    <w:r>
      <w:rPr>
        <w:rFonts w:hint="eastAsia" w:ascii="新宋体" w:hAnsi="新宋体" w:eastAsia="新宋体" w:cs="新宋体"/>
      </w:rPr>
      <w:t>温州市政府（分散）采购招标文件                                        项目编号：</w:t>
    </w:r>
    <w:r>
      <w:rPr>
        <w:rFonts w:hint="eastAsia" w:ascii="新宋体" w:hAnsi="新宋体" w:eastAsia="新宋体" w:cs="新宋体"/>
        <w:lang w:eastAsia="zh-CN"/>
      </w:rPr>
      <w:t>WZLCZB（L）-2025-06070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D7A3B6"/>
    <w:multiLevelType w:val="singleLevel"/>
    <w:tmpl w:val="52D7A3B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NmYwMTIwOTRmM2U5ZmE5ZmRkOTg1NDdjYzQ4Y2QifQ=="/>
  </w:docVars>
  <w:rsids>
    <w:rsidRoot w:val="0023016B"/>
    <w:rsid w:val="00114F8F"/>
    <w:rsid w:val="001247D2"/>
    <w:rsid w:val="0016386F"/>
    <w:rsid w:val="00191903"/>
    <w:rsid w:val="001938DB"/>
    <w:rsid w:val="00197D68"/>
    <w:rsid w:val="001A75A0"/>
    <w:rsid w:val="001B5A72"/>
    <w:rsid w:val="001C0F4B"/>
    <w:rsid w:val="001D02EF"/>
    <w:rsid w:val="0023016B"/>
    <w:rsid w:val="0024135E"/>
    <w:rsid w:val="00256D25"/>
    <w:rsid w:val="002671EE"/>
    <w:rsid w:val="002909A4"/>
    <w:rsid w:val="00293114"/>
    <w:rsid w:val="002F482C"/>
    <w:rsid w:val="00300FAF"/>
    <w:rsid w:val="00315973"/>
    <w:rsid w:val="0036058E"/>
    <w:rsid w:val="00382A9B"/>
    <w:rsid w:val="0039345C"/>
    <w:rsid w:val="00394956"/>
    <w:rsid w:val="003B7092"/>
    <w:rsid w:val="003F0B48"/>
    <w:rsid w:val="00413731"/>
    <w:rsid w:val="004167B9"/>
    <w:rsid w:val="004376E4"/>
    <w:rsid w:val="0045252D"/>
    <w:rsid w:val="004755C1"/>
    <w:rsid w:val="004A060C"/>
    <w:rsid w:val="004A27BA"/>
    <w:rsid w:val="004A2F76"/>
    <w:rsid w:val="004C7355"/>
    <w:rsid w:val="004F38A8"/>
    <w:rsid w:val="0050192E"/>
    <w:rsid w:val="00514B33"/>
    <w:rsid w:val="0052303E"/>
    <w:rsid w:val="00531D10"/>
    <w:rsid w:val="0054395A"/>
    <w:rsid w:val="00553434"/>
    <w:rsid w:val="005A1959"/>
    <w:rsid w:val="005B70F8"/>
    <w:rsid w:val="005D6717"/>
    <w:rsid w:val="006062E4"/>
    <w:rsid w:val="00614721"/>
    <w:rsid w:val="00646482"/>
    <w:rsid w:val="00685BCD"/>
    <w:rsid w:val="006B331A"/>
    <w:rsid w:val="006C1E10"/>
    <w:rsid w:val="00707C13"/>
    <w:rsid w:val="00735D24"/>
    <w:rsid w:val="00736815"/>
    <w:rsid w:val="007420F5"/>
    <w:rsid w:val="00771B8F"/>
    <w:rsid w:val="00796C50"/>
    <w:rsid w:val="007A3B10"/>
    <w:rsid w:val="007A7842"/>
    <w:rsid w:val="007B70D7"/>
    <w:rsid w:val="007C4878"/>
    <w:rsid w:val="007D38F4"/>
    <w:rsid w:val="008226D3"/>
    <w:rsid w:val="008314E6"/>
    <w:rsid w:val="008908E9"/>
    <w:rsid w:val="008C2830"/>
    <w:rsid w:val="008D1115"/>
    <w:rsid w:val="008D1DFF"/>
    <w:rsid w:val="008D2667"/>
    <w:rsid w:val="008D5F21"/>
    <w:rsid w:val="008D64B4"/>
    <w:rsid w:val="008D74D3"/>
    <w:rsid w:val="008E54EB"/>
    <w:rsid w:val="008E5C50"/>
    <w:rsid w:val="00936A15"/>
    <w:rsid w:val="009532C5"/>
    <w:rsid w:val="00967530"/>
    <w:rsid w:val="0097459E"/>
    <w:rsid w:val="009954B6"/>
    <w:rsid w:val="009D1704"/>
    <w:rsid w:val="009E0D18"/>
    <w:rsid w:val="00A046B4"/>
    <w:rsid w:val="00A134AF"/>
    <w:rsid w:val="00A21536"/>
    <w:rsid w:val="00A8036E"/>
    <w:rsid w:val="00A8362E"/>
    <w:rsid w:val="00AA35BB"/>
    <w:rsid w:val="00AA3A60"/>
    <w:rsid w:val="00AA6AA6"/>
    <w:rsid w:val="00AF1028"/>
    <w:rsid w:val="00B00BD6"/>
    <w:rsid w:val="00B77AFF"/>
    <w:rsid w:val="00BB11D1"/>
    <w:rsid w:val="00BB35F7"/>
    <w:rsid w:val="00BB60B4"/>
    <w:rsid w:val="00BD05C0"/>
    <w:rsid w:val="00BD683C"/>
    <w:rsid w:val="00BF5765"/>
    <w:rsid w:val="00C22D19"/>
    <w:rsid w:val="00C445E6"/>
    <w:rsid w:val="00C54890"/>
    <w:rsid w:val="00C64900"/>
    <w:rsid w:val="00CC755F"/>
    <w:rsid w:val="00CD124F"/>
    <w:rsid w:val="00CD68F5"/>
    <w:rsid w:val="00CF5067"/>
    <w:rsid w:val="00CF5E54"/>
    <w:rsid w:val="00D00DC8"/>
    <w:rsid w:val="00D13234"/>
    <w:rsid w:val="00D13260"/>
    <w:rsid w:val="00D32D45"/>
    <w:rsid w:val="00D55307"/>
    <w:rsid w:val="00D85F60"/>
    <w:rsid w:val="00D94D28"/>
    <w:rsid w:val="00DA0B56"/>
    <w:rsid w:val="00DE6665"/>
    <w:rsid w:val="00DF0B59"/>
    <w:rsid w:val="00DF3740"/>
    <w:rsid w:val="00DF3D70"/>
    <w:rsid w:val="00E40A4F"/>
    <w:rsid w:val="00E94F49"/>
    <w:rsid w:val="00EA49D5"/>
    <w:rsid w:val="00ED3FC2"/>
    <w:rsid w:val="00EE4223"/>
    <w:rsid w:val="00EF170E"/>
    <w:rsid w:val="00EF6E2E"/>
    <w:rsid w:val="00F114E1"/>
    <w:rsid w:val="00F25987"/>
    <w:rsid w:val="00F25C44"/>
    <w:rsid w:val="00F44E97"/>
    <w:rsid w:val="00F52B44"/>
    <w:rsid w:val="00F6186D"/>
    <w:rsid w:val="00F61C6E"/>
    <w:rsid w:val="00FA54A2"/>
    <w:rsid w:val="00FB6B26"/>
    <w:rsid w:val="00FE103E"/>
    <w:rsid w:val="00FF7FAD"/>
    <w:rsid w:val="018467BF"/>
    <w:rsid w:val="0186120B"/>
    <w:rsid w:val="01FC34D5"/>
    <w:rsid w:val="022218C6"/>
    <w:rsid w:val="024B6CB8"/>
    <w:rsid w:val="02BB6FC4"/>
    <w:rsid w:val="03034029"/>
    <w:rsid w:val="032E2252"/>
    <w:rsid w:val="032F3562"/>
    <w:rsid w:val="03324729"/>
    <w:rsid w:val="03373831"/>
    <w:rsid w:val="03AD3752"/>
    <w:rsid w:val="03DF364B"/>
    <w:rsid w:val="03EA245A"/>
    <w:rsid w:val="03F34262"/>
    <w:rsid w:val="03FD6292"/>
    <w:rsid w:val="04037386"/>
    <w:rsid w:val="043163B0"/>
    <w:rsid w:val="045C452F"/>
    <w:rsid w:val="047C4CC6"/>
    <w:rsid w:val="04A92D3F"/>
    <w:rsid w:val="04D51825"/>
    <w:rsid w:val="05427BAF"/>
    <w:rsid w:val="05452908"/>
    <w:rsid w:val="05452DFC"/>
    <w:rsid w:val="05624EF4"/>
    <w:rsid w:val="05F568B9"/>
    <w:rsid w:val="06C21F22"/>
    <w:rsid w:val="06F9503D"/>
    <w:rsid w:val="073C1AF2"/>
    <w:rsid w:val="07527798"/>
    <w:rsid w:val="07B47481"/>
    <w:rsid w:val="07DC6755"/>
    <w:rsid w:val="086A08B5"/>
    <w:rsid w:val="08882FDF"/>
    <w:rsid w:val="08C806A7"/>
    <w:rsid w:val="09935664"/>
    <w:rsid w:val="09B92103"/>
    <w:rsid w:val="0A551B3B"/>
    <w:rsid w:val="0AC843B2"/>
    <w:rsid w:val="0B0D7095"/>
    <w:rsid w:val="0B776A09"/>
    <w:rsid w:val="0B986F37"/>
    <w:rsid w:val="0C3A6B03"/>
    <w:rsid w:val="0C8560BE"/>
    <w:rsid w:val="0C9870EE"/>
    <w:rsid w:val="0CAB711C"/>
    <w:rsid w:val="0CCA7209"/>
    <w:rsid w:val="0D3137EF"/>
    <w:rsid w:val="0D5D1121"/>
    <w:rsid w:val="0DF60623"/>
    <w:rsid w:val="0E4927CA"/>
    <w:rsid w:val="0EC7671B"/>
    <w:rsid w:val="0EC91DEA"/>
    <w:rsid w:val="0ED800D2"/>
    <w:rsid w:val="0F2C4641"/>
    <w:rsid w:val="0F2E09A0"/>
    <w:rsid w:val="0FB07E20"/>
    <w:rsid w:val="0FF77685"/>
    <w:rsid w:val="1002696F"/>
    <w:rsid w:val="10394744"/>
    <w:rsid w:val="108F2E02"/>
    <w:rsid w:val="10DB0515"/>
    <w:rsid w:val="10F1215E"/>
    <w:rsid w:val="11003D8B"/>
    <w:rsid w:val="11321A41"/>
    <w:rsid w:val="11717CE3"/>
    <w:rsid w:val="11E132E5"/>
    <w:rsid w:val="11ED7B1C"/>
    <w:rsid w:val="12184AF4"/>
    <w:rsid w:val="122C65DA"/>
    <w:rsid w:val="125E4936"/>
    <w:rsid w:val="1265592B"/>
    <w:rsid w:val="128A342F"/>
    <w:rsid w:val="128F4028"/>
    <w:rsid w:val="12901575"/>
    <w:rsid w:val="12C3021C"/>
    <w:rsid w:val="1360689E"/>
    <w:rsid w:val="13816D08"/>
    <w:rsid w:val="149C51EC"/>
    <w:rsid w:val="14B5157D"/>
    <w:rsid w:val="14E74D4E"/>
    <w:rsid w:val="156D5F48"/>
    <w:rsid w:val="159C38EA"/>
    <w:rsid w:val="15A041C1"/>
    <w:rsid w:val="15BC58B2"/>
    <w:rsid w:val="15DA6115"/>
    <w:rsid w:val="15EC3E8F"/>
    <w:rsid w:val="15EC6B3C"/>
    <w:rsid w:val="160F7CF5"/>
    <w:rsid w:val="1633675E"/>
    <w:rsid w:val="16600F53"/>
    <w:rsid w:val="16777578"/>
    <w:rsid w:val="16DA2C75"/>
    <w:rsid w:val="16E94DDC"/>
    <w:rsid w:val="172303F2"/>
    <w:rsid w:val="17231DF9"/>
    <w:rsid w:val="17804127"/>
    <w:rsid w:val="17B45B78"/>
    <w:rsid w:val="17CD738B"/>
    <w:rsid w:val="18BB10D3"/>
    <w:rsid w:val="19827E9B"/>
    <w:rsid w:val="19947A86"/>
    <w:rsid w:val="1A0C2E14"/>
    <w:rsid w:val="1A206975"/>
    <w:rsid w:val="1A34003C"/>
    <w:rsid w:val="1A4F6E6E"/>
    <w:rsid w:val="1A5A2FAF"/>
    <w:rsid w:val="1AAA694D"/>
    <w:rsid w:val="1B0B74EB"/>
    <w:rsid w:val="1B253D72"/>
    <w:rsid w:val="1B4733C9"/>
    <w:rsid w:val="1B98614F"/>
    <w:rsid w:val="1BD913F7"/>
    <w:rsid w:val="1C1756AC"/>
    <w:rsid w:val="1C352B45"/>
    <w:rsid w:val="1C3F7AD4"/>
    <w:rsid w:val="1C7C085F"/>
    <w:rsid w:val="1C861F4B"/>
    <w:rsid w:val="1C912B17"/>
    <w:rsid w:val="1C9F2536"/>
    <w:rsid w:val="1D0832F4"/>
    <w:rsid w:val="1D3C6CD5"/>
    <w:rsid w:val="1D640462"/>
    <w:rsid w:val="1D6D17B1"/>
    <w:rsid w:val="1D735BB8"/>
    <w:rsid w:val="1DB46A8A"/>
    <w:rsid w:val="1DF65C9E"/>
    <w:rsid w:val="1E3936A0"/>
    <w:rsid w:val="1E464A9C"/>
    <w:rsid w:val="1EBC5187"/>
    <w:rsid w:val="1ED458AC"/>
    <w:rsid w:val="1EE61043"/>
    <w:rsid w:val="1F0F6FBE"/>
    <w:rsid w:val="1F17285B"/>
    <w:rsid w:val="1F570348"/>
    <w:rsid w:val="1F691D3E"/>
    <w:rsid w:val="1FDE2E86"/>
    <w:rsid w:val="1FE61BAC"/>
    <w:rsid w:val="203D19AC"/>
    <w:rsid w:val="204A7DAF"/>
    <w:rsid w:val="208E7EC9"/>
    <w:rsid w:val="20AB51F5"/>
    <w:rsid w:val="20B73C37"/>
    <w:rsid w:val="20E249C1"/>
    <w:rsid w:val="21103347"/>
    <w:rsid w:val="21CB7E10"/>
    <w:rsid w:val="22024488"/>
    <w:rsid w:val="226F7886"/>
    <w:rsid w:val="22A45FF1"/>
    <w:rsid w:val="234019B6"/>
    <w:rsid w:val="234A01C1"/>
    <w:rsid w:val="235C2024"/>
    <w:rsid w:val="23812DAF"/>
    <w:rsid w:val="23960FD3"/>
    <w:rsid w:val="23E0059C"/>
    <w:rsid w:val="24001B1B"/>
    <w:rsid w:val="24077A99"/>
    <w:rsid w:val="242B1392"/>
    <w:rsid w:val="2457662A"/>
    <w:rsid w:val="2479598D"/>
    <w:rsid w:val="249917FE"/>
    <w:rsid w:val="24CD44AE"/>
    <w:rsid w:val="25293F80"/>
    <w:rsid w:val="25EE0703"/>
    <w:rsid w:val="26494ECA"/>
    <w:rsid w:val="267D4943"/>
    <w:rsid w:val="26971450"/>
    <w:rsid w:val="273974AC"/>
    <w:rsid w:val="277E328A"/>
    <w:rsid w:val="27800A53"/>
    <w:rsid w:val="27DA7E77"/>
    <w:rsid w:val="27EA138D"/>
    <w:rsid w:val="27FE3662"/>
    <w:rsid w:val="282A596C"/>
    <w:rsid w:val="286363AA"/>
    <w:rsid w:val="288D4D37"/>
    <w:rsid w:val="289934D7"/>
    <w:rsid w:val="28F756F5"/>
    <w:rsid w:val="29450DCF"/>
    <w:rsid w:val="294A14CE"/>
    <w:rsid w:val="294A5B24"/>
    <w:rsid w:val="294B4C19"/>
    <w:rsid w:val="295773B4"/>
    <w:rsid w:val="296F4DB1"/>
    <w:rsid w:val="29766561"/>
    <w:rsid w:val="2A0A2FCE"/>
    <w:rsid w:val="2A39707D"/>
    <w:rsid w:val="2A6B7958"/>
    <w:rsid w:val="2AA4120E"/>
    <w:rsid w:val="2ABE533E"/>
    <w:rsid w:val="2AFF6B5B"/>
    <w:rsid w:val="2B3109E2"/>
    <w:rsid w:val="2B37027E"/>
    <w:rsid w:val="2B3C521A"/>
    <w:rsid w:val="2BAC735E"/>
    <w:rsid w:val="2BCF283B"/>
    <w:rsid w:val="2BD164AF"/>
    <w:rsid w:val="2BD94738"/>
    <w:rsid w:val="2C0E41A0"/>
    <w:rsid w:val="2C382AA1"/>
    <w:rsid w:val="2C7B2CB2"/>
    <w:rsid w:val="2C98683F"/>
    <w:rsid w:val="2D525590"/>
    <w:rsid w:val="2D661C74"/>
    <w:rsid w:val="2D906F26"/>
    <w:rsid w:val="2DA1427C"/>
    <w:rsid w:val="2DA614F1"/>
    <w:rsid w:val="2DC941D1"/>
    <w:rsid w:val="2DF2720A"/>
    <w:rsid w:val="2E4E0912"/>
    <w:rsid w:val="2E7F2198"/>
    <w:rsid w:val="2E8A3B33"/>
    <w:rsid w:val="2F9C3887"/>
    <w:rsid w:val="2FE861ED"/>
    <w:rsid w:val="303A0CA6"/>
    <w:rsid w:val="304C3F78"/>
    <w:rsid w:val="3081702D"/>
    <w:rsid w:val="309054B1"/>
    <w:rsid w:val="30950C74"/>
    <w:rsid w:val="30EC167B"/>
    <w:rsid w:val="311E5564"/>
    <w:rsid w:val="31AE4612"/>
    <w:rsid w:val="31E7649F"/>
    <w:rsid w:val="31FC35ED"/>
    <w:rsid w:val="32180206"/>
    <w:rsid w:val="325E7BE3"/>
    <w:rsid w:val="327610F4"/>
    <w:rsid w:val="329069E0"/>
    <w:rsid w:val="32D87CB9"/>
    <w:rsid w:val="33B47B96"/>
    <w:rsid w:val="34316D0C"/>
    <w:rsid w:val="343F1028"/>
    <w:rsid w:val="34990F0F"/>
    <w:rsid w:val="34D50630"/>
    <w:rsid w:val="35104FE2"/>
    <w:rsid w:val="351C244C"/>
    <w:rsid w:val="354B3256"/>
    <w:rsid w:val="35541EFF"/>
    <w:rsid w:val="35686326"/>
    <w:rsid w:val="356F19BB"/>
    <w:rsid w:val="35D91F1A"/>
    <w:rsid w:val="35F1444A"/>
    <w:rsid w:val="369C5618"/>
    <w:rsid w:val="369C7F24"/>
    <w:rsid w:val="37396137"/>
    <w:rsid w:val="374E32B6"/>
    <w:rsid w:val="37B91BD5"/>
    <w:rsid w:val="37C11A3A"/>
    <w:rsid w:val="37FF42EC"/>
    <w:rsid w:val="38247641"/>
    <w:rsid w:val="382E199E"/>
    <w:rsid w:val="383264F2"/>
    <w:rsid w:val="385F23EF"/>
    <w:rsid w:val="387566FB"/>
    <w:rsid w:val="38B44ED3"/>
    <w:rsid w:val="38B81160"/>
    <w:rsid w:val="38E65928"/>
    <w:rsid w:val="397E6A4F"/>
    <w:rsid w:val="3A51759A"/>
    <w:rsid w:val="3A7B19DF"/>
    <w:rsid w:val="3AA848D5"/>
    <w:rsid w:val="3ADA04E1"/>
    <w:rsid w:val="3AFD61EB"/>
    <w:rsid w:val="3B4F048A"/>
    <w:rsid w:val="3B67578F"/>
    <w:rsid w:val="3BA349BC"/>
    <w:rsid w:val="3BBB4A14"/>
    <w:rsid w:val="3BC05231"/>
    <w:rsid w:val="3BCE3E71"/>
    <w:rsid w:val="3BEE5F3E"/>
    <w:rsid w:val="3C3E127F"/>
    <w:rsid w:val="3C657396"/>
    <w:rsid w:val="3CF84967"/>
    <w:rsid w:val="3D312EAA"/>
    <w:rsid w:val="3D7F5975"/>
    <w:rsid w:val="3DB750AB"/>
    <w:rsid w:val="3DBB45B4"/>
    <w:rsid w:val="3DD73B01"/>
    <w:rsid w:val="3DD86EA7"/>
    <w:rsid w:val="3DEE608D"/>
    <w:rsid w:val="3E397463"/>
    <w:rsid w:val="3E8D4B19"/>
    <w:rsid w:val="3EA60D39"/>
    <w:rsid w:val="3ECA6C84"/>
    <w:rsid w:val="3F1D716E"/>
    <w:rsid w:val="3F7B16F5"/>
    <w:rsid w:val="3F7B1982"/>
    <w:rsid w:val="3FC76845"/>
    <w:rsid w:val="3FED43D5"/>
    <w:rsid w:val="40AA52F7"/>
    <w:rsid w:val="413B5C69"/>
    <w:rsid w:val="41546829"/>
    <w:rsid w:val="415A24CB"/>
    <w:rsid w:val="420A07CB"/>
    <w:rsid w:val="420A76EB"/>
    <w:rsid w:val="42155D9B"/>
    <w:rsid w:val="425177C5"/>
    <w:rsid w:val="42CB4DE2"/>
    <w:rsid w:val="42F16DD6"/>
    <w:rsid w:val="43466B0C"/>
    <w:rsid w:val="436639E6"/>
    <w:rsid w:val="43BB670A"/>
    <w:rsid w:val="43E51F12"/>
    <w:rsid w:val="4428475D"/>
    <w:rsid w:val="445C0222"/>
    <w:rsid w:val="44817E8C"/>
    <w:rsid w:val="44F00B6E"/>
    <w:rsid w:val="45477EF9"/>
    <w:rsid w:val="45554E75"/>
    <w:rsid w:val="45594C3C"/>
    <w:rsid w:val="4574179F"/>
    <w:rsid w:val="457C1B2E"/>
    <w:rsid w:val="45906B8B"/>
    <w:rsid w:val="45917ACD"/>
    <w:rsid w:val="4595232B"/>
    <w:rsid w:val="45D26FE5"/>
    <w:rsid w:val="462C1386"/>
    <w:rsid w:val="463C1BAE"/>
    <w:rsid w:val="46441D9E"/>
    <w:rsid w:val="46503282"/>
    <w:rsid w:val="46BD3CA4"/>
    <w:rsid w:val="475A07E9"/>
    <w:rsid w:val="47A96B72"/>
    <w:rsid w:val="48260166"/>
    <w:rsid w:val="485305FB"/>
    <w:rsid w:val="487F1B0E"/>
    <w:rsid w:val="48876C0F"/>
    <w:rsid w:val="491B366B"/>
    <w:rsid w:val="492A2FE2"/>
    <w:rsid w:val="492E03F5"/>
    <w:rsid w:val="49343D97"/>
    <w:rsid w:val="49677439"/>
    <w:rsid w:val="4980390C"/>
    <w:rsid w:val="49A52B1C"/>
    <w:rsid w:val="49C12AD9"/>
    <w:rsid w:val="49F025E3"/>
    <w:rsid w:val="4A28749A"/>
    <w:rsid w:val="4A4236FE"/>
    <w:rsid w:val="4A483FAB"/>
    <w:rsid w:val="4B0C1660"/>
    <w:rsid w:val="4C220063"/>
    <w:rsid w:val="4C3115BF"/>
    <w:rsid w:val="4C3D588C"/>
    <w:rsid w:val="4C612A6B"/>
    <w:rsid w:val="4C813585"/>
    <w:rsid w:val="4D061894"/>
    <w:rsid w:val="4D2816DB"/>
    <w:rsid w:val="4D5A04CE"/>
    <w:rsid w:val="4D8611B8"/>
    <w:rsid w:val="4DD95FA5"/>
    <w:rsid w:val="4E8A4880"/>
    <w:rsid w:val="4E9E0795"/>
    <w:rsid w:val="4F0951AA"/>
    <w:rsid w:val="4F2D51FE"/>
    <w:rsid w:val="4F471CD3"/>
    <w:rsid w:val="4F515808"/>
    <w:rsid w:val="4F5B0E36"/>
    <w:rsid w:val="4FD26E41"/>
    <w:rsid w:val="4FF56E87"/>
    <w:rsid w:val="50102D9C"/>
    <w:rsid w:val="50416802"/>
    <w:rsid w:val="509829D7"/>
    <w:rsid w:val="50E87770"/>
    <w:rsid w:val="51036AC4"/>
    <w:rsid w:val="51060E5C"/>
    <w:rsid w:val="511B0D44"/>
    <w:rsid w:val="521D22F0"/>
    <w:rsid w:val="523D381C"/>
    <w:rsid w:val="523E3D9D"/>
    <w:rsid w:val="524E7395"/>
    <w:rsid w:val="5260027E"/>
    <w:rsid w:val="526A62DE"/>
    <w:rsid w:val="526E4AB1"/>
    <w:rsid w:val="52B13397"/>
    <w:rsid w:val="536A5D24"/>
    <w:rsid w:val="53995D1F"/>
    <w:rsid w:val="53A95EA9"/>
    <w:rsid w:val="53F740CA"/>
    <w:rsid w:val="54592004"/>
    <w:rsid w:val="545A4B8F"/>
    <w:rsid w:val="54DA0E71"/>
    <w:rsid w:val="54E76F90"/>
    <w:rsid w:val="54EF4893"/>
    <w:rsid w:val="54F9100E"/>
    <w:rsid w:val="55096C5B"/>
    <w:rsid w:val="559F20CE"/>
    <w:rsid w:val="55A72FAC"/>
    <w:rsid w:val="55D45B38"/>
    <w:rsid w:val="56132851"/>
    <w:rsid w:val="5631506E"/>
    <w:rsid w:val="56387D41"/>
    <w:rsid w:val="564D3C60"/>
    <w:rsid w:val="56836AD2"/>
    <w:rsid w:val="569734AB"/>
    <w:rsid w:val="5697739D"/>
    <w:rsid w:val="569A5125"/>
    <w:rsid w:val="56A94B66"/>
    <w:rsid w:val="56CF72A8"/>
    <w:rsid w:val="56E1071C"/>
    <w:rsid w:val="56F3437C"/>
    <w:rsid w:val="5776728C"/>
    <w:rsid w:val="57AE1AA8"/>
    <w:rsid w:val="57DE1290"/>
    <w:rsid w:val="58104109"/>
    <w:rsid w:val="58474BA7"/>
    <w:rsid w:val="58E30CBE"/>
    <w:rsid w:val="58E4719A"/>
    <w:rsid w:val="595F1EA8"/>
    <w:rsid w:val="59B612DD"/>
    <w:rsid w:val="59B6233E"/>
    <w:rsid w:val="59E063E4"/>
    <w:rsid w:val="5A185214"/>
    <w:rsid w:val="5A842D68"/>
    <w:rsid w:val="5AC13BD8"/>
    <w:rsid w:val="5AD62D8F"/>
    <w:rsid w:val="5BFA4419"/>
    <w:rsid w:val="5CB54038"/>
    <w:rsid w:val="5D373386"/>
    <w:rsid w:val="5D4E06D0"/>
    <w:rsid w:val="5D5A26BF"/>
    <w:rsid w:val="5DDB742E"/>
    <w:rsid w:val="5E5752D5"/>
    <w:rsid w:val="5E68742F"/>
    <w:rsid w:val="5E6F556C"/>
    <w:rsid w:val="5E7A402D"/>
    <w:rsid w:val="5E91246B"/>
    <w:rsid w:val="5EC97F61"/>
    <w:rsid w:val="5EE25574"/>
    <w:rsid w:val="5F0150E7"/>
    <w:rsid w:val="5F4F16DD"/>
    <w:rsid w:val="5F6C13A4"/>
    <w:rsid w:val="5FCC3ACA"/>
    <w:rsid w:val="5FCF323C"/>
    <w:rsid w:val="5FDD5B23"/>
    <w:rsid w:val="6005003F"/>
    <w:rsid w:val="604F6C39"/>
    <w:rsid w:val="60936156"/>
    <w:rsid w:val="6108620B"/>
    <w:rsid w:val="610B793F"/>
    <w:rsid w:val="6179123D"/>
    <w:rsid w:val="61A506E6"/>
    <w:rsid w:val="61E9695C"/>
    <w:rsid w:val="61EB0BE3"/>
    <w:rsid w:val="61EC5559"/>
    <w:rsid w:val="62082641"/>
    <w:rsid w:val="628A65E1"/>
    <w:rsid w:val="62BF43CA"/>
    <w:rsid w:val="63032814"/>
    <w:rsid w:val="63686C43"/>
    <w:rsid w:val="63857C4A"/>
    <w:rsid w:val="639F2463"/>
    <w:rsid w:val="63BC351D"/>
    <w:rsid w:val="63EC0B11"/>
    <w:rsid w:val="64046FDC"/>
    <w:rsid w:val="64FC2FC1"/>
    <w:rsid w:val="65030035"/>
    <w:rsid w:val="652362C1"/>
    <w:rsid w:val="65893078"/>
    <w:rsid w:val="6671225B"/>
    <w:rsid w:val="66811B16"/>
    <w:rsid w:val="66E75E1D"/>
    <w:rsid w:val="67034764"/>
    <w:rsid w:val="677A2EF9"/>
    <w:rsid w:val="67871780"/>
    <w:rsid w:val="67AD177C"/>
    <w:rsid w:val="682B6460"/>
    <w:rsid w:val="68E26FD4"/>
    <w:rsid w:val="692142F9"/>
    <w:rsid w:val="69A25058"/>
    <w:rsid w:val="69E9781D"/>
    <w:rsid w:val="6A64025D"/>
    <w:rsid w:val="6B1B1EA9"/>
    <w:rsid w:val="6B5A74D7"/>
    <w:rsid w:val="6B5B0D31"/>
    <w:rsid w:val="6B7059D6"/>
    <w:rsid w:val="6B916DF5"/>
    <w:rsid w:val="6BD940E2"/>
    <w:rsid w:val="6C0A198A"/>
    <w:rsid w:val="6C1306D7"/>
    <w:rsid w:val="6C164AAF"/>
    <w:rsid w:val="6C421A44"/>
    <w:rsid w:val="6CA25D5C"/>
    <w:rsid w:val="6CCA2470"/>
    <w:rsid w:val="6CE47B9F"/>
    <w:rsid w:val="6D1E509F"/>
    <w:rsid w:val="6D3F5B16"/>
    <w:rsid w:val="6DB04ECC"/>
    <w:rsid w:val="6DDA52F1"/>
    <w:rsid w:val="6E1B2F82"/>
    <w:rsid w:val="6E9259E3"/>
    <w:rsid w:val="6EF50787"/>
    <w:rsid w:val="6F2A2D4B"/>
    <w:rsid w:val="6F57467A"/>
    <w:rsid w:val="6F5F4920"/>
    <w:rsid w:val="6F812F6E"/>
    <w:rsid w:val="6F912A64"/>
    <w:rsid w:val="6FAB7229"/>
    <w:rsid w:val="70565D57"/>
    <w:rsid w:val="708E4896"/>
    <w:rsid w:val="70D74920"/>
    <w:rsid w:val="71000E51"/>
    <w:rsid w:val="71113E54"/>
    <w:rsid w:val="72255594"/>
    <w:rsid w:val="72276A6D"/>
    <w:rsid w:val="724F0D1A"/>
    <w:rsid w:val="72774E61"/>
    <w:rsid w:val="729D604D"/>
    <w:rsid w:val="72CC5D9A"/>
    <w:rsid w:val="72FF57DF"/>
    <w:rsid w:val="72FF6DC6"/>
    <w:rsid w:val="736E54B7"/>
    <w:rsid w:val="73A62BBC"/>
    <w:rsid w:val="73C635B0"/>
    <w:rsid w:val="74290309"/>
    <w:rsid w:val="747C2A00"/>
    <w:rsid w:val="74D66A8A"/>
    <w:rsid w:val="74F108C2"/>
    <w:rsid w:val="75001B03"/>
    <w:rsid w:val="75371D97"/>
    <w:rsid w:val="755B4DCA"/>
    <w:rsid w:val="75D10362"/>
    <w:rsid w:val="75DE3D25"/>
    <w:rsid w:val="76342011"/>
    <w:rsid w:val="763E70DC"/>
    <w:rsid w:val="76417087"/>
    <w:rsid w:val="7661289E"/>
    <w:rsid w:val="766137D0"/>
    <w:rsid w:val="76710FD8"/>
    <w:rsid w:val="76866E1C"/>
    <w:rsid w:val="76913FEB"/>
    <w:rsid w:val="76A12B3C"/>
    <w:rsid w:val="76C30A85"/>
    <w:rsid w:val="77091992"/>
    <w:rsid w:val="771A774E"/>
    <w:rsid w:val="773C3640"/>
    <w:rsid w:val="776B6940"/>
    <w:rsid w:val="77BA035C"/>
    <w:rsid w:val="77C15C28"/>
    <w:rsid w:val="77CF62E6"/>
    <w:rsid w:val="77EF75CC"/>
    <w:rsid w:val="78AE5BDC"/>
    <w:rsid w:val="78C733B9"/>
    <w:rsid w:val="798F12AC"/>
    <w:rsid w:val="79A20150"/>
    <w:rsid w:val="7A032BAD"/>
    <w:rsid w:val="7A2554AA"/>
    <w:rsid w:val="7A2D2774"/>
    <w:rsid w:val="7A9E7656"/>
    <w:rsid w:val="7AB715FC"/>
    <w:rsid w:val="7AB85DB5"/>
    <w:rsid w:val="7AC322A6"/>
    <w:rsid w:val="7B857465"/>
    <w:rsid w:val="7B923492"/>
    <w:rsid w:val="7BA40600"/>
    <w:rsid w:val="7BEB5A54"/>
    <w:rsid w:val="7BEC405D"/>
    <w:rsid w:val="7C692D19"/>
    <w:rsid w:val="7CCD4D16"/>
    <w:rsid w:val="7CEE2903"/>
    <w:rsid w:val="7D2506FF"/>
    <w:rsid w:val="7D5D39EA"/>
    <w:rsid w:val="7D716375"/>
    <w:rsid w:val="7DB52956"/>
    <w:rsid w:val="7E367740"/>
    <w:rsid w:val="7E8965B1"/>
    <w:rsid w:val="7EDC5363"/>
    <w:rsid w:val="7F2451BB"/>
    <w:rsid w:val="7F4D1EA4"/>
    <w:rsid w:val="7F582154"/>
    <w:rsid w:val="7F9E1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135"/>
    <w:qFormat/>
    <w:uiPriority w:val="0"/>
    <w:pPr>
      <w:keepNext/>
      <w:jc w:val="center"/>
      <w:outlineLvl w:val="0"/>
    </w:pPr>
    <w:rPr>
      <w:rFonts w:eastAsia="黑体"/>
      <w:b/>
      <w:sz w:val="32"/>
      <w:szCs w:val="20"/>
    </w:rPr>
  </w:style>
  <w:style w:type="paragraph" w:styleId="6">
    <w:name w:val="heading 2"/>
    <w:basedOn w:val="1"/>
    <w:next w:val="1"/>
    <w:link w:val="184"/>
    <w:qFormat/>
    <w:uiPriority w:val="0"/>
    <w:pPr>
      <w:keepNext/>
      <w:outlineLvl w:val="1"/>
    </w:pPr>
    <w:rPr>
      <w:rFonts w:ascii="仿宋_GB2312"/>
      <w:b/>
      <w:sz w:val="28"/>
      <w:szCs w:val="32"/>
    </w:rPr>
  </w:style>
  <w:style w:type="paragraph" w:styleId="7">
    <w:name w:val="heading 3"/>
    <w:basedOn w:val="1"/>
    <w:next w:val="1"/>
    <w:link w:val="104"/>
    <w:qFormat/>
    <w:uiPriority w:val="0"/>
    <w:pPr>
      <w:keepNext/>
      <w:keepLines/>
      <w:spacing w:line="540" w:lineRule="atLeast"/>
      <w:outlineLvl w:val="2"/>
    </w:pPr>
    <w:rPr>
      <w:rFonts w:eastAsia="黑体"/>
      <w:b/>
      <w:sz w:val="28"/>
      <w:szCs w:val="20"/>
    </w:rPr>
  </w:style>
  <w:style w:type="paragraph" w:styleId="8">
    <w:name w:val="heading 4"/>
    <w:basedOn w:val="1"/>
    <w:next w:val="1"/>
    <w:link w:val="200"/>
    <w:qFormat/>
    <w:uiPriority w:val="0"/>
    <w:pPr>
      <w:keepNext/>
      <w:keepLines/>
      <w:spacing w:line="540" w:lineRule="atLeast"/>
      <w:outlineLvl w:val="3"/>
    </w:pPr>
    <w:rPr>
      <w:sz w:val="28"/>
      <w:szCs w:val="28"/>
    </w:rPr>
  </w:style>
  <w:style w:type="paragraph" w:styleId="9">
    <w:name w:val="heading 5"/>
    <w:basedOn w:val="1"/>
    <w:next w:val="1"/>
    <w:link w:val="175"/>
    <w:qFormat/>
    <w:uiPriority w:val="0"/>
    <w:pPr>
      <w:keepNext/>
      <w:keepLines/>
      <w:spacing w:before="280" w:after="290" w:line="372" w:lineRule="auto"/>
      <w:outlineLvl w:val="4"/>
    </w:pPr>
    <w:rPr>
      <w:b/>
      <w:bCs/>
      <w:kern w:val="0"/>
      <w:sz w:val="28"/>
      <w:szCs w:val="28"/>
    </w:rPr>
  </w:style>
  <w:style w:type="paragraph" w:styleId="10">
    <w:name w:val="heading 6"/>
    <w:basedOn w:val="1"/>
    <w:next w:val="11"/>
    <w:link w:val="193"/>
    <w:qFormat/>
    <w:uiPriority w:val="0"/>
    <w:pPr>
      <w:keepNext/>
      <w:keepLines/>
      <w:spacing w:before="240" w:after="64" w:line="317" w:lineRule="auto"/>
      <w:outlineLvl w:val="5"/>
    </w:pPr>
    <w:rPr>
      <w:rFonts w:ascii="Arial" w:hAnsi="Arial" w:eastAsia="黑体"/>
      <w:b/>
      <w:sz w:val="24"/>
      <w:szCs w:val="20"/>
    </w:rPr>
  </w:style>
  <w:style w:type="paragraph" w:styleId="12">
    <w:name w:val="heading 7"/>
    <w:basedOn w:val="1"/>
    <w:next w:val="11"/>
    <w:link w:val="117"/>
    <w:qFormat/>
    <w:uiPriority w:val="0"/>
    <w:pPr>
      <w:keepNext/>
      <w:keepLines/>
      <w:spacing w:before="240" w:after="64" w:line="317" w:lineRule="auto"/>
      <w:outlineLvl w:val="6"/>
    </w:pPr>
    <w:rPr>
      <w:b/>
      <w:sz w:val="24"/>
      <w:szCs w:val="20"/>
    </w:rPr>
  </w:style>
  <w:style w:type="paragraph" w:styleId="13">
    <w:name w:val="heading 8"/>
    <w:basedOn w:val="1"/>
    <w:next w:val="11"/>
    <w:link w:val="109"/>
    <w:qFormat/>
    <w:uiPriority w:val="0"/>
    <w:pPr>
      <w:keepNext/>
      <w:keepLines/>
      <w:spacing w:before="240" w:after="64" w:line="317" w:lineRule="auto"/>
      <w:outlineLvl w:val="7"/>
    </w:pPr>
    <w:rPr>
      <w:rFonts w:ascii="Arial" w:hAnsi="Arial" w:eastAsia="黑体"/>
      <w:sz w:val="24"/>
      <w:szCs w:val="20"/>
    </w:rPr>
  </w:style>
  <w:style w:type="paragraph" w:styleId="14">
    <w:name w:val="heading 9"/>
    <w:basedOn w:val="1"/>
    <w:next w:val="11"/>
    <w:link w:val="191"/>
    <w:qFormat/>
    <w:uiPriority w:val="0"/>
    <w:pPr>
      <w:keepNext/>
      <w:keepLines/>
      <w:spacing w:before="240" w:after="64" w:line="317" w:lineRule="auto"/>
      <w:outlineLvl w:val="8"/>
    </w:pPr>
    <w:rPr>
      <w:rFonts w:ascii="Arial" w:hAnsi="Arial" w:eastAsia="黑体"/>
      <w:szCs w:val="20"/>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07"/>
    <w:unhideWhenUsed/>
    <w:qFormat/>
    <w:uiPriority w:val="0"/>
    <w:pPr>
      <w:spacing w:after="120"/>
    </w:pPr>
  </w:style>
  <w:style w:type="paragraph" w:styleId="3">
    <w:name w:val="Body Text First Indent"/>
    <w:basedOn w:val="1"/>
    <w:link w:val="128"/>
    <w:qFormat/>
    <w:uiPriority w:val="0"/>
    <w:pPr>
      <w:autoSpaceDE w:val="0"/>
      <w:autoSpaceDN w:val="0"/>
      <w:adjustRightInd w:val="0"/>
      <w:ind w:firstLine="420" w:firstLineChars="100"/>
      <w:jc w:val="left"/>
    </w:pPr>
    <w:rPr>
      <w:rFonts w:ascii="等线" w:hAnsi="等线" w:eastAsia="等线"/>
      <w:szCs w:val="22"/>
    </w:rPr>
  </w:style>
  <w:style w:type="paragraph" w:styleId="4">
    <w:name w:val="macro"/>
    <w:link w:val="17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11">
    <w:name w:val="Normal Indent"/>
    <w:basedOn w:val="1"/>
    <w:next w:val="1"/>
    <w:link w:val="152"/>
    <w:unhideWhenUsed/>
    <w:qFormat/>
    <w:uiPriority w:val="0"/>
    <w:pPr>
      <w:ind w:firstLine="420" w:firstLineChars="200"/>
    </w:pPr>
    <w:rPr>
      <w:kern w:val="0"/>
      <w:sz w:val="20"/>
    </w:rPr>
  </w:style>
  <w:style w:type="paragraph" w:styleId="15">
    <w:name w:val="toc 7"/>
    <w:basedOn w:val="1"/>
    <w:next w:val="1"/>
    <w:qFormat/>
    <w:uiPriority w:val="0"/>
    <w:pPr>
      <w:autoSpaceDE w:val="0"/>
      <w:autoSpaceDN w:val="0"/>
      <w:adjustRightInd w:val="0"/>
      <w:ind w:left="2520" w:leftChars="1200"/>
      <w:jc w:val="left"/>
    </w:pPr>
    <w:rPr>
      <w:kern w:val="0"/>
      <w:sz w:val="20"/>
      <w:szCs w:val="20"/>
    </w:rPr>
  </w:style>
  <w:style w:type="paragraph" w:styleId="16">
    <w:name w:val="List Number"/>
    <w:basedOn w:val="1"/>
    <w:qFormat/>
    <w:uiPriority w:val="0"/>
    <w:pPr>
      <w:tabs>
        <w:tab w:val="left" w:pos="360"/>
      </w:tabs>
      <w:ind w:left="360" w:hanging="360" w:hangingChars="200"/>
    </w:pPr>
  </w:style>
  <w:style w:type="paragraph" w:styleId="17">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8">
    <w:name w:val="List Bullet"/>
    <w:basedOn w:val="1"/>
    <w:qFormat/>
    <w:uiPriority w:val="0"/>
    <w:pPr>
      <w:tabs>
        <w:tab w:val="left" w:pos="360"/>
      </w:tabs>
    </w:pPr>
    <w:rPr>
      <w:szCs w:val="22"/>
    </w:rPr>
  </w:style>
  <w:style w:type="paragraph" w:styleId="19">
    <w:name w:val="Document Map"/>
    <w:basedOn w:val="1"/>
    <w:link w:val="70"/>
    <w:qFormat/>
    <w:uiPriority w:val="0"/>
    <w:pPr>
      <w:shd w:val="clear" w:color="auto" w:fill="000080"/>
    </w:pPr>
    <w:rPr>
      <w:rFonts w:ascii="Times New Roman" w:hAnsi="Times New Roman"/>
      <w:kern w:val="0"/>
      <w:sz w:val="20"/>
    </w:rPr>
  </w:style>
  <w:style w:type="paragraph" w:styleId="20">
    <w:name w:val="annotation text"/>
    <w:basedOn w:val="1"/>
    <w:link w:val="112"/>
    <w:unhideWhenUsed/>
    <w:qFormat/>
    <w:uiPriority w:val="0"/>
    <w:pPr>
      <w:jc w:val="left"/>
    </w:pPr>
  </w:style>
  <w:style w:type="paragraph" w:styleId="21">
    <w:name w:val="Salutation"/>
    <w:basedOn w:val="1"/>
    <w:next w:val="1"/>
    <w:link w:val="73"/>
    <w:qFormat/>
    <w:uiPriority w:val="0"/>
    <w:pPr>
      <w:tabs>
        <w:tab w:val="left" w:pos="840"/>
      </w:tabs>
      <w:autoSpaceDE w:val="0"/>
      <w:autoSpaceDN w:val="0"/>
      <w:adjustRightInd w:val="0"/>
      <w:jc w:val="left"/>
    </w:pPr>
    <w:rPr>
      <w:rFonts w:ascii="仿宋_GB2312" w:hAnsi="Times New Roman" w:eastAsia="仿宋_GB2312"/>
      <w:b/>
      <w:kern w:val="0"/>
      <w:sz w:val="24"/>
      <w:szCs w:val="32"/>
    </w:rPr>
  </w:style>
  <w:style w:type="paragraph" w:styleId="22">
    <w:name w:val="Body Text 3"/>
    <w:basedOn w:val="1"/>
    <w:link w:val="85"/>
    <w:qFormat/>
    <w:uiPriority w:val="0"/>
    <w:pPr>
      <w:autoSpaceDE w:val="0"/>
      <w:autoSpaceDN w:val="0"/>
      <w:adjustRightInd w:val="0"/>
      <w:jc w:val="center"/>
    </w:pPr>
    <w:rPr>
      <w:rFonts w:ascii="等线" w:hAnsi="等线" w:eastAsia="等线"/>
      <w:szCs w:val="22"/>
    </w:rPr>
  </w:style>
  <w:style w:type="paragraph" w:styleId="23">
    <w:name w:val="Body Text Indent"/>
    <w:basedOn w:val="1"/>
    <w:link w:val="115"/>
    <w:unhideWhenUsed/>
    <w:qFormat/>
    <w:uiPriority w:val="0"/>
    <w:pPr>
      <w:spacing w:after="120"/>
      <w:ind w:left="420" w:leftChars="200"/>
    </w:pPr>
  </w:style>
  <w:style w:type="paragraph" w:styleId="24">
    <w:name w:val="List Number 3"/>
    <w:basedOn w:val="1"/>
    <w:qFormat/>
    <w:uiPriority w:val="0"/>
    <w:pPr>
      <w:tabs>
        <w:tab w:val="left" w:pos="1200"/>
      </w:tabs>
      <w:ind w:left="1200" w:leftChars="400" w:hanging="360" w:hangingChars="200"/>
    </w:pPr>
  </w:style>
  <w:style w:type="paragraph" w:styleId="25">
    <w:name w:val="Block Text"/>
    <w:basedOn w:val="1"/>
    <w:qFormat/>
    <w:uiPriority w:val="0"/>
    <w:pPr>
      <w:spacing w:line="520" w:lineRule="exact"/>
      <w:ind w:left="540" w:leftChars="257" w:right="-514"/>
    </w:pPr>
    <w:rPr>
      <w:rFonts w:ascii="宋体" w:hAnsi="宋体"/>
      <w:sz w:val="24"/>
    </w:rPr>
  </w:style>
  <w:style w:type="paragraph" w:styleId="26">
    <w:name w:val="List Bullet 2"/>
    <w:basedOn w:val="1"/>
    <w:qFormat/>
    <w:uiPriority w:val="0"/>
    <w:pPr>
      <w:tabs>
        <w:tab w:val="left" w:pos="780"/>
      </w:tabs>
      <w:spacing w:line="360" w:lineRule="auto"/>
      <w:ind w:left="780" w:leftChars="200" w:hanging="360" w:hangingChars="200"/>
    </w:pPr>
  </w:style>
  <w:style w:type="paragraph" w:styleId="27">
    <w:name w:val="toc 5"/>
    <w:basedOn w:val="1"/>
    <w:next w:val="1"/>
    <w:qFormat/>
    <w:uiPriority w:val="0"/>
    <w:pPr>
      <w:autoSpaceDE w:val="0"/>
      <w:autoSpaceDN w:val="0"/>
      <w:adjustRightInd w:val="0"/>
      <w:ind w:left="1680" w:leftChars="800"/>
      <w:jc w:val="left"/>
    </w:pPr>
    <w:rPr>
      <w:kern w:val="0"/>
      <w:sz w:val="20"/>
      <w:szCs w:val="20"/>
    </w:rPr>
  </w:style>
  <w:style w:type="paragraph" w:styleId="28">
    <w:name w:val="toc 3"/>
    <w:basedOn w:val="1"/>
    <w:next w:val="1"/>
    <w:qFormat/>
    <w:uiPriority w:val="0"/>
    <w:pPr>
      <w:ind w:left="840" w:leftChars="400"/>
    </w:pPr>
  </w:style>
  <w:style w:type="paragraph" w:styleId="29">
    <w:name w:val="Plain Text"/>
    <w:basedOn w:val="1"/>
    <w:link w:val="90"/>
    <w:qFormat/>
    <w:uiPriority w:val="0"/>
    <w:pPr>
      <w:widowControl/>
      <w:overflowPunct w:val="0"/>
      <w:autoSpaceDE w:val="0"/>
      <w:autoSpaceDN w:val="0"/>
      <w:adjustRightInd w:val="0"/>
      <w:jc w:val="left"/>
      <w:textAlignment w:val="baseline"/>
    </w:pPr>
    <w:rPr>
      <w:rFonts w:ascii="宋体" w:hAnsi="Courier New"/>
      <w:b/>
      <w:kern w:val="0"/>
      <w:sz w:val="20"/>
      <w:szCs w:val="21"/>
    </w:rPr>
  </w:style>
  <w:style w:type="paragraph" w:styleId="30">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1">
    <w:name w:val="toc 8"/>
    <w:basedOn w:val="1"/>
    <w:next w:val="1"/>
    <w:qFormat/>
    <w:uiPriority w:val="0"/>
    <w:pPr>
      <w:autoSpaceDE w:val="0"/>
      <w:autoSpaceDN w:val="0"/>
      <w:adjustRightInd w:val="0"/>
      <w:ind w:left="2940" w:leftChars="1400"/>
      <w:jc w:val="left"/>
    </w:pPr>
    <w:rPr>
      <w:kern w:val="0"/>
      <w:sz w:val="20"/>
      <w:szCs w:val="20"/>
    </w:rPr>
  </w:style>
  <w:style w:type="paragraph" w:styleId="32">
    <w:name w:val="Date"/>
    <w:basedOn w:val="1"/>
    <w:next w:val="1"/>
    <w:link w:val="119"/>
    <w:qFormat/>
    <w:uiPriority w:val="0"/>
    <w:pPr>
      <w:ind w:left="100" w:leftChars="2500"/>
    </w:pPr>
    <w:rPr>
      <w:rFonts w:ascii="Times New Roman" w:hAnsi="Times New Roman"/>
      <w:kern w:val="0"/>
      <w:sz w:val="20"/>
    </w:rPr>
  </w:style>
  <w:style w:type="paragraph" w:styleId="33">
    <w:name w:val="Body Text Indent 2"/>
    <w:basedOn w:val="1"/>
    <w:link w:val="190"/>
    <w:qFormat/>
    <w:uiPriority w:val="0"/>
    <w:pPr>
      <w:spacing w:line="500" w:lineRule="exact"/>
      <w:ind w:firstLine="511" w:firstLineChars="213"/>
    </w:pPr>
    <w:rPr>
      <w:rFonts w:ascii="Times New Roman" w:hAnsi="Times New Roman"/>
      <w:kern w:val="0"/>
      <w:sz w:val="24"/>
    </w:rPr>
  </w:style>
  <w:style w:type="paragraph" w:styleId="34">
    <w:name w:val="Balloon Text"/>
    <w:basedOn w:val="1"/>
    <w:link w:val="69"/>
    <w:qFormat/>
    <w:uiPriority w:val="0"/>
    <w:rPr>
      <w:rFonts w:ascii="Times New Roman" w:hAnsi="Times New Roman"/>
      <w:kern w:val="0"/>
      <w:sz w:val="18"/>
      <w:szCs w:val="18"/>
    </w:rPr>
  </w:style>
  <w:style w:type="paragraph" w:styleId="35">
    <w:name w:val="footer"/>
    <w:basedOn w:val="1"/>
    <w:link w:val="172"/>
    <w:unhideWhenUsed/>
    <w:qFormat/>
    <w:uiPriority w:val="0"/>
    <w:pPr>
      <w:tabs>
        <w:tab w:val="center" w:pos="4153"/>
        <w:tab w:val="right" w:pos="8306"/>
      </w:tabs>
      <w:snapToGrid w:val="0"/>
      <w:jc w:val="left"/>
    </w:pPr>
    <w:rPr>
      <w:sz w:val="18"/>
      <w:szCs w:val="18"/>
    </w:rPr>
  </w:style>
  <w:style w:type="paragraph" w:styleId="36">
    <w:name w:val="envelope return"/>
    <w:basedOn w:val="1"/>
    <w:qFormat/>
    <w:uiPriority w:val="0"/>
    <w:pPr>
      <w:snapToGrid w:val="0"/>
    </w:pPr>
    <w:rPr>
      <w:rFonts w:ascii="Arial" w:hAnsi="Arial"/>
    </w:rPr>
  </w:style>
  <w:style w:type="paragraph" w:styleId="37">
    <w:name w:val="header"/>
    <w:basedOn w:val="1"/>
    <w:link w:val="68"/>
    <w:unhideWhenUsed/>
    <w:qFormat/>
    <w:uiPriority w:val="0"/>
    <w:pPr>
      <w:pBdr>
        <w:bottom w:val="single" w:color="auto" w:sz="6" w:space="1"/>
      </w:pBdr>
      <w:tabs>
        <w:tab w:val="center" w:pos="4153"/>
        <w:tab w:val="right" w:pos="8306"/>
      </w:tabs>
      <w:snapToGrid w:val="0"/>
      <w:jc w:val="center"/>
    </w:pPr>
    <w:rPr>
      <w:sz w:val="18"/>
      <w:szCs w:val="18"/>
    </w:rPr>
  </w:style>
  <w:style w:type="paragraph" w:styleId="38">
    <w:name w:val="Signature"/>
    <w:basedOn w:val="1"/>
    <w:link w:val="215"/>
    <w:qFormat/>
    <w:uiPriority w:val="0"/>
    <w:pPr>
      <w:autoSpaceDE w:val="0"/>
      <w:autoSpaceDN w:val="0"/>
      <w:adjustRightInd w:val="0"/>
      <w:spacing w:after="600" w:line="312" w:lineRule="atLeast"/>
      <w:jc w:val="center"/>
      <w:textAlignment w:val="baseline"/>
    </w:pPr>
    <w:rPr>
      <w:rFonts w:ascii="仿宋_GB2312" w:hAnsi="Times New Roman" w:eastAsia="仿宋_GB2312"/>
      <w:b/>
      <w:kern w:val="0"/>
      <w:sz w:val="24"/>
      <w:szCs w:val="32"/>
    </w:rPr>
  </w:style>
  <w:style w:type="paragraph" w:styleId="39">
    <w:name w:val="toc 1"/>
    <w:basedOn w:val="1"/>
    <w:next w:val="1"/>
    <w:qFormat/>
    <w:uiPriority w:val="0"/>
  </w:style>
  <w:style w:type="paragraph" w:styleId="40">
    <w:name w:val="toc 4"/>
    <w:basedOn w:val="1"/>
    <w:next w:val="1"/>
    <w:qFormat/>
    <w:uiPriority w:val="0"/>
    <w:pPr>
      <w:autoSpaceDE w:val="0"/>
      <w:autoSpaceDN w:val="0"/>
      <w:adjustRightInd w:val="0"/>
      <w:ind w:left="1260" w:leftChars="600"/>
      <w:jc w:val="left"/>
    </w:pPr>
    <w:rPr>
      <w:kern w:val="0"/>
      <w:sz w:val="20"/>
      <w:szCs w:val="20"/>
    </w:rPr>
  </w:style>
  <w:style w:type="paragraph" w:styleId="41">
    <w:name w:val="Subtitle"/>
    <w:basedOn w:val="1"/>
    <w:next w:val="1"/>
    <w:link w:val="167"/>
    <w:qFormat/>
    <w:uiPriority w:val="0"/>
    <w:pPr>
      <w:spacing w:before="240" w:after="60" w:line="312" w:lineRule="auto"/>
      <w:jc w:val="center"/>
      <w:outlineLvl w:val="1"/>
    </w:pPr>
    <w:rPr>
      <w:rFonts w:ascii="Cambria" w:hAnsi="Cambria"/>
      <w:b/>
      <w:bCs/>
      <w:kern w:val="28"/>
      <w:sz w:val="32"/>
      <w:szCs w:val="32"/>
    </w:rPr>
  </w:style>
  <w:style w:type="paragraph" w:styleId="42">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3">
    <w:name w:val="List"/>
    <w:basedOn w:val="1"/>
    <w:qFormat/>
    <w:uiPriority w:val="0"/>
    <w:pPr>
      <w:ind w:left="200" w:hanging="200" w:hangingChars="200"/>
    </w:pPr>
    <w:rPr>
      <w:rFonts w:ascii="Times New Roman" w:hAnsi="Times New Roman"/>
    </w:rPr>
  </w:style>
  <w:style w:type="paragraph" w:styleId="44">
    <w:name w:val="toc 6"/>
    <w:basedOn w:val="1"/>
    <w:next w:val="1"/>
    <w:qFormat/>
    <w:uiPriority w:val="0"/>
    <w:pPr>
      <w:autoSpaceDE w:val="0"/>
      <w:autoSpaceDN w:val="0"/>
      <w:adjustRightInd w:val="0"/>
      <w:ind w:left="2100" w:leftChars="1000"/>
      <w:jc w:val="left"/>
    </w:pPr>
    <w:rPr>
      <w:kern w:val="0"/>
      <w:sz w:val="20"/>
      <w:szCs w:val="20"/>
    </w:rPr>
  </w:style>
  <w:style w:type="paragraph" w:styleId="45">
    <w:name w:val="Body Text Indent 3"/>
    <w:basedOn w:val="1"/>
    <w:link w:val="142"/>
    <w:qFormat/>
    <w:uiPriority w:val="0"/>
    <w:pPr>
      <w:spacing w:line="500" w:lineRule="exact"/>
      <w:ind w:left="511" w:hanging="511" w:hangingChars="213"/>
    </w:pPr>
    <w:rPr>
      <w:rFonts w:ascii="Times New Roman" w:hAnsi="Times New Roman"/>
      <w:kern w:val="0"/>
      <w:sz w:val="24"/>
    </w:rPr>
  </w:style>
  <w:style w:type="paragraph" w:styleId="46">
    <w:name w:val="toc 2"/>
    <w:basedOn w:val="1"/>
    <w:next w:val="1"/>
    <w:qFormat/>
    <w:uiPriority w:val="0"/>
    <w:pPr>
      <w:ind w:left="420" w:leftChars="200"/>
    </w:pPr>
  </w:style>
  <w:style w:type="paragraph" w:styleId="47">
    <w:name w:val="toc 9"/>
    <w:basedOn w:val="1"/>
    <w:next w:val="1"/>
    <w:qFormat/>
    <w:uiPriority w:val="0"/>
    <w:pPr>
      <w:autoSpaceDE w:val="0"/>
      <w:autoSpaceDN w:val="0"/>
      <w:adjustRightInd w:val="0"/>
      <w:ind w:left="3360" w:leftChars="1600"/>
      <w:jc w:val="left"/>
    </w:pPr>
    <w:rPr>
      <w:kern w:val="0"/>
      <w:sz w:val="20"/>
      <w:szCs w:val="20"/>
    </w:rPr>
  </w:style>
  <w:style w:type="paragraph" w:styleId="48">
    <w:name w:val="Body Text 2"/>
    <w:basedOn w:val="1"/>
    <w:link w:val="194"/>
    <w:qFormat/>
    <w:uiPriority w:val="0"/>
    <w:pPr>
      <w:autoSpaceDE w:val="0"/>
      <w:autoSpaceDN w:val="0"/>
      <w:adjustRightInd w:val="0"/>
      <w:spacing w:after="120" w:line="480" w:lineRule="auto"/>
      <w:jc w:val="left"/>
    </w:pPr>
    <w:rPr>
      <w:rFonts w:ascii="等线" w:hAnsi="等线" w:eastAsia="等线"/>
      <w:szCs w:val="22"/>
    </w:rPr>
  </w:style>
  <w:style w:type="paragraph" w:styleId="4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0">
    <w:name w:val="Title"/>
    <w:basedOn w:val="1"/>
    <w:next w:val="1"/>
    <w:link w:val="102"/>
    <w:qFormat/>
    <w:uiPriority w:val="0"/>
    <w:pPr>
      <w:spacing w:before="240" w:after="60"/>
      <w:jc w:val="center"/>
      <w:outlineLvl w:val="0"/>
    </w:pPr>
    <w:rPr>
      <w:rFonts w:ascii="Cambria" w:hAnsi="Cambria"/>
      <w:b/>
      <w:bCs/>
      <w:kern w:val="0"/>
      <w:sz w:val="32"/>
      <w:szCs w:val="32"/>
    </w:rPr>
  </w:style>
  <w:style w:type="paragraph" w:styleId="51">
    <w:name w:val="annotation subject"/>
    <w:basedOn w:val="20"/>
    <w:next w:val="20"/>
    <w:link w:val="151"/>
    <w:qFormat/>
    <w:uiPriority w:val="0"/>
    <w:rPr>
      <w:rFonts w:ascii="Times New Roman" w:hAnsi="Times New Roman"/>
      <w:b/>
      <w:bCs/>
      <w:kern w:val="0"/>
      <w:sz w:val="20"/>
    </w:rPr>
  </w:style>
  <w:style w:type="paragraph" w:styleId="52">
    <w:name w:val="Body Text First Indent 2"/>
    <w:basedOn w:val="23"/>
    <w:link w:val="218"/>
    <w:qFormat/>
    <w:uiPriority w:val="0"/>
    <w:pPr>
      <w:ind w:hanging="200" w:hangingChars="200"/>
    </w:pPr>
    <w:rPr>
      <w:rFonts w:cs="宋体"/>
      <w:szCs w:val="21"/>
    </w:rPr>
  </w:style>
  <w:style w:type="table" w:styleId="54">
    <w:name w:val="Table Grid"/>
    <w:basedOn w:val="5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qFormat/>
    <w:uiPriority w:val="0"/>
    <w:rPr>
      <w:rFonts w:ascii="仿宋_GB2312" w:eastAsia="仿宋_GB2312"/>
      <w:bCs/>
      <w:sz w:val="32"/>
      <w:szCs w:val="32"/>
    </w:rPr>
  </w:style>
  <w:style w:type="character" w:styleId="57">
    <w:name w:val="page number"/>
    <w:basedOn w:val="55"/>
    <w:qFormat/>
    <w:uiPriority w:val="0"/>
  </w:style>
  <w:style w:type="character" w:styleId="58">
    <w:name w:val="FollowedHyperlink"/>
    <w:qFormat/>
    <w:uiPriority w:val="0"/>
    <w:rPr>
      <w:rFonts w:ascii="仿宋_GB2312" w:eastAsia="仿宋_GB2312"/>
      <w:b/>
      <w:color w:val="800080"/>
      <w:sz w:val="32"/>
      <w:szCs w:val="32"/>
      <w:u w:val="none"/>
    </w:rPr>
  </w:style>
  <w:style w:type="character" w:styleId="59">
    <w:name w:val="Emphasis"/>
    <w:qFormat/>
    <w:uiPriority w:val="0"/>
    <w:rPr>
      <w:i/>
      <w:iCs/>
    </w:rPr>
  </w:style>
  <w:style w:type="character" w:styleId="60">
    <w:name w:val="line number"/>
    <w:basedOn w:val="55"/>
    <w:qFormat/>
    <w:uiPriority w:val="0"/>
  </w:style>
  <w:style w:type="character" w:styleId="61">
    <w:name w:val="Hyperlink"/>
    <w:basedOn w:val="55"/>
    <w:qFormat/>
    <w:uiPriority w:val="0"/>
    <w:rPr>
      <w:rFonts w:ascii="仿宋_GB2312" w:eastAsia="仿宋_GB2312"/>
      <w:b/>
      <w:color w:val="0000FF"/>
      <w:sz w:val="32"/>
      <w:szCs w:val="32"/>
      <w:u w:val="none"/>
    </w:rPr>
  </w:style>
  <w:style w:type="character" w:styleId="62">
    <w:name w:val="annotation reference"/>
    <w:qFormat/>
    <w:uiPriority w:val="0"/>
    <w:rPr>
      <w:sz w:val="21"/>
      <w:szCs w:val="21"/>
    </w:rPr>
  </w:style>
  <w:style w:type="character" w:styleId="63">
    <w:name w:val="HTML Cite"/>
    <w:qFormat/>
    <w:uiPriority w:val="0"/>
    <w:rPr>
      <w:color w:val="008000"/>
    </w:rPr>
  </w:style>
  <w:style w:type="paragraph" w:customStyle="1" w:styleId="64">
    <w:name w:val="Char3 Char Char Char"/>
    <w:basedOn w:val="1"/>
    <w:qFormat/>
    <w:uiPriority w:val="0"/>
  </w:style>
  <w:style w:type="character" w:customStyle="1" w:styleId="65">
    <w:name w:val="Style4"/>
    <w:qFormat/>
    <w:uiPriority w:val="0"/>
    <w:rPr>
      <w:rFonts w:ascii="Calibri" w:hAnsi="宋体" w:eastAsia="宋体" w:cs="Times New Roman"/>
      <w:szCs w:val="22"/>
      <w:lang w:eastAsia="zh-CN"/>
    </w:rPr>
  </w:style>
  <w:style w:type="character" w:customStyle="1" w:styleId="66">
    <w:name w:val="Style2"/>
    <w:qFormat/>
    <w:uiPriority w:val="0"/>
    <w:rPr>
      <w:rFonts w:ascii="Calibri" w:hAnsi="宋体" w:eastAsia="宋体" w:cs="Times New Roman"/>
      <w:sz w:val="22"/>
      <w:szCs w:val="22"/>
      <w:lang w:eastAsia="zh-CN"/>
    </w:rPr>
  </w:style>
  <w:style w:type="character" w:customStyle="1" w:styleId="67">
    <w:name w:val="批注框文本 字符1"/>
    <w:basedOn w:val="55"/>
    <w:semiHidden/>
    <w:qFormat/>
    <w:uiPriority w:val="99"/>
    <w:rPr>
      <w:rFonts w:ascii="Calibri" w:hAnsi="Calibri" w:eastAsia="宋体" w:cs="Times New Roman"/>
      <w:sz w:val="18"/>
      <w:szCs w:val="18"/>
    </w:rPr>
  </w:style>
  <w:style w:type="character" w:customStyle="1" w:styleId="68">
    <w:name w:val="页眉 Char"/>
    <w:basedOn w:val="55"/>
    <w:link w:val="37"/>
    <w:qFormat/>
    <w:uiPriority w:val="0"/>
    <w:rPr>
      <w:sz w:val="18"/>
      <w:szCs w:val="18"/>
    </w:rPr>
  </w:style>
  <w:style w:type="character" w:customStyle="1" w:styleId="69">
    <w:name w:val="批注框文本 Char"/>
    <w:link w:val="34"/>
    <w:qFormat/>
    <w:uiPriority w:val="0"/>
    <w:rPr>
      <w:sz w:val="18"/>
      <w:szCs w:val="18"/>
    </w:rPr>
  </w:style>
  <w:style w:type="character" w:customStyle="1" w:styleId="70">
    <w:name w:val="文档结构图 Char"/>
    <w:link w:val="19"/>
    <w:qFormat/>
    <w:uiPriority w:val="0"/>
    <w:rPr>
      <w:szCs w:val="24"/>
      <w:shd w:val="clear" w:color="auto" w:fill="000080"/>
    </w:rPr>
  </w:style>
  <w:style w:type="character" w:customStyle="1" w:styleId="71">
    <w:name w:val="Char Char20"/>
    <w:qFormat/>
    <w:uiPriority w:val="0"/>
    <w:rPr>
      <w:b/>
      <w:bCs/>
      <w:kern w:val="44"/>
      <w:sz w:val="44"/>
      <w:szCs w:val="44"/>
    </w:rPr>
  </w:style>
  <w:style w:type="character" w:customStyle="1" w:styleId="72">
    <w:name w:val="Char Char121"/>
    <w:qFormat/>
    <w:uiPriority w:val="0"/>
    <w:rPr>
      <w:rFonts w:eastAsia="宋体"/>
      <w:kern w:val="2"/>
      <w:sz w:val="21"/>
      <w:szCs w:val="24"/>
      <w:lang w:val="en-US" w:eastAsia="zh-CN" w:bidi="ar-SA"/>
    </w:rPr>
  </w:style>
  <w:style w:type="character" w:customStyle="1" w:styleId="73">
    <w:name w:val="称呼 Char"/>
    <w:link w:val="21"/>
    <w:qFormat/>
    <w:uiPriority w:val="0"/>
    <w:rPr>
      <w:rFonts w:ascii="仿宋_GB2312" w:eastAsia="仿宋_GB2312"/>
      <w:b/>
      <w:sz w:val="24"/>
      <w:szCs w:val="32"/>
    </w:rPr>
  </w:style>
  <w:style w:type="character" w:customStyle="1" w:styleId="74">
    <w:name w:val="Char Char211"/>
    <w:qFormat/>
    <w:uiPriority w:val="0"/>
    <w:rPr>
      <w:rFonts w:ascii="Times New Roman" w:hAnsi="Times New Roman" w:eastAsia="宋体" w:cs="Times New Roman"/>
      <w:b/>
      <w:bCs/>
      <w:kern w:val="44"/>
      <w:sz w:val="44"/>
      <w:szCs w:val="44"/>
    </w:rPr>
  </w:style>
  <w:style w:type="character" w:customStyle="1" w:styleId="75">
    <w:name w:val="书籍标题11"/>
    <w:qFormat/>
    <w:uiPriority w:val="0"/>
    <w:rPr>
      <w:b/>
      <w:bCs/>
      <w:smallCaps/>
      <w:spacing w:val="5"/>
    </w:rPr>
  </w:style>
  <w:style w:type="character" w:customStyle="1" w:styleId="76">
    <w:name w:val="Texte Char Char"/>
    <w:qFormat/>
    <w:uiPriority w:val="0"/>
    <w:rPr>
      <w:rFonts w:ascii="宋体" w:hAnsi="Courier New" w:eastAsia="宋体"/>
      <w:sz w:val="21"/>
      <w:szCs w:val="21"/>
      <w:lang w:val="en-US" w:eastAsia="zh-CN" w:bidi="ar-SA"/>
    </w:rPr>
  </w:style>
  <w:style w:type="character" w:customStyle="1" w:styleId="77">
    <w:name w:val="ändrad Char1"/>
    <w:qFormat/>
    <w:uiPriority w:val="0"/>
    <w:rPr>
      <w:rFonts w:ascii="仿宋_GB2312" w:eastAsia="宋体"/>
      <w:b/>
      <w:kern w:val="2"/>
      <w:sz w:val="21"/>
      <w:szCs w:val="24"/>
      <w:lang w:val="en-US" w:eastAsia="zh-CN" w:bidi="ar-SA"/>
    </w:rPr>
  </w:style>
  <w:style w:type="character" w:customStyle="1" w:styleId="78">
    <w:name w:val="副标题 字符1"/>
    <w:basedOn w:val="55"/>
    <w:qFormat/>
    <w:uiPriority w:val="11"/>
    <w:rPr>
      <w:b/>
      <w:bCs/>
      <w:kern w:val="28"/>
      <w:sz w:val="32"/>
      <w:szCs w:val="32"/>
    </w:rPr>
  </w:style>
  <w:style w:type="character" w:customStyle="1" w:styleId="79">
    <w:name w:val="表正文 Char2"/>
    <w:qFormat/>
    <w:uiPriority w:val="0"/>
    <w:rPr>
      <w:rFonts w:ascii="Times New Roman" w:hAnsi="Times New Roman" w:eastAsia="宋体" w:cs="Times New Roman"/>
      <w:szCs w:val="24"/>
    </w:rPr>
  </w:style>
  <w:style w:type="character" w:customStyle="1" w:styleId="80">
    <w:name w:val="heading 3 Char"/>
    <w:qFormat/>
    <w:uiPriority w:val="0"/>
    <w:rPr>
      <w:rFonts w:ascii="Arial" w:hAnsi="Arial" w:eastAsia="黑体"/>
      <w:sz w:val="28"/>
      <w:szCs w:val="24"/>
    </w:rPr>
  </w:style>
  <w:style w:type="character" w:customStyle="1" w:styleId="81">
    <w:name w:val="heading 1 Char"/>
    <w:qFormat/>
    <w:uiPriority w:val="0"/>
    <w:rPr>
      <w:rFonts w:ascii="Arial" w:hAnsi="Arial" w:eastAsia="黑体"/>
      <w:b/>
      <w:sz w:val="36"/>
      <w:szCs w:val="36"/>
    </w:rPr>
  </w:style>
  <w:style w:type="character" w:customStyle="1" w:styleId="82">
    <w:name w:val="明显强调1"/>
    <w:qFormat/>
    <w:uiPriority w:val="0"/>
    <w:rPr>
      <w:b/>
      <w:bCs/>
      <w:i/>
      <w:iCs/>
      <w:color w:val="4F81BD"/>
    </w:rPr>
  </w:style>
  <w:style w:type="character" w:customStyle="1" w:styleId="83">
    <w:name w:val="文档结构图 字符1"/>
    <w:basedOn w:val="55"/>
    <w:semiHidden/>
    <w:qFormat/>
    <w:uiPriority w:val="99"/>
    <w:rPr>
      <w:rFonts w:ascii="Microsoft YaHei UI" w:hAnsi="Calibri" w:eastAsia="Microsoft YaHei UI" w:cs="Times New Roman"/>
      <w:sz w:val="18"/>
      <w:szCs w:val="18"/>
    </w:rPr>
  </w:style>
  <w:style w:type="character" w:customStyle="1" w:styleId="84">
    <w:name w:val="heading 8 Char1"/>
    <w:qFormat/>
    <w:uiPriority w:val="0"/>
    <w:rPr>
      <w:rFonts w:ascii="Arial" w:hAnsi="Arial" w:eastAsia="黑体"/>
      <w:sz w:val="24"/>
      <w:lang w:val="en-US" w:eastAsia="zh-CN" w:bidi="ar-SA"/>
    </w:rPr>
  </w:style>
  <w:style w:type="character" w:customStyle="1" w:styleId="85">
    <w:name w:val="正文文本 3 Char"/>
    <w:basedOn w:val="55"/>
    <w:link w:val="22"/>
    <w:qFormat/>
    <w:uiPriority w:val="0"/>
  </w:style>
  <w:style w:type="character" w:customStyle="1" w:styleId="86">
    <w:name w:val="Char Char11"/>
    <w:qFormat/>
    <w:uiPriority w:val="0"/>
    <w:rPr>
      <w:rFonts w:ascii="Times New Roman" w:hAnsi="Times New Roman" w:eastAsia="宋体" w:cs="Times New Roman"/>
      <w:sz w:val="18"/>
      <w:szCs w:val="18"/>
    </w:rPr>
  </w:style>
  <w:style w:type="character" w:customStyle="1" w:styleId="87">
    <w:name w:val="Style1"/>
    <w:qFormat/>
    <w:uiPriority w:val="0"/>
    <w:rPr>
      <w:rFonts w:ascii="Calibri" w:hAnsi="宋体" w:eastAsia="宋体" w:cs="Times New Roman"/>
      <w:sz w:val="22"/>
      <w:szCs w:val="22"/>
      <w:lang w:eastAsia="zh-CN"/>
    </w:rPr>
  </w:style>
  <w:style w:type="character" w:customStyle="1" w:styleId="88">
    <w:name w:val="正文文本 3 字符1"/>
    <w:basedOn w:val="55"/>
    <w:semiHidden/>
    <w:qFormat/>
    <w:uiPriority w:val="99"/>
    <w:rPr>
      <w:rFonts w:ascii="Calibri" w:hAnsi="Calibri" w:eastAsia="宋体" w:cs="Times New Roman"/>
      <w:sz w:val="16"/>
      <w:szCs w:val="16"/>
    </w:rPr>
  </w:style>
  <w:style w:type="character" w:customStyle="1" w:styleId="89">
    <w:name w:val="heading 9 Char1"/>
    <w:qFormat/>
    <w:uiPriority w:val="0"/>
    <w:rPr>
      <w:rFonts w:ascii="Arial" w:hAnsi="Arial" w:eastAsia="黑体"/>
      <w:sz w:val="21"/>
      <w:lang w:val="en-US" w:eastAsia="zh-CN" w:bidi="ar-SA"/>
    </w:rPr>
  </w:style>
  <w:style w:type="character" w:customStyle="1" w:styleId="90">
    <w:name w:val="纯文本 Char"/>
    <w:link w:val="29"/>
    <w:qFormat/>
    <w:uiPriority w:val="0"/>
    <w:rPr>
      <w:rFonts w:ascii="宋体" w:hAnsi="Courier New"/>
      <w:b/>
      <w:szCs w:val="21"/>
    </w:rPr>
  </w:style>
  <w:style w:type="character" w:customStyle="1" w:styleId="91">
    <w:name w:val="heading 5 Char"/>
    <w:qFormat/>
    <w:uiPriority w:val="0"/>
    <w:rPr>
      <w:rFonts w:ascii="Arial" w:hAnsi="Arial" w:eastAsia="黑体"/>
      <w:sz w:val="21"/>
      <w:szCs w:val="21"/>
    </w:rPr>
  </w:style>
  <w:style w:type="character" w:customStyle="1" w:styleId="92">
    <w:name w:val="font11"/>
    <w:basedOn w:val="55"/>
    <w:qFormat/>
    <w:uiPriority w:val="0"/>
    <w:rPr>
      <w:rFonts w:hint="eastAsia" w:ascii="宋体" w:hAnsi="宋体" w:eastAsia="宋体" w:cs="宋体"/>
      <w:b/>
      <w:color w:val="000000"/>
      <w:sz w:val="24"/>
      <w:szCs w:val="24"/>
      <w:u w:val="none"/>
    </w:rPr>
  </w:style>
  <w:style w:type="character" w:customStyle="1" w:styleId="93">
    <w:name w:val="heading 2 Char1"/>
    <w:qFormat/>
    <w:uiPriority w:val="0"/>
    <w:rPr>
      <w:rFonts w:ascii="Cambria" w:hAnsi="Cambria" w:eastAsia="宋体"/>
      <w:b/>
      <w:bCs/>
      <w:kern w:val="2"/>
      <w:sz w:val="32"/>
      <w:szCs w:val="32"/>
      <w:lang w:val="en-US" w:eastAsia="zh-CN" w:bidi="ar-SA"/>
    </w:rPr>
  </w:style>
  <w:style w:type="character" w:customStyle="1" w:styleId="94">
    <w:name w:val="Char Char2"/>
    <w:qFormat/>
    <w:uiPriority w:val="0"/>
    <w:rPr>
      <w:rFonts w:ascii="Arial" w:hAnsi="Arial" w:eastAsia="黑体"/>
      <w:b/>
      <w:bCs/>
      <w:kern w:val="44"/>
      <w:sz w:val="30"/>
      <w:szCs w:val="44"/>
      <w:lang w:val="en-US" w:eastAsia="zh-CN" w:bidi="ar-SA"/>
    </w:rPr>
  </w:style>
  <w:style w:type="character" w:customStyle="1" w:styleId="95">
    <w:name w:val="Style5"/>
    <w:qFormat/>
    <w:uiPriority w:val="0"/>
    <w:rPr>
      <w:rFonts w:ascii="Calibri" w:hAnsi="宋体" w:eastAsia="宋体" w:cs="Times New Roman"/>
      <w:sz w:val="22"/>
      <w:szCs w:val="22"/>
      <w:lang w:eastAsia="zh-CN"/>
    </w:rPr>
  </w:style>
  <w:style w:type="character" w:customStyle="1" w:styleId="96">
    <w:name w:val="style41"/>
    <w:qFormat/>
    <w:uiPriority w:val="0"/>
    <w:rPr>
      <w:color w:val="auto"/>
    </w:rPr>
  </w:style>
  <w:style w:type="character" w:customStyle="1" w:styleId="97">
    <w:name w:val="Char Char4"/>
    <w:qFormat/>
    <w:uiPriority w:val="0"/>
    <w:rPr>
      <w:rFonts w:ascii="Cambria" w:hAnsi="Cambria" w:eastAsia="宋体"/>
      <w:b/>
      <w:bCs/>
      <w:sz w:val="32"/>
      <w:szCs w:val="32"/>
      <w:lang w:bidi="ar-SA"/>
    </w:rPr>
  </w:style>
  <w:style w:type="character" w:customStyle="1" w:styleId="98">
    <w:name w:val="引用 字符1"/>
    <w:basedOn w:val="55"/>
    <w:qFormat/>
    <w:uiPriority w:val="29"/>
    <w:rPr>
      <w:rFonts w:ascii="Calibri" w:hAnsi="Calibri" w:eastAsia="宋体" w:cs="Times New Roman"/>
      <w:i/>
      <w:iCs/>
      <w:color w:val="3F3F3F"/>
      <w:szCs w:val="24"/>
    </w:rPr>
  </w:style>
  <w:style w:type="character" w:customStyle="1" w:styleId="99">
    <w:name w:val="ListLabel 1"/>
    <w:qFormat/>
    <w:uiPriority w:val="7"/>
    <w:rPr>
      <w:rFonts w:ascii="宋体" w:hAnsi="宋体" w:cs="宋体"/>
      <w:color w:val="FF0000"/>
      <w:sz w:val="24"/>
    </w:rPr>
  </w:style>
  <w:style w:type="character" w:customStyle="1" w:styleId="100">
    <w:name w:val="blue1"/>
    <w:basedOn w:val="55"/>
    <w:qFormat/>
    <w:uiPriority w:val="0"/>
  </w:style>
  <w:style w:type="character" w:customStyle="1" w:styleId="101">
    <w:name w:val="Ò³Ã¼ Char Char2"/>
    <w:qFormat/>
    <w:uiPriority w:val="0"/>
    <w:rPr>
      <w:kern w:val="2"/>
      <w:sz w:val="18"/>
      <w:szCs w:val="18"/>
    </w:rPr>
  </w:style>
  <w:style w:type="character" w:customStyle="1" w:styleId="102">
    <w:name w:val="标题 Char"/>
    <w:link w:val="50"/>
    <w:qFormat/>
    <w:uiPriority w:val="0"/>
    <w:rPr>
      <w:rFonts w:ascii="Cambria" w:hAnsi="Cambria"/>
      <w:b/>
      <w:bCs/>
      <w:sz w:val="32"/>
      <w:szCs w:val="32"/>
    </w:rPr>
  </w:style>
  <w:style w:type="character" w:customStyle="1" w:styleId="103">
    <w:name w:val="Char Char111"/>
    <w:qFormat/>
    <w:uiPriority w:val="0"/>
    <w:rPr>
      <w:rFonts w:ascii="Times New Roman" w:hAnsi="Times New Roman" w:eastAsia="宋体" w:cs="Times New Roman"/>
      <w:sz w:val="18"/>
      <w:szCs w:val="18"/>
    </w:rPr>
  </w:style>
  <w:style w:type="character" w:customStyle="1" w:styleId="104">
    <w:name w:val="标题 3 Char"/>
    <w:basedOn w:val="55"/>
    <w:link w:val="7"/>
    <w:qFormat/>
    <w:uiPriority w:val="0"/>
    <w:rPr>
      <w:rFonts w:ascii="Calibri" w:hAnsi="Calibri" w:eastAsia="黑体" w:cs="Times New Roman"/>
      <w:b/>
      <w:sz w:val="28"/>
      <w:szCs w:val="20"/>
    </w:rPr>
  </w:style>
  <w:style w:type="character" w:customStyle="1" w:styleId="105">
    <w:name w:val="无间隔 Char"/>
    <w:link w:val="106"/>
    <w:qFormat/>
    <w:uiPriority w:val="0"/>
    <w:rPr>
      <w:rFonts w:ascii="等线" w:hAnsi="等线" w:eastAsia="Times New Roman"/>
      <w:kern w:val="2"/>
      <w:sz w:val="22"/>
      <w:szCs w:val="22"/>
      <w:lang w:val="en-US" w:eastAsia="zh-CN" w:bidi="ar-SA"/>
    </w:rPr>
  </w:style>
  <w:style w:type="paragraph" w:customStyle="1" w:styleId="106">
    <w:name w:val="无间隔1"/>
    <w:link w:val="105"/>
    <w:qFormat/>
    <w:uiPriority w:val="0"/>
    <w:rPr>
      <w:rFonts w:ascii="等线" w:hAnsi="等线" w:eastAsia="Times New Roman" w:cs="Times New Roman"/>
      <w:kern w:val="2"/>
      <w:sz w:val="22"/>
      <w:szCs w:val="22"/>
      <w:lang w:val="en-US" w:eastAsia="zh-CN" w:bidi="ar-SA"/>
    </w:rPr>
  </w:style>
  <w:style w:type="character" w:customStyle="1" w:styleId="107">
    <w:name w:val="样式2 Char Char"/>
    <w:link w:val="108"/>
    <w:qFormat/>
    <w:uiPriority w:val="0"/>
    <w:rPr>
      <w:rFonts w:ascii="宋体" w:hAnsi="宋体"/>
      <w:bCs/>
      <w:sz w:val="28"/>
      <w:szCs w:val="28"/>
    </w:rPr>
  </w:style>
  <w:style w:type="paragraph" w:customStyle="1" w:styleId="108">
    <w:name w:val="样式2"/>
    <w:basedOn w:val="6"/>
    <w:link w:val="107"/>
    <w:qFormat/>
    <w:uiPriority w:val="0"/>
    <w:pPr>
      <w:keepLines/>
      <w:snapToGrid w:val="0"/>
      <w:spacing w:before="260" w:afterLines="50" w:line="480" w:lineRule="exact"/>
      <w:ind w:firstLine="556"/>
    </w:pPr>
    <w:rPr>
      <w:rFonts w:ascii="宋体" w:hAnsi="宋体"/>
      <w:b w:val="0"/>
      <w:bCs/>
      <w:kern w:val="0"/>
      <w:szCs w:val="28"/>
    </w:rPr>
  </w:style>
  <w:style w:type="character" w:customStyle="1" w:styleId="109">
    <w:name w:val="标题 8 Char"/>
    <w:basedOn w:val="55"/>
    <w:link w:val="13"/>
    <w:qFormat/>
    <w:uiPriority w:val="0"/>
    <w:rPr>
      <w:rFonts w:ascii="Arial" w:hAnsi="Arial" w:eastAsia="黑体" w:cs="Times New Roman"/>
      <w:sz w:val="24"/>
      <w:szCs w:val="20"/>
    </w:rPr>
  </w:style>
  <w:style w:type="character" w:customStyle="1" w:styleId="110">
    <w:name w:val="heading 2 Char2"/>
    <w:qFormat/>
    <w:uiPriority w:val="0"/>
    <w:rPr>
      <w:rFonts w:ascii="Cambria" w:hAnsi="Cambria"/>
      <w:b/>
      <w:bCs/>
      <w:kern w:val="2"/>
      <w:sz w:val="32"/>
      <w:szCs w:val="32"/>
    </w:rPr>
  </w:style>
  <w:style w:type="character" w:customStyle="1" w:styleId="111">
    <w:name w:val="批注主题 字符1"/>
    <w:basedOn w:val="112"/>
    <w:semiHidden/>
    <w:qFormat/>
    <w:uiPriority w:val="99"/>
    <w:rPr>
      <w:rFonts w:ascii="Calibri" w:hAnsi="Calibri" w:eastAsia="宋体" w:cs="Times New Roman"/>
      <w:b/>
      <w:bCs/>
      <w:szCs w:val="24"/>
    </w:rPr>
  </w:style>
  <w:style w:type="character" w:customStyle="1" w:styleId="112">
    <w:name w:val="批注文字 Char"/>
    <w:basedOn w:val="55"/>
    <w:link w:val="20"/>
    <w:qFormat/>
    <w:uiPriority w:val="0"/>
    <w:rPr>
      <w:rFonts w:ascii="Calibri" w:hAnsi="Calibri" w:eastAsia="宋体" w:cs="Times New Roman"/>
      <w:szCs w:val="24"/>
    </w:rPr>
  </w:style>
  <w:style w:type="character" w:customStyle="1" w:styleId="113">
    <w:name w:val="正文文本缩进 2 字符1"/>
    <w:basedOn w:val="55"/>
    <w:semiHidden/>
    <w:qFormat/>
    <w:uiPriority w:val="99"/>
    <w:rPr>
      <w:rFonts w:ascii="Calibri" w:hAnsi="Calibri" w:eastAsia="宋体" w:cs="Times New Roman"/>
      <w:szCs w:val="24"/>
    </w:rPr>
  </w:style>
  <w:style w:type="character" w:customStyle="1" w:styleId="114">
    <w:name w:val="宏文本 字符1"/>
    <w:basedOn w:val="55"/>
    <w:semiHidden/>
    <w:qFormat/>
    <w:uiPriority w:val="99"/>
    <w:rPr>
      <w:rFonts w:ascii="Courier New" w:hAnsi="Courier New" w:eastAsia="宋体" w:cs="Courier New"/>
      <w:sz w:val="24"/>
      <w:szCs w:val="24"/>
    </w:rPr>
  </w:style>
  <w:style w:type="character" w:customStyle="1" w:styleId="115">
    <w:name w:val="正文文本缩进 Char"/>
    <w:basedOn w:val="55"/>
    <w:link w:val="23"/>
    <w:qFormat/>
    <w:uiPriority w:val="0"/>
    <w:rPr>
      <w:rFonts w:ascii="Calibri" w:hAnsi="Calibri" w:eastAsia="宋体" w:cs="Times New Roman"/>
      <w:szCs w:val="24"/>
    </w:rPr>
  </w:style>
  <w:style w:type="character" w:customStyle="1" w:styleId="116">
    <w:name w:val="Footer-Even Char"/>
    <w:qFormat/>
    <w:uiPriority w:val="0"/>
    <w:rPr>
      <w:sz w:val="18"/>
      <w:szCs w:val="18"/>
    </w:rPr>
  </w:style>
  <w:style w:type="character" w:customStyle="1" w:styleId="117">
    <w:name w:val="标题 7 Char"/>
    <w:basedOn w:val="55"/>
    <w:link w:val="12"/>
    <w:qFormat/>
    <w:uiPriority w:val="0"/>
    <w:rPr>
      <w:rFonts w:ascii="Calibri" w:hAnsi="Calibri" w:eastAsia="宋体" w:cs="Times New Roman"/>
      <w:b/>
      <w:sz w:val="24"/>
      <w:szCs w:val="20"/>
    </w:rPr>
  </w:style>
  <w:style w:type="character" w:customStyle="1" w:styleId="118">
    <w:name w:val="Char Char21"/>
    <w:qFormat/>
    <w:uiPriority w:val="0"/>
    <w:rPr>
      <w:rFonts w:ascii="Times New Roman" w:hAnsi="Times New Roman" w:eastAsia="宋体" w:cs="Times New Roman"/>
      <w:b/>
      <w:bCs/>
      <w:kern w:val="44"/>
      <w:sz w:val="44"/>
      <w:szCs w:val="44"/>
    </w:rPr>
  </w:style>
  <w:style w:type="character" w:customStyle="1" w:styleId="119">
    <w:name w:val="日期 Char"/>
    <w:link w:val="32"/>
    <w:qFormat/>
    <w:uiPriority w:val="0"/>
    <w:rPr>
      <w:szCs w:val="24"/>
    </w:rPr>
  </w:style>
  <w:style w:type="character" w:customStyle="1" w:styleId="120">
    <w:name w:val="Footer-Even Char2"/>
    <w:qFormat/>
    <w:uiPriority w:val="0"/>
    <w:rPr>
      <w:kern w:val="2"/>
      <w:sz w:val="18"/>
      <w:szCs w:val="18"/>
    </w:rPr>
  </w:style>
  <w:style w:type="character" w:customStyle="1" w:styleId="121">
    <w:name w:val="书籍标题1"/>
    <w:qFormat/>
    <w:uiPriority w:val="0"/>
    <w:rPr>
      <w:b/>
      <w:bCs/>
      <w:smallCaps/>
      <w:spacing w:val="5"/>
    </w:rPr>
  </w:style>
  <w:style w:type="character" w:customStyle="1" w:styleId="122">
    <w:name w:val="页眉 字符1"/>
    <w:basedOn w:val="55"/>
    <w:semiHidden/>
    <w:qFormat/>
    <w:uiPriority w:val="99"/>
    <w:rPr>
      <w:kern w:val="2"/>
      <w:sz w:val="18"/>
      <w:szCs w:val="18"/>
    </w:rPr>
  </w:style>
  <w:style w:type="character" w:customStyle="1" w:styleId="123">
    <w:name w:val="不明显强调2"/>
    <w:qFormat/>
    <w:uiPriority w:val="0"/>
    <w:rPr>
      <w:i/>
      <w:iCs/>
      <w:color w:val="808080"/>
    </w:rPr>
  </w:style>
  <w:style w:type="character" w:customStyle="1" w:styleId="124">
    <w:name w:val="正文文本缩进 字符"/>
    <w:qFormat/>
    <w:uiPriority w:val="0"/>
    <w:rPr>
      <w:rFonts w:eastAsia="宋体"/>
      <w:kern w:val="2"/>
      <w:sz w:val="24"/>
      <w:szCs w:val="24"/>
      <w:lang w:val="en-US" w:eastAsia="zh-CN" w:bidi="ar-SA"/>
    </w:rPr>
  </w:style>
  <w:style w:type="character" w:customStyle="1" w:styleId="125">
    <w:name w:val="Char Char12"/>
    <w:qFormat/>
    <w:uiPriority w:val="0"/>
    <w:rPr>
      <w:rFonts w:eastAsia="宋体"/>
      <w:kern w:val="2"/>
      <w:sz w:val="21"/>
      <w:szCs w:val="24"/>
      <w:lang w:val="en-US" w:eastAsia="zh-CN" w:bidi="ar-SA"/>
    </w:rPr>
  </w:style>
  <w:style w:type="character" w:customStyle="1" w:styleId="126">
    <w:name w:val="明显引用 Char"/>
    <w:link w:val="127"/>
    <w:qFormat/>
    <w:uiPriority w:val="0"/>
    <w:rPr>
      <w:b/>
      <w:bCs/>
      <w:i/>
      <w:iCs/>
      <w:color w:val="4F81BD"/>
    </w:rPr>
  </w:style>
  <w:style w:type="paragraph" w:customStyle="1" w:styleId="127">
    <w:name w:val="明显引用1"/>
    <w:basedOn w:val="1"/>
    <w:next w:val="1"/>
    <w:link w:val="126"/>
    <w:qFormat/>
    <w:uiPriority w:val="0"/>
    <w:pPr>
      <w:pBdr>
        <w:bottom w:val="single" w:color="4F81BD" w:sz="4" w:space="4"/>
      </w:pBdr>
      <w:spacing w:before="200" w:after="280"/>
      <w:ind w:left="936" w:right="936"/>
    </w:pPr>
    <w:rPr>
      <w:rFonts w:ascii="Times New Roman" w:hAnsi="Times New Roman"/>
      <w:b/>
      <w:bCs/>
      <w:i/>
      <w:iCs/>
      <w:color w:val="4F81BD"/>
      <w:kern w:val="0"/>
      <w:sz w:val="20"/>
      <w:szCs w:val="20"/>
    </w:rPr>
  </w:style>
  <w:style w:type="character" w:customStyle="1" w:styleId="128">
    <w:name w:val="正文首行缩进 Char"/>
    <w:link w:val="3"/>
    <w:qFormat/>
    <w:uiPriority w:val="0"/>
  </w:style>
  <w:style w:type="character" w:customStyle="1" w:styleId="129">
    <w:name w:val="heading 5 Char2"/>
    <w:qFormat/>
    <w:uiPriority w:val="0"/>
    <w:rPr>
      <w:b/>
      <w:bCs/>
      <w:kern w:val="2"/>
      <w:sz w:val="28"/>
      <w:szCs w:val="28"/>
    </w:rPr>
  </w:style>
  <w:style w:type="character" w:customStyle="1" w:styleId="130">
    <w:name w:val="heading 1 Char1"/>
    <w:qFormat/>
    <w:uiPriority w:val="0"/>
    <w:rPr>
      <w:rFonts w:eastAsia="宋体"/>
      <w:b/>
      <w:bCs/>
      <w:kern w:val="44"/>
      <w:sz w:val="44"/>
      <w:szCs w:val="44"/>
      <w:lang w:val="en-US" w:eastAsia="zh-CN" w:bidi="ar-SA"/>
    </w:rPr>
  </w:style>
  <w:style w:type="character" w:customStyle="1" w:styleId="131">
    <w:name w:val="Char Char201"/>
    <w:qFormat/>
    <w:uiPriority w:val="0"/>
    <w:rPr>
      <w:rFonts w:ascii="Cambria" w:hAnsi="Cambria" w:eastAsia="宋体" w:cs="Times New Roman"/>
      <w:b/>
      <w:bCs/>
      <w:sz w:val="32"/>
      <w:szCs w:val="32"/>
    </w:rPr>
  </w:style>
  <w:style w:type="character" w:customStyle="1" w:styleId="132">
    <w:name w:val="Char Char18"/>
    <w:qFormat/>
    <w:uiPriority w:val="0"/>
    <w:rPr>
      <w:b/>
      <w:bCs/>
      <w:kern w:val="2"/>
      <w:sz w:val="32"/>
      <w:szCs w:val="32"/>
    </w:rPr>
  </w:style>
  <w:style w:type="character" w:customStyle="1" w:styleId="133">
    <w:name w:val="Plain Text Char"/>
    <w:qFormat/>
    <w:uiPriority w:val="0"/>
    <w:rPr>
      <w:rFonts w:ascii="宋体" w:hAnsi="Courier New" w:eastAsia="宋体" w:cs="Times New Roman"/>
      <w:sz w:val="21"/>
      <w:szCs w:val="21"/>
    </w:rPr>
  </w:style>
  <w:style w:type="character" w:customStyle="1" w:styleId="134">
    <w:name w:val="称呼 字符1"/>
    <w:basedOn w:val="55"/>
    <w:semiHidden/>
    <w:qFormat/>
    <w:uiPriority w:val="99"/>
    <w:rPr>
      <w:rFonts w:ascii="Calibri" w:hAnsi="Calibri" w:eastAsia="宋体" w:cs="Times New Roman"/>
      <w:szCs w:val="24"/>
    </w:rPr>
  </w:style>
  <w:style w:type="character" w:customStyle="1" w:styleId="135">
    <w:name w:val="标题 1 Char"/>
    <w:basedOn w:val="55"/>
    <w:link w:val="5"/>
    <w:qFormat/>
    <w:uiPriority w:val="0"/>
    <w:rPr>
      <w:rFonts w:ascii="Calibri" w:hAnsi="Calibri" w:eastAsia="黑体" w:cs="Times New Roman"/>
      <w:b/>
      <w:sz w:val="32"/>
      <w:szCs w:val="20"/>
    </w:rPr>
  </w:style>
  <w:style w:type="character" w:customStyle="1" w:styleId="136">
    <w:name w:val="heading 4 Char1"/>
    <w:qFormat/>
    <w:uiPriority w:val="0"/>
    <w:rPr>
      <w:rFonts w:ascii="Cambria" w:hAnsi="Cambria" w:eastAsia="宋体"/>
      <w:b/>
      <w:bCs/>
      <w:kern w:val="2"/>
      <w:sz w:val="28"/>
      <w:szCs w:val="28"/>
      <w:lang w:val="en-US" w:eastAsia="zh-CN" w:bidi="ar-SA"/>
    </w:rPr>
  </w:style>
  <w:style w:type="character" w:customStyle="1" w:styleId="137">
    <w:name w:val="PI Char"/>
    <w:qFormat/>
    <w:uiPriority w:val="0"/>
    <w:rPr>
      <w:rFonts w:ascii="宋体" w:hAnsi="宋体"/>
      <w:sz w:val="24"/>
    </w:rPr>
  </w:style>
  <w:style w:type="character" w:customStyle="1" w:styleId="138">
    <w:name w:val="纯文本 字符1"/>
    <w:basedOn w:val="55"/>
    <w:semiHidden/>
    <w:qFormat/>
    <w:uiPriority w:val="99"/>
    <w:rPr>
      <w:rFonts w:ascii="等线" w:hAnsi="Courier New" w:cs="Courier New"/>
      <w:szCs w:val="24"/>
    </w:rPr>
  </w:style>
  <w:style w:type="character" w:customStyle="1" w:styleId="139">
    <w:name w:val="heading 4 Char2"/>
    <w:qFormat/>
    <w:uiPriority w:val="0"/>
    <w:rPr>
      <w:rFonts w:ascii="Cambria" w:hAnsi="Cambria"/>
      <w:b/>
      <w:bCs/>
      <w:kern w:val="2"/>
      <w:sz w:val="28"/>
      <w:szCs w:val="28"/>
    </w:rPr>
  </w:style>
  <w:style w:type="character" w:customStyle="1" w:styleId="140">
    <w:name w:val="heading 6 Char1"/>
    <w:qFormat/>
    <w:uiPriority w:val="0"/>
    <w:rPr>
      <w:rFonts w:ascii="Arial" w:hAnsi="Arial" w:eastAsia="黑体"/>
      <w:kern w:val="2"/>
      <w:sz w:val="24"/>
      <w:szCs w:val="24"/>
      <w:lang w:val="en-US" w:eastAsia="zh-CN" w:bidi="ar-SA"/>
    </w:rPr>
  </w:style>
  <w:style w:type="character" w:customStyle="1" w:styleId="141">
    <w:name w:val="style21"/>
    <w:qFormat/>
    <w:uiPriority w:val="0"/>
    <w:rPr>
      <w:sz w:val="15"/>
      <w:szCs w:val="15"/>
    </w:rPr>
  </w:style>
  <w:style w:type="character" w:customStyle="1" w:styleId="142">
    <w:name w:val="正文文本缩进 3 Char"/>
    <w:link w:val="45"/>
    <w:qFormat/>
    <w:uiPriority w:val="0"/>
    <w:rPr>
      <w:sz w:val="24"/>
      <w:szCs w:val="24"/>
    </w:rPr>
  </w:style>
  <w:style w:type="character" w:customStyle="1" w:styleId="143">
    <w:name w:val="明显强调11"/>
    <w:qFormat/>
    <w:uiPriority w:val="0"/>
    <w:rPr>
      <w:b/>
      <w:bCs/>
      <w:i/>
      <w:iCs/>
      <w:color w:val="4F81BD"/>
    </w:rPr>
  </w:style>
  <w:style w:type="character" w:customStyle="1" w:styleId="144">
    <w:name w:val="smalltxt1"/>
    <w:qFormat/>
    <w:uiPriority w:val="0"/>
    <w:rPr>
      <w:rFonts w:hint="default" w:ascii="ˎ̥" w:hAnsi="ˎ̥"/>
      <w:sz w:val="24"/>
      <w:szCs w:val="24"/>
    </w:rPr>
  </w:style>
  <w:style w:type="character" w:customStyle="1" w:styleId="145">
    <w:name w:val="font31"/>
    <w:basedOn w:val="55"/>
    <w:qFormat/>
    <w:uiPriority w:val="0"/>
    <w:rPr>
      <w:rFonts w:hint="eastAsia" w:ascii="宋体" w:hAnsi="宋体" w:eastAsia="宋体" w:cs="宋体"/>
      <w:color w:val="000000"/>
      <w:sz w:val="24"/>
      <w:szCs w:val="24"/>
      <w:u w:val="single"/>
    </w:rPr>
  </w:style>
  <w:style w:type="character" w:customStyle="1" w:styleId="146">
    <w:name w:val="heading 2 Char"/>
    <w:qFormat/>
    <w:uiPriority w:val="0"/>
    <w:rPr>
      <w:rFonts w:ascii="Arial" w:hAnsi="Arial" w:eastAsia="黑体" w:cs="Times New Roman"/>
      <w:sz w:val="30"/>
      <w:szCs w:val="24"/>
    </w:rPr>
  </w:style>
  <w:style w:type="character" w:customStyle="1" w:styleId="147">
    <w:name w:val="日期 字符1"/>
    <w:basedOn w:val="55"/>
    <w:semiHidden/>
    <w:qFormat/>
    <w:uiPriority w:val="99"/>
    <w:rPr>
      <w:rFonts w:ascii="Calibri" w:hAnsi="Calibri" w:eastAsia="宋体" w:cs="Times New Roman"/>
      <w:szCs w:val="24"/>
    </w:rPr>
  </w:style>
  <w:style w:type="character" w:customStyle="1" w:styleId="148">
    <w:name w:val="Char Char6"/>
    <w:qFormat/>
    <w:uiPriority w:val="0"/>
    <w:rPr>
      <w:rFonts w:ascii="Times New Roman" w:hAnsi="Times New Roman" w:eastAsia="宋体" w:cs="Times New Roman"/>
      <w:szCs w:val="24"/>
    </w:rPr>
  </w:style>
  <w:style w:type="character" w:customStyle="1" w:styleId="149">
    <w:name w:val="样式 宋体"/>
    <w:qFormat/>
    <w:uiPriority w:val="0"/>
    <w:rPr>
      <w:rFonts w:ascii="宋体" w:hAnsi="宋体" w:eastAsia="宋体"/>
      <w:sz w:val="24"/>
      <w:szCs w:val="24"/>
    </w:rPr>
  </w:style>
  <w:style w:type="character" w:customStyle="1" w:styleId="150">
    <w:name w:val="heading 7 Char1"/>
    <w:qFormat/>
    <w:uiPriority w:val="0"/>
    <w:rPr>
      <w:rFonts w:ascii="Arial" w:hAnsi="Arial" w:eastAsia="黑体"/>
      <w:sz w:val="21"/>
      <w:szCs w:val="21"/>
      <w:lang w:val="en-US" w:eastAsia="zh-CN" w:bidi="ar-SA"/>
    </w:rPr>
  </w:style>
  <w:style w:type="character" w:customStyle="1" w:styleId="151">
    <w:name w:val="批注主题 Char"/>
    <w:link w:val="51"/>
    <w:qFormat/>
    <w:uiPriority w:val="0"/>
    <w:rPr>
      <w:b/>
      <w:bCs/>
      <w:szCs w:val="24"/>
    </w:rPr>
  </w:style>
  <w:style w:type="character" w:customStyle="1" w:styleId="152">
    <w:name w:val="正文缩进 Char"/>
    <w:link w:val="11"/>
    <w:qFormat/>
    <w:uiPriority w:val="0"/>
    <w:rPr>
      <w:rFonts w:ascii="Calibri" w:hAnsi="Calibri" w:eastAsia="宋体" w:cs="Times New Roman"/>
      <w:szCs w:val="24"/>
    </w:rPr>
  </w:style>
  <w:style w:type="character" w:customStyle="1" w:styleId="153">
    <w:name w:val="Char Char Char Char Char Char Char Char Char"/>
    <w:qFormat/>
    <w:uiPriority w:val="0"/>
    <w:rPr>
      <w:rFonts w:ascii="宋体" w:hAnsi="Courier New" w:eastAsia="宋体"/>
      <w:sz w:val="21"/>
      <w:szCs w:val="21"/>
      <w:lang w:val="en-US" w:eastAsia="zh-CN" w:bidi="ar-SA"/>
    </w:rPr>
  </w:style>
  <w:style w:type="character" w:customStyle="1" w:styleId="154">
    <w:name w:val="PI Char2"/>
    <w:qFormat/>
    <w:uiPriority w:val="0"/>
    <w:rPr>
      <w:kern w:val="2"/>
      <w:sz w:val="24"/>
      <w:szCs w:val="24"/>
    </w:rPr>
  </w:style>
  <w:style w:type="character" w:customStyle="1" w:styleId="155">
    <w:name w:val="正文文本缩进 3 字符1"/>
    <w:basedOn w:val="55"/>
    <w:semiHidden/>
    <w:qFormat/>
    <w:uiPriority w:val="99"/>
    <w:rPr>
      <w:rFonts w:ascii="Calibri" w:hAnsi="Calibri" w:eastAsia="宋体" w:cs="Times New Roman"/>
      <w:sz w:val="16"/>
      <w:szCs w:val="16"/>
    </w:rPr>
  </w:style>
  <w:style w:type="character" w:customStyle="1" w:styleId="156">
    <w:name w:val="引用 Char"/>
    <w:link w:val="157"/>
    <w:qFormat/>
    <w:uiPriority w:val="0"/>
    <w:rPr>
      <w:i/>
      <w:iCs/>
      <w:color w:val="000000"/>
    </w:rPr>
  </w:style>
  <w:style w:type="paragraph" w:customStyle="1" w:styleId="157">
    <w:name w:val="引用1"/>
    <w:basedOn w:val="1"/>
    <w:next w:val="1"/>
    <w:link w:val="156"/>
    <w:qFormat/>
    <w:uiPriority w:val="0"/>
    <w:rPr>
      <w:rFonts w:ascii="Times New Roman" w:hAnsi="Times New Roman"/>
      <w:i/>
      <w:iCs/>
      <w:color w:val="000000"/>
      <w:kern w:val="0"/>
      <w:sz w:val="20"/>
      <w:szCs w:val="20"/>
    </w:rPr>
  </w:style>
  <w:style w:type="character" w:customStyle="1" w:styleId="158">
    <w:name w:val="正文文本 字符"/>
    <w:qFormat/>
    <w:uiPriority w:val="0"/>
    <w:rPr>
      <w:rFonts w:ascii="仿宋_GB2312" w:eastAsia="宋体"/>
      <w:b/>
      <w:kern w:val="2"/>
      <w:sz w:val="21"/>
      <w:szCs w:val="24"/>
      <w:lang w:val="en-US" w:eastAsia="zh-CN" w:bidi="ar-SA"/>
    </w:rPr>
  </w:style>
  <w:style w:type="character" w:customStyle="1" w:styleId="159">
    <w:name w:val="Char Char24"/>
    <w:qFormat/>
    <w:uiPriority w:val="0"/>
    <w:rPr>
      <w:rFonts w:eastAsia="宋体"/>
      <w:b/>
      <w:kern w:val="2"/>
      <w:sz w:val="28"/>
      <w:lang w:val="en-US" w:eastAsia="zh-CN" w:bidi="ar-SA"/>
    </w:rPr>
  </w:style>
  <w:style w:type="character" w:customStyle="1" w:styleId="160">
    <w:name w:val="明显参考1"/>
    <w:qFormat/>
    <w:uiPriority w:val="0"/>
    <w:rPr>
      <w:b/>
      <w:bCs/>
      <w:smallCaps/>
      <w:color w:val="C0504D"/>
      <w:spacing w:val="5"/>
      <w:u w:val="single"/>
    </w:rPr>
  </w:style>
  <w:style w:type="character" w:customStyle="1" w:styleId="161">
    <w:name w:val="heading 3 Char1"/>
    <w:qFormat/>
    <w:uiPriority w:val="0"/>
    <w:rPr>
      <w:rFonts w:eastAsia="宋体"/>
      <w:b/>
      <w:bCs/>
      <w:kern w:val="2"/>
      <w:sz w:val="32"/>
      <w:szCs w:val="32"/>
      <w:lang w:val="en-US" w:eastAsia="zh-CN" w:bidi="ar-SA"/>
    </w:rPr>
  </w:style>
  <w:style w:type="character" w:customStyle="1" w:styleId="162">
    <w:name w:val="textcolor1"/>
    <w:qFormat/>
    <w:uiPriority w:val="0"/>
    <w:rPr>
      <w:rFonts w:ascii="仿宋_GB2312" w:eastAsia="仿宋_GB2312"/>
      <w:b/>
      <w:color w:val="FF6600"/>
      <w:sz w:val="32"/>
      <w:szCs w:val="32"/>
    </w:rPr>
  </w:style>
  <w:style w:type="character" w:customStyle="1" w:styleId="163">
    <w:name w:val="标题 字符1"/>
    <w:basedOn w:val="55"/>
    <w:qFormat/>
    <w:uiPriority w:val="10"/>
    <w:rPr>
      <w:rFonts w:ascii="等线 Light" w:hAnsi="等线 Light" w:eastAsia="等线 Light" w:cs="Times New Roman"/>
      <w:b/>
      <w:bCs/>
      <w:sz w:val="32"/>
      <w:szCs w:val="32"/>
    </w:rPr>
  </w:style>
  <w:style w:type="character" w:customStyle="1" w:styleId="164">
    <w:name w:val="dandyren_title1"/>
    <w:qFormat/>
    <w:uiPriority w:val="0"/>
    <w:rPr>
      <w:b/>
      <w:bCs/>
      <w:color w:val="FF6633"/>
      <w:sz w:val="18"/>
      <w:szCs w:val="18"/>
    </w:rPr>
  </w:style>
  <w:style w:type="character" w:customStyle="1" w:styleId="165">
    <w:name w:val="明显引用 字符1"/>
    <w:basedOn w:val="55"/>
    <w:qFormat/>
    <w:uiPriority w:val="30"/>
    <w:rPr>
      <w:rFonts w:ascii="Calibri" w:hAnsi="Calibri" w:eastAsia="宋体" w:cs="Times New Roman"/>
      <w:i/>
      <w:iCs/>
      <w:color w:val="5B9BD5"/>
      <w:szCs w:val="24"/>
    </w:rPr>
  </w:style>
  <w:style w:type="character" w:customStyle="1" w:styleId="166">
    <w:name w:val="Char Char16"/>
    <w:qFormat/>
    <w:uiPriority w:val="0"/>
    <w:rPr>
      <w:b/>
      <w:bCs/>
      <w:kern w:val="2"/>
      <w:sz w:val="28"/>
      <w:szCs w:val="28"/>
    </w:rPr>
  </w:style>
  <w:style w:type="character" w:customStyle="1" w:styleId="167">
    <w:name w:val="副标题 Char"/>
    <w:link w:val="41"/>
    <w:qFormat/>
    <w:uiPriority w:val="0"/>
    <w:rPr>
      <w:rFonts w:ascii="Cambria" w:hAnsi="Cambria"/>
      <w:b/>
      <w:bCs/>
      <w:kern w:val="28"/>
      <w:sz w:val="32"/>
      <w:szCs w:val="32"/>
    </w:rPr>
  </w:style>
  <w:style w:type="character" w:customStyle="1" w:styleId="168">
    <w:name w:val="签名 字符1"/>
    <w:basedOn w:val="55"/>
    <w:semiHidden/>
    <w:qFormat/>
    <w:uiPriority w:val="99"/>
    <w:rPr>
      <w:rFonts w:ascii="Calibri" w:hAnsi="Calibri" w:eastAsia="宋体" w:cs="Times New Roman"/>
      <w:szCs w:val="24"/>
    </w:rPr>
  </w:style>
  <w:style w:type="character" w:customStyle="1" w:styleId="169">
    <w:name w:val="heading 4 Char"/>
    <w:qFormat/>
    <w:uiPriority w:val="0"/>
    <w:rPr>
      <w:rFonts w:ascii="Arial" w:hAnsi="Arial" w:eastAsia="黑体" w:cs="Times New Roman"/>
      <w:sz w:val="21"/>
      <w:szCs w:val="21"/>
    </w:rPr>
  </w:style>
  <w:style w:type="character" w:customStyle="1" w:styleId="170">
    <w:name w:val="明显参考11"/>
    <w:qFormat/>
    <w:uiPriority w:val="0"/>
    <w:rPr>
      <w:b/>
      <w:bCs/>
      <w:smallCaps/>
      <w:color w:val="C0504D"/>
      <w:spacing w:val="5"/>
      <w:u w:val="single"/>
    </w:rPr>
  </w:style>
  <w:style w:type="character" w:customStyle="1" w:styleId="171">
    <w:name w:val="pt141"/>
    <w:qFormat/>
    <w:uiPriority w:val="0"/>
    <w:rPr>
      <w:color w:val="330066"/>
      <w:spacing w:val="450"/>
      <w:sz w:val="22"/>
      <w:szCs w:val="22"/>
    </w:rPr>
  </w:style>
  <w:style w:type="character" w:customStyle="1" w:styleId="172">
    <w:name w:val="页脚 Char"/>
    <w:basedOn w:val="55"/>
    <w:link w:val="35"/>
    <w:qFormat/>
    <w:uiPriority w:val="0"/>
    <w:rPr>
      <w:sz w:val="18"/>
      <w:szCs w:val="18"/>
    </w:rPr>
  </w:style>
  <w:style w:type="character" w:customStyle="1" w:styleId="173">
    <w:name w:val="正文1 Char Char"/>
    <w:link w:val="174"/>
    <w:qFormat/>
    <w:uiPriority w:val="0"/>
    <w:rPr>
      <w:rFonts w:ascii="宋体" w:hAnsi="宋体" w:cs="宋体"/>
    </w:rPr>
  </w:style>
  <w:style w:type="paragraph" w:customStyle="1" w:styleId="174">
    <w:name w:val="正文1"/>
    <w:basedOn w:val="1"/>
    <w:link w:val="173"/>
    <w:qFormat/>
    <w:uiPriority w:val="0"/>
    <w:pPr>
      <w:widowControl/>
      <w:spacing w:line="360" w:lineRule="auto"/>
      <w:ind w:left="360" w:firstLine="420"/>
      <w:jc w:val="left"/>
    </w:pPr>
    <w:rPr>
      <w:rFonts w:ascii="宋体" w:hAnsi="宋体"/>
      <w:kern w:val="0"/>
      <w:sz w:val="20"/>
      <w:szCs w:val="20"/>
    </w:rPr>
  </w:style>
  <w:style w:type="character" w:customStyle="1" w:styleId="175">
    <w:name w:val="标题 5 Char"/>
    <w:basedOn w:val="55"/>
    <w:link w:val="9"/>
    <w:qFormat/>
    <w:uiPriority w:val="0"/>
    <w:rPr>
      <w:rFonts w:ascii="Calibri" w:hAnsi="Calibri" w:eastAsia="宋体" w:cs="Times New Roman"/>
      <w:b/>
      <w:bCs/>
      <w:kern w:val="0"/>
      <w:sz w:val="28"/>
      <w:szCs w:val="28"/>
    </w:rPr>
  </w:style>
  <w:style w:type="character" w:customStyle="1" w:styleId="176">
    <w:name w:val="Char Char241"/>
    <w:qFormat/>
    <w:uiPriority w:val="0"/>
    <w:rPr>
      <w:rFonts w:eastAsia="宋体"/>
      <w:b/>
      <w:kern w:val="2"/>
      <w:sz w:val="28"/>
      <w:lang w:val="en-US" w:eastAsia="zh-CN" w:bidi="ar-SA"/>
    </w:rPr>
  </w:style>
  <w:style w:type="character" w:customStyle="1" w:styleId="177">
    <w:name w:val="Char Char Char"/>
    <w:qFormat/>
    <w:uiPriority w:val="0"/>
    <w:rPr>
      <w:rFonts w:ascii="宋体" w:hAnsi="Courier New" w:eastAsia="宋体"/>
      <w:b/>
      <w:sz w:val="21"/>
      <w:szCs w:val="21"/>
      <w:lang w:val="en-US" w:eastAsia="zh-CN" w:bidi="ar-SA"/>
    </w:rPr>
  </w:style>
  <w:style w:type="character" w:customStyle="1" w:styleId="178">
    <w:name w:val="宏文本 Char"/>
    <w:link w:val="4"/>
    <w:qFormat/>
    <w:uiPriority w:val="0"/>
    <w:rPr>
      <w:rFonts w:ascii="Courier New" w:hAnsi="Courier New" w:eastAsia="Times New Roman"/>
      <w:kern w:val="2"/>
      <w:sz w:val="24"/>
      <w:szCs w:val="24"/>
      <w:lang w:val="en-US" w:eastAsia="zh-CN" w:bidi="ar-SA"/>
    </w:rPr>
  </w:style>
  <w:style w:type="character" w:customStyle="1" w:styleId="179">
    <w:name w:val="不明显参考11"/>
    <w:qFormat/>
    <w:uiPriority w:val="0"/>
    <w:rPr>
      <w:smallCaps/>
      <w:color w:val="C0504D"/>
      <w:u w:val="single"/>
    </w:rPr>
  </w:style>
  <w:style w:type="character" w:customStyle="1" w:styleId="180">
    <w:name w:val="Char Char271"/>
    <w:qFormat/>
    <w:uiPriority w:val="0"/>
    <w:rPr>
      <w:rFonts w:eastAsia="宋体"/>
      <w:kern w:val="2"/>
      <w:sz w:val="28"/>
      <w:lang w:val="en-US" w:eastAsia="zh-CN" w:bidi="ar-SA"/>
    </w:rPr>
  </w:style>
  <w:style w:type="character" w:customStyle="1" w:styleId="181">
    <w:name w:val="Table Text Char Char"/>
    <w:link w:val="182"/>
    <w:qFormat/>
    <w:uiPriority w:val="0"/>
    <w:rPr>
      <w:lang w:eastAsia="en-US"/>
    </w:rPr>
  </w:style>
  <w:style w:type="paragraph" w:customStyle="1" w:styleId="182">
    <w:name w:val="Table Text"/>
    <w:basedOn w:val="1"/>
    <w:link w:val="181"/>
    <w:qFormat/>
    <w:uiPriority w:val="0"/>
    <w:pPr>
      <w:widowControl/>
      <w:tabs>
        <w:tab w:val="decimal" w:pos="0"/>
      </w:tabs>
      <w:overflowPunct w:val="0"/>
      <w:autoSpaceDE w:val="0"/>
      <w:autoSpaceDN w:val="0"/>
      <w:adjustRightInd w:val="0"/>
      <w:jc w:val="left"/>
      <w:textAlignment w:val="baseline"/>
    </w:pPr>
    <w:rPr>
      <w:rFonts w:ascii="Times New Roman" w:hAnsi="Times New Roman"/>
      <w:kern w:val="0"/>
      <w:sz w:val="20"/>
      <w:szCs w:val="20"/>
      <w:lang w:eastAsia="en-US"/>
    </w:rPr>
  </w:style>
  <w:style w:type="character" w:customStyle="1" w:styleId="183">
    <w:name w:val="Char Char15"/>
    <w:qFormat/>
    <w:uiPriority w:val="0"/>
    <w:rPr>
      <w:rFonts w:ascii="Arial" w:hAnsi="Arial" w:eastAsia="黑体"/>
      <w:sz w:val="24"/>
      <w:szCs w:val="24"/>
    </w:rPr>
  </w:style>
  <w:style w:type="character" w:customStyle="1" w:styleId="184">
    <w:name w:val="标题 2 Char"/>
    <w:basedOn w:val="55"/>
    <w:link w:val="6"/>
    <w:qFormat/>
    <w:uiPriority w:val="0"/>
    <w:rPr>
      <w:rFonts w:ascii="仿宋_GB2312" w:hAnsi="Calibri" w:eastAsia="宋体" w:cs="Times New Roman"/>
      <w:b/>
      <w:sz w:val="28"/>
      <w:szCs w:val="32"/>
    </w:rPr>
  </w:style>
  <w:style w:type="character" w:customStyle="1" w:styleId="185">
    <w:name w:val="heading 5 Char1"/>
    <w:qFormat/>
    <w:uiPriority w:val="0"/>
    <w:rPr>
      <w:rFonts w:eastAsia="宋体"/>
      <w:b/>
      <w:bCs/>
      <w:kern w:val="2"/>
      <w:sz w:val="28"/>
      <w:szCs w:val="28"/>
      <w:lang w:val="en-US" w:eastAsia="zh-CN" w:bidi="ar-SA"/>
    </w:rPr>
  </w:style>
  <w:style w:type="character" w:customStyle="1" w:styleId="186">
    <w:name w:val="Char Char61"/>
    <w:qFormat/>
    <w:uiPriority w:val="0"/>
    <w:rPr>
      <w:rFonts w:ascii="Times New Roman" w:hAnsi="Times New Roman" w:eastAsia="宋体" w:cs="Times New Roman"/>
      <w:szCs w:val="24"/>
    </w:rPr>
  </w:style>
  <w:style w:type="character" w:customStyle="1" w:styleId="187">
    <w:name w:val="style13"/>
    <w:basedOn w:val="55"/>
    <w:qFormat/>
    <w:uiPriority w:val="0"/>
  </w:style>
  <w:style w:type="character" w:customStyle="1" w:styleId="188">
    <w:name w:val="不明显参考1"/>
    <w:qFormat/>
    <w:uiPriority w:val="0"/>
    <w:rPr>
      <w:smallCaps/>
      <w:color w:val="C0504D"/>
      <w:u w:val="single"/>
    </w:rPr>
  </w:style>
  <w:style w:type="character" w:customStyle="1" w:styleId="189">
    <w:name w:val="Footer-Even Char1"/>
    <w:qFormat/>
    <w:uiPriority w:val="0"/>
    <w:rPr>
      <w:rFonts w:eastAsia="宋体"/>
      <w:kern w:val="2"/>
      <w:sz w:val="18"/>
      <w:szCs w:val="18"/>
      <w:lang w:val="en-US" w:eastAsia="zh-CN" w:bidi="ar-SA"/>
    </w:rPr>
  </w:style>
  <w:style w:type="character" w:customStyle="1" w:styleId="190">
    <w:name w:val="正文文本缩进 2 Char"/>
    <w:link w:val="33"/>
    <w:qFormat/>
    <w:uiPriority w:val="0"/>
    <w:rPr>
      <w:sz w:val="24"/>
      <w:szCs w:val="24"/>
    </w:rPr>
  </w:style>
  <w:style w:type="character" w:customStyle="1" w:styleId="191">
    <w:name w:val="标题 9 Char"/>
    <w:basedOn w:val="55"/>
    <w:link w:val="14"/>
    <w:qFormat/>
    <w:uiPriority w:val="0"/>
    <w:rPr>
      <w:rFonts w:ascii="Arial" w:hAnsi="Arial" w:eastAsia="黑体" w:cs="Times New Roman"/>
      <w:szCs w:val="20"/>
    </w:rPr>
  </w:style>
  <w:style w:type="character" w:customStyle="1" w:styleId="192">
    <w:name w:val="Ò³Ã¼ Char Char"/>
    <w:qFormat/>
    <w:uiPriority w:val="0"/>
    <w:rPr>
      <w:sz w:val="18"/>
      <w:szCs w:val="18"/>
    </w:rPr>
  </w:style>
  <w:style w:type="character" w:customStyle="1" w:styleId="193">
    <w:name w:val="标题 6 Char"/>
    <w:basedOn w:val="55"/>
    <w:link w:val="10"/>
    <w:qFormat/>
    <w:uiPriority w:val="0"/>
    <w:rPr>
      <w:rFonts w:ascii="Arial" w:hAnsi="Arial" w:eastAsia="黑体" w:cs="Times New Roman"/>
      <w:b/>
      <w:sz w:val="24"/>
      <w:szCs w:val="20"/>
    </w:rPr>
  </w:style>
  <w:style w:type="character" w:customStyle="1" w:styleId="194">
    <w:name w:val="正文文本 2 Char"/>
    <w:basedOn w:val="55"/>
    <w:link w:val="48"/>
    <w:qFormat/>
    <w:uiPriority w:val="0"/>
  </w:style>
  <w:style w:type="character" w:customStyle="1" w:styleId="195">
    <w:name w:val="Style3"/>
    <w:qFormat/>
    <w:uiPriority w:val="0"/>
    <w:rPr>
      <w:rFonts w:ascii="Calibri" w:hAnsi="宋体" w:eastAsia="宋体" w:cs="Times New Roman"/>
      <w:szCs w:val="22"/>
      <w:lang w:eastAsia="zh-CN"/>
    </w:rPr>
  </w:style>
  <w:style w:type="character" w:customStyle="1" w:styleId="196">
    <w:name w:val="样式 标题 3 + 黑体 小四 Char Char"/>
    <w:link w:val="197"/>
    <w:qFormat/>
    <w:uiPriority w:val="0"/>
    <w:rPr>
      <w:rFonts w:ascii="黑体" w:hAnsi="Arial" w:eastAsia="黑体"/>
      <w:bCs/>
      <w:sz w:val="24"/>
      <w:szCs w:val="24"/>
    </w:rPr>
  </w:style>
  <w:style w:type="paragraph" w:customStyle="1" w:styleId="197">
    <w:name w:val="样式 标题 3 + 黑体 小四"/>
    <w:basedOn w:val="7"/>
    <w:link w:val="196"/>
    <w:qFormat/>
    <w:uiPriority w:val="0"/>
    <w:pPr>
      <w:spacing w:before="260" w:after="260" w:line="413" w:lineRule="auto"/>
    </w:pPr>
    <w:rPr>
      <w:rFonts w:ascii="黑体" w:hAnsi="Arial"/>
      <w:b w:val="0"/>
      <w:bCs/>
      <w:kern w:val="0"/>
      <w:sz w:val="24"/>
      <w:szCs w:val="24"/>
    </w:rPr>
  </w:style>
  <w:style w:type="character" w:customStyle="1" w:styleId="198">
    <w:name w:val="Char Char41"/>
    <w:qFormat/>
    <w:uiPriority w:val="0"/>
    <w:rPr>
      <w:rFonts w:ascii="Cambria" w:hAnsi="Cambria" w:eastAsia="宋体"/>
      <w:b/>
      <w:bCs/>
      <w:sz w:val="32"/>
      <w:szCs w:val="32"/>
      <w:lang w:bidi="ar-SA"/>
    </w:rPr>
  </w:style>
  <w:style w:type="character" w:customStyle="1" w:styleId="199">
    <w:name w:val="gray6"/>
    <w:basedOn w:val="55"/>
    <w:qFormat/>
    <w:uiPriority w:val="0"/>
  </w:style>
  <w:style w:type="character" w:customStyle="1" w:styleId="200">
    <w:name w:val="标题 4 Char"/>
    <w:basedOn w:val="55"/>
    <w:link w:val="8"/>
    <w:qFormat/>
    <w:uiPriority w:val="0"/>
    <w:rPr>
      <w:rFonts w:ascii="Calibri" w:hAnsi="Calibri" w:eastAsia="宋体" w:cs="Times New Roman"/>
      <w:sz w:val="28"/>
      <w:szCs w:val="28"/>
    </w:rPr>
  </w:style>
  <w:style w:type="character" w:customStyle="1" w:styleId="201">
    <w:name w:val="PI Char1"/>
    <w:qFormat/>
    <w:uiPriority w:val="0"/>
    <w:rPr>
      <w:rFonts w:eastAsia="宋体"/>
      <w:kern w:val="2"/>
      <w:sz w:val="24"/>
      <w:szCs w:val="24"/>
      <w:lang w:val="en-US" w:eastAsia="zh-CN" w:bidi="ar-SA"/>
    </w:rPr>
  </w:style>
  <w:style w:type="character" w:customStyle="1" w:styleId="202">
    <w:name w:val="ändrad Char"/>
    <w:qFormat/>
    <w:uiPriority w:val="0"/>
    <w:rPr>
      <w:rFonts w:eastAsia="宋体"/>
      <w:kern w:val="2"/>
      <w:sz w:val="21"/>
      <w:szCs w:val="24"/>
      <w:lang w:val="en-US" w:eastAsia="zh-CN" w:bidi="ar-SA"/>
    </w:rPr>
  </w:style>
  <w:style w:type="character" w:customStyle="1" w:styleId="203">
    <w:name w:val="style111"/>
    <w:qFormat/>
    <w:uiPriority w:val="0"/>
    <w:rPr>
      <w:sz w:val="27"/>
      <w:szCs w:val="27"/>
    </w:rPr>
  </w:style>
  <w:style w:type="character" w:customStyle="1" w:styleId="204">
    <w:name w:val="不明显强调1"/>
    <w:qFormat/>
    <w:uiPriority w:val="0"/>
    <w:rPr>
      <w:i/>
      <w:iCs/>
      <w:color w:val="808080"/>
    </w:rPr>
  </w:style>
  <w:style w:type="character" w:customStyle="1" w:styleId="205">
    <w:name w:val="Char Char19"/>
    <w:qFormat/>
    <w:uiPriority w:val="0"/>
    <w:rPr>
      <w:rFonts w:ascii="Cambria" w:hAnsi="Cambria"/>
      <w:b/>
      <w:bCs/>
      <w:kern w:val="2"/>
      <w:sz w:val="32"/>
      <w:szCs w:val="32"/>
    </w:rPr>
  </w:style>
  <w:style w:type="character" w:customStyle="1" w:styleId="206">
    <w:name w:val="正文文本 2 字符1"/>
    <w:basedOn w:val="55"/>
    <w:semiHidden/>
    <w:qFormat/>
    <w:uiPriority w:val="99"/>
    <w:rPr>
      <w:rFonts w:ascii="Calibri" w:hAnsi="Calibri" w:eastAsia="宋体" w:cs="Times New Roman"/>
      <w:szCs w:val="24"/>
    </w:rPr>
  </w:style>
  <w:style w:type="character" w:customStyle="1" w:styleId="207">
    <w:name w:val="正文文本 Char"/>
    <w:basedOn w:val="55"/>
    <w:link w:val="2"/>
    <w:qFormat/>
    <w:uiPriority w:val="0"/>
    <w:rPr>
      <w:rFonts w:ascii="Calibri" w:hAnsi="Calibri" w:eastAsia="宋体" w:cs="Times New Roman"/>
      <w:szCs w:val="24"/>
    </w:rPr>
  </w:style>
  <w:style w:type="character" w:customStyle="1" w:styleId="208">
    <w:name w:val="正文首行缩进 字符1"/>
    <w:basedOn w:val="207"/>
    <w:semiHidden/>
    <w:qFormat/>
    <w:uiPriority w:val="99"/>
    <w:rPr>
      <w:rFonts w:ascii="Calibri" w:hAnsi="Calibri" w:eastAsia="宋体" w:cs="Times New Roman"/>
      <w:szCs w:val="24"/>
    </w:rPr>
  </w:style>
  <w:style w:type="character" w:customStyle="1" w:styleId="209">
    <w:name w:val="Char Char Char1"/>
    <w:qFormat/>
    <w:uiPriority w:val="0"/>
    <w:rPr>
      <w:rFonts w:ascii="宋体" w:hAnsi="Courier New"/>
      <w:sz w:val="21"/>
      <w:szCs w:val="21"/>
    </w:rPr>
  </w:style>
  <w:style w:type="character" w:customStyle="1" w:styleId="210">
    <w:name w:val="heading 1 Char2"/>
    <w:qFormat/>
    <w:uiPriority w:val="0"/>
    <w:rPr>
      <w:b/>
      <w:bCs/>
      <w:kern w:val="44"/>
      <w:sz w:val="44"/>
      <w:szCs w:val="44"/>
    </w:rPr>
  </w:style>
  <w:style w:type="character" w:customStyle="1" w:styleId="211">
    <w:name w:val="Char Char22"/>
    <w:qFormat/>
    <w:uiPriority w:val="0"/>
    <w:rPr>
      <w:rFonts w:ascii="Arial" w:hAnsi="Arial" w:eastAsia="黑体"/>
      <w:b/>
      <w:bCs/>
      <w:kern w:val="44"/>
      <w:sz w:val="30"/>
      <w:szCs w:val="44"/>
      <w:lang w:val="en-US" w:eastAsia="zh-CN" w:bidi="ar-SA"/>
    </w:rPr>
  </w:style>
  <w:style w:type="character" w:customStyle="1" w:styleId="212">
    <w:name w:val="页脚 字符1"/>
    <w:basedOn w:val="55"/>
    <w:semiHidden/>
    <w:qFormat/>
    <w:uiPriority w:val="99"/>
    <w:rPr>
      <w:kern w:val="2"/>
      <w:sz w:val="18"/>
      <w:szCs w:val="18"/>
    </w:rPr>
  </w:style>
  <w:style w:type="character" w:customStyle="1" w:styleId="213">
    <w:name w:val="Char Char17"/>
    <w:qFormat/>
    <w:uiPriority w:val="0"/>
    <w:rPr>
      <w:rFonts w:ascii="Cambria" w:hAnsi="Cambria"/>
      <w:b/>
      <w:bCs/>
      <w:kern w:val="2"/>
      <w:sz w:val="28"/>
      <w:szCs w:val="28"/>
    </w:rPr>
  </w:style>
  <w:style w:type="character" w:customStyle="1" w:styleId="214">
    <w:name w:val="heading 3 Char2"/>
    <w:qFormat/>
    <w:uiPriority w:val="0"/>
    <w:rPr>
      <w:b/>
      <w:bCs/>
      <w:kern w:val="2"/>
      <w:sz w:val="32"/>
      <w:szCs w:val="32"/>
    </w:rPr>
  </w:style>
  <w:style w:type="character" w:customStyle="1" w:styleId="215">
    <w:name w:val="签名 Char"/>
    <w:link w:val="38"/>
    <w:qFormat/>
    <w:uiPriority w:val="0"/>
    <w:rPr>
      <w:rFonts w:ascii="仿宋_GB2312" w:eastAsia="仿宋_GB2312"/>
      <w:b/>
      <w:sz w:val="24"/>
      <w:szCs w:val="32"/>
    </w:rPr>
  </w:style>
  <w:style w:type="character" w:customStyle="1" w:styleId="216">
    <w:name w:val="批注文字 字符"/>
    <w:qFormat/>
    <w:uiPriority w:val="0"/>
    <w:rPr>
      <w:rFonts w:eastAsia="宋体"/>
      <w:kern w:val="2"/>
      <w:sz w:val="21"/>
      <w:szCs w:val="24"/>
      <w:lang w:val="en-US" w:eastAsia="zh-CN" w:bidi="ar-SA"/>
    </w:rPr>
  </w:style>
  <w:style w:type="character" w:customStyle="1" w:styleId="217">
    <w:name w:val="Char Char1"/>
    <w:qFormat/>
    <w:uiPriority w:val="0"/>
    <w:rPr>
      <w:rFonts w:eastAsia="宋体"/>
      <w:sz w:val="21"/>
      <w:lang w:val="en-US" w:eastAsia="zh-CN" w:bidi="ar-SA"/>
    </w:rPr>
  </w:style>
  <w:style w:type="character" w:customStyle="1" w:styleId="218">
    <w:name w:val="正文首行缩进 2 Char"/>
    <w:basedOn w:val="115"/>
    <w:link w:val="52"/>
    <w:qFormat/>
    <w:uiPriority w:val="0"/>
    <w:rPr>
      <w:rFonts w:ascii="Calibri" w:hAnsi="Calibri" w:eastAsia="宋体" w:cs="宋体"/>
      <w:szCs w:val="21"/>
    </w:rPr>
  </w:style>
  <w:style w:type="character" w:customStyle="1" w:styleId="219">
    <w:name w:val="表格 Char Char"/>
    <w:link w:val="220"/>
    <w:qFormat/>
    <w:uiPriority w:val="0"/>
    <w:rPr>
      <w:rFonts w:ascii="宋体" w:hAnsi="宋体"/>
    </w:rPr>
  </w:style>
  <w:style w:type="paragraph" w:customStyle="1" w:styleId="220">
    <w:name w:val="表格"/>
    <w:basedOn w:val="1"/>
    <w:link w:val="219"/>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221">
    <w:name w:val="Ò³Ã¼ Char Char1"/>
    <w:qFormat/>
    <w:uiPriority w:val="0"/>
    <w:rPr>
      <w:rFonts w:eastAsia="宋体"/>
      <w:kern w:val="2"/>
      <w:sz w:val="18"/>
      <w:szCs w:val="18"/>
      <w:lang w:val="en-US" w:eastAsia="zh-CN" w:bidi="ar-SA"/>
    </w:rPr>
  </w:style>
  <w:style w:type="character" w:customStyle="1" w:styleId="222">
    <w:name w:val="Char Char27"/>
    <w:qFormat/>
    <w:uiPriority w:val="0"/>
    <w:rPr>
      <w:rFonts w:eastAsia="宋体"/>
      <w:kern w:val="2"/>
      <w:sz w:val="28"/>
      <w:lang w:val="en-US" w:eastAsia="zh-CN" w:bidi="ar-SA"/>
    </w:rPr>
  </w:style>
  <w:style w:type="paragraph" w:customStyle="1" w:styleId="22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24">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5">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226">
    <w:name w:val="列出段落1"/>
    <w:basedOn w:val="1"/>
    <w:qFormat/>
    <w:uiPriority w:val="0"/>
    <w:pPr>
      <w:ind w:firstLine="420" w:firstLineChars="200"/>
    </w:pPr>
    <w:rPr>
      <w:szCs w:val="22"/>
    </w:rPr>
  </w:style>
  <w:style w:type="paragraph" w:customStyle="1" w:styleId="227">
    <w:name w:val="Table Paragraph"/>
    <w:basedOn w:val="1"/>
    <w:qFormat/>
    <w:uiPriority w:val="1"/>
  </w:style>
  <w:style w:type="paragraph" w:customStyle="1" w:styleId="228">
    <w:name w:val="BodyText1I"/>
    <w:basedOn w:val="229"/>
    <w:qFormat/>
    <w:uiPriority w:val="0"/>
    <w:pPr>
      <w:ind w:firstLine="420" w:firstLineChars="100"/>
    </w:pPr>
  </w:style>
  <w:style w:type="paragraph" w:customStyle="1" w:styleId="229">
    <w:name w:val="BodyText"/>
    <w:basedOn w:val="1"/>
    <w:qFormat/>
    <w:uiPriority w:val="0"/>
    <w:pPr>
      <w:spacing w:after="120"/>
    </w:pPr>
  </w:style>
  <w:style w:type="paragraph" w:customStyle="1" w:styleId="230">
    <w:name w:val="列出段落3"/>
    <w:basedOn w:val="1"/>
    <w:qFormat/>
    <w:uiPriority w:val="0"/>
    <w:pPr>
      <w:ind w:firstLine="420" w:firstLineChars="200"/>
    </w:pPr>
    <w:rPr>
      <w:lang w:val="zh-CN"/>
    </w:rPr>
  </w:style>
  <w:style w:type="paragraph" w:customStyle="1" w:styleId="231">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232">
    <w:name w:val="前言、引言标题"/>
    <w:next w:val="1"/>
    <w:qFormat/>
    <w:uiPriority w:val="0"/>
    <w:pPr>
      <w:shd w:val="clear" w:color="FFFFFF" w:fill="FFFFFF"/>
      <w:tabs>
        <w:tab w:val="left" w:pos="3349"/>
      </w:tabs>
      <w:spacing w:before="640" w:after="560"/>
      <w:ind w:left="3349" w:hanging="720"/>
      <w:jc w:val="center"/>
      <w:outlineLvl w:val="0"/>
    </w:pPr>
    <w:rPr>
      <w:rFonts w:ascii="黑体" w:hAnsi="Calibri" w:eastAsia="黑体" w:cs="Times New Roman"/>
      <w:sz w:val="32"/>
      <w:lang w:val="en-US" w:eastAsia="zh-CN" w:bidi="ar-SA"/>
    </w:rPr>
  </w:style>
  <w:style w:type="paragraph" w:customStyle="1" w:styleId="233">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34">
    <w:name w:val="列项——（一级）"/>
    <w:qFormat/>
    <w:uiPriority w:val="0"/>
    <w:pPr>
      <w:widowControl w:val="0"/>
      <w:tabs>
        <w:tab w:val="left" w:pos="854"/>
        <w:tab w:val="left" w:pos="1260"/>
      </w:tabs>
      <w:ind w:left="1260" w:hanging="420"/>
      <w:jc w:val="both"/>
    </w:pPr>
    <w:rPr>
      <w:rFonts w:ascii="宋体" w:hAnsi="Calibri" w:eastAsia="宋体" w:cs="Times New Roman"/>
      <w:sz w:val="21"/>
      <w:lang w:val="en-US" w:eastAsia="zh-CN" w:bidi="ar-SA"/>
    </w:rPr>
  </w:style>
  <w:style w:type="paragraph" w:customStyle="1" w:styleId="235">
    <w:name w:val="居中表格内容"/>
    <w:basedOn w:val="1"/>
    <w:next w:val="1"/>
    <w:qFormat/>
    <w:uiPriority w:val="0"/>
    <w:pPr>
      <w:jc w:val="left"/>
    </w:pPr>
    <w:rPr>
      <w:szCs w:val="20"/>
    </w:rPr>
  </w:style>
  <w:style w:type="paragraph" w:customStyle="1" w:styleId="236">
    <w:name w:val="Char Char"/>
    <w:basedOn w:val="1"/>
    <w:qFormat/>
    <w:uiPriority w:val="0"/>
    <w:rPr>
      <w:rFonts w:ascii="仿宋_GB2312" w:eastAsia="仿宋_GB2312"/>
      <w:b/>
      <w:sz w:val="32"/>
      <w:szCs w:val="32"/>
    </w:rPr>
  </w:style>
  <w:style w:type="paragraph" w:customStyle="1" w:styleId="237">
    <w:name w:val="样式 标题 3 + 黑色 段前: 5 磅 段后: 5 磅 行距: 1.5 倍行距"/>
    <w:basedOn w:val="1"/>
    <w:qFormat/>
    <w:uiPriority w:val="0"/>
    <w:pPr>
      <w:ind w:left="855" w:hanging="855"/>
    </w:pPr>
    <w:rPr>
      <w:sz w:val="24"/>
      <w:szCs w:val="20"/>
    </w:rPr>
  </w:style>
  <w:style w:type="paragraph" w:customStyle="1" w:styleId="238">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239">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40">
    <w:name w:val="样式1"/>
    <w:basedOn w:val="1"/>
    <w:qFormat/>
    <w:uiPriority w:val="0"/>
    <w:pPr>
      <w:autoSpaceDE w:val="0"/>
      <w:autoSpaceDN w:val="0"/>
      <w:adjustRightInd w:val="0"/>
      <w:spacing w:line="400" w:lineRule="exact"/>
    </w:pPr>
    <w:rPr>
      <w:rFonts w:ascii="宋体" w:hAnsi="Times New Roman" w:cs="宋体"/>
      <w:kern w:val="0"/>
    </w:rPr>
  </w:style>
  <w:style w:type="paragraph" w:customStyle="1" w:styleId="241">
    <w:name w:val="!正文"/>
    <w:basedOn w:val="1"/>
    <w:qFormat/>
    <w:uiPriority w:val="0"/>
    <w:pPr>
      <w:ind w:firstLine="480" w:firstLineChars="200"/>
    </w:pPr>
    <w:rPr>
      <w:szCs w:val="21"/>
    </w:rPr>
  </w:style>
  <w:style w:type="paragraph" w:customStyle="1" w:styleId="242">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24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4">
    <w:name w:val="正文文本缩进 31"/>
    <w:basedOn w:val="1"/>
    <w:qFormat/>
    <w:uiPriority w:val="99"/>
    <w:pPr>
      <w:spacing w:line="300" w:lineRule="auto"/>
      <w:ind w:firstLine="480" w:firstLineChars="200"/>
      <w:jc w:val="left"/>
    </w:pPr>
    <w:rPr>
      <w:kern w:val="0"/>
      <w:sz w:val="24"/>
    </w:rPr>
  </w:style>
  <w:style w:type="paragraph" w:customStyle="1" w:styleId="245">
    <w:name w:val="样式5"/>
    <w:basedOn w:val="11"/>
    <w:qFormat/>
    <w:uiPriority w:val="0"/>
    <w:pPr>
      <w:spacing w:line="360" w:lineRule="auto"/>
      <w:ind w:firstLine="200"/>
    </w:pPr>
    <w:rPr>
      <w:rFonts w:ascii="仿宋_GB2312"/>
      <w:b/>
      <w:sz w:val="28"/>
      <w:szCs w:val="21"/>
    </w:rPr>
  </w:style>
  <w:style w:type="paragraph" w:customStyle="1" w:styleId="246">
    <w:name w:val="1 Char"/>
    <w:basedOn w:val="11"/>
    <w:qFormat/>
    <w:uiPriority w:val="0"/>
    <w:pPr>
      <w:spacing w:line="360" w:lineRule="auto"/>
      <w:ind w:firstLine="200"/>
    </w:pPr>
    <w:rPr>
      <w:rFonts w:ascii="仿宋_GB2312"/>
      <w:b/>
      <w:szCs w:val="32"/>
    </w:rPr>
  </w:style>
  <w:style w:type="paragraph" w:customStyle="1" w:styleId="247">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48">
    <w:name w:val="Char"/>
    <w:basedOn w:val="1"/>
    <w:qFormat/>
    <w:uiPriority w:val="0"/>
    <w:rPr>
      <w:rFonts w:ascii="仿宋_GB2312" w:eastAsia="仿宋_GB2312"/>
      <w:b/>
      <w:sz w:val="32"/>
      <w:szCs w:val="32"/>
    </w:rPr>
  </w:style>
  <w:style w:type="paragraph" w:customStyle="1" w:styleId="249">
    <w:name w:val="纯文本1"/>
    <w:basedOn w:val="1"/>
    <w:qFormat/>
    <w:uiPriority w:val="0"/>
    <w:pPr>
      <w:adjustRightInd w:val="0"/>
      <w:textAlignment w:val="baseline"/>
    </w:pPr>
    <w:rPr>
      <w:rFonts w:ascii="宋体" w:hAnsi="Courier New" w:eastAsia="楷体_GB2312"/>
      <w:sz w:val="28"/>
      <w:szCs w:val="20"/>
    </w:rPr>
  </w:style>
  <w:style w:type="paragraph" w:customStyle="1" w:styleId="250">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51">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52">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253">
    <w:name w:val="正文_0"/>
    <w:qFormat/>
    <w:uiPriority w:val="0"/>
    <w:pPr>
      <w:widowControl w:val="0"/>
      <w:spacing w:line="360" w:lineRule="auto"/>
      <w:jc w:val="both"/>
    </w:pPr>
    <w:rPr>
      <w:rFonts w:ascii="Calibri" w:hAnsi="Calibri" w:eastAsia="微软雅黑" w:cs="Times New Roman"/>
      <w:kern w:val="2"/>
      <w:sz w:val="24"/>
      <w:szCs w:val="24"/>
      <w:lang w:val="en-US" w:eastAsia="zh-CN" w:bidi="ar-SA"/>
    </w:rPr>
  </w:style>
  <w:style w:type="paragraph" w:customStyle="1" w:styleId="254">
    <w:name w:val="四级条标题"/>
    <w:basedOn w:val="255"/>
    <w:next w:val="1"/>
    <w:qFormat/>
    <w:uiPriority w:val="0"/>
    <w:pPr>
      <w:tabs>
        <w:tab w:val="left" w:pos="3889"/>
        <w:tab w:val="left" w:pos="4309"/>
        <w:tab w:val="left" w:pos="4729"/>
        <w:tab w:val="left" w:pos="5149"/>
      </w:tabs>
      <w:ind w:left="5149"/>
      <w:outlineLvl w:val="5"/>
    </w:pPr>
  </w:style>
  <w:style w:type="paragraph" w:customStyle="1" w:styleId="255">
    <w:name w:val="三级条标题"/>
    <w:basedOn w:val="256"/>
    <w:next w:val="1"/>
    <w:qFormat/>
    <w:uiPriority w:val="0"/>
    <w:pPr>
      <w:tabs>
        <w:tab w:val="left" w:pos="3889"/>
        <w:tab w:val="left" w:pos="4309"/>
        <w:tab w:val="left" w:pos="4729"/>
      </w:tabs>
      <w:ind w:left="4729"/>
      <w:outlineLvl w:val="4"/>
    </w:pPr>
  </w:style>
  <w:style w:type="paragraph" w:customStyle="1" w:styleId="256">
    <w:name w:val="二级条标题"/>
    <w:basedOn w:val="257"/>
    <w:next w:val="1"/>
    <w:qFormat/>
    <w:uiPriority w:val="0"/>
    <w:pPr>
      <w:tabs>
        <w:tab w:val="left" w:pos="3889"/>
        <w:tab w:val="left" w:pos="4309"/>
      </w:tabs>
      <w:ind w:left="4309"/>
      <w:outlineLvl w:val="3"/>
    </w:pPr>
  </w:style>
  <w:style w:type="paragraph" w:customStyle="1" w:styleId="257">
    <w:name w:val="一级条标题"/>
    <w:next w:val="1"/>
    <w:qFormat/>
    <w:uiPriority w:val="0"/>
    <w:pPr>
      <w:tabs>
        <w:tab w:val="left" w:pos="3889"/>
      </w:tabs>
      <w:ind w:left="3889" w:hanging="420"/>
      <w:outlineLvl w:val="2"/>
    </w:pPr>
    <w:rPr>
      <w:rFonts w:ascii="Calibri" w:hAnsi="Calibri" w:eastAsia="黑体" w:cs="Times New Roman"/>
      <w:sz w:val="21"/>
      <w:lang w:val="en-US" w:eastAsia="zh-CN" w:bidi="ar-SA"/>
    </w:rPr>
  </w:style>
  <w:style w:type="paragraph" w:customStyle="1" w:styleId="258">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59">
    <w:name w:val="l正文"/>
    <w:basedOn w:val="1"/>
    <w:qFormat/>
    <w:uiPriority w:val="0"/>
    <w:pPr>
      <w:spacing w:line="360" w:lineRule="auto"/>
      <w:ind w:firstLine="200" w:firstLineChars="200"/>
    </w:pPr>
    <w:rPr>
      <w:rFonts w:ascii="宋体" w:hAnsi="宋体"/>
      <w:sz w:val="24"/>
    </w:rPr>
  </w:style>
  <w:style w:type="paragraph" w:customStyle="1" w:styleId="260">
    <w:name w:val="正文字缩2字"/>
    <w:basedOn w:val="1"/>
    <w:qFormat/>
    <w:uiPriority w:val="0"/>
    <w:pPr>
      <w:spacing w:before="60" w:after="60" w:line="360" w:lineRule="auto"/>
      <w:ind w:left="200" w:leftChars="200" w:firstLine="200" w:firstLineChars="200"/>
    </w:pPr>
    <w:rPr>
      <w:sz w:val="24"/>
    </w:rPr>
  </w:style>
  <w:style w:type="paragraph" w:customStyle="1" w:styleId="261">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62">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3">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64">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65">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6">
    <w:name w:val="列出段落2"/>
    <w:basedOn w:val="1"/>
    <w:qFormat/>
    <w:uiPriority w:val="34"/>
    <w:pPr>
      <w:ind w:firstLine="420" w:firstLineChars="200"/>
    </w:pPr>
  </w:style>
  <w:style w:type="paragraph" w:customStyle="1" w:styleId="267">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268">
    <w:name w:val="标书正文格式"/>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269">
    <w:name w:val="Char Char Char Char Char Char Char1"/>
    <w:basedOn w:val="1"/>
    <w:qFormat/>
    <w:uiPriority w:val="0"/>
    <w:rPr>
      <w:rFonts w:ascii="仿宋_GB2312" w:eastAsia="仿宋_GB2312"/>
      <w:b/>
      <w:sz w:val="32"/>
      <w:szCs w:val="32"/>
    </w:rPr>
  </w:style>
  <w:style w:type="paragraph" w:customStyle="1" w:styleId="270">
    <w:name w:val="简单回函地址"/>
    <w:basedOn w:val="1"/>
    <w:qFormat/>
    <w:uiPriority w:val="0"/>
  </w:style>
  <w:style w:type="paragraph" w:customStyle="1" w:styleId="271">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272">
    <w:name w:val="样式 标题 1Level 1Level 11h1II+IHeading1H1-Heading 1Header 1..."/>
    <w:basedOn w:val="5"/>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7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74">
    <w:name w:val="TOC 标题1"/>
    <w:basedOn w:val="5"/>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75">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76">
    <w:name w:val="È±Ê¡ÎÄ±¾ Char"/>
    <w:basedOn w:val="1"/>
    <w:qFormat/>
    <w:uiPriority w:val="0"/>
    <w:pPr>
      <w:widowControl/>
      <w:overflowPunct w:val="0"/>
      <w:autoSpaceDE w:val="0"/>
      <w:autoSpaceDN w:val="0"/>
      <w:adjustRightInd w:val="0"/>
      <w:textAlignment w:val="baseline"/>
    </w:pPr>
    <w:rPr>
      <w:rFonts w:ascii="Times New Roman" w:hAnsi="Times New Roman"/>
      <w:szCs w:val="21"/>
      <w:lang w:val="zh-CN"/>
    </w:rPr>
  </w:style>
  <w:style w:type="paragraph" w:customStyle="1" w:styleId="277">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279">
    <w:name w:val="正文缩进1"/>
    <w:basedOn w:val="1"/>
    <w:next w:val="23"/>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8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81">
    <w:name w:val="样式 宋体 小四 段前: 7.8 磅 段后: 7.8 磅 行距: 1.5 倍行距"/>
    <w:basedOn w:val="1"/>
    <w:qFormat/>
    <w:uiPriority w:val="0"/>
    <w:pPr>
      <w:spacing w:line="360" w:lineRule="auto"/>
      <w:ind w:firstLine="480"/>
    </w:pPr>
    <w:rPr>
      <w:rFonts w:ascii="宋体" w:hAnsi="宋体" w:cs="宋体"/>
      <w:sz w:val="24"/>
      <w:szCs w:val="20"/>
    </w:rPr>
  </w:style>
  <w:style w:type="paragraph" w:customStyle="1" w:styleId="282">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83">
    <w:name w:val="Table Heading"/>
    <w:qFormat/>
    <w:uiPriority w:val="0"/>
    <w:pPr>
      <w:keepNext/>
      <w:snapToGrid w:val="0"/>
      <w:spacing w:before="80" w:after="80"/>
      <w:jc w:val="center"/>
    </w:pPr>
    <w:rPr>
      <w:rFonts w:ascii="Calibri" w:hAnsi="Calibri" w:eastAsia="黑体" w:cs="Arial"/>
      <w:kern w:val="2"/>
      <w:sz w:val="18"/>
      <w:szCs w:val="18"/>
      <w:lang w:val="en-US" w:eastAsia="zh-CN" w:bidi="ar-SA"/>
    </w:rPr>
  </w:style>
  <w:style w:type="paragraph" w:customStyle="1" w:styleId="284">
    <w:name w:val="列出段落11"/>
    <w:basedOn w:val="1"/>
    <w:qFormat/>
    <w:uiPriority w:val="0"/>
    <w:pPr>
      <w:ind w:firstLine="420" w:firstLineChars="200"/>
    </w:pPr>
    <w:rPr>
      <w:szCs w:val="20"/>
    </w:rPr>
  </w:style>
  <w:style w:type="paragraph" w:customStyle="1" w:styleId="285">
    <w:name w:val="文档正文"/>
    <w:basedOn w:val="1"/>
    <w:qFormat/>
    <w:uiPriority w:val="0"/>
    <w:pPr>
      <w:adjustRightInd w:val="0"/>
      <w:spacing w:line="300" w:lineRule="auto"/>
      <w:ind w:firstLine="567"/>
      <w:textAlignment w:val="baseline"/>
    </w:pPr>
    <w:rPr>
      <w:kern w:val="0"/>
      <w:sz w:val="24"/>
      <w:szCs w:val="20"/>
    </w:rPr>
  </w:style>
  <w:style w:type="paragraph" w:customStyle="1" w:styleId="286">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87">
    <w:name w:val="正文－恩普"/>
    <w:basedOn w:val="11"/>
    <w:qFormat/>
    <w:uiPriority w:val="0"/>
    <w:pPr>
      <w:spacing w:line="360" w:lineRule="auto"/>
      <w:ind w:firstLine="200"/>
    </w:pPr>
    <w:rPr>
      <w:rFonts w:ascii="仿宋_GB2312"/>
      <w:b/>
      <w:sz w:val="24"/>
    </w:rPr>
  </w:style>
  <w:style w:type="paragraph" w:customStyle="1" w:styleId="288">
    <w:name w:val="Char Char Char Char Char Char Char Char Char Char Char Char Char"/>
    <w:basedOn w:val="1"/>
    <w:qFormat/>
    <w:uiPriority w:val="0"/>
    <w:rPr>
      <w:rFonts w:ascii="Tahoma" w:hAnsi="Tahoma"/>
      <w:sz w:val="24"/>
      <w:szCs w:val="20"/>
    </w:rPr>
  </w:style>
  <w:style w:type="paragraph" w:customStyle="1" w:styleId="289">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9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1">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2">
    <w:name w:val="Test2"/>
    <w:basedOn w:val="6"/>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93">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294">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5">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96">
    <w:name w:val="Char Char Char Char Char Char Char"/>
    <w:basedOn w:val="1"/>
    <w:qFormat/>
    <w:uiPriority w:val="0"/>
    <w:rPr>
      <w:rFonts w:ascii="仿宋_GB2312" w:eastAsia="仿宋_GB2312"/>
      <w:b/>
      <w:sz w:val="32"/>
      <w:szCs w:val="32"/>
    </w:rPr>
  </w:style>
  <w:style w:type="paragraph" w:customStyle="1" w:styleId="29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98">
    <w:name w:val="tabletext"/>
    <w:basedOn w:val="1"/>
    <w:qFormat/>
    <w:uiPriority w:val="0"/>
    <w:pPr>
      <w:widowControl/>
      <w:spacing w:line="300" w:lineRule="atLeast"/>
      <w:jc w:val="left"/>
    </w:pPr>
    <w:rPr>
      <w:rFonts w:ascii="宋体" w:hAnsi="宋体" w:cs="宋体"/>
      <w:kern w:val="0"/>
      <w:sz w:val="18"/>
      <w:szCs w:val="18"/>
    </w:rPr>
  </w:style>
  <w:style w:type="paragraph" w:customStyle="1" w:styleId="299">
    <w:name w:val="章标题"/>
    <w:next w:val="1"/>
    <w:qFormat/>
    <w:uiPriority w:val="0"/>
    <w:pPr>
      <w:tabs>
        <w:tab w:val="left" w:pos="3469"/>
      </w:tabs>
      <w:spacing w:beforeLines="50" w:afterLines="50"/>
      <w:ind w:left="3469" w:hanging="420"/>
      <w:jc w:val="both"/>
      <w:outlineLvl w:val="1"/>
    </w:pPr>
    <w:rPr>
      <w:rFonts w:ascii="黑体" w:hAnsi="Calibri" w:eastAsia="黑体" w:cs="Times New Roman"/>
      <w:sz w:val="21"/>
      <w:lang w:val="en-US" w:eastAsia="zh-CN" w:bidi="ar-SA"/>
    </w:rPr>
  </w:style>
  <w:style w:type="paragraph" w:customStyle="1" w:styleId="300">
    <w:name w:val="Item List in Table"/>
    <w:qFormat/>
    <w:uiPriority w:val="0"/>
    <w:pPr>
      <w:tabs>
        <w:tab w:val="left" w:pos="284"/>
        <w:tab w:val="left" w:pos="720"/>
      </w:tabs>
      <w:spacing w:before="40" w:after="40"/>
      <w:ind w:left="720" w:hanging="720"/>
      <w:jc w:val="both"/>
    </w:pPr>
    <w:rPr>
      <w:rFonts w:ascii="Calibri" w:hAnsi="Calibri" w:eastAsia="宋体" w:cs="Arial"/>
      <w:kern w:val="2"/>
      <w:sz w:val="18"/>
      <w:szCs w:val="18"/>
      <w:lang w:val="en-US" w:eastAsia="zh-CN" w:bidi="ar-SA"/>
    </w:rPr>
  </w:style>
  <w:style w:type="paragraph" w:customStyle="1" w:styleId="301">
    <w:name w:val="正文 首行缩进:  2 字符 Char"/>
    <w:basedOn w:val="1"/>
    <w:qFormat/>
    <w:uiPriority w:val="0"/>
    <w:pPr>
      <w:spacing w:line="360" w:lineRule="auto"/>
      <w:ind w:firstLine="480"/>
    </w:pPr>
    <w:rPr>
      <w:rFonts w:cs="宋体"/>
      <w:sz w:val="24"/>
      <w:szCs w:val="20"/>
    </w:rPr>
  </w:style>
  <w:style w:type="paragraph" w:customStyle="1" w:styleId="302">
    <w:name w:val="正文文字表格居中"/>
    <w:basedOn w:val="1"/>
    <w:next w:val="48"/>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3">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0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05">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306">
    <w:name w:val="NICMAN Body Text"/>
    <w:basedOn w:val="1"/>
    <w:next w:val="2"/>
    <w:qFormat/>
    <w:uiPriority w:val="0"/>
    <w:pPr>
      <w:autoSpaceDE w:val="0"/>
      <w:autoSpaceDN w:val="0"/>
      <w:adjustRightInd w:val="0"/>
      <w:spacing w:after="120"/>
      <w:jc w:val="left"/>
    </w:pPr>
    <w:rPr>
      <w:kern w:val="0"/>
      <w:sz w:val="20"/>
      <w:szCs w:val="20"/>
    </w:rPr>
  </w:style>
  <w:style w:type="paragraph" w:customStyle="1" w:styleId="307">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08">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309">
    <w:name w:val="正文（首行缩进）"/>
    <w:basedOn w:val="23"/>
    <w:qFormat/>
    <w:uiPriority w:val="0"/>
    <w:pPr>
      <w:widowControl/>
      <w:overflowPunct w:val="0"/>
      <w:autoSpaceDE w:val="0"/>
      <w:autoSpaceDN w:val="0"/>
      <w:adjustRightInd w:val="0"/>
      <w:spacing w:beforeLines="50" w:line="400" w:lineRule="exact"/>
      <w:ind w:left="200" w:firstLine="200" w:firstLineChars="200"/>
      <w:jc w:val="left"/>
      <w:textAlignment w:val="baseline"/>
    </w:pPr>
    <w:rPr>
      <w:spacing w:val="10"/>
      <w:kern w:val="0"/>
      <w:sz w:val="24"/>
      <w:szCs w:val="20"/>
    </w:rPr>
  </w:style>
  <w:style w:type="paragraph" w:customStyle="1" w:styleId="31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1">
    <w:name w:val="样式 标题 3 + 黑体 小四 非加粗"/>
    <w:basedOn w:val="7"/>
    <w:qFormat/>
    <w:uiPriority w:val="0"/>
    <w:pPr>
      <w:spacing w:before="260" w:after="260" w:line="413" w:lineRule="auto"/>
    </w:pPr>
    <w:rPr>
      <w:rFonts w:ascii="黑体" w:hAnsi="黑体"/>
      <w:b w:val="0"/>
      <w:kern w:val="0"/>
      <w:sz w:val="24"/>
      <w:szCs w:val="32"/>
    </w:rPr>
  </w:style>
  <w:style w:type="paragraph" w:customStyle="1" w:styleId="312">
    <w:name w:val="保留正文"/>
    <w:basedOn w:val="2"/>
    <w:qFormat/>
    <w:uiPriority w:val="0"/>
    <w:pPr>
      <w:keepNext/>
      <w:spacing w:after="160"/>
    </w:pPr>
    <w:rPr>
      <w:rFonts w:ascii="仿宋_GB2312"/>
      <w:b/>
      <w:szCs w:val="20"/>
    </w:rPr>
  </w:style>
  <w:style w:type="paragraph" w:customStyle="1" w:styleId="313">
    <w:name w:val="Char1 Char Char Char Char Char Char"/>
    <w:basedOn w:val="1"/>
    <w:qFormat/>
    <w:uiPriority w:val="0"/>
    <w:rPr>
      <w:rFonts w:ascii="宋体" w:hAnsi="宋体"/>
      <w:color w:val="000000"/>
      <w:sz w:val="24"/>
    </w:rPr>
  </w:style>
  <w:style w:type="paragraph" w:customStyle="1" w:styleId="31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5">
    <w:name w:val="p0"/>
    <w:basedOn w:val="1"/>
    <w:qFormat/>
    <w:uiPriority w:val="0"/>
    <w:pPr>
      <w:widowControl/>
    </w:pPr>
    <w:rPr>
      <w:kern w:val="0"/>
      <w:szCs w:val="21"/>
    </w:rPr>
  </w:style>
  <w:style w:type="paragraph" w:customStyle="1" w:styleId="316">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7">
    <w:name w:val="Char Char Char Char Char Char Char Char Char Char Char Char Char1"/>
    <w:basedOn w:val="1"/>
    <w:qFormat/>
    <w:uiPriority w:val="0"/>
  </w:style>
  <w:style w:type="paragraph" w:customStyle="1" w:styleId="31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320">
    <w:name w:val="默认段落字体 Para Char Char Char Char Char Char Char"/>
    <w:basedOn w:val="1"/>
    <w:qFormat/>
    <w:uiPriority w:val="0"/>
  </w:style>
  <w:style w:type="paragraph" w:customStyle="1" w:styleId="321">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322">
    <w:name w:val="封面正文"/>
    <w:qFormat/>
    <w:locked/>
    <w:uiPriority w:val="0"/>
    <w:pPr>
      <w:jc w:val="both"/>
    </w:pPr>
    <w:rPr>
      <w:rFonts w:ascii="Calibri" w:hAnsi="Calibri" w:eastAsia="宋体" w:cs="Times New Roman"/>
      <w:lang w:val="en-US" w:eastAsia="zh-CN" w:bidi="ar-SA"/>
    </w:rPr>
  </w:style>
  <w:style w:type="paragraph" w:customStyle="1" w:styleId="323">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24">
    <w:name w:val="标准段落"/>
    <w:basedOn w:val="1"/>
    <w:qFormat/>
    <w:uiPriority w:val="0"/>
    <w:pPr>
      <w:spacing w:after="120" w:line="360" w:lineRule="auto"/>
      <w:ind w:firstLine="420"/>
    </w:pPr>
    <w:rPr>
      <w:rFonts w:ascii="黑体" w:hAnsi="宋体" w:eastAsia="黑体"/>
      <w:b/>
      <w:spacing w:val="6"/>
      <w:szCs w:val="22"/>
    </w:rPr>
  </w:style>
  <w:style w:type="paragraph" w:customStyle="1" w:styleId="325">
    <w:name w:val="Char3 Char Char Char1"/>
    <w:basedOn w:val="1"/>
    <w:qFormat/>
    <w:uiPriority w:val="0"/>
  </w:style>
  <w:style w:type="paragraph" w:customStyle="1" w:styleId="32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27">
    <w:name w:val="列出段落12"/>
    <w:basedOn w:val="1"/>
    <w:qFormat/>
    <w:uiPriority w:val="0"/>
    <w:pPr>
      <w:ind w:firstLine="420" w:firstLineChars="200"/>
    </w:pPr>
  </w:style>
  <w:style w:type="paragraph" w:customStyle="1" w:styleId="328">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29">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330">
    <w:name w:val="五级条标题"/>
    <w:basedOn w:val="254"/>
    <w:next w:val="1"/>
    <w:qFormat/>
    <w:uiPriority w:val="0"/>
    <w:pPr>
      <w:tabs>
        <w:tab w:val="left" w:pos="5569"/>
        <w:tab w:val="clear" w:pos="5149"/>
      </w:tabs>
      <w:ind w:left="5569"/>
      <w:outlineLvl w:val="6"/>
    </w:pPr>
  </w:style>
  <w:style w:type="paragraph" w:customStyle="1" w:styleId="331">
    <w:name w:val="列表段落1"/>
    <w:basedOn w:val="1"/>
    <w:qFormat/>
    <w:uiPriority w:val="34"/>
    <w:pPr>
      <w:ind w:firstLine="420" w:firstLineChars="200"/>
    </w:pPr>
    <w:rPr>
      <w:szCs w:val="22"/>
    </w:rPr>
  </w:style>
  <w:style w:type="paragraph" w:customStyle="1" w:styleId="332">
    <w:name w:val="Table caption|1"/>
    <w:basedOn w:val="1"/>
    <w:qFormat/>
    <w:uiPriority w:val="0"/>
    <w:pPr>
      <w:jc w:val="left"/>
    </w:pPr>
    <w:rPr>
      <w:rFonts w:ascii="宋体" w:hAnsi="宋体" w:cs="宋体"/>
      <w:kern w:val="0"/>
      <w:sz w:val="22"/>
      <w:szCs w:val="22"/>
      <w:lang w:val="zh-TW" w:eastAsia="zh-TW" w:bidi="zh-TW"/>
    </w:rPr>
  </w:style>
  <w:style w:type="paragraph" w:customStyle="1" w:styleId="333">
    <w:name w:val="List Paragraph1"/>
    <w:basedOn w:val="1"/>
    <w:qFormat/>
    <w:uiPriority w:val="0"/>
    <w:pPr>
      <w:ind w:firstLine="420" w:firstLineChars="200"/>
    </w:pPr>
    <w:rPr>
      <w:szCs w:val="22"/>
    </w:rPr>
  </w:style>
  <w:style w:type="paragraph" w:customStyle="1" w:styleId="334">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335">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36">
    <w:name w:val="Char1"/>
    <w:basedOn w:val="1"/>
    <w:qFormat/>
    <w:uiPriority w:val="0"/>
    <w:rPr>
      <w:rFonts w:ascii="仿宋_GB2312" w:eastAsia="仿宋_GB2312"/>
      <w:b/>
      <w:sz w:val="32"/>
      <w:szCs w:val="32"/>
    </w:rPr>
  </w:style>
  <w:style w:type="paragraph" w:customStyle="1" w:styleId="337">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338">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339">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340">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34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42">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43">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44">
    <w:name w:val="Char Char Char Char"/>
    <w:basedOn w:val="19"/>
    <w:qFormat/>
    <w:uiPriority w:val="0"/>
    <w:rPr>
      <w:rFonts w:ascii="Tahoma" w:hAnsi="Tahoma"/>
      <w:sz w:val="24"/>
    </w:rPr>
  </w:style>
  <w:style w:type="paragraph" w:customStyle="1" w:styleId="345">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346">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347">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348">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349">
    <w:name w:val="Char Char Char Char1"/>
    <w:basedOn w:val="1"/>
    <w:qFormat/>
    <w:uiPriority w:val="0"/>
    <w:pPr>
      <w:autoSpaceDE w:val="0"/>
      <w:autoSpaceDN w:val="0"/>
      <w:adjustRightInd w:val="0"/>
      <w:jc w:val="left"/>
    </w:pPr>
    <w:rPr>
      <w:rFonts w:ascii="Tahoma" w:hAnsi="Tahoma"/>
      <w:kern w:val="0"/>
      <w:sz w:val="24"/>
      <w:szCs w:val="20"/>
    </w:rPr>
  </w:style>
  <w:style w:type="paragraph" w:customStyle="1" w:styleId="35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1">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35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53">
    <w:name w:val="Body text|1"/>
    <w:basedOn w:val="1"/>
    <w:qFormat/>
    <w:uiPriority w:val="0"/>
    <w:pPr>
      <w:spacing w:line="456" w:lineRule="auto"/>
      <w:ind w:firstLine="400"/>
      <w:jc w:val="left"/>
    </w:pPr>
    <w:rPr>
      <w:rFonts w:ascii="宋体" w:hAnsi="宋体" w:cs="宋体"/>
      <w:kern w:val="0"/>
      <w:sz w:val="22"/>
      <w:szCs w:val="22"/>
      <w:lang w:val="zh-TW" w:eastAsia="zh-TW" w:bidi="zh-TW"/>
    </w:rPr>
  </w:style>
  <w:style w:type="paragraph" w:customStyle="1" w:styleId="35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5">
    <w:name w:val="文字"/>
    <w:basedOn w:val="1"/>
    <w:qFormat/>
    <w:uiPriority w:val="0"/>
    <w:pPr>
      <w:tabs>
        <w:tab w:val="left" w:pos="8520"/>
      </w:tabs>
      <w:spacing w:line="312" w:lineRule="auto"/>
      <w:ind w:right="-210" w:firstLine="556"/>
    </w:pPr>
    <w:rPr>
      <w:rFonts w:ascii="宋体"/>
      <w:sz w:val="28"/>
      <w:szCs w:val="20"/>
    </w:rPr>
  </w:style>
  <w:style w:type="paragraph" w:customStyle="1" w:styleId="356">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357">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58">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59">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360">
    <w:name w:val="_Style 3"/>
    <w:basedOn w:val="1"/>
    <w:next w:val="1"/>
    <w:qFormat/>
    <w:uiPriority w:val="34"/>
    <w:pPr>
      <w:spacing w:line="360" w:lineRule="auto"/>
      <w:ind w:firstLine="420" w:firstLineChars="200"/>
    </w:pPr>
  </w:style>
  <w:style w:type="paragraph" w:customStyle="1" w:styleId="361">
    <w:name w:val="正文-宋体四号"/>
    <w:basedOn w:val="1"/>
    <w:qFormat/>
    <w:uiPriority w:val="0"/>
    <w:pPr>
      <w:spacing w:line="360" w:lineRule="auto"/>
      <w:ind w:firstLine="560" w:firstLineChars="200"/>
    </w:pPr>
    <w:rPr>
      <w:rFonts w:cs="宋体"/>
      <w:sz w:val="28"/>
      <w:szCs w:val="20"/>
    </w:rPr>
  </w:style>
  <w:style w:type="paragraph" w:styleId="362">
    <w:name w:val="List Paragraph"/>
    <w:basedOn w:val="1"/>
    <w:qFormat/>
    <w:uiPriority w:val="34"/>
    <w:pPr>
      <w:ind w:firstLine="420" w:firstLineChars="200"/>
    </w:pPr>
  </w:style>
  <w:style w:type="character" w:customStyle="1" w:styleId="363">
    <w:name w:val="normaltextrun"/>
    <w:basedOn w:val="55"/>
    <w:qFormat/>
    <w:uiPriority w:val="0"/>
  </w:style>
  <w:style w:type="paragraph" w:customStyle="1" w:styleId="364">
    <w:name w:val="Plain Text1"/>
    <w:basedOn w:val="365"/>
    <w:qFormat/>
    <w:uiPriority w:val="0"/>
    <w:pPr>
      <w:widowControl/>
      <w:jc w:val="left"/>
    </w:pPr>
    <w:rPr>
      <w:rFonts w:ascii="宋体" w:hAnsi="Courier New" w:eastAsia="宋体" w:cs="Times New Roman"/>
    </w:rPr>
  </w:style>
  <w:style w:type="paragraph" w:customStyle="1" w:styleId="365">
    <w:name w:val="Normal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66">
    <w:name w:val="AbsatzTableFormat"/>
    <w:basedOn w:val="1"/>
    <w:qFormat/>
    <w:uiPriority w:val="0"/>
    <w:pPr>
      <w:widowControl/>
      <w:jc w:val="left"/>
    </w:pPr>
    <w:rPr>
      <w:rFonts w:ascii="Arial Narrow" w:hAnsi="Arial Narrow" w:eastAsia="宋体" w:cs="Times New Roman"/>
      <w:bCs/>
      <w:kern w:val="0"/>
      <w:sz w:val="22"/>
      <w:szCs w:val="21"/>
      <w:lang w:val="de-DE"/>
    </w:rPr>
  </w:style>
  <w:style w:type="character" w:customStyle="1" w:styleId="367">
    <w:name w:val="Anrede1IhrZeichen"/>
    <w:qFormat/>
    <w:uiPriority w:val="0"/>
    <w:rPr>
      <w:rFonts w:hint="default" w:ascii="Arial" w:hAnsi="Arial" w:eastAsia="宋体" w:cs="Times New Roman"/>
      <w:sz w:val="20"/>
    </w:rPr>
  </w:style>
  <w:style w:type="character" w:customStyle="1" w:styleId="368">
    <w:name w:val="font51"/>
    <w:basedOn w:val="55"/>
    <w:qFormat/>
    <w:uiPriority w:val="0"/>
    <w:rPr>
      <w:rFonts w:hint="eastAsia" w:ascii="宋体" w:hAnsi="宋体" w:eastAsia="宋体" w:cs="宋体"/>
      <w:color w:val="000000"/>
      <w:sz w:val="21"/>
      <w:szCs w:val="21"/>
      <w:u w:val="none"/>
    </w:rPr>
  </w:style>
  <w:style w:type="character" w:customStyle="1" w:styleId="369">
    <w:name w:val="font41"/>
    <w:basedOn w:val="55"/>
    <w:qFormat/>
    <w:uiPriority w:val="0"/>
    <w:rPr>
      <w:rFonts w:hint="eastAsia" w:ascii="宋体" w:hAnsi="宋体" w:eastAsia="宋体" w:cs="宋体"/>
      <w:color w:val="FF0000"/>
      <w:sz w:val="21"/>
      <w:szCs w:val="21"/>
      <w:u w:val="none"/>
    </w:rPr>
  </w:style>
  <w:style w:type="character" w:customStyle="1" w:styleId="370">
    <w:name w:val="font61"/>
    <w:basedOn w:val="55"/>
    <w:qFormat/>
    <w:uiPriority w:val="0"/>
    <w:rPr>
      <w:rFonts w:hint="eastAsia" w:ascii="宋体" w:hAnsi="宋体" w:eastAsia="宋体" w:cs="宋体"/>
      <w:color w:val="C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59</Pages>
  <Words>10494</Words>
  <Characters>11231</Characters>
  <Lines>311</Lines>
  <Paragraphs>87</Paragraphs>
  <TotalTime>0</TotalTime>
  <ScaleCrop>false</ScaleCrop>
  <LinksUpToDate>false</LinksUpToDate>
  <CharactersWithSpaces>11409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2020-08-07T02:11:00Z</dcterms:created>
  <dc:creator>user</dc:creator>
  <cp:lastModifiedBy>历程</cp:lastModifiedBy>
  <cp:lastPrinted>2022-11-01T02:43:00Z</cp:lastPrinted>
  <dcterms:modified xsi:type="dcterms:W3CDTF">2025-06-26T06:13:55Z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B18B514F57824AB9B215327135D5A88A_13</vt:lpwstr>
  </property>
  <property fmtid="{D5CDD505-2E9C-101B-9397-08002B2CF9AE}" pid="4" name="KSOTemplateDocerSaveRecord">
    <vt:lpwstr>eyJoZGlkIjoiY2E0NmYwMTIwOTRmM2U5ZmE5ZmRkOTg1NDdjYzQ4Y2QiLCJ1c2VySWQiOiIxNTUyNTMyNzYyIn0=</vt:lpwstr>
  </property>
</Properties>
</file>