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66DF40">
      <w:pPr>
        <w:jc w:val="both"/>
        <w:rPr>
          <w:rFonts w:hint="eastAsia" w:ascii="宋体" w:hAnsi="宋体" w:eastAsia="宋体" w:cs="宋体"/>
          <w:b/>
          <w:bCs/>
          <w:color w:val="auto"/>
          <w:sz w:val="52"/>
          <w:szCs w:val="52"/>
          <w:highlight w:val="none"/>
        </w:rPr>
      </w:pPr>
      <w:r>
        <w:rPr>
          <w:rFonts w:hint="eastAsia" w:ascii="宋体" w:hAnsi="宋体" w:eastAsia="宋体" w:cs="宋体"/>
          <w:color w:val="auto"/>
          <w:spacing w:val="20"/>
          <w:sz w:val="84"/>
          <w:highlight w:val="none"/>
        </w:rPr>
        <w:t>温州市政府（分散）采购</w:t>
      </w:r>
    </w:p>
    <w:p w14:paraId="383E016B">
      <w:pPr>
        <w:jc w:val="center"/>
        <w:rPr>
          <w:rFonts w:hint="eastAsia" w:ascii="宋体" w:hAnsi="宋体" w:eastAsia="宋体" w:cs="宋体"/>
          <w:b/>
          <w:bCs/>
          <w:color w:val="auto"/>
          <w:spacing w:val="26"/>
          <w:sz w:val="52"/>
          <w:highlight w:val="none"/>
        </w:rPr>
      </w:pPr>
    </w:p>
    <w:p w14:paraId="6C0876CB">
      <w:pPr>
        <w:ind w:firstLine="2357" w:firstLineChars="235"/>
        <w:rPr>
          <w:rFonts w:hint="eastAsia" w:ascii="宋体" w:hAnsi="宋体" w:eastAsia="宋体" w:cs="宋体"/>
          <w:b/>
          <w:bCs/>
          <w:color w:val="auto"/>
          <w:spacing w:val="140"/>
          <w:sz w:val="72"/>
          <w:highlight w:val="none"/>
        </w:rPr>
      </w:pPr>
    </w:p>
    <w:p w14:paraId="4F66B94D">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3"/>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5"/>
        <w:gridCol w:w="6107"/>
      </w:tblGrid>
      <w:tr w14:paraId="4391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6C05477D">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6107" w:type="dxa"/>
            <w:vAlign w:val="center"/>
          </w:tcPr>
          <w:p w14:paraId="490D4EFC">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WZLCZB（W）-2025-07010</w:t>
            </w:r>
          </w:p>
        </w:tc>
      </w:tr>
      <w:tr w14:paraId="176B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7232B201">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6107" w:type="dxa"/>
            <w:vAlign w:val="center"/>
          </w:tcPr>
          <w:p w14:paraId="259FBEB7">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家具采购</w:t>
            </w:r>
          </w:p>
        </w:tc>
      </w:tr>
      <w:tr w14:paraId="54B9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0294B01C">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6107" w:type="dxa"/>
            <w:vAlign w:val="center"/>
          </w:tcPr>
          <w:p w14:paraId="0AEA8E50">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14:paraId="3D51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2E5AFD64">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6107" w:type="dxa"/>
            <w:vAlign w:val="center"/>
          </w:tcPr>
          <w:p w14:paraId="10C7011B">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14:paraId="0FC3E0CD">
      <w:pPr>
        <w:spacing w:line="700" w:lineRule="exact"/>
        <w:ind w:firstLine="723" w:firstLineChars="300"/>
        <w:jc w:val="left"/>
        <w:rPr>
          <w:rFonts w:hint="eastAsia" w:ascii="宋体" w:hAnsi="宋体" w:eastAsia="宋体" w:cs="宋体"/>
          <w:b/>
          <w:bCs/>
          <w:color w:val="auto"/>
          <w:sz w:val="24"/>
          <w:highlight w:val="none"/>
        </w:rPr>
      </w:pPr>
    </w:p>
    <w:p w14:paraId="3ED0C61B">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14:paraId="4D951A9F">
      <w:pPr>
        <w:spacing w:line="700" w:lineRule="exact"/>
        <w:ind w:left="3802" w:leftChars="540" w:hanging="2668" w:hangingChars="700"/>
        <w:rPr>
          <w:rFonts w:hint="eastAsia" w:ascii="宋体" w:hAnsi="宋体" w:eastAsia="宋体" w:cs="宋体"/>
          <w:b/>
          <w:color w:val="auto"/>
          <w:spacing w:val="40"/>
          <w:sz w:val="30"/>
          <w:szCs w:val="30"/>
          <w:highlight w:val="none"/>
        </w:rPr>
      </w:pPr>
    </w:p>
    <w:p w14:paraId="7E5F860B">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14:paraId="6C0E1F29">
      <w:pPr>
        <w:pStyle w:val="4"/>
        <w:rPr>
          <w:rFonts w:hint="eastAsia" w:ascii="宋体" w:hAnsi="宋体" w:eastAsia="宋体" w:cs="宋体"/>
          <w:b/>
          <w:color w:val="auto"/>
          <w:spacing w:val="40"/>
          <w:sz w:val="30"/>
          <w:szCs w:val="30"/>
          <w:highlight w:val="none"/>
        </w:rPr>
      </w:pPr>
    </w:p>
    <w:p w14:paraId="7F23EB31">
      <w:pPr>
        <w:rPr>
          <w:rFonts w:hint="eastAsia"/>
          <w:color w:val="auto"/>
          <w:highlight w:val="none"/>
        </w:rPr>
      </w:pPr>
    </w:p>
    <w:p w14:paraId="32359FF8">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14:paraId="58531D14">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14:paraId="71AA4D79">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五</w:t>
      </w:r>
      <w:r>
        <w:rPr>
          <w:rFonts w:hint="eastAsia" w:ascii="宋体" w:hAnsi="宋体" w:eastAsia="宋体" w:cs="宋体"/>
          <w:color w:val="auto"/>
          <w:spacing w:val="30"/>
          <w:sz w:val="30"/>
          <w:highlight w:val="none"/>
        </w:rPr>
        <w:t>年</w:t>
      </w:r>
    </w:p>
    <w:p w14:paraId="1183C53C">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14:paraId="13ACB9B4">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353D54A9">
          <w:pPr>
            <w:pStyle w:val="39"/>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14:paraId="190884EC">
          <w:pPr>
            <w:pStyle w:val="39"/>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D590EEC">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D69249A">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1407AEB">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3349525">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BEDB326">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22EA817">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0EB8F97">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0C3B8EC">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12227DC">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84047E6">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A59DF4F">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05E9551">
          <w:pPr>
            <w:pStyle w:val="2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9F940DF">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29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5232823">
          <w:pPr>
            <w:pStyle w:val="2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33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8DA40FE">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F9B7F08">
          <w:pPr>
            <w:pStyle w:val="2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40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B849DFA">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 xml:space="preserve">第四部分 </w:t>
          </w:r>
          <w:r>
            <w:rPr>
              <w:rFonts w:hint="eastAsia" w:ascii="宋体" w:hAnsi="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56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C82B481">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83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8A9732F">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84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7D4E74B">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84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B7CB866">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84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19304DC">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84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5684C1A">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w:t>
          </w:r>
          <w:r>
            <w:rPr>
              <w:rFonts w:hint="eastAsia" w:ascii="宋体" w:hAnsi="宋体" w:eastAsia="宋体" w:cs="宋体"/>
              <w:color w:val="auto"/>
              <w:sz w:val="22"/>
              <w:szCs w:val="24"/>
              <w:highlight w:val="none"/>
            </w:rPr>
            <w:t>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84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656856D">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90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6EDCD96">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90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374A28F">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14:paraId="7D80E60C">
      <w:pPr>
        <w:pStyle w:val="4"/>
        <w:bidi w:val="0"/>
        <w:rPr>
          <w:rFonts w:hint="eastAsia" w:ascii="宋体" w:hAnsi="宋体" w:eastAsia="宋体" w:cs="宋体"/>
          <w:b/>
          <w:color w:val="auto"/>
          <w:highlight w:val="none"/>
        </w:rPr>
      </w:pPr>
      <w:bookmarkStart w:id="0" w:name="_Toc6599"/>
      <w:bookmarkStart w:id="1" w:name="_Toc3264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14:paraId="4D788E96">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59264" behindDoc="0" locked="0" layoutInCell="1" allowOverlap="1">
                <wp:simplePos x="0" y="0"/>
                <wp:positionH relativeFrom="column">
                  <wp:posOffset>-196850</wp:posOffset>
                </wp:positionH>
                <wp:positionV relativeFrom="paragraph">
                  <wp:posOffset>3810</wp:posOffset>
                </wp:positionV>
                <wp:extent cx="6499225" cy="896620"/>
                <wp:effectExtent l="6350" t="6350" r="9525" b="11430"/>
                <wp:wrapNone/>
                <wp:docPr id="1" name="矩形 1"/>
                <wp:cNvGraphicFramePr/>
                <a:graphic xmlns:a="http://schemas.openxmlformats.org/drawingml/2006/main">
                  <a:graphicData uri="http://schemas.microsoft.com/office/word/2010/wordprocessingShape">
                    <wps:wsp>
                      <wps:cNvSpPr/>
                      <wps:spPr>
                        <a:xfrm>
                          <a:off x="0" y="0"/>
                          <a:ext cx="6499225" cy="896620"/>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0.6pt;width:511.75pt;z-index:251659264;v-text-anchor:middle;mso-width-relative:page;mso-height-relative:page;" filled="f" stroked="t" coordsize="21600,21600" o:gfxdata="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cWMKdgAAAAIAQAADwAAAAAAAAABACAAAAAiAAAAZHJz&#10;L2Rvd25yZXYueG1sUEsBAhQAFAAAAAgAh07iQIARzD0EAgAAEQQAAA4AAAAAAAAAAQAgAAAAJwEA&#10;AGRycy9lMm9Eb2MueG1sUEsFBgAAAAAGAAYAWQEAAJ0FA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14:paraId="67F19F2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家具采购</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5</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7</w:t>
      </w:r>
      <w:r>
        <w:rPr>
          <w:rFonts w:hint="eastAsia" w:ascii="宋体" w:hAnsi="宋体" w:eastAsia="宋体" w:cs="宋体"/>
          <w:color w:val="auto"/>
          <w:sz w:val="22"/>
          <w:highlight w:val="none"/>
        </w:rPr>
        <w:t xml:space="preserve">月   </w:t>
      </w:r>
      <w:r>
        <w:rPr>
          <w:rFonts w:hint="eastAsia" w:ascii="宋体" w:hAnsi="宋体" w:cs="宋体"/>
          <w:color w:val="auto"/>
          <w:sz w:val="22"/>
          <w:highlight w:val="none"/>
          <w:lang w:val="en-US" w:eastAsia="zh-CN"/>
        </w:rPr>
        <w:t>24</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r>
        <w:rPr>
          <w:rFonts w:hint="eastAsia" w:ascii="宋体" w:hAnsi="宋体" w:eastAsia="宋体" w:cs="宋体"/>
          <w:color w:val="auto"/>
          <w:sz w:val="22"/>
          <w:highlight w:val="none"/>
        </w:rPr>
        <w:t>（北京时间）前递交（上传）投标文件。</w:t>
      </w:r>
    </w:p>
    <w:p w14:paraId="3B411EE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14:paraId="7D107B8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WZLCZB（W）-2025-07010</w:t>
      </w:r>
      <w:r>
        <w:rPr>
          <w:rFonts w:hint="eastAsia"/>
          <w:color w:val="auto"/>
          <w:sz w:val="22"/>
          <w:szCs w:val="22"/>
          <w:highlight w:val="none"/>
          <w:u w:val="none"/>
          <w:lang w:val="en-US" w:eastAsia="zh-CN"/>
        </w:rPr>
        <w:t> </w:t>
      </w:r>
    </w:p>
    <w:p w14:paraId="2099FFF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家具采购</w:t>
      </w:r>
    </w:p>
    <w:p w14:paraId="7A039F1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预算金额（元）：7000000  </w:t>
      </w:r>
    </w:p>
    <w:p w14:paraId="1AB245F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最高限价（元）：7000000 </w:t>
      </w:r>
    </w:p>
    <w:p w14:paraId="2E4B649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采购需求：</w:t>
      </w:r>
    </w:p>
    <w:p w14:paraId="44D1966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标项名称:</w:t>
      </w:r>
      <w:r>
        <w:rPr>
          <w:rFonts w:hint="eastAsia"/>
          <w:color w:val="auto"/>
          <w:sz w:val="22"/>
          <w:szCs w:val="22"/>
          <w:highlight w:val="none"/>
          <w:u w:val="none"/>
          <w:lang w:eastAsia="zh-CN"/>
        </w:rPr>
        <w:t>家具采购</w:t>
      </w:r>
      <w:r>
        <w:rPr>
          <w:rFonts w:hint="eastAsia"/>
          <w:color w:val="auto"/>
          <w:sz w:val="22"/>
          <w:szCs w:val="22"/>
          <w:highlight w:val="none"/>
          <w:u w:val="none"/>
          <w:lang w:val="en-US" w:eastAsia="zh-CN"/>
        </w:rPr>
        <w:t> </w:t>
      </w:r>
    </w:p>
    <w:p w14:paraId="6C87959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数量:1  </w:t>
      </w:r>
    </w:p>
    <w:p w14:paraId="6599F50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预算金额（元）:7000000 </w:t>
      </w:r>
    </w:p>
    <w:p w14:paraId="635AC94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简要规格描述或项目基本概况介绍、用途：具体详见招标文件 </w:t>
      </w:r>
    </w:p>
    <w:p w14:paraId="750FB45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备注： </w:t>
      </w:r>
    </w:p>
    <w:p w14:paraId="1068B1D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合同履约期限：标项 1，具体详见招标文件</w:t>
      </w:r>
    </w:p>
    <w:p w14:paraId="11D97A7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本项目（是）接受联合体投标。</w:t>
      </w:r>
    </w:p>
    <w:p w14:paraId="368029D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14:paraId="31EFBBA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6A94141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w:t>
      </w:r>
      <w:r>
        <w:rPr>
          <w:rFonts w:hint="eastAsia"/>
          <w:color w:val="auto"/>
          <w:sz w:val="22"/>
          <w:szCs w:val="22"/>
          <w:highlight w:val="none"/>
          <w:u w:val="none"/>
          <w:lang w:val="en-US" w:eastAsia="zh-CN"/>
        </w:rPr>
        <w:t>求：无</w:t>
      </w:r>
      <w:r>
        <w:rPr>
          <w:rFonts w:hint="eastAsia" w:ascii="宋体" w:hAnsi="宋体" w:eastAsia="宋体" w:cs="宋体"/>
          <w:color w:val="auto"/>
          <w:sz w:val="22"/>
          <w:szCs w:val="22"/>
          <w:highlight w:val="none"/>
          <w:lang w:eastAsia="zh-CN"/>
        </w:rPr>
        <w:t>。</w:t>
      </w:r>
      <w:r>
        <w:rPr>
          <w:rFonts w:hint="eastAsia"/>
          <w:color w:val="auto"/>
          <w:sz w:val="22"/>
          <w:szCs w:val="22"/>
          <w:highlight w:val="none"/>
          <w:u w:val="none"/>
          <w:lang w:val="en-US" w:eastAsia="zh-CN"/>
        </w:rPr>
        <w:t> </w:t>
      </w:r>
    </w:p>
    <w:p w14:paraId="40AFFBB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14:paraId="55CF14F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14:paraId="4EB5073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val="en-US" w:eastAsia="zh-CN"/>
        </w:rPr>
        <w:t>2025年7月3日</w:t>
      </w:r>
      <w:r>
        <w:rPr>
          <w:rFonts w:hint="eastAsia"/>
          <w:color w:val="auto"/>
          <w:sz w:val="22"/>
          <w:szCs w:val="22"/>
          <w:highlight w:val="none"/>
          <w:u w:val="none"/>
        </w:rPr>
        <w:t>至</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7</w:t>
      </w:r>
      <w:r>
        <w:rPr>
          <w:rFonts w:hint="eastAsia"/>
          <w:color w:val="auto"/>
          <w:sz w:val="22"/>
          <w:szCs w:val="22"/>
          <w:highlight w:val="none"/>
          <w:u w:val="none"/>
        </w:rPr>
        <w:t>月</w:t>
      </w:r>
      <w:r>
        <w:rPr>
          <w:rFonts w:hint="eastAsia"/>
          <w:color w:val="auto"/>
          <w:sz w:val="22"/>
          <w:szCs w:val="22"/>
          <w:highlight w:val="none"/>
          <w:u w:val="none"/>
          <w:lang w:val="en-US" w:eastAsia="zh-CN"/>
        </w:rPr>
        <w:t>24</w:t>
      </w:r>
      <w:r>
        <w:rPr>
          <w:rFonts w:hint="eastAsia"/>
          <w:color w:val="auto"/>
          <w:sz w:val="22"/>
          <w:szCs w:val="22"/>
          <w:highlight w:val="none"/>
          <w:u w:val="none"/>
        </w:rPr>
        <w:t>日，每天上午00:00至12:00，下午12:00至23:59（北京时间，线上获取法定节假日均可，线下获取文件法定节假日除外）</w:t>
      </w:r>
    </w:p>
    <w:p w14:paraId="12C93CA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14:paraId="453AB63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14:paraId="298B7ED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14:paraId="5927245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14:paraId="1B5E3E3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7</w:t>
      </w:r>
      <w:r>
        <w:rPr>
          <w:rFonts w:hint="eastAsia"/>
          <w:color w:val="auto"/>
          <w:sz w:val="22"/>
          <w:szCs w:val="22"/>
          <w:highlight w:val="none"/>
          <w:u w:val="none"/>
        </w:rPr>
        <w:t>月</w:t>
      </w:r>
      <w:r>
        <w:rPr>
          <w:rFonts w:hint="eastAsia"/>
          <w:color w:val="auto"/>
          <w:sz w:val="22"/>
          <w:szCs w:val="22"/>
          <w:highlight w:val="none"/>
          <w:u w:val="none"/>
          <w:lang w:val="en-US" w:eastAsia="zh-CN"/>
        </w:rPr>
        <w:t>24</w:t>
      </w:r>
      <w:r>
        <w:rPr>
          <w:rFonts w:hint="eastAsia"/>
          <w:color w:val="auto"/>
          <w:sz w:val="22"/>
          <w:szCs w:val="22"/>
          <w:highlight w:val="none"/>
          <w:u w:val="none"/>
        </w:rPr>
        <w:t>日</w:t>
      </w:r>
      <w:r>
        <w:rPr>
          <w:rFonts w:hint="eastAsia"/>
          <w:color w:val="auto"/>
          <w:sz w:val="22"/>
          <w:szCs w:val="22"/>
          <w:highlight w:val="none"/>
          <w:u w:val="none"/>
          <w:lang w:val="en-US" w:eastAsia="zh-CN"/>
        </w:rPr>
        <w:t>09</w:t>
      </w:r>
      <w:r>
        <w:rPr>
          <w:rFonts w:hint="eastAsia"/>
          <w:color w:val="auto"/>
          <w:sz w:val="22"/>
          <w:szCs w:val="22"/>
          <w:highlight w:val="none"/>
          <w:u w:val="none"/>
        </w:rPr>
        <w:t>点</w:t>
      </w:r>
      <w:r>
        <w:rPr>
          <w:rFonts w:hint="eastAsia"/>
          <w:color w:val="auto"/>
          <w:sz w:val="22"/>
          <w:szCs w:val="22"/>
          <w:highlight w:val="none"/>
          <w:u w:val="none"/>
          <w:lang w:val="en-US" w:eastAsia="zh-CN"/>
        </w:rPr>
        <w:t>30</w:t>
      </w:r>
      <w:r>
        <w:rPr>
          <w:rFonts w:hint="eastAsia"/>
          <w:color w:val="auto"/>
          <w:sz w:val="22"/>
          <w:szCs w:val="22"/>
          <w:highlight w:val="none"/>
          <w:u w:val="none"/>
        </w:rPr>
        <w:t>分（北京时间）</w:t>
      </w:r>
    </w:p>
    <w:p w14:paraId="5EDDBE1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color w:val="auto"/>
          <w:sz w:val="22"/>
          <w:highlight w:val="none"/>
          <w:lang w:eastAsia="zh-CN"/>
        </w:rPr>
        <w:t>温州市政务服务管理中心温州市会展路1268号A座3楼</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0C25B6F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7</w:t>
      </w:r>
      <w:r>
        <w:rPr>
          <w:rFonts w:hint="eastAsia"/>
          <w:color w:val="auto"/>
          <w:sz w:val="22"/>
          <w:szCs w:val="22"/>
          <w:highlight w:val="none"/>
          <w:u w:val="none"/>
        </w:rPr>
        <w:t>月</w:t>
      </w:r>
      <w:r>
        <w:rPr>
          <w:rFonts w:hint="eastAsia"/>
          <w:color w:val="auto"/>
          <w:sz w:val="22"/>
          <w:szCs w:val="22"/>
          <w:highlight w:val="none"/>
          <w:u w:val="none"/>
          <w:lang w:val="en-US" w:eastAsia="zh-CN"/>
        </w:rPr>
        <w:t>24</w:t>
      </w:r>
      <w:r>
        <w:rPr>
          <w:rFonts w:hint="eastAsia"/>
          <w:color w:val="auto"/>
          <w:sz w:val="22"/>
          <w:szCs w:val="22"/>
          <w:highlight w:val="none"/>
          <w:u w:val="none"/>
        </w:rPr>
        <w:t>日</w:t>
      </w:r>
      <w:r>
        <w:rPr>
          <w:rFonts w:hint="eastAsia"/>
          <w:color w:val="auto"/>
          <w:sz w:val="22"/>
          <w:szCs w:val="22"/>
          <w:highlight w:val="none"/>
          <w:u w:val="none"/>
          <w:lang w:val="en-US" w:eastAsia="zh-CN"/>
        </w:rPr>
        <w:t>09</w:t>
      </w:r>
      <w:r>
        <w:rPr>
          <w:rFonts w:hint="eastAsia"/>
          <w:color w:val="auto"/>
          <w:sz w:val="22"/>
          <w:szCs w:val="22"/>
          <w:highlight w:val="none"/>
          <w:u w:val="none"/>
        </w:rPr>
        <w:t>点</w:t>
      </w:r>
      <w:r>
        <w:rPr>
          <w:rFonts w:hint="eastAsia"/>
          <w:color w:val="auto"/>
          <w:sz w:val="22"/>
          <w:szCs w:val="22"/>
          <w:highlight w:val="none"/>
          <w:u w:val="none"/>
          <w:lang w:val="en-US" w:eastAsia="zh-CN"/>
        </w:rPr>
        <w:t>30</w:t>
      </w:r>
      <w:r>
        <w:rPr>
          <w:rFonts w:hint="eastAsia"/>
          <w:color w:val="auto"/>
          <w:sz w:val="22"/>
          <w:szCs w:val="22"/>
          <w:highlight w:val="none"/>
          <w:u w:val="none"/>
        </w:rPr>
        <w:t>分</w:t>
      </w:r>
      <w:bookmarkStart w:id="85" w:name="_GoBack"/>
      <w:bookmarkEnd w:id="85"/>
      <w:r>
        <w:rPr>
          <w:rFonts w:hint="eastAsia"/>
          <w:color w:val="auto"/>
          <w:sz w:val="22"/>
          <w:szCs w:val="22"/>
          <w:highlight w:val="none"/>
          <w:u w:val="none"/>
        </w:rPr>
        <w:t> </w:t>
      </w:r>
    </w:p>
    <w:p w14:paraId="723ADE6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color w:val="auto"/>
          <w:sz w:val="22"/>
          <w:highlight w:val="none"/>
          <w:lang w:eastAsia="zh-CN"/>
        </w:rPr>
        <w:t>温州市政务服务管理中心温州市会展路1268号A座3楼</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03B4933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14:paraId="46AFF46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14:paraId="5E2B045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14:paraId="5342DA2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24218D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96D5AF2">
      <w:pPr>
        <w:pStyle w:val="48"/>
        <w:spacing w:before="75" w:beforeAutospacing="0" w:after="75" w:afterAutospacing="0" w:line="460" w:lineRule="exact"/>
        <w:ind w:firstLine="435"/>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r>
        <w:rPr>
          <w:rFonts w:hint="eastAsia" w:cs="宋体"/>
          <w:color w:val="auto"/>
          <w:sz w:val="22"/>
          <w:highlight w:val="none"/>
          <w:lang w:val="en-US" w:eastAsia="zh-CN"/>
        </w:rPr>
        <w:t>（三）招标</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78371AF8">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14:paraId="1E48A81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14:paraId="5D513B5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温州市中医院</w:t>
      </w:r>
    </w:p>
    <w:p w14:paraId="7A723F9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shd w:val="clear" w:color="auto" w:fill="FFFFFF"/>
        </w:rPr>
        <w:t>温州市六虹桥蛟尾路9号</w:t>
      </w:r>
      <w:r>
        <w:rPr>
          <w:rFonts w:hint="eastAsia"/>
          <w:color w:val="auto"/>
          <w:sz w:val="22"/>
          <w:szCs w:val="22"/>
          <w:highlight w:val="none"/>
          <w:u w:val="none"/>
        </w:rPr>
        <w:t xml:space="preserve">  </w:t>
      </w:r>
    </w:p>
    <w:p w14:paraId="2F480A1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w:t>
      </w:r>
      <w:r>
        <w:rPr>
          <w:rFonts w:hint="eastAsia"/>
          <w:color w:val="auto"/>
          <w:sz w:val="22"/>
          <w:szCs w:val="22"/>
          <w:highlight w:val="none"/>
          <w:u w:val="none"/>
          <w:lang w:val="en-US" w:eastAsia="zh-CN"/>
        </w:rPr>
        <w:t>/</w:t>
      </w:r>
      <w:r>
        <w:rPr>
          <w:rFonts w:hint="eastAsia"/>
          <w:color w:val="auto"/>
          <w:sz w:val="22"/>
          <w:szCs w:val="22"/>
          <w:highlight w:val="none"/>
          <w:u w:val="none"/>
        </w:rPr>
        <w:t>   　　</w:t>
      </w:r>
    </w:p>
    <w:p w14:paraId="5EAA930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项目联系人（询问）：秦先生 </w:t>
      </w:r>
    </w:p>
    <w:p w14:paraId="189AE7B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w:t>
      </w:r>
      <w:r>
        <w:rPr>
          <w:rFonts w:hint="eastAsia"/>
          <w:color w:val="auto"/>
          <w:sz w:val="22"/>
          <w:szCs w:val="22"/>
          <w:highlight w:val="none"/>
          <w:u w:val="none"/>
        </w:rPr>
        <w:t>0577-56671591</w:t>
      </w:r>
    </w:p>
    <w:p w14:paraId="595251F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质疑联系人：</w:t>
      </w:r>
      <w:r>
        <w:rPr>
          <w:rFonts w:hint="eastAsia"/>
          <w:color w:val="auto"/>
          <w:sz w:val="22"/>
          <w:szCs w:val="22"/>
          <w:highlight w:val="none"/>
          <w:u w:val="none"/>
        </w:rPr>
        <w:t>李先生</w:t>
      </w:r>
    </w:p>
    <w:p w14:paraId="01F34AD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w:t>
      </w:r>
      <w:r>
        <w:rPr>
          <w:rFonts w:hint="eastAsia"/>
          <w:color w:val="auto"/>
          <w:sz w:val="22"/>
          <w:szCs w:val="22"/>
          <w:highlight w:val="none"/>
          <w:u w:val="none"/>
        </w:rPr>
        <w:t>0577-56671562</w:t>
      </w:r>
      <w:r>
        <w:rPr>
          <w:rFonts w:hint="eastAsia"/>
          <w:color w:val="auto"/>
          <w:sz w:val="22"/>
          <w:szCs w:val="22"/>
          <w:highlight w:val="none"/>
          <w:u w:val="none"/>
        </w:rPr>
        <w:t>　</w:t>
      </w:r>
      <w:r>
        <w:rPr>
          <w:rFonts w:hint="eastAsia"/>
          <w:color w:val="auto"/>
          <w:sz w:val="22"/>
          <w:szCs w:val="22"/>
          <w:highlight w:val="none"/>
          <w:u w:val="none"/>
        </w:rPr>
        <w:t>　　　　　　</w:t>
      </w:r>
    </w:p>
    <w:p w14:paraId="4B46E37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14:paraId="03DCBFC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14:paraId="721668F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温州市鹿城区南汇街道勤民路鹿城壹号18幢803室</w:t>
      </w:r>
    </w:p>
    <w:p w14:paraId="65D6A1A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14:paraId="477F2F0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项目联系人（询问）： </w:t>
      </w:r>
      <w:r>
        <w:rPr>
          <w:rFonts w:hint="eastAsia"/>
          <w:color w:val="auto"/>
          <w:sz w:val="22"/>
          <w:szCs w:val="22"/>
          <w:highlight w:val="none"/>
          <w:u w:val="none"/>
          <w:lang w:val="en-US" w:eastAsia="zh-CN"/>
        </w:rPr>
        <w:t>温碧霞</w:t>
      </w:r>
      <w:r>
        <w:rPr>
          <w:rFonts w:hint="eastAsia"/>
          <w:color w:val="auto"/>
          <w:sz w:val="22"/>
          <w:szCs w:val="22"/>
          <w:highlight w:val="none"/>
          <w:u w:val="none"/>
        </w:rPr>
        <w:t>、郑永强 </w:t>
      </w:r>
    </w:p>
    <w:p w14:paraId="200B7D5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14:paraId="338BD93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14:paraId="323F198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14:paraId="1E9082E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3.同级政府采购监督管理部门</w:t>
      </w:r>
    </w:p>
    <w:p w14:paraId="17CAB68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名    称：温州市财政局（浙江省政府采购行政裁决服务中</w:t>
      </w:r>
      <w:r>
        <w:rPr>
          <w:rFonts w:hint="eastAsia"/>
          <w:color w:val="auto"/>
          <w:sz w:val="22"/>
          <w:szCs w:val="22"/>
          <w:highlight w:val="none"/>
          <w:u w:val="none"/>
          <w:lang w:val="en-US" w:eastAsia="zh-CN"/>
        </w:rPr>
        <w:t>心（温州））</w:t>
      </w:r>
    </w:p>
    <w:p w14:paraId="11DB43A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地    址：温州市鹿城区滨江街道瓯江路展银大厦1606室</w:t>
      </w:r>
    </w:p>
    <w:p w14:paraId="74159B2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传    真：/</w:t>
      </w:r>
    </w:p>
    <w:p w14:paraId="7F1E2F2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联 系 人：李老师、王老师</w:t>
      </w:r>
    </w:p>
    <w:p w14:paraId="05B2BFF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监督投诉电话：0577-88501561、0577-85501562</w:t>
      </w:r>
    </w:p>
    <w:p w14:paraId="5E7767E8">
      <w:pPr>
        <w:pStyle w:val="4"/>
        <w:bidi w:val="0"/>
        <w:rPr>
          <w:rFonts w:hint="eastAsia" w:ascii="宋体" w:hAnsi="宋体" w:eastAsia="宋体" w:cs="宋体"/>
          <w:color w:val="auto"/>
          <w:highlight w:val="none"/>
        </w:rPr>
      </w:pPr>
      <w:bookmarkStart w:id="2" w:name="_Toc10401"/>
      <w:bookmarkStart w:id="3" w:name="_Toc5772"/>
      <w:r>
        <w:rPr>
          <w:rFonts w:hint="eastAsia" w:ascii="宋体" w:hAnsi="宋体" w:eastAsia="宋体" w:cs="宋体"/>
          <w:color w:val="auto"/>
          <w:highlight w:val="none"/>
        </w:rPr>
        <w:t>第一部分    投标人须知</w:t>
      </w:r>
      <w:bookmarkEnd w:id="2"/>
      <w:bookmarkEnd w:id="3"/>
    </w:p>
    <w:p w14:paraId="1E37DC94">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233618971"/>
      <w:bookmarkStart w:id="5" w:name="_Toc1839"/>
      <w:bookmarkStart w:id="6" w:name="_Toc33194387"/>
      <w:bookmarkStart w:id="7" w:name="_Toc354996695"/>
      <w:bookmarkStart w:id="8" w:name="_Toc6224"/>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7A43E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59EA000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0EB46BD3">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1EF9E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A3CB4AD">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52C00653">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家具采购</w:t>
            </w:r>
          </w:p>
          <w:p w14:paraId="7C497614">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2"/>
              <w:tblW w:w="90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493"/>
              <w:gridCol w:w="730"/>
              <w:gridCol w:w="2217"/>
              <w:gridCol w:w="2873"/>
            </w:tblGrid>
            <w:tr w14:paraId="46986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145CC057">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493" w:type="dxa"/>
                  <w:tcBorders>
                    <w:top w:val="single" w:color="auto" w:sz="4" w:space="0"/>
                    <w:left w:val="single" w:color="auto" w:sz="4" w:space="0"/>
                    <w:bottom w:val="single" w:color="auto" w:sz="4" w:space="0"/>
                    <w:right w:val="single" w:color="auto" w:sz="4" w:space="0"/>
                  </w:tcBorders>
                  <w:vAlign w:val="center"/>
                </w:tcPr>
                <w:p w14:paraId="2092263F">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30" w:type="dxa"/>
                  <w:tcBorders>
                    <w:top w:val="single" w:color="auto" w:sz="4" w:space="0"/>
                    <w:left w:val="single" w:color="auto" w:sz="4" w:space="0"/>
                    <w:bottom w:val="single" w:color="auto" w:sz="4" w:space="0"/>
                    <w:right w:val="single" w:color="auto" w:sz="4" w:space="0"/>
                  </w:tcBorders>
                  <w:vAlign w:val="center"/>
                </w:tcPr>
                <w:p w14:paraId="1860FF1A">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14:paraId="7666609E">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873" w:type="dxa"/>
                  <w:tcBorders>
                    <w:top w:val="single" w:color="auto" w:sz="4" w:space="0"/>
                    <w:left w:val="single" w:color="auto" w:sz="4" w:space="0"/>
                    <w:bottom w:val="single" w:color="auto" w:sz="4" w:space="0"/>
                    <w:right w:val="single" w:color="auto" w:sz="4" w:space="0"/>
                  </w:tcBorders>
                  <w:vAlign w:val="center"/>
                </w:tcPr>
                <w:p w14:paraId="179E973B">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14:paraId="129CF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30" w:type="dxa"/>
                  <w:tcBorders>
                    <w:top w:val="single" w:color="auto" w:sz="4" w:space="0"/>
                    <w:left w:val="single" w:color="auto" w:sz="4" w:space="0"/>
                    <w:right w:val="single" w:color="auto" w:sz="4" w:space="0"/>
                  </w:tcBorders>
                  <w:vAlign w:val="center"/>
                </w:tcPr>
                <w:p w14:paraId="1EE98B30">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493" w:type="dxa"/>
                  <w:tcBorders>
                    <w:top w:val="single" w:color="auto" w:sz="4" w:space="0"/>
                    <w:left w:val="single" w:color="auto" w:sz="4" w:space="0"/>
                    <w:right w:val="single" w:color="auto" w:sz="4" w:space="0"/>
                  </w:tcBorders>
                  <w:vAlign w:val="center"/>
                </w:tcPr>
                <w:p w14:paraId="49A221C6">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家具采购</w:t>
                  </w:r>
                </w:p>
              </w:tc>
              <w:tc>
                <w:tcPr>
                  <w:tcW w:w="730" w:type="dxa"/>
                  <w:tcBorders>
                    <w:top w:val="single" w:color="auto" w:sz="4" w:space="0"/>
                    <w:left w:val="single" w:color="auto" w:sz="4" w:space="0"/>
                    <w:bottom w:val="single" w:color="auto" w:sz="4" w:space="0"/>
                    <w:right w:val="single" w:color="auto" w:sz="4" w:space="0"/>
                  </w:tcBorders>
                  <w:vAlign w:val="center"/>
                </w:tcPr>
                <w:p w14:paraId="74078650">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1项</w:t>
                  </w:r>
                </w:p>
              </w:tc>
              <w:tc>
                <w:tcPr>
                  <w:tcW w:w="2217" w:type="dxa"/>
                  <w:tcBorders>
                    <w:top w:val="single" w:color="auto" w:sz="4" w:space="0"/>
                    <w:left w:val="single" w:color="auto" w:sz="4" w:space="0"/>
                    <w:right w:val="single" w:color="auto" w:sz="4" w:space="0"/>
                  </w:tcBorders>
                  <w:shd w:val="clear" w:color="auto" w:fill="auto"/>
                  <w:vAlign w:val="center"/>
                </w:tcPr>
                <w:p w14:paraId="579C09CB">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7000000</w:t>
                  </w:r>
                </w:p>
              </w:tc>
              <w:tc>
                <w:tcPr>
                  <w:tcW w:w="2873" w:type="dxa"/>
                  <w:tcBorders>
                    <w:top w:val="single" w:color="auto" w:sz="4" w:space="0"/>
                    <w:left w:val="single" w:color="auto" w:sz="4" w:space="0"/>
                    <w:right w:val="single" w:color="auto" w:sz="4" w:space="0"/>
                  </w:tcBorders>
                  <w:vAlign w:val="center"/>
                </w:tcPr>
                <w:p w14:paraId="70C1ECAC">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14:paraId="4E046D97">
            <w:pPr>
              <w:tabs>
                <w:tab w:val="left" w:pos="360"/>
              </w:tabs>
              <w:spacing w:line="460" w:lineRule="exact"/>
              <w:ind w:firstLine="552" w:firstLineChars="25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14:paraId="7E7D9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EF3FDF2">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cs="宋体"/>
                <w:color w:val="auto"/>
                <w:sz w:val="22"/>
                <w:szCs w:val="22"/>
                <w:highlight w:val="none"/>
                <w:lang w:val="en-US" w:eastAsia="zh-CN"/>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150F157E">
            <w:pPr>
              <w:snapToGrid w:val="0"/>
              <w:spacing w:line="460" w:lineRule="exact"/>
              <w:rPr>
                <w:rFonts w:hint="eastAsia" w:ascii="宋体" w:hAnsi="宋体" w:eastAsia="宋体" w:cs="宋体"/>
                <w:b/>
                <w:bCs/>
                <w:color w:val="auto"/>
                <w:sz w:val="22"/>
                <w:szCs w:val="22"/>
                <w:highlight w:val="none"/>
                <w:lang w:val="zh-CN"/>
              </w:rPr>
            </w:pPr>
            <w:r>
              <w:rPr>
                <w:rFonts w:hint="eastAsia" w:ascii="宋体" w:hAnsi="宋体" w:cs="宋体"/>
                <w:b/>
                <w:bCs/>
                <w:color w:val="auto"/>
                <w:sz w:val="22"/>
                <w:szCs w:val="22"/>
                <w:highlight w:val="none"/>
                <w:lang w:val="en-US" w:eastAsia="zh-CN"/>
              </w:rPr>
              <w:t>资金来源：</w:t>
            </w:r>
            <w:r>
              <w:rPr>
                <w:rFonts w:hint="eastAsia" w:ascii="仿宋" w:hAnsi="仿宋" w:eastAsia="仿宋" w:cs="仿宋"/>
                <w:b/>
                <w:bCs w:val="0"/>
                <w:color w:val="auto"/>
                <w:kern w:val="0"/>
                <w:sz w:val="22"/>
                <w:szCs w:val="22"/>
                <w:highlight w:val="none"/>
              </w:rPr>
              <w:sym w:font="Wingdings" w:char="00A8"/>
            </w:r>
            <w:r>
              <w:rPr>
                <w:rFonts w:hint="eastAsia" w:ascii="仿宋" w:hAnsi="仿宋" w:eastAsia="仿宋" w:cs="仿宋"/>
                <w:b/>
                <w:bCs w:val="0"/>
                <w:color w:val="auto"/>
                <w:kern w:val="0"/>
                <w:sz w:val="22"/>
                <w:szCs w:val="22"/>
                <w:highlight w:val="none"/>
              </w:rPr>
              <w:t xml:space="preserve"> </w:t>
            </w:r>
            <w:r>
              <w:rPr>
                <w:rFonts w:hint="eastAsia" w:ascii="宋体" w:hAnsi="宋体" w:cs="宋体"/>
                <w:b/>
                <w:bCs w:val="0"/>
                <w:color w:val="auto"/>
                <w:sz w:val="22"/>
                <w:szCs w:val="22"/>
                <w:highlight w:val="none"/>
                <w:lang w:val="en-US" w:eastAsia="zh-CN"/>
              </w:rPr>
              <w:t>自筹资金</w:t>
            </w:r>
            <w:r>
              <w:rPr>
                <w:rFonts w:hint="eastAsia" w:ascii="宋体" w:hAnsi="宋体" w:cs="宋体"/>
                <w:b/>
                <w:bCs w:val="0"/>
                <w:color w:val="auto"/>
                <w:sz w:val="22"/>
                <w:szCs w:val="22"/>
                <w:highlight w:val="none"/>
                <w:lang w:val="en-US" w:eastAsia="zh-CN"/>
              </w:rPr>
              <w:t xml:space="preserve"> </w:t>
            </w:r>
            <w:r>
              <w:rPr>
                <w:rFonts w:hint="eastAsia" w:ascii="仿宋" w:hAnsi="仿宋" w:eastAsia="仿宋" w:cs="仿宋"/>
                <w:b/>
                <w:bCs w:val="0"/>
                <w:color w:val="auto"/>
                <w:kern w:val="0"/>
                <w:sz w:val="22"/>
                <w:szCs w:val="22"/>
                <w:highlight w:val="none"/>
              </w:rPr>
              <w:sym w:font="Wingdings" w:char="00FE"/>
            </w:r>
            <w:r>
              <w:rPr>
                <w:rFonts w:hint="eastAsia" w:ascii="仿宋" w:hAnsi="仿宋" w:eastAsia="仿宋" w:cs="仿宋"/>
                <w:b/>
                <w:bCs w:val="0"/>
                <w:color w:val="auto"/>
                <w:kern w:val="0"/>
                <w:sz w:val="22"/>
                <w:szCs w:val="22"/>
                <w:highlight w:val="none"/>
              </w:rPr>
              <w:t xml:space="preserve"> </w:t>
            </w:r>
            <w:r>
              <w:rPr>
                <w:rFonts w:hint="eastAsia" w:ascii="宋体" w:hAnsi="宋体" w:cs="宋体"/>
                <w:b/>
                <w:bCs w:val="0"/>
                <w:color w:val="auto"/>
                <w:sz w:val="22"/>
                <w:szCs w:val="22"/>
                <w:highlight w:val="none"/>
                <w:lang w:val="en-US" w:eastAsia="zh-CN"/>
              </w:rPr>
              <w:t>财政资金</w:t>
            </w:r>
          </w:p>
        </w:tc>
      </w:tr>
      <w:tr w14:paraId="18F03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68C5EF6">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4F81DAF1">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w:t>
            </w:r>
            <w:r>
              <w:rPr>
                <w:rFonts w:hint="eastAsia" w:ascii="宋体" w:hAnsi="宋体" w:cs="宋体"/>
                <w:color w:val="auto"/>
                <w:sz w:val="22"/>
                <w:szCs w:val="22"/>
                <w:highlight w:val="none"/>
                <w:lang w:val="en-US" w:eastAsia="zh-CN"/>
              </w:rPr>
              <w:t>90</w:t>
            </w:r>
            <w:r>
              <w:rPr>
                <w:rFonts w:hint="eastAsia" w:ascii="宋体" w:hAnsi="宋体" w:eastAsia="宋体" w:cs="宋体"/>
                <w:color w:val="auto"/>
                <w:sz w:val="22"/>
                <w:szCs w:val="22"/>
                <w:highlight w:val="none"/>
              </w:rPr>
              <w:t>天。</w:t>
            </w:r>
          </w:p>
        </w:tc>
      </w:tr>
      <w:tr w14:paraId="53FB1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6631D17">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7CBB9B2D">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309A4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DD16E38">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22FA4F18">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招标服务费：根据国家计委计价格【2002】1980号《招标代理服务收费管理暂行办法》规定</w:t>
            </w:r>
            <w:r>
              <w:rPr>
                <w:rFonts w:hint="eastAsia" w:ascii="宋体" w:hAnsi="宋体" w:eastAsia="宋体" w:cs="宋体"/>
                <w:b/>
                <w:bCs/>
                <w:color w:val="auto"/>
                <w:sz w:val="22"/>
                <w:szCs w:val="22"/>
                <w:highlight w:val="none"/>
                <w:lang w:val="en-US" w:eastAsia="zh-CN"/>
              </w:rPr>
              <w:t>标准</w:t>
            </w:r>
            <w:r>
              <w:rPr>
                <w:rFonts w:hint="eastAsia" w:ascii="宋体" w:hAnsi="宋体" w:cs="宋体"/>
                <w:b/>
                <w:bCs/>
                <w:color w:val="auto"/>
                <w:sz w:val="22"/>
                <w:szCs w:val="22"/>
                <w:highlight w:val="none"/>
                <w:lang w:val="en-US" w:eastAsia="zh-CN"/>
              </w:rPr>
              <w:t>的75%</w:t>
            </w:r>
            <w:r>
              <w:rPr>
                <w:rFonts w:hint="eastAsia" w:ascii="宋体" w:hAnsi="宋体" w:eastAsia="宋体" w:cs="宋体"/>
                <w:b/>
                <w:bCs/>
                <w:color w:val="auto"/>
                <w:sz w:val="22"/>
                <w:szCs w:val="22"/>
                <w:highlight w:val="none"/>
              </w:rPr>
              <w:t>收取,由中标人在领取中标通知书时支付。</w:t>
            </w:r>
          </w:p>
          <w:p w14:paraId="5BDCB19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14:paraId="2525CB4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14:paraId="1725B74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开户银行：中国建设银行股份有限公司温州新城支行</w:t>
            </w:r>
          </w:p>
          <w:p w14:paraId="1840ACDE">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行   号：105333000038</w:t>
            </w:r>
          </w:p>
        </w:tc>
      </w:tr>
      <w:tr w14:paraId="4ED45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D2105F7">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538FD61E">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14:paraId="0527F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3724DF0">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6FBF787D">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24FE9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32F98BF">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7D116934">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14:paraId="058DC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7B1A11B">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4E75DB8B">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7E47CC1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14:paraId="1983513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0A179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E52A2A2">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079BED9A">
            <w:pPr>
              <w:spacing w:line="460" w:lineRule="exact"/>
              <w:rPr>
                <w:rFonts w:hint="eastAsia"/>
                <w:color w:val="auto"/>
                <w:sz w:val="22"/>
                <w:szCs w:val="28"/>
                <w:highlight w:val="none"/>
              </w:rPr>
            </w:pPr>
            <w:r>
              <w:rPr>
                <w:rFonts w:hint="eastAsia"/>
                <w:color w:val="auto"/>
                <w:sz w:val="22"/>
                <w:szCs w:val="28"/>
                <w:highlight w:val="none"/>
              </w:rPr>
              <w:t>投标文件份数：</w:t>
            </w:r>
          </w:p>
          <w:p w14:paraId="4D065D32">
            <w:pPr>
              <w:numPr>
                <w:ilvl w:val="0"/>
                <w:numId w:val="1"/>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14:paraId="5426ED0D">
            <w:pPr>
              <w:numPr>
                <w:ilvl w:val="0"/>
                <w:numId w:val="1"/>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14:paraId="1476CE39">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321E0645">
            <w:pPr>
              <w:tabs>
                <w:tab w:val="left" w:pos="360"/>
              </w:tabs>
              <w:spacing w:line="460" w:lineRule="exact"/>
              <w:rPr>
                <w:rFonts w:hint="eastAsia" w:eastAsia="宋体"/>
                <w:color w:val="auto"/>
                <w:sz w:val="22"/>
                <w:szCs w:val="28"/>
                <w:highlight w:val="none"/>
                <w:lang w:eastAsia="zh-CN"/>
              </w:rPr>
            </w:pPr>
            <w:r>
              <w:rPr>
                <w:rFonts w:hint="eastAsia"/>
                <w:color w:val="auto"/>
                <w:sz w:val="22"/>
                <w:szCs w:val="28"/>
                <w:highlight w:val="none"/>
              </w:rPr>
              <w:t>可以</w:t>
            </w:r>
            <w:r>
              <w:rPr>
                <w:rFonts w:hint="eastAsia"/>
                <w:color w:val="auto"/>
                <w:sz w:val="22"/>
                <w:szCs w:val="28"/>
                <w:highlight w:val="none"/>
                <w:lang w:val="en-US" w:eastAsia="zh-CN"/>
              </w:rPr>
              <w:t>以</w:t>
            </w:r>
            <w:r>
              <w:rPr>
                <w:rFonts w:hint="eastAsia"/>
                <w:color w:val="auto"/>
                <w:sz w:val="22"/>
                <w:szCs w:val="28"/>
                <w:highlight w:val="none"/>
              </w:rPr>
              <w:t>邮寄形式（建议顺丰）在投标截止时间前递交，并需</w:t>
            </w:r>
            <w:r>
              <w:rPr>
                <w:rFonts w:hint="eastAsia"/>
                <w:color w:val="auto"/>
                <w:sz w:val="22"/>
                <w:szCs w:val="28"/>
                <w:highlight w:val="none"/>
                <w:lang w:val="en-US" w:eastAsia="zh-CN"/>
              </w:rPr>
              <w:t>及时与</w:t>
            </w:r>
            <w:r>
              <w:rPr>
                <w:rFonts w:hint="eastAsia"/>
                <w:color w:val="auto"/>
                <w:sz w:val="22"/>
                <w:szCs w:val="28"/>
                <w:highlight w:val="none"/>
              </w:rPr>
              <w:t>采购代理机构确认是否收到</w:t>
            </w:r>
            <w:r>
              <w:rPr>
                <w:rFonts w:hint="eastAsia"/>
                <w:color w:val="auto"/>
                <w:sz w:val="22"/>
                <w:szCs w:val="28"/>
                <w:highlight w:val="none"/>
                <w:lang w:eastAsia="zh-CN"/>
              </w:rPr>
              <w:t>：</w:t>
            </w:r>
          </w:p>
          <w:p w14:paraId="67F449B0">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温州市鹿城区南汇街道勤民路鹿城壹号18幢803室</w:t>
            </w:r>
          </w:p>
          <w:p w14:paraId="07385314">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联系人：温先生    联系电话</w:t>
            </w:r>
            <w:r>
              <w:rPr>
                <w:rFonts w:hint="eastAsia"/>
                <w:b w:val="0"/>
                <w:bCs w:val="0"/>
                <w:color w:val="auto"/>
                <w:sz w:val="22"/>
                <w:szCs w:val="28"/>
                <w:highlight w:val="none"/>
                <w:lang w:val="en-US" w:eastAsia="zh-CN"/>
              </w:rPr>
              <w:t>：13757727199</w:t>
            </w:r>
          </w:p>
        </w:tc>
      </w:tr>
      <w:tr w14:paraId="4DD87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B6520EF">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3BAB47E3">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14:paraId="1BF489A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14:paraId="423B0428">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14:paraId="7BA068A0">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递交后，供应商可自行打印投标文件接收回执。</w:t>
            </w:r>
          </w:p>
          <w:p w14:paraId="657E6E7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14:paraId="2EED473A">
            <w:pPr>
              <w:tabs>
                <w:tab w:val="left" w:pos="360"/>
              </w:tabs>
              <w:spacing w:line="460" w:lineRule="exact"/>
              <w:ind w:firstLine="220" w:firstLineChars="1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w:t>
            </w:r>
            <w:r>
              <w:rPr>
                <w:rFonts w:hint="eastAsia" w:ascii="宋体" w:hAnsi="宋体" w:cs="宋体"/>
                <w:b/>
                <w:color w:val="auto"/>
                <w:sz w:val="22"/>
                <w:szCs w:val="22"/>
                <w:highlight w:val="none"/>
                <w:u w:val="single"/>
                <w:lang w:val="en-US" w:eastAsia="zh-CN"/>
              </w:rPr>
              <w:t>及时与</w:t>
            </w:r>
            <w:r>
              <w:rPr>
                <w:rFonts w:hint="eastAsia" w:ascii="宋体" w:hAnsi="宋体" w:eastAsia="宋体" w:cs="宋体"/>
                <w:b/>
                <w:color w:val="auto"/>
                <w:sz w:val="22"/>
                <w:szCs w:val="22"/>
                <w:highlight w:val="none"/>
                <w:u w:val="single"/>
              </w:rPr>
              <w:t>采购代理机构确认是否收到</w:t>
            </w:r>
            <w:r>
              <w:rPr>
                <w:rFonts w:hint="eastAsia" w:ascii="宋体" w:hAnsi="宋体" w:eastAsia="宋体" w:cs="宋体"/>
                <w:b/>
                <w:bCs/>
                <w:color w:val="auto"/>
                <w:sz w:val="22"/>
                <w:szCs w:val="22"/>
                <w:highlight w:val="none"/>
              </w:rPr>
              <w:t>）</w:t>
            </w:r>
          </w:p>
          <w:p w14:paraId="2C02399A">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63CA107E">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592B4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F54F161">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val="en-US" w:eastAsia="zh-CN"/>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5578970E">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14:paraId="54C293D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470B0F5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E23EFD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14:paraId="3A08C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363028D">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val="en-US" w:eastAsia="zh-CN"/>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3C3E14ED">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p w14:paraId="5B6BF2AA">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tc>
      </w:tr>
      <w:tr w14:paraId="2B385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7EF80513">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val="en-US" w:eastAsia="zh-CN"/>
              </w:rPr>
              <w:t>4</w:t>
            </w:r>
          </w:p>
        </w:tc>
        <w:tc>
          <w:tcPr>
            <w:tcW w:w="9590" w:type="dxa"/>
            <w:tcBorders>
              <w:top w:val="single" w:color="000000" w:sz="2" w:space="0"/>
              <w:left w:val="single" w:color="000000" w:sz="2" w:space="0"/>
              <w:bottom w:val="single" w:color="auto" w:sz="4" w:space="0"/>
              <w:right w:val="single" w:color="000000" w:sz="8" w:space="0"/>
            </w:tcBorders>
            <w:vAlign w:val="center"/>
          </w:tcPr>
          <w:p w14:paraId="7BAB10FF">
            <w:pPr>
              <w:widowControl/>
              <w:snapToGrid w:val="0"/>
              <w:spacing w:line="460" w:lineRule="exact"/>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详见招标公告</w:t>
            </w:r>
          </w:p>
          <w:p w14:paraId="1719383C">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cs="宋体"/>
                <w:b w:val="0"/>
                <w:bCs w:val="0"/>
                <w:color w:val="auto"/>
                <w:sz w:val="22"/>
                <w:szCs w:val="22"/>
                <w:highlight w:val="none"/>
                <w:lang w:val="en-US" w:eastAsia="zh-CN"/>
              </w:rPr>
              <w:t>详见招标公告</w:t>
            </w:r>
          </w:p>
        </w:tc>
      </w:tr>
      <w:tr w14:paraId="59B6C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5FFA2F5A">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54EE293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7CE3E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5583E267">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6</w:t>
            </w:r>
          </w:p>
        </w:tc>
        <w:tc>
          <w:tcPr>
            <w:tcW w:w="9590" w:type="dxa"/>
            <w:tcBorders>
              <w:top w:val="single" w:color="auto" w:sz="4" w:space="0"/>
              <w:left w:val="single" w:color="000000" w:sz="2" w:space="0"/>
              <w:bottom w:val="single" w:color="auto" w:sz="4" w:space="0"/>
              <w:right w:val="single" w:color="000000" w:sz="8" w:space="0"/>
            </w:tcBorders>
            <w:vAlign w:val="center"/>
          </w:tcPr>
          <w:p w14:paraId="0414DAFD">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2DBF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D59D75F">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78F91EA8">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val="0"/>
                <w:bCs/>
                <w:color w:val="auto"/>
                <w:kern w:val="10"/>
                <w:sz w:val="22"/>
                <w:szCs w:val="22"/>
                <w:highlight w:val="none"/>
              </w:rPr>
              <w:t>潜在供应商需在浙江政府采购网http://http://zfcg.czt.zj.gov.cn/进行免费注册，具体详见浙江政府采购网供应商注册要求。</w:t>
            </w:r>
          </w:p>
        </w:tc>
      </w:tr>
      <w:tr w14:paraId="199C4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D1AAA6F">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65C6EBA3">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42E9C23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FC1643C">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700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万元</w:t>
            </w:r>
          </w:p>
          <w:p w14:paraId="5EC14FA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①货物类 </w:t>
            </w:r>
            <w:r>
              <w:rPr>
                <w:rFonts w:hint="eastAsia" w:ascii="新宋体" w:hAnsi="新宋体" w:eastAsia="新宋体" w:cs="新宋体"/>
                <w:color w:val="auto"/>
                <w:sz w:val="22"/>
                <w:szCs w:val="28"/>
                <w:highlight w:val="none"/>
              </w:rPr>
              <w:t xml:space="preserve"> （①货物类/②服务类/③工程类）</w:t>
            </w:r>
          </w:p>
          <w:p w14:paraId="7E1BBE0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 xml:space="preserve"> 工业</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（具体根据《中小企业划型标准规定》执行）</w:t>
            </w:r>
          </w:p>
          <w:p w14:paraId="29D1DE4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8011727">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否</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2234B2A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w:t>
            </w:r>
            <w:r>
              <w:rPr>
                <w:rFonts w:hint="eastAsia" w:ascii="新宋体" w:hAnsi="新宋体" w:eastAsia="新宋体" w:cs="新宋体"/>
                <w:color w:val="auto"/>
                <w:sz w:val="22"/>
                <w:szCs w:val="28"/>
                <w:highlight w:val="none"/>
                <w:lang w:val="en-US" w:eastAsia="zh-CN"/>
              </w:rPr>
              <w:t>/</w:t>
            </w:r>
            <w:r>
              <w:rPr>
                <w:rFonts w:hint="eastAsia" w:ascii="新宋体" w:hAnsi="新宋体" w:eastAsia="新宋体" w:cs="新宋体"/>
                <w:color w:val="auto"/>
                <w:sz w:val="22"/>
                <w:szCs w:val="28"/>
                <w:highlight w:val="none"/>
              </w:rPr>
              <w:t>）措施进行：</w:t>
            </w:r>
          </w:p>
          <w:p w14:paraId="4E08E20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42BE8F39">
            <w:pPr>
              <w:widowControl/>
              <w:snapToGrid w:val="0"/>
              <w:spacing w:line="460" w:lineRule="exact"/>
              <w:ind w:firstLine="440"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val="0"/>
                <w:bCs w:val="0"/>
                <w:color w:val="auto"/>
                <w:sz w:val="22"/>
                <w:szCs w:val="28"/>
                <w:highlight w:val="none"/>
              </w:rPr>
              <w:t>②要求供应商以联合体形式参加采购活动，且联合体中中小企业承担的部分达到</w:t>
            </w:r>
            <w:r>
              <w:rPr>
                <w:rFonts w:hint="eastAsia" w:ascii="新宋体" w:hAnsi="新宋体" w:eastAsia="新宋体" w:cs="新宋体"/>
                <w:b w:val="0"/>
                <w:bCs w:val="0"/>
                <w:color w:val="auto"/>
                <w:sz w:val="22"/>
                <w:szCs w:val="28"/>
                <w:highlight w:val="none"/>
                <w:u w:val="single"/>
              </w:rPr>
              <w:t xml:space="preserve">  </w:t>
            </w:r>
            <w:r>
              <w:rPr>
                <w:rFonts w:hint="eastAsia" w:ascii="新宋体" w:hAnsi="新宋体" w:eastAsia="新宋体" w:cs="新宋体"/>
                <w:b w:val="0"/>
                <w:bCs w:val="0"/>
                <w:color w:val="auto"/>
                <w:sz w:val="22"/>
                <w:szCs w:val="28"/>
                <w:highlight w:val="none"/>
              </w:rPr>
              <w:t xml:space="preserve"> (比例)；</w:t>
            </w:r>
          </w:p>
          <w:p w14:paraId="36DE8820">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151991C5">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（工程项目为5%）的扣除，用扣除后的价格参加评审。 </w:t>
            </w:r>
          </w:p>
          <w:p w14:paraId="5308124A">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w:t>
            </w:r>
            <w:r>
              <w:rPr>
                <w:rFonts w:hint="eastAsia" w:ascii="新宋体" w:hAnsi="新宋体" w:eastAsia="新宋体" w:cs="新宋体"/>
                <w:color w:val="auto"/>
                <w:sz w:val="22"/>
                <w:szCs w:val="28"/>
                <w:highlight w:val="none"/>
                <w:lang w:val="en-US" w:eastAsia="zh-CN"/>
              </w:rPr>
              <w:t>30%</w:t>
            </w:r>
            <w:r>
              <w:rPr>
                <w:rFonts w:hint="eastAsia" w:ascii="新宋体" w:hAnsi="新宋体" w:eastAsia="新宋体" w:cs="新宋体"/>
                <w:color w:val="auto"/>
                <w:sz w:val="22"/>
                <w:szCs w:val="28"/>
                <w:highlight w:val="none"/>
              </w:rPr>
              <w:t>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6%</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34D20511">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val="en-US" w:eastAsia="zh-CN"/>
              </w:rPr>
              <w:t>预留份额</w:t>
            </w: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2F3EEB75">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14:paraId="5B3EED32">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12296AAE">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14:paraId="4682F508">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14:paraId="72D62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9183FD7">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772B5C41">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30DD31F2">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14:paraId="050C1084">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14:paraId="6752158A">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14:paraId="21182494">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178A0DB6">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r w14:paraId="29D80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70AB4AF">
            <w:pPr>
              <w:widowControl/>
              <w:snapToGrid w:val="0"/>
              <w:spacing w:line="460" w:lineRule="exact"/>
              <w:jc w:val="center"/>
              <w:textAlignment w:val="center"/>
              <w:rPr>
                <w:rFonts w:hint="default"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20</w:t>
            </w:r>
          </w:p>
        </w:tc>
        <w:tc>
          <w:tcPr>
            <w:tcW w:w="9590" w:type="dxa"/>
            <w:tcBorders>
              <w:top w:val="single" w:color="000000" w:sz="2" w:space="0"/>
              <w:left w:val="single" w:color="000000" w:sz="2" w:space="0"/>
              <w:bottom w:val="single" w:color="000000" w:sz="2" w:space="0"/>
              <w:right w:val="single" w:color="000000" w:sz="8" w:space="0"/>
            </w:tcBorders>
            <w:vAlign w:val="center"/>
          </w:tcPr>
          <w:p w14:paraId="78A6DBB0">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项目属性与核心产品</w:t>
            </w:r>
          </w:p>
          <w:p w14:paraId="028B476F">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货物类，非单一产品采购项目，</w:t>
            </w:r>
            <w:r>
              <w:rPr>
                <w:rFonts w:hint="eastAsia" w:ascii="宋体" w:hAnsi="宋体" w:eastAsia="宋体" w:cs="宋体"/>
                <w:color w:val="auto"/>
                <w:sz w:val="22"/>
                <w:szCs w:val="22"/>
                <w:highlight w:val="none"/>
              </w:rPr>
              <w:t>本项目核心产品为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治疗柜、处置柜</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rPr>
              <w:t xml:space="preserve">  </w:t>
            </w:r>
          </w:p>
          <w:p w14:paraId="542D3753">
            <w:pPr>
              <w:snapToGrid w:val="0"/>
              <w:spacing w:line="460" w:lineRule="exact"/>
              <w:ind w:firstLine="110" w:firstLineChars="50"/>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服务类。</w:t>
            </w:r>
          </w:p>
        </w:tc>
      </w:tr>
      <w:tr w14:paraId="48C47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529E1914">
            <w:pPr>
              <w:snapToGrid w:val="0"/>
              <w:spacing w:line="460" w:lineRule="exact"/>
              <w:ind w:left="105" w:leftChars="50"/>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lang w:val="en-US" w:eastAsia="zh-CN"/>
              </w:rPr>
              <w:t>注：招标文件其他组成部分涉及与前附表相同内容，如有不明确或不一致，以前附表规定为准。</w:t>
            </w:r>
          </w:p>
        </w:tc>
      </w:tr>
    </w:tbl>
    <w:p w14:paraId="00C94E7E">
      <w:pPr>
        <w:rPr>
          <w:rFonts w:hint="eastAsia" w:ascii="宋体" w:hAnsi="宋体" w:eastAsia="宋体" w:cs="宋体"/>
          <w:b/>
          <w:bCs/>
          <w:color w:val="auto"/>
          <w:sz w:val="26"/>
          <w:szCs w:val="26"/>
          <w:highlight w:val="none"/>
        </w:rPr>
      </w:pPr>
      <w:bookmarkStart w:id="10" w:name="_Toc20846"/>
      <w:bookmarkStart w:id="11" w:name="_Toc19070"/>
      <w:r>
        <w:rPr>
          <w:rFonts w:hint="eastAsia" w:ascii="宋体" w:hAnsi="宋体" w:eastAsia="宋体" w:cs="宋体"/>
          <w:b/>
          <w:bCs/>
          <w:color w:val="auto"/>
          <w:sz w:val="26"/>
          <w:szCs w:val="26"/>
          <w:highlight w:val="none"/>
        </w:rPr>
        <w:br w:type="page"/>
      </w:r>
    </w:p>
    <w:p w14:paraId="2C61E6B7">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26"/>
          <w:szCs w:val="26"/>
          <w:highlight w:val="none"/>
        </w:rPr>
        <w:t>一、 说   明</w:t>
      </w:r>
      <w:bookmarkEnd w:id="10"/>
      <w:bookmarkEnd w:id="11"/>
    </w:p>
    <w:p w14:paraId="1D6E5282">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31EBD33C">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0DA4BB0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14:paraId="1C869A74">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14:paraId="03350150">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14:paraId="7107A70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14:paraId="557DC9A3">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14:paraId="16C4AB9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14:paraId="6E820426">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4B985171">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3CB5C120">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14:paraId="0A56FBD7">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14:paraId="48E9B2F6">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5BC9BE44">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14:paraId="12F7C7D3">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14:paraId="6A7FCD05">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30E927E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14:paraId="4A1197D2">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28278"/>
      <w:bookmarkStart w:id="13" w:name="_Toc9899"/>
      <w:r>
        <w:rPr>
          <w:rFonts w:hint="eastAsia" w:ascii="宋体" w:hAnsi="宋体" w:eastAsia="宋体" w:cs="宋体"/>
          <w:b/>
          <w:bCs/>
          <w:color w:val="auto"/>
          <w:sz w:val="26"/>
          <w:szCs w:val="26"/>
          <w:highlight w:val="none"/>
        </w:rPr>
        <w:t>二、 招标文件</w:t>
      </w:r>
      <w:bookmarkEnd w:id="12"/>
      <w:bookmarkEnd w:id="13"/>
    </w:p>
    <w:p w14:paraId="5503035D">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37722996">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14:paraId="01C28E9B">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1BA229BB">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14:paraId="5074D3E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6D58089A">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7B34AB23">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lang w:val="en-US" w:eastAsia="zh-CN"/>
        </w:rPr>
        <w:t>注：</w:t>
      </w:r>
      <w:r>
        <w:rPr>
          <w:rFonts w:hint="eastAsia" w:ascii="宋体" w:hAnsi="宋体" w:eastAsia="宋体" w:cs="宋体"/>
          <w:color w:val="auto"/>
          <w:sz w:val="22"/>
          <w:highlight w:val="none"/>
        </w:rPr>
        <w:t>潜在投标人应自行关注网站公告，</w:t>
      </w:r>
      <w:r>
        <w:rPr>
          <w:rFonts w:hint="eastAsia" w:ascii="宋体" w:hAnsi="宋体" w:cs="宋体"/>
          <w:color w:val="auto"/>
          <w:sz w:val="22"/>
          <w:highlight w:val="none"/>
        </w:rPr>
        <w:t>招标人、招标代理机构</w:t>
      </w:r>
      <w:r>
        <w:rPr>
          <w:rFonts w:hint="eastAsia" w:ascii="宋体" w:hAnsi="宋体" w:eastAsia="宋体" w:cs="宋体"/>
          <w:color w:val="auto"/>
          <w:sz w:val="22"/>
          <w:highlight w:val="none"/>
        </w:rPr>
        <w:t>不再一一通知。投标人因自身贻误行为导致投标失败的，责任自负。</w:t>
      </w:r>
    </w:p>
    <w:p w14:paraId="55E39056">
      <w:pPr>
        <w:spacing w:line="460" w:lineRule="exact"/>
        <w:ind w:firstLine="541" w:firstLineChars="245"/>
        <w:rPr>
          <w:rFonts w:hint="eastAsia" w:ascii="宋体" w:hAnsi="宋体" w:eastAsia="宋体" w:cs="宋体"/>
          <w:b/>
          <w:color w:val="auto"/>
          <w:sz w:val="22"/>
          <w:szCs w:val="22"/>
          <w:highlight w:val="none"/>
        </w:rPr>
      </w:pPr>
    </w:p>
    <w:p w14:paraId="11A6C0F0">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14:paraId="40D093EB">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38DF915C">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14:paraId="362D4786">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2C8FA429">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14:paraId="31F1832A">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14:paraId="29BF1F85">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14:paraId="49B2D119">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eastAsia="宋体" w:cs="宋体"/>
          <w:color w:val="auto"/>
          <w:sz w:val="22"/>
          <w:szCs w:val="22"/>
          <w:highlight w:val="none"/>
          <w:u w:val="none"/>
          <w:lang w:eastAsia="zh-CN"/>
        </w:rPr>
        <w:t>；</w:t>
      </w:r>
    </w:p>
    <w:p w14:paraId="51BB7015">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）营业执照(或事业法人登记证书或其它工商等登记证明材料；自然人参与政府采购，提供身份证)复印件； </w:t>
      </w:r>
    </w:p>
    <w:p w14:paraId="3515DC5A">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D9E8F9D">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lang w:val="en-US" w:eastAsia="zh-CN"/>
        </w:rPr>
        <w:t>）投标人信用查询</w:t>
      </w:r>
      <w:r>
        <w:rPr>
          <w:rFonts w:hint="eastAsia" w:ascii="宋体" w:hAnsi="宋体" w:cs="宋体"/>
          <w:color w:val="auto"/>
          <w:sz w:val="22"/>
          <w:szCs w:val="22"/>
          <w:highlight w:val="none"/>
          <w:u w:val="none"/>
          <w:lang w:val="en-US" w:eastAsia="zh-CN"/>
        </w:rPr>
        <w:t>；</w:t>
      </w:r>
    </w:p>
    <w:p w14:paraId="6C4DE7E9">
      <w:pPr>
        <w:numPr>
          <w:ilvl w:val="0"/>
          <w:numId w:val="0"/>
        </w:numPr>
        <w:snapToGrid w:val="0"/>
        <w:spacing w:line="460" w:lineRule="exact"/>
        <w:ind w:leftChars="0" w:firstLine="440" w:firstLineChars="200"/>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（4）政府采购活动现场确认声明书；</w:t>
      </w:r>
    </w:p>
    <w:p w14:paraId="38D79175">
      <w:pPr>
        <w:numPr>
          <w:ilvl w:val="0"/>
          <w:numId w:val="0"/>
        </w:numPr>
        <w:snapToGrid w:val="0"/>
        <w:spacing w:line="460" w:lineRule="exact"/>
        <w:ind w:leftChars="0" w:firstLine="440" w:firstLineChars="200"/>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（5）落实政府采购政策需满足的资格要求证明材料；</w:t>
      </w:r>
    </w:p>
    <w:p w14:paraId="21310264">
      <w:pPr>
        <w:numPr>
          <w:ilvl w:val="0"/>
          <w:numId w:val="0"/>
        </w:numPr>
        <w:snapToGrid w:val="0"/>
        <w:spacing w:line="460" w:lineRule="exact"/>
        <w:ind w:leftChars="0" w:firstLine="440" w:firstLineChars="200"/>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zh-CN" w:eastAsia="zh-CN"/>
        </w:rPr>
        <w:t>（</w:t>
      </w:r>
      <w:r>
        <w:rPr>
          <w:rFonts w:hint="eastAsia" w:ascii="宋体" w:hAnsi="宋体" w:cs="宋体"/>
          <w:color w:val="auto"/>
          <w:sz w:val="22"/>
          <w:szCs w:val="22"/>
          <w:highlight w:val="none"/>
          <w:u w:val="none"/>
          <w:lang w:val="en-US" w:eastAsia="zh-CN"/>
        </w:rPr>
        <w:t>6</w:t>
      </w:r>
      <w:r>
        <w:rPr>
          <w:rFonts w:hint="eastAsia" w:ascii="宋体" w:hAnsi="宋体" w:cs="宋体"/>
          <w:color w:val="auto"/>
          <w:sz w:val="22"/>
          <w:szCs w:val="22"/>
          <w:highlight w:val="none"/>
          <w:u w:val="none"/>
          <w:lang w:val="zh-CN" w:eastAsia="zh-CN"/>
        </w:rPr>
        <w:t>）联合体协议书（如有）</w:t>
      </w:r>
    </w:p>
    <w:p w14:paraId="0908DAAD">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14:paraId="3B8B561E">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14:paraId="0BFF5A99">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14:paraId="42A680B3">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14:paraId="3ED5287E">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14:paraId="256CE715">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14:paraId="58D24E8E">
      <w:pPr>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14:paraId="045180A2">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（1）法定代表人身份证明或授权委托书；</w:t>
      </w:r>
    </w:p>
    <w:p w14:paraId="438B1392">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14:paraId="7BEADEF5">
      <w:pPr>
        <w:snapToGrid w:val="0"/>
        <w:spacing w:line="460" w:lineRule="exact"/>
        <w:ind w:firstLine="440" w:firstLineChars="20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zh-CN" w:eastAsia="zh-CN"/>
        </w:rPr>
        <w:t>偏离表（</w:t>
      </w:r>
      <w:r>
        <w:rPr>
          <w:rFonts w:hint="eastAsia" w:ascii="宋体" w:hAnsi="宋体" w:eastAsia="宋体" w:cs="宋体"/>
          <w:color w:val="auto"/>
          <w:sz w:val="22"/>
          <w:szCs w:val="22"/>
          <w:highlight w:val="none"/>
          <w:lang w:eastAsia="zh-CN"/>
        </w:rPr>
        <w:t>商务、技术偏离</w:t>
      </w:r>
      <w:r>
        <w:rPr>
          <w:rFonts w:hint="eastAsia" w:ascii="宋体" w:hAnsi="宋体" w:eastAsia="宋体" w:cs="宋体"/>
          <w:color w:val="auto"/>
          <w:sz w:val="22"/>
          <w:szCs w:val="22"/>
          <w:highlight w:val="none"/>
          <w:lang w:val="zh-CN" w:eastAsia="zh-CN"/>
        </w:rPr>
        <w:t>）</w:t>
      </w:r>
    </w:p>
    <w:p w14:paraId="3B1BB354">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）详细供货清单说明一览表（如有）</w:t>
      </w:r>
    </w:p>
    <w:p w14:paraId="1E7E2CA9">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）备品、易损件、备件、专用工具清单（如有）</w:t>
      </w:r>
    </w:p>
    <w:p w14:paraId="5D8CE933">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）认证证书</w:t>
      </w:r>
    </w:p>
    <w:p w14:paraId="3000694E">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）深化设计</w:t>
      </w:r>
    </w:p>
    <w:p w14:paraId="2FF1440C">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）原材料检测报告</w:t>
      </w:r>
    </w:p>
    <w:p w14:paraId="0FD9CF75">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）成品检测报告</w:t>
      </w:r>
    </w:p>
    <w:p w14:paraId="662A2660">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）履约能力</w:t>
      </w:r>
    </w:p>
    <w:p w14:paraId="12472A26">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）响应方案</w:t>
      </w:r>
    </w:p>
    <w:p w14:paraId="73499A22">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）业绩案列</w:t>
      </w:r>
    </w:p>
    <w:p w14:paraId="51D92BEB">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）节能环保</w:t>
      </w:r>
    </w:p>
    <w:p w14:paraId="53022644">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）其他必要提供的资料。</w:t>
      </w:r>
    </w:p>
    <w:p w14:paraId="6053CD35">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14:paraId="75B4463C">
      <w:pPr>
        <w:pStyle w:val="30"/>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14:paraId="03355192">
      <w:pPr>
        <w:pStyle w:val="30"/>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22531E71">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57573923">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4.1投标人应根据国家的有关规定和招标文件要求并结合企业的实际情况进行投标报价。投标报价以人民币为结算货币，承包报价必须包括</w:t>
      </w:r>
      <w:r>
        <w:rPr>
          <w:rFonts w:hint="eastAsia" w:ascii="宋体" w:hAnsi="宋体" w:cs="宋体"/>
          <w:b w:val="0"/>
          <w:bCs/>
          <w:color w:val="auto"/>
          <w:sz w:val="22"/>
          <w:highlight w:val="none"/>
          <w:lang w:val="en-US" w:eastAsia="zh-CN"/>
        </w:rPr>
        <w:t>完成本项目</w:t>
      </w:r>
      <w:r>
        <w:rPr>
          <w:rFonts w:hint="eastAsia" w:ascii="宋体" w:hAnsi="宋体" w:eastAsia="宋体" w:cs="宋体"/>
          <w:b w:val="0"/>
          <w:bCs/>
          <w:color w:val="auto"/>
          <w:sz w:val="22"/>
          <w:highlight w:val="none"/>
        </w:rPr>
        <w:t>所提供相关服务所需的一切人员工资、奖金、各种加班费、高温补贴费、各种社会保险、食宿与交通、设备及工具、器材、消耗材料、管理费用、税费、利润、完成合同所需的一切本身和不可或缺的所有工作开支、政策性文件规定及合同包含的所有风险、责任等各项全部费用并承担一切风险责任。在合同服务期间内不得违反国家相关政策规定。</w:t>
      </w:r>
    </w:p>
    <w:p w14:paraId="0077795A">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14:paraId="0A448FBF">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14:paraId="093FC404">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14:paraId="555BF4A1">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14:paraId="77D0368B">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14:paraId="18EFD38C">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14:paraId="093EA848">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11AA543D">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5.1自开标之日起 </w:t>
      </w:r>
      <w:r>
        <w:rPr>
          <w:rFonts w:hint="eastAsia" w:ascii="宋体" w:hAnsi="宋体" w:cs="宋体"/>
          <w:b w:val="0"/>
          <w:bCs/>
          <w:color w:val="auto"/>
          <w:sz w:val="22"/>
          <w:szCs w:val="22"/>
          <w:highlight w:val="none"/>
          <w:lang w:val="en-US" w:eastAsia="zh-CN"/>
        </w:rPr>
        <w:t>90</w:t>
      </w:r>
      <w:r>
        <w:rPr>
          <w:rFonts w:hint="eastAsia" w:ascii="宋体" w:hAnsi="宋体" w:eastAsia="宋体" w:cs="宋体"/>
          <w:b w:val="0"/>
          <w:bCs/>
          <w:color w:val="auto"/>
          <w:sz w:val="22"/>
          <w:szCs w:val="22"/>
          <w:highlight w:val="none"/>
        </w:rPr>
        <w:t xml:space="preserve"> 天内投标应保持有效。</w:t>
      </w:r>
    </w:p>
    <w:p w14:paraId="20C274B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7CF1FC43">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14:paraId="3FD6768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26D69DCC">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14:paraId="54C7CB3C">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14:paraId="60A09583">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14:paraId="5F7C149F">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23E01121">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14:paraId="6AE0E43A">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14:paraId="14BF6107">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33310E9C">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14:paraId="16FC406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14:paraId="67CCBACB">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8.2《投标文件》应由投标人法定代表人或其授权代表签字（或盖章），并加盖投标人公章。</w:t>
      </w:r>
    </w:p>
    <w:p w14:paraId="17E7C557">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14:paraId="78A174ED">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14:paraId="62EB4DA4">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14:paraId="1A2B96DF">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14:paraId="1D3BD64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74213DB4">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14:paraId="76DF9846">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14:paraId="3DD309CD">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14:paraId="687DB844">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14:paraId="3B5DF98B">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14:paraId="2D1E924C">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14:paraId="6943D1A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14:paraId="1EE1E0A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255EF6D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169EE5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14:paraId="13F842F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486C2BCB">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072CC5D0">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30172"/>
      <w:bookmarkStart w:id="19" w:name="_Toc8079"/>
      <w:r>
        <w:rPr>
          <w:rFonts w:hint="eastAsia" w:ascii="宋体" w:hAnsi="宋体" w:eastAsia="宋体" w:cs="宋体"/>
          <w:b/>
          <w:bCs/>
          <w:color w:val="auto"/>
          <w:sz w:val="22"/>
          <w:szCs w:val="22"/>
          <w:highlight w:val="none"/>
        </w:rPr>
        <w:t>五、 开标和评标</w:t>
      </w:r>
      <w:bookmarkEnd w:id="18"/>
      <w:bookmarkEnd w:id="19"/>
    </w:p>
    <w:p w14:paraId="5A4D4631">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14524CFC">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14:paraId="16064666">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14:paraId="7D05330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6C0B235D">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14:paraId="3C91381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采购组织机构将按照招标文件规定的时间通过“政府采购云平台”组织开标、开启投标文件，所有供应商均应当准时(在线)参加。</w:t>
      </w:r>
    </w:p>
    <w:p w14:paraId="2EF87890">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4、开标准备</w:t>
      </w:r>
    </w:p>
    <w:p w14:paraId="77B5F6FE">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14:paraId="2B23F9AF">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7CE83849">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14:paraId="4680761D">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14:paraId="3B51997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3809EB75">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14:paraId="39200725">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14:paraId="7076FB19">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14:paraId="7EA7DDE4">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1BEEF29D">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14:paraId="54F80142">
      <w:pPr>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2EAB24D7">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14:paraId="2415F55B">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14:paraId="0DFA2784">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6D06A97A">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14:paraId="10F23763">
      <w:pPr>
        <w:spacing w:line="460" w:lineRule="exact"/>
        <w:ind w:firstLine="539" w:firstLineChars="245"/>
        <w:rPr>
          <w:rFonts w:hint="eastAsia" w:ascii="宋体" w:hAnsi="宋体" w:eastAsia="宋体" w:cs="宋体"/>
          <w:color w:val="auto"/>
          <w:sz w:val="22"/>
          <w:szCs w:val="22"/>
          <w:highlight w:val="none"/>
        </w:rPr>
      </w:pPr>
      <w:bookmarkStart w:id="20" w:name="_Toc24550037"/>
      <w:bookmarkStart w:id="21" w:name="_Toc33194393"/>
      <w:r>
        <w:rPr>
          <w:rFonts w:hint="eastAsia" w:ascii="宋体" w:hAnsi="宋体" w:eastAsia="宋体" w:cs="宋体"/>
          <w:color w:val="auto"/>
          <w:sz w:val="22"/>
          <w:szCs w:val="22"/>
          <w:highlight w:val="none"/>
        </w:rPr>
        <w:t>6、投标人资格审查</w:t>
      </w:r>
      <w:bookmarkEnd w:id="20"/>
      <w:bookmarkEnd w:id="21"/>
    </w:p>
    <w:p w14:paraId="5B42A99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38E51CC2">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14:paraId="6A2864D2">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14:paraId="2F55F9C8">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14:paraId="23557E8F">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14:paraId="392F31E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3C15A270">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4F287DF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5EE373E3">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14:paraId="5E904E0F">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14:paraId="377898BE">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14:paraId="6E276748">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14:paraId="4316A373">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14:paraId="2C5A230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14:paraId="7B4EA8CF">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14:paraId="556660EF">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14:paraId="0AFB4AB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65F5F1B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0962F5F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5B4960F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2495448A">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（5）不同投标人的投标文件相互混装</w:t>
      </w:r>
      <w:r>
        <w:rPr>
          <w:rFonts w:hint="eastAsia" w:ascii="宋体" w:hAnsi="宋体" w:cs="宋体"/>
          <w:color w:val="auto"/>
          <w:sz w:val="22"/>
          <w:szCs w:val="22"/>
          <w:highlight w:val="none"/>
          <w:lang w:eastAsia="zh-CN"/>
        </w:rPr>
        <w:t>；</w:t>
      </w:r>
    </w:p>
    <w:p w14:paraId="309FA87D">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不同供应商的电子投标（响应）文件上传计算机的网卡MAC地址或硬盘序列号等硬件信息相同的；</w:t>
      </w:r>
    </w:p>
    <w:p w14:paraId="2D03FDEC">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上传的电子投标（响应）文件若出现使用本项目其他投标（响应）供应商的数字证书加密的，或者加盖本项目其他投标（响应）供应商的电子印章的；</w:t>
      </w:r>
    </w:p>
    <w:p w14:paraId="424558C3">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不同供应商的投标（响应）文件的内容存在3处（含）以上错误一致的；</w:t>
      </w:r>
    </w:p>
    <w:p w14:paraId="23A742B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不同供应商联系人为同一人或不同联系人的联系电话一致的。</w:t>
      </w:r>
    </w:p>
    <w:p w14:paraId="14F21DC6">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14:paraId="6327BA6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4302320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05C4845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550316D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55B280B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45DD3767">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762551F8">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14:paraId="4FF386AD">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4B40398C">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04290777">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6C524982">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14:paraId="439968B8">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14:paraId="64134D87">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14:paraId="13177700">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79439E00">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7D5F9320">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16FDE1E6">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50BF3A7E">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w:t>
      </w:r>
      <w:r>
        <w:rPr>
          <w:rFonts w:hint="eastAsia" w:ascii="宋体" w:hAnsi="宋体" w:eastAsia="宋体" w:cs="宋体"/>
          <w:b w:val="0"/>
          <w:bCs/>
          <w:color w:val="auto"/>
          <w:sz w:val="22"/>
          <w:szCs w:val="22"/>
          <w:highlight w:val="none"/>
        </w:rPr>
        <w:t>在评标报告中记载。</w:t>
      </w:r>
    </w:p>
    <w:p w14:paraId="3ACCDF89">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6FBE21FC">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14:paraId="6232938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72B2CA04">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14:paraId="1130D2F6">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793B97C9">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3C2E8B5A">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14:paraId="5BA75AC9">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5393B405">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14:paraId="0AF77314">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14:paraId="660A3980">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14:paraId="334586F2">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t>六、 授予合同</w:t>
      </w:r>
      <w:bookmarkEnd w:id="22"/>
      <w:bookmarkEnd w:id="23"/>
    </w:p>
    <w:p w14:paraId="746B174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14:paraId="25D6208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14:paraId="3722D449">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14:paraId="4D17D301">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14:paraId="7E40593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14:paraId="589E70AB">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14:paraId="5CB2D489">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14:paraId="03D16D3E">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1F1C20B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14:paraId="7221309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14:paraId="35E16ED5">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14:paraId="51AC3540">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14:paraId="30ED1830">
      <w:pPr>
        <w:spacing w:line="460" w:lineRule="exact"/>
        <w:ind w:firstLine="568" w:firstLineChars="245"/>
        <w:rPr>
          <w:rFonts w:hint="default" w:ascii="宋体" w:hAnsi="宋体" w:cs="宋体"/>
          <w:b w:val="0"/>
          <w:bCs/>
          <w:color w:val="auto"/>
          <w:sz w:val="22"/>
          <w:highlight w:val="none"/>
          <w:lang w:val="en-US" w:eastAsia="zh-CN"/>
        </w:rPr>
      </w:pPr>
      <w:r>
        <w:rPr>
          <w:rFonts w:hint="eastAsia" w:ascii="宋体" w:hAnsi="宋体" w:eastAsia="宋体" w:cs="宋体"/>
          <w:b w:val="0"/>
          <w:bCs/>
          <w:color w:val="auto"/>
          <w:spacing w:val="6"/>
          <w:sz w:val="22"/>
          <w:szCs w:val="22"/>
          <w:highlight w:val="none"/>
          <w:lang w:val="en-US" w:eastAsia="zh-CN"/>
        </w:rPr>
        <w:t>4</w:t>
      </w:r>
      <w:r>
        <w:rPr>
          <w:rFonts w:hint="eastAsia" w:ascii="宋体" w:hAnsi="宋体" w:eastAsia="宋体" w:cs="宋体"/>
          <w:b w:val="0"/>
          <w:bCs/>
          <w:color w:val="auto"/>
          <w:spacing w:val="6"/>
          <w:sz w:val="22"/>
          <w:szCs w:val="22"/>
          <w:highlight w:val="none"/>
        </w:rPr>
        <w:t>.1</w:t>
      </w:r>
      <w:r>
        <w:rPr>
          <w:rFonts w:hint="eastAsia" w:ascii="宋体" w:hAnsi="宋体" w:cs="宋体"/>
          <w:b/>
          <w:bCs w:val="0"/>
          <w:color w:val="auto"/>
          <w:sz w:val="22"/>
          <w:highlight w:val="none"/>
          <w:lang w:val="en-US" w:eastAsia="zh-CN"/>
        </w:rPr>
        <w:t>特别提醒：</w:t>
      </w:r>
      <w:r>
        <w:rPr>
          <w:rFonts w:hint="eastAsia" w:ascii="宋体" w:hAnsi="宋体" w:eastAsia="宋体" w:cs="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lang w:eastAsia="zh-CN"/>
        </w:rPr>
        <w:t>，</w:t>
      </w:r>
      <w:r>
        <w:rPr>
          <w:rFonts w:hint="eastAsia" w:ascii="宋体" w:hAnsi="宋体" w:cs="宋体"/>
          <w:b w:val="0"/>
          <w:bCs/>
          <w:color w:val="auto"/>
          <w:sz w:val="22"/>
          <w:highlight w:val="none"/>
          <w:lang w:val="en-US" w:eastAsia="zh-CN"/>
        </w:rPr>
        <w:t>供应商在法定质疑期内应一次性提出针对同一采购程序环节的质疑，</w:t>
      </w:r>
      <w:r>
        <w:rPr>
          <w:rFonts w:hint="eastAsia" w:ascii="宋体" w:hAnsi="宋体" w:cs="宋体"/>
          <w:bCs/>
          <w:color w:val="auto"/>
          <w:sz w:val="22"/>
          <w:highlight w:val="none"/>
          <w:lang w:val="en-US" w:eastAsia="zh-CN"/>
        </w:rPr>
        <w:t>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lang w:val="en-US" w:eastAsia="zh-CN"/>
        </w:rPr>
        <w:t>。</w:t>
      </w:r>
    </w:p>
    <w:p w14:paraId="15F69F4C">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6F5E7B3C">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0C30362E">
      <w:pPr>
        <w:rPr>
          <w:rFonts w:hint="eastAsia" w:ascii="宋体" w:hAnsi="宋体" w:eastAsia="宋体" w:cs="宋体"/>
          <w:color w:val="auto"/>
          <w:highlight w:val="none"/>
        </w:rPr>
      </w:pPr>
      <w:bookmarkStart w:id="24" w:name="_Toc28194"/>
      <w:bookmarkStart w:id="25" w:name="_Toc19043"/>
    </w:p>
    <w:p w14:paraId="1CF165F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D8160F4">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14:paraId="65F1C2A2">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14:paraId="4DA296DC">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textAlignment w:val="auto"/>
        <w:rPr>
          <w:rFonts w:hint="eastAsia" w:ascii="宋体" w:hAnsi="宋体" w:eastAsia="宋体" w:cs="宋体"/>
          <w:color w:val="auto"/>
          <w:sz w:val="22"/>
          <w:szCs w:val="22"/>
          <w:highlight w:val="none"/>
        </w:rPr>
      </w:pPr>
    </w:p>
    <w:p w14:paraId="7A2B254C">
      <w:pPr>
        <w:keepNext w:val="0"/>
        <w:keepLines w:val="0"/>
        <w:pageBreakBefore w:val="0"/>
        <w:widowControl w:val="0"/>
        <w:kinsoku/>
        <w:wordWrap/>
        <w:overflowPunct/>
        <w:topLinePunct w:val="0"/>
        <w:autoSpaceDE w:val="0"/>
        <w:autoSpaceDN w:val="0"/>
        <w:bidi w:val="0"/>
        <w:adjustRightInd/>
        <w:spacing w:line="460" w:lineRule="exact"/>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zh-CN" w:eastAsia="zh-CN"/>
        </w:rPr>
        <w:t>甲方（采购单位）：</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u w:val="single"/>
          <w:lang w:val="zh-CN" w:eastAsia="zh-CN"/>
        </w:rPr>
        <w:t>温州市中医院</w:t>
      </w:r>
      <w:r>
        <w:rPr>
          <w:rFonts w:hint="eastAsia" w:ascii="宋体" w:hAnsi="宋体" w:eastAsia="宋体" w:cs="宋体"/>
          <w:b w:val="0"/>
          <w:bCs w:val="0"/>
          <w:color w:val="auto"/>
          <w:sz w:val="22"/>
          <w:szCs w:val="22"/>
          <w:highlight w:val="none"/>
          <w:u w:val="single"/>
          <w:lang w:val="en-US" w:eastAsia="zh-CN"/>
        </w:rPr>
        <w:t xml:space="preserve">   </w:t>
      </w:r>
    </w:p>
    <w:p w14:paraId="37AA0473">
      <w:pPr>
        <w:keepNext w:val="0"/>
        <w:keepLines w:val="0"/>
        <w:pageBreakBefore w:val="0"/>
        <w:widowControl w:val="0"/>
        <w:kinsoku/>
        <w:wordWrap/>
        <w:overflowPunct/>
        <w:topLinePunct w:val="0"/>
        <w:autoSpaceDE w:val="0"/>
        <w:autoSpaceDN w:val="0"/>
        <w:bidi w:val="0"/>
        <w:adjustRightInd/>
        <w:spacing w:line="460" w:lineRule="exact"/>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b w:val="0"/>
          <w:bCs w:val="0"/>
          <w:color w:val="auto"/>
          <w:sz w:val="22"/>
          <w:szCs w:val="22"/>
          <w:highlight w:val="none"/>
          <w:lang w:val="zh-CN" w:eastAsia="zh-CN"/>
        </w:rPr>
        <w:t>乙方（供应商）：</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lang w:val="zh-CN" w:eastAsia="zh-CN"/>
        </w:rPr>
        <w:t xml:space="preserve">   </w:t>
      </w:r>
      <w:r>
        <w:rPr>
          <w:rFonts w:hint="eastAsia" w:ascii="宋体" w:hAnsi="宋体" w:eastAsia="宋体" w:cs="宋体"/>
          <w:color w:val="auto"/>
          <w:sz w:val="22"/>
          <w:szCs w:val="22"/>
          <w:highlight w:val="none"/>
          <w:lang w:val="zh-CN" w:eastAsia="zh-CN"/>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val="zh-CN" w:eastAsia="zh-CN"/>
        </w:rPr>
        <w:t xml:space="preserve">       </w:t>
      </w:r>
    </w:p>
    <w:p w14:paraId="18E3E3C8">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根据《中华人民共和国政府采购法》、《中华人民共和国</w:t>
      </w:r>
      <w:r>
        <w:rPr>
          <w:rFonts w:hint="eastAsia" w:ascii="宋体" w:hAnsi="宋体" w:eastAsia="宋体" w:cs="宋体"/>
          <w:color w:val="auto"/>
          <w:sz w:val="22"/>
          <w:szCs w:val="22"/>
          <w:highlight w:val="none"/>
          <w:lang w:eastAsia="zh-CN"/>
        </w:rPr>
        <w:t>民法典</w:t>
      </w:r>
      <w:r>
        <w:rPr>
          <w:rFonts w:hint="eastAsia" w:ascii="宋体" w:hAnsi="宋体" w:eastAsia="宋体" w:cs="宋体"/>
          <w:color w:val="auto"/>
          <w:sz w:val="22"/>
          <w:szCs w:val="22"/>
          <w:highlight w:val="none"/>
        </w:rPr>
        <w:t>》等相关法律法规，以及</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eastAsia="zh-CN"/>
        </w:rPr>
        <w:t>家具采购</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项目（以下简称</w:t>
      </w:r>
      <w:r>
        <w:rPr>
          <w:rFonts w:hint="eastAsia" w:ascii="宋体" w:hAnsi="宋体" w:eastAsia="宋体" w:cs="宋体"/>
          <w:color w:val="auto"/>
          <w:sz w:val="22"/>
          <w:szCs w:val="22"/>
          <w:highlight w:val="none"/>
          <w:lang w:eastAsia="zh-CN"/>
        </w:rPr>
        <w:t>“项目”</w:t>
      </w:r>
      <w:r>
        <w:rPr>
          <w:rFonts w:hint="eastAsia" w:ascii="宋体" w:hAnsi="宋体" w:eastAsia="宋体" w:cs="宋体"/>
          <w:color w:val="auto"/>
          <w:sz w:val="22"/>
          <w:szCs w:val="22"/>
          <w:highlight w:val="none"/>
        </w:rPr>
        <w:t>）招标文件、中标供应商投标文件、项目采购协议，或入围承诺书，甲乙双方经协商一致，签署本合同。</w:t>
      </w:r>
    </w:p>
    <w:p w14:paraId="2B4B0DDF">
      <w:pPr>
        <w:keepNext w:val="0"/>
        <w:keepLines w:val="0"/>
        <w:pageBreakBefore w:val="0"/>
        <w:widowControl w:val="0"/>
        <w:kinsoku/>
        <w:wordWrap/>
        <w:overflowPunct/>
        <w:topLinePunct w:val="0"/>
        <w:autoSpaceDE w:val="0"/>
        <w:autoSpaceDN w:val="0"/>
        <w:bidi w:val="0"/>
        <w:adjustRightInd/>
        <w:snapToGrid/>
        <w:spacing w:line="460" w:lineRule="exact"/>
        <w:textAlignment w:val="auto"/>
        <w:outlineLvl w:val="1"/>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一、项目内容</w:t>
      </w:r>
    </w:p>
    <w:tbl>
      <w:tblPr>
        <w:tblStyle w:val="53"/>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117"/>
        <w:gridCol w:w="1095"/>
        <w:gridCol w:w="1875"/>
        <w:gridCol w:w="1680"/>
        <w:gridCol w:w="1350"/>
      </w:tblGrid>
      <w:tr w14:paraId="02C7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94" w:type="dxa"/>
            <w:noWrap w:val="0"/>
            <w:vAlign w:val="center"/>
          </w:tcPr>
          <w:p w14:paraId="2E7AFEBD">
            <w:pPr>
              <w:keepNext w:val="0"/>
              <w:keepLines w:val="0"/>
              <w:pageBreakBefore w:val="0"/>
              <w:widowControl w:val="0"/>
              <w:kinsoku/>
              <w:wordWrap/>
              <w:overflowPunct/>
              <w:topLinePunct w:val="0"/>
              <w:autoSpaceDE w:val="0"/>
              <w:autoSpaceDN w:val="0"/>
              <w:bidi w:val="0"/>
              <w:adjustRightIn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序号</w:t>
            </w:r>
          </w:p>
        </w:tc>
        <w:tc>
          <w:tcPr>
            <w:tcW w:w="3117" w:type="dxa"/>
            <w:noWrap w:val="0"/>
            <w:vAlign w:val="center"/>
          </w:tcPr>
          <w:p w14:paraId="1F849B00">
            <w:pPr>
              <w:keepNext w:val="0"/>
              <w:keepLines w:val="0"/>
              <w:pageBreakBefore w:val="0"/>
              <w:widowControl w:val="0"/>
              <w:kinsoku/>
              <w:wordWrap/>
              <w:overflowPunct/>
              <w:topLinePunct w:val="0"/>
              <w:autoSpaceDE w:val="0"/>
              <w:autoSpaceDN w:val="0"/>
              <w:bidi w:val="0"/>
              <w:adjustRightIn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货物名称</w:t>
            </w:r>
          </w:p>
        </w:tc>
        <w:tc>
          <w:tcPr>
            <w:tcW w:w="1095" w:type="dxa"/>
            <w:noWrap w:val="0"/>
            <w:vAlign w:val="center"/>
          </w:tcPr>
          <w:p w14:paraId="7DF54266">
            <w:pPr>
              <w:keepNext w:val="0"/>
              <w:keepLines w:val="0"/>
              <w:pageBreakBefore w:val="0"/>
              <w:widowControl w:val="0"/>
              <w:kinsoku/>
              <w:wordWrap/>
              <w:overflowPunct/>
              <w:topLinePunct w:val="0"/>
              <w:autoSpaceDE w:val="0"/>
              <w:autoSpaceDN w:val="0"/>
              <w:bidi w:val="0"/>
              <w:adjustRightIn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品牌</w:t>
            </w:r>
          </w:p>
        </w:tc>
        <w:tc>
          <w:tcPr>
            <w:tcW w:w="1875" w:type="dxa"/>
            <w:noWrap w:val="0"/>
            <w:vAlign w:val="center"/>
          </w:tcPr>
          <w:p w14:paraId="0F6D511E">
            <w:pPr>
              <w:keepNext w:val="0"/>
              <w:keepLines w:val="0"/>
              <w:pageBreakBefore w:val="0"/>
              <w:widowControl w:val="0"/>
              <w:kinsoku/>
              <w:wordWrap/>
              <w:overflowPunct/>
              <w:topLinePunct w:val="0"/>
              <w:autoSpaceDE w:val="0"/>
              <w:autoSpaceDN w:val="0"/>
              <w:bidi w:val="0"/>
              <w:adjustRightIn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型号规格</w:t>
            </w:r>
          </w:p>
        </w:tc>
        <w:tc>
          <w:tcPr>
            <w:tcW w:w="1680" w:type="dxa"/>
            <w:noWrap w:val="0"/>
            <w:vAlign w:val="center"/>
          </w:tcPr>
          <w:p w14:paraId="21177703">
            <w:pPr>
              <w:keepNext w:val="0"/>
              <w:keepLines w:val="0"/>
              <w:pageBreakBefore w:val="0"/>
              <w:widowControl w:val="0"/>
              <w:kinsoku/>
              <w:wordWrap/>
              <w:overflowPunct/>
              <w:topLinePunct w:val="0"/>
              <w:autoSpaceDE w:val="0"/>
              <w:autoSpaceDN w:val="0"/>
              <w:bidi w:val="0"/>
              <w:adjustRightIn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数量及单位</w:t>
            </w:r>
          </w:p>
        </w:tc>
        <w:tc>
          <w:tcPr>
            <w:tcW w:w="1350" w:type="dxa"/>
            <w:noWrap w:val="0"/>
            <w:vAlign w:val="center"/>
          </w:tcPr>
          <w:p w14:paraId="3308F17B">
            <w:pPr>
              <w:keepNext w:val="0"/>
              <w:keepLines w:val="0"/>
              <w:pageBreakBefore w:val="0"/>
              <w:widowControl w:val="0"/>
              <w:kinsoku/>
              <w:wordWrap/>
              <w:overflowPunct/>
              <w:topLinePunct w:val="0"/>
              <w:autoSpaceDE w:val="0"/>
              <w:autoSpaceDN w:val="0"/>
              <w:bidi w:val="0"/>
              <w:adjustRightIn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单价</w:t>
            </w:r>
          </w:p>
        </w:tc>
      </w:tr>
      <w:tr w14:paraId="70EF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4" w:type="dxa"/>
            <w:noWrap w:val="0"/>
            <w:vAlign w:val="center"/>
          </w:tcPr>
          <w:p w14:paraId="6865D6DA">
            <w:pPr>
              <w:keepNext w:val="0"/>
              <w:keepLines w:val="0"/>
              <w:pageBreakBefore w:val="0"/>
              <w:widowControl w:val="0"/>
              <w:kinsoku/>
              <w:wordWrap/>
              <w:overflowPunct/>
              <w:topLinePunct w:val="0"/>
              <w:autoSpaceDE w:val="0"/>
              <w:autoSpaceDN w:val="0"/>
              <w:bidi w:val="0"/>
              <w:adjustRightIn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p>
        </w:tc>
        <w:tc>
          <w:tcPr>
            <w:tcW w:w="3117" w:type="dxa"/>
            <w:noWrap w:val="0"/>
            <w:vAlign w:val="center"/>
          </w:tcPr>
          <w:p w14:paraId="064326FC">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jc w:val="center"/>
              <w:textAlignment w:val="auto"/>
              <w:rPr>
                <w:rFonts w:hint="eastAsia" w:ascii="宋体" w:hAnsi="宋体" w:eastAsia="宋体" w:cs="宋体"/>
                <w:color w:val="auto"/>
                <w:sz w:val="22"/>
                <w:szCs w:val="22"/>
                <w:highlight w:val="none"/>
                <w:lang w:eastAsia="zh-CN"/>
              </w:rPr>
            </w:pPr>
          </w:p>
        </w:tc>
        <w:tc>
          <w:tcPr>
            <w:tcW w:w="1095" w:type="dxa"/>
            <w:noWrap w:val="0"/>
            <w:vAlign w:val="center"/>
          </w:tcPr>
          <w:p w14:paraId="5C5703C6">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jc w:val="center"/>
              <w:textAlignment w:val="auto"/>
              <w:rPr>
                <w:rFonts w:hint="eastAsia" w:ascii="宋体" w:hAnsi="宋体" w:eastAsia="宋体" w:cs="宋体"/>
                <w:color w:val="auto"/>
                <w:sz w:val="22"/>
                <w:szCs w:val="22"/>
                <w:highlight w:val="none"/>
                <w:lang w:eastAsia="zh-CN"/>
              </w:rPr>
            </w:pPr>
          </w:p>
        </w:tc>
        <w:tc>
          <w:tcPr>
            <w:tcW w:w="1875" w:type="dxa"/>
            <w:noWrap w:val="0"/>
            <w:vAlign w:val="center"/>
          </w:tcPr>
          <w:p w14:paraId="2A92D358">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jc w:val="center"/>
              <w:textAlignment w:val="auto"/>
              <w:rPr>
                <w:rFonts w:hint="eastAsia" w:ascii="宋体" w:hAnsi="宋体" w:eastAsia="宋体" w:cs="宋体"/>
                <w:color w:val="auto"/>
                <w:sz w:val="22"/>
                <w:szCs w:val="22"/>
                <w:highlight w:val="none"/>
                <w:lang w:eastAsia="zh-CN"/>
              </w:rPr>
            </w:pPr>
          </w:p>
        </w:tc>
        <w:tc>
          <w:tcPr>
            <w:tcW w:w="1680" w:type="dxa"/>
            <w:noWrap w:val="0"/>
            <w:vAlign w:val="center"/>
          </w:tcPr>
          <w:p w14:paraId="69F7CC89">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jc w:val="center"/>
              <w:textAlignment w:val="auto"/>
              <w:rPr>
                <w:rFonts w:hint="eastAsia" w:ascii="宋体" w:hAnsi="宋体" w:eastAsia="宋体" w:cs="宋体"/>
                <w:color w:val="auto"/>
                <w:sz w:val="22"/>
                <w:szCs w:val="22"/>
                <w:highlight w:val="none"/>
                <w:lang w:val="en-US" w:eastAsia="zh-CN"/>
              </w:rPr>
            </w:pPr>
          </w:p>
        </w:tc>
        <w:tc>
          <w:tcPr>
            <w:tcW w:w="1350" w:type="dxa"/>
            <w:noWrap w:val="0"/>
            <w:vAlign w:val="center"/>
          </w:tcPr>
          <w:p w14:paraId="4298CA78">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jc w:val="center"/>
              <w:textAlignment w:val="auto"/>
              <w:rPr>
                <w:rFonts w:hint="eastAsia" w:ascii="宋体" w:hAnsi="宋体" w:eastAsia="宋体" w:cs="宋体"/>
                <w:color w:val="auto"/>
                <w:sz w:val="22"/>
                <w:szCs w:val="22"/>
                <w:highlight w:val="none"/>
                <w:lang w:eastAsia="zh-CN"/>
              </w:rPr>
            </w:pPr>
          </w:p>
        </w:tc>
      </w:tr>
      <w:tr w14:paraId="5513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4" w:type="dxa"/>
            <w:noWrap w:val="0"/>
            <w:vAlign w:val="center"/>
          </w:tcPr>
          <w:p w14:paraId="5C8A8F63">
            <w:pPr>
              <w:keepNext w:val="0"/>
              <w:keepLines w:val="0"/>
              <w:pageBreakBefore w:val="0"/>
              <w:widowControl w:val="0"/>
              <w:kinsoku/>
              <w:wordWrap/>
              <w:overflowPunct/>
              <w:topLinePunct w:val="0"/>
              <w:autoSpaceDE w:val="0"/>
              <w:autoSpaceDN w:val="0"/>
              <w:bidi w:val="0"/>
              <w:adjustRightIn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w:t>
            </w:r>
          </w:p>
        </w:tc>
        <w:tc>
          <w:tcPr>
            <w:tcW w:w="3117" w:type="dxa"/>
            <w:noWrap w:val="0"/>
            <w:vAlign w:val="center"/>
          </w:tcPr>
          <w:p w14:paraId="4DA25871">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jc w:val="center"/>
              <w:textAlignment w:val="auto"/>
              <w:rPr>
                <w:rFonts w:hint="eastAsia" w:ascii="宋体" w:hAnsi="宋体" w:eastAsia="宋体" w:cs="宋体"/>
                <w:color w:val="auto"/>
                <w:sz w:val="22"/>
                <w:szCs w:val="22"/>
                <w:highlight w:val="none"/>
                <w:lang w:eastAsia="zh-CN"/>
              </w:rPr>
            </w:pPr>
          </w:p>
        </w:tc>
        <w:tc>
          <w:tcPr>
            <w:tcW w:w="1095" w:type="dxa"/>
            <w:noWrap w:val="0"/>
            <w:vAlign w:val="center"/>
          </w:tcPr>
          <w:p w14:paraId="151180DE">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jc w:val="center"/>
              <w:textAlignment w:val="auto"/>
              <w:rPr>
                <w:rFonts w:hint="eastAsia" w:ascii="宋体" w:hAnsi="宋体" w:eastAsia="宋体" w:cs="宋体"/>
                <w:color w:val="auto"/>
                <w:sz w:val="22"/>
                <w:szCs w:val="22"/>
                <w:highlight w:val="none"/>
                <w:lang w:eastAsia="zh-CN"/>
              </w:rPr>
            </w:pPr>
          </w:p>
        </w:tc>
        <w:tc>
          <w:tcPr>
            <w:tcW w:w="1875" w:type="dxa"/>
            <w:noWrap w:val="0"/>
            <w:vAlign w:val="center"/>
          </w:tcPr>
          <w:p w14:paraId="15F0985A">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jc w:val="center"/>
              <w:textAlignment w:val="auto"/>
              <w:rPr>
                <w:rFonts w:hint="eastAsia" w:ascii="宋体" w:hAnsi="宋体" w:eastAsia="宋体" w:cs="宋体"/>
                <w:color w:val="auto"/>
                <w:sz w:val="22"/>
                <w:szCs w:val="22"/>
                <w:highlight w:val="none"/>
                <w:lang w:eastAsia="zh-CN"/>
              </w:rPr>
            </w:pPr>
          </w:p>
        </w:tc>
        <w:tc>
          <w:tcPr>
            <w:tcW w:w="1680" w:type="dxa"/>
            <w:noWrap w:val="0"/>
            <w:vAlign w:val="center"/>
          </w:tcPr>
          <w:p w14:paraId="45FCDAA6">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jc w:val="center"/>
              <w:textAlignment w:val="auto"/>
              <w:rPr>
                <w:rFonts w:hint="eastAsia" w:ascii="宋体" w:hAnsi="宋体" w:eastAsia="宋体" w:cs="宋体"/>
                <w:color w:val="auto"/>
                <w:sz w:val="22"/>
                <w:szCs w:val="22"/>
                <w:highlight w:val="none"/>
                <w:lang w:val="en-US" w:eastAsia="zh-CN"/>
              </w:rPr>
            </w:pPr>
          </w:p>
        </w:tc>
        <w:tc>
          <w:tcPr>
            <w:tcW w:w="1350" w:type="dxa"/>
            <w:noWrap w:val="0"/>
            <w:vAlign w:val="center"/>
          </w:tcPr>
          <w:p w14:paraId="7399CA18">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jc w:val="center"/>
              <w:textAlignment w:val="auto"/>
              <w:rPr>
                <w:rFonts w:hint="eastAsia" w:ascii="宋体" w:hAnsi="宋体" w:eastAsia="宋体" w:cs="宋体"/>
                <w:color w:val="auto"/>
                <w:sz w:val="22"/>
                <w:szCs w:val="22"/>
                <w:highlight w:val="none"/>
                <w:lang w:eastAsia="zh-CN"/>
              </w:rPr>
            </w:pPr>
          </w:p>
        </w:tc>
      </w:tr>
      <w:tr w14:paraId="793F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11" w:type="dxa"/>
            <w:gridSpan w:val="6"/>
            <w:noWrap w:val="0"/>
            <w:vAlign w:val="center"/>
          </w:tcPr>
          <w:p w14:paraId="5EEF3466">
            <w:pPr>
              <w:keepNext w:val="0"/>
              <w:keepLines w:val="0"/>
              <w:pageBreakBefore w:val="0"/>
              <w:widowControl w:val="0"/>
              <w:kinsoku/>
              <w:wordWrap/>
              <w:overflowPunct/>
              <w:topLinePunct w:val="0"/>
              <w:autoSpaceDE w:val="0"/>
              <w:autoSpaceDN w:val="0"/>
              <w:bidi w:val="0"/>
              <w:adjustRightInd/>
              <w:spacing w:line="4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小写：￥</w:t>
            </w:r>
            <w:r>
              <w:rPr>
                <w:rFonts w:hint="eastAsia" w:ascii="宋体" w:hAnsi="宋体" w:eastAsia="宋体" w:cs="宋体"/>
                <w:color w:val="auto"/>
                <w:sz w:val="22"/>
                <w:szCs w:val="22"/>
                <w:highlight w:val="none"/>
                <w:lang w:val="en-US" w:eastAsia="zh-CN"/>
              </w:rPr>
              <w:t xml:space="preserve">                     </w:t>
            </w:r>
          </w:p>
        </w:tc>
      </w:tr>
      <w:tr w14:paraId="44C2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11" w:type="dxa"/>
            <w:gridSpan w:val="6"/>
            <w:noWrap w:val="0"/>
            <w:vAlign w:val="center"/>
          </w:tcPr>
          <w:p w14:paraId="00B4AFF0">
            <w:pPr>
              <w:keepNext w:val="0"/>
              <w:keepLines w:val="0"/>
              <w:pageBreakBefore w:val="0"/>
              <w:widowControl w:val="0"/>
              <w:kinsoku/>
              <w:wordWrap/>
              <w:overflowPunct/>
              <w:topLinePunct w:val="0"/>
              <w:autoSpaceDE w:val="0"/>
              <w:autoSpaceDN w:val="0"/>
              <w:bidi w:val="0"/>
              <w:adjustRightInd/>
              <w:spacing w:line="46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大写：</w:t>
            </w:r>
          </w:p>
        </w:tc>
      </w:tr>
    </w:tbl>
    <w:p w14:paraId="45E4ED1C">
      <w:pPr>
        <w:keepNext w:val="0"/>
        <w:keepLines w:val="0"/>
        <w:pageBreakBefore w:val="0"/>
        <w:widowControl w:val="0"/>
        <w:kinsoku/>
        <w:wordWrap/>
        <w:overflowPunct/>
        <w:topLinePunct w:val="0"/>
        <w:autoSpaceDE w:val="0"/>
        <w:autoSpaceDN w:val="0"/>
        <w:bidi w:val="0"/>
        <w:adjustRightInd/>
        <w:spacing w:line="460" w:lineRule="exact"/>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金额单位：元</w:t>
      </w:r>
    </w:p>
    <w:p w14:paraId="13A9B62E">
      <w:pPr>
        <w:keepNext w:val="0"/>
        <w:keepLines w:val="0"/>
        <w:pageBreakBefore w:val="0"/>
        <w:widowControl w:val="0"/>
        <w:kinsoku/>
        <w:wordWrap/>
        <w:overflowPunct/>
        <w:topLinePunct w:val="0"/>
        <w:autoSpaceDE w:val="0"/>
        <w:autoSpaceDN w:val="0"/>
        <w:bidi w:val="0"/>
        <w:adjustRightInd/>
        <w:spacing w:line="46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货物</w:t>
      </w:r>
      <w:r>
        <w:rPr>
          <w:rFonts w:hint="eastAsia" w:ascii="宋体" w:hAnsi="宋体" w:eastAsia="宋体" w:cs="宋体"/>
          <w:color w:val="auto"/>
          <w:sz w:val="22"/>
          <w:szCs w:val="22"/>
          <w:highlight w:val="none"/>
        </w:rPr>
        <w:t>型号、数量、配置要求及使用单位地址等详见附件清单</w:t>
      </w:r>
      <w:r>
        <w:rPr>
          <w:rFonts w:hint="eastAsia" w:ascii="宋体" w:hAnsi="宋体" w:eastAsia="宋体" w:cs="宋体"/>
          <w:color w:val="auto"/>
          <w:sz w:val="22"/>
          <w:szCs w:val="22"/>
          <w:highlight w:val="none"/>
          <w:lang w:eastAsia="zh-CN"/>
        </w:rPr>
        <w:t>；</w:t>
      </w:r>
    </w:p>
    <w:p w14:paraId="0F6F7A3C">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2、以上合同总价包含货物到达</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并能正常使用所需的一切费用，包括但不限于包装费、运输费、装卸费、保险费、安装调试费、技术服务费、培训费以及保修费、税费等。</w:t>
      </w:r>
    </w:p>
    <w:p w14:paraId="110B9AC8">
      <w:pPr>
        <w:keepNext w:val="0"/>
        <w:keepLines w:val="0"/>
        <w:pageBreakBefore w:val="0"/>
        <w:widowControl w:val="0"/>
        <w:kinsoku/>
        <w:wordWrap/>
        <w:overflowPunct/>
        <w:topLinePunct w:val="0"/>
        <w:autoSpaceDE w:val="0"/>
        <w:autoSpaceDN w:val="0"/>
        <w:bidi w:val="0"/>
        <w:adjustRightInd/>
        <w:snapToGrid/>
        <w:spacing w:line="460" w:lineRule="exact"/>
        <w:textAlignment w:val="auto"/>
        <w:outlineLvl w:val="1"/>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二、技术资料</w:t>
      </w:r>
    </w:p>
    <w:p w14:paraId="2CB2EB62">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textAlignment w:val="auto"/>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zh-CN" w:eastAsia="zh-CN"/>
        </w:rPr>
        <w:t>1</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rPr>
        <w:t>乙方应按招标文件规定的时间向甲方提供使用货物的有关技术资料。</w:t>
      </w:r>
    </w:p>
    <w:p w14:paraId="4093AB39">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textAlignment w:val="auto"/>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zh-CN" w:eastAsia="zh-CN"/>
        </w:rPr>
        <w:t>2</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D3164AD">
      <w:pPr>
        <w:pStyle w:val="5"/>
        <w:keepNext w:val="0"/>
        <w:keepLines w:val="0"/>
        <w:pageBreakBefore w:val="0"/>
        <w:widowControl w:val="0"/>
        <w:kinsoku/>
        <w:wordWrap/>
        <w:overflowPunct/>
        <w:topLinePunct w:val="0"/>
        <w:autoSpaceDE w:val="0"/>
        <w:autoSpaceDN w:val="0"/>
        <w:bidi w:val="0"/>
        <w:adjustRightInd/>
        <w:spacing w:before="0"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三、知识产权</w:t>
      </w:r>
    </w:p>
    <w:p w14:paraId="18BEFE0D">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乙方应保证所提供的货物或其任何一部分均不会侵犯任何第三方的知识产</w:t>
      </w:r>
      <w:r>
        <w:rPr>
          <w:rFonts w:hint="eastAsia" w:ascii="宋体" w:hAnsi="宋体" w:eastAsia="宋体" w:cs="宋体"/>
          <w:color w:val="auto"/>
          <w:kern w:val="0"/>
          <w:sz w:val="22"/>
          <w:szCs w:val="22"/>
          <w:highlight w:val="none"/>
          <w:lang w:val="zh-CN" w:eastAsia="zh-CN" w:bidi="ar-SA"/>
        </w:rPr>
        <w:t>权。</w:t>
      </w:r>
      <w:r>
        <w:rPr>
          <w:rFonts w:hint="eastAsia" w:ascii="宋体" w:hAnsi="宋体" w:eastAsia="宋体" w:cs="宋体"/>
          <w:color w:val="auto"/>
          <w:kern w:val="0"/>
          <w:sz w:val="22"/>
          <w:szCs w:val="22"/>
          <w:highlight w:val="none"/>
          <w:lang w:val="zh-CN" w:eastAsia="zh-CN" w:bidi="ar-SA"/>
        </w:rPr>
        <w:t>乙方应承担由此可能产生的一切法律责任和费用。</w:t>
      </w:r>
    </w:p>
    <w:p w14:paraId="11F137B1">
      <w:pPr>
        <w:pStyle w:val="5"/>
        <w:keepNext w:val="0"/>
        <w:keepLines w:val="0"/>
        <w:pageBreakBefore w:val="0"/>
        <w:widowControl w:val="0"/>
        <w:kinsoku/>
        <w:wordWrap/>
        <w:overflowPunct/>
        <w:topLinePunct w:val="0"/>
        <w:autoSpaceDE w:val="0"/>
        <w:autoSpaceDN w:val="0"/>
        <w:bidi w:val="0"/>
        <w:adjustRightInd/>
        <w:spacing w:before="0"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四、产权担保</w:t>
      </w:r>
    </w:p>
    <w:p w14:paraId="49321B49">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textAlignment w:val="auto"/>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乙方保证所交付的货物的所有权完全属于乙方且无任何抵押、查封等产权瑕疵。</w:t>
      </w:r>
    </w:p>
    <w:p w14:paraId="06A5D958">
      <w:pPr>
        <w:pStyle w:val="5"/>
        <w:keepNext w:val="0"/>
        <w:keepLines w:val="0"/>
        <w:pageBreakBefore w:val="0"/>
        <w:widowControl w:val="0"/>
        <w:kinsoku/>
        <w:wordWrap/>
        <w:overflowPunct/>
        <w:topLinePunct w:val="0"/>
        <w:autoSpaceDE w:val="0"/>
        <w:autoSpaceDN w:val="0"/>
        <w:bidi w:val="0"/>
        <w:adjustRightInd/>
        <w:spacing w:before="0"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五、转包或分包</w:t>
      </w:r>
    </w:p>
    <w:p w14:paraId="66D62C58">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本合同范围的货物，应由乙方直接供应，不得转让他人供应，否则，甲方有权解除合同，没收</w:t>
      </w:r>
      <w:r>
        <w:rPr>
          <w:rFonts w:hint="eastAsia" w:ascii="宋体" w:hAnsi="宋体" w:eastAsia="宋体" w:cs="宋体"/>
          <w:color w:val="auto"/>
          <w:sz w:val="22"/>
          <w:szCs w:val="22"/>
          <w:highlight w:val="none"/>
          <w:lang w:eastAsia="zh-CN"/>
        </w:rPr>
        <w:t>质量</w:t>
      </w:r>
      <w:r>
        <w:rPr>
          <w:rFonts w:hint="eastAsia" w:ascii="宋体" w:hAnsi="宋体" w:eastAsia="宋体" w:cs="宋体"/>
          <w:color w:val="auto"/>
          <w:sz w:val="22"/>
          <w:szCs w:val="22"/>
          <w:highlight w:val="none"/>
        </w:rPr>
        <w:t>保证金并追究乙方的违约责任。</w:t>
      </w:r>
    </w:p>
    <w:p w14:paraId="26FE9B36">
      <w:pPr>
        <w:pStyle w:val="5"/>
        <w:keepNext w:val="0"/>
        <w:keepLines w:val="0"/>
        <w:pageBreakBefore w:val="0"/>
        <w:widowControl w:val="0"/>
        <w:kinsoku/>
        <w:wordWrap/>
        <w:overflowPunct/>
        <w:topLinePunct w:val="0"/>
        <w:autoSpaceDE w:val="0"/>
        <w:autoSpaceDN w:val="0"/>
        <w:bidi w:val="0"/>
        <w:adjustRightInd/>
        <w:spacing w:before="0"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六、质保期</w:t>
      </w:r>
    </w:p>
    <w:p w14:paraId="55DDA741">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left="336" w:leftChars="160" w:firstLine="45" w:firstLineChars="22"/>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 xml:space="preserve">质保期为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年。（自交货验收合格之日起计）</w:t>
      </w:r>
    </w:p>
    <w:p w14:paraId="02115FA3">
      <w:pPr>
        <w:pStyle w:val="5"/>
        <w:keepNext w:val="0"/>
        <w:keepLines w:val="0"/>
        <w:pageBreakBefore w:val="0"/>
        <w:widowControl w:val="0"/>
        <w:kinsoku/>
        <w:wordWrap/>
        <w:overflowPunct/>
        <w:topLinePunct w:val="0"/>
        <w:autoSpaceDE w:val="0"/>
        <w:autoSpaceDN w:val="0"/>
        <w:bidi w:val="0"/>
        <w:adjustRightInd/>
        <w:spacing w:before="0"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七、交货期、交货方式及交货地点</w:t>
      </w:r>
    </w:p>
    <w:p w14:paraId="26D05974">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textAlignment w:val="auto"/>
        <w:rPr>
          <w:rFonts w:hint="eastAsia" w:ascii="宋体" w:hAnsi="宋体" w:eastAsia="宋体" w:cs="宋体"/>
          <w:color w:val="auto"/>
          <w:sz w:val="22"/>
          <w:szCs w:val="22"/>
          <w:highlight w:val="none"/>
          <w:lang w:val="zh-CN" w:eastAsia="zh-CN"/>
        </w:rPr>
      </w:pPr>
      <w:r>
        <w:rPr>
          <w:rFonts w:hint="default" w:ascii="宋体" w:hAnsi="宋体" w:eastAsia="宋体" w:cs="宋体"/>
          <w:color w:val="auto"/>
          <w:sz w:val="22"/>
          <w:szCs w:val="22"/>
          <w:highlight w:val="none"/>
          <w:lang w:val="zh-CN" w:eastAsia="zh-CN"/>
        </w:rPr>
        <w:t>1</w:t>
      </w:r>
      <w:r>
        <w:rPr>
          <w:rFonts w:hint="eastAsia" w:ascii="宋体" w:hAnsi="宋体" w:eastAsia="宋体" w:cs="宋体"/>
          <w:color w:val="auto"/>
          <w:sz w:val="22"/>
          <w:szCs w:val="22"/>
          <w:highlight w:val="none"/>
          <w:lang w:val="zh-CN" w:eastAsia="zh-CN"/>
        </w:rPr>
        <w:t>、交货期：合同签订后</w:t>
      </w:r>
      <w:r>
        <w:rPr>
          <w:rFonts w:hint="eastAsia" w:ascii="宋体" w:hAnsi="宋体" w:eastAsia="宋体" w:cs="宋体"/>
          <w:color w:val="auto"/>
          <w:sz w:val="22"/>
          <w:szCs w:val="22"/>
          <w:highlight w:val="none"/>
          <w:u w:val="single"/>
          <w:lang w:val="zh-CN" w:eastAsia="zh-CN"/>
        </w:rPr>
        <w:t xml:space="preserve">    </w:t>
      </w:r>
      <w:r>
        <w:rPr>
          <w:rFonts w:hint="eastAsia" w:ascii="宋体" w:hAnsi="宋体" w:eastAsia="宋体" w:cs="宋体"/>
          <w:color w:val="auto"/>
          <w:sz w:val="22"/>
          <w:szCs w:val="22"/>
          <w:highlight w:val="none"/>
          <w:lang w:val="zh-CN" w:eastAsia="zh-CN"/>
        </w:rPr>
        <w:t>个工作日内</w:t>
      </w:r>
    </w:p>
    <w:p w14:paraId="7FF29970">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textAlignment w:val="auto"/>
        <w:rPr>
          <w:rFonts w:hint="eastAsia" w:ascii="宋体" w:hAnsi="宋体" w:eastAsia="宋体" w:cs="宋体"/>
          <w:color w:val="auto"/>
          <w:sz w:val="22"/>
          <w:szCs w:val="22"/>
          <w:highlight w:val="none"/>
          <w:lang w:val="zh-CN" w:eastAsia="zh-CN"/>
        </w:rPr>
      </w:pPr>
      <w:r>
        <w:rPr>
          <w:rFonts w:hint="default" w:ascii="宋体" w:hAnsi="宋体" w:eastAsia="宋体" w:cs="宋体"/>
          <w:color w:val="auto"/>
          <w:sz w:val="22"/>
          <w:szCs w:val="22"/>
          <w:highlight w:val="none"/>
          <w:lang w:val="zh-CN" w:eastAsia="zh-CN"/>
        </w:rPr>
        <w:t>2</w:t>
      </w:r>
      <w:r>
        <w:rPr>
          <w:rFonts w:hint="eastAsia" w:ascii="宋体" w:hAnsi="宋体" w:eastAsia="宋体" w:cs="宋体"/>
          <w:color w:val="auto"/>
          <w:sz w:val="22"/>
          <w:szCs w:val="22"/>
          <w:highlight w:val="none"/>
          <w:lang w:val="zh-CN" w:eastAsia="zh-CN"/>
        </w:rPr>
        <w:t>、交货方式：按甲方指定地点送货上门</w:t>
      </w:r>
    </w:p>
    <w:p w14:paraId="25C1FF00">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textAlignment w:val="auto"/>
        <w:rPr>
          <w:rFonts w:hint="eastAsia" w:ascii="宋体" w:hAnsi="宋体" w:eastAsia="宋体" w:cs="宋体"/>
          <w:color w:val="auto"/>
          <w:sz w:val="22"/>
          <w:szCs w:val="22"/>
          <w:highlight w:val="none"/>
          <w:lang w:val="zh-CN" w:eastAsia="zh-CN"/>
        </w:rPr>
      </w:pPr>
      <w:r>
        <w:rPr>
          <w:rFonts w:hint="default" w:ascii="宋体" w:hAnsi="宋体" w:eastAsia="宋体" w:cs="宋体"/>
          <w:color w:val="auto"/>
          <w:sz w:val="22"/>
          <w:szCs w:val="22"/>
          <w:highlight w:val="none"/>
          <w:lang w:val="zh-CN" w:eastAsia="zh-CN"/>
        </w:rPr>
        <w:t>3</w:t>
      </w:r>
      <w:r>
        <w:rPr>
          <w:rFonts w:hint="eastAsia" w:ascii="宋体" w:hAnsi="宋体" w:eastAsia="宋体" w:cs="宋体"/>
          <w:color w:val="auto"/>
          <w:sz w:val="22"/>
          <w:szCs w:val="22"/>
          <w:highlight w:val="none"/>
          <w:lang w:val="zh-CN" w:eastAsia="zh-CN"/>
        </w:rPr>
        <w:t>、交货地点：甲方指定地点</w:t>
      </w:r>
    </w:p>
    <w:p w14:paraId="4F19701B">
      <w:pPr>
        <w:keepNext w:val="0"/>
        <w:keepLines w:val="0"/>
        <w:pageBreakBefore w:val="0"/>
        <w:widowControl w:val="0"/>
        <w:tabs>
          <w:tab w:val="left" w:pos="522"/>
        </w:tabs>
        <w:kinsoku/>
        <w:wordWrap/>
        <w:overflowPunct/>
        <w:topLinePunct w:val="0"/>
        <w:autoSpaceDE w:val="0"/>
        <w:autoSpaceDN w:val="0"/>
        <w:bidi w:val="0"/>
        <w:adjustRightInd/>
        <w:spacing w:line="460" w:lineRule="exact"/>
        <w:ind w:left="-109" w:leftChars="-52" w:right="5231" w:rightChars="2491"/>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pacing w:val="10"/>
          <w:sz w:val="22"/>
          <w:szCs w:val="22"/>
          <w:highlight w:val="none"/>
        </w:rPr>
        <w:t>八、货款支付</w:t>
      </w:r>
    </w:p>
    <w:p w14:paraId="3B6CD314">
      <w:pPr>
        <w:keepNext w:val="0"/>
        <w:keepLines w:val="0"/>
        <w:pageBreakBefore w:val="0"/>
        <w:widowControl w:val="0"/>
        <w:kinsoku/>
        <w:wordWrap/>
        <w:overflowPunct/>
        <w:topLinePunct w:val="0"/>
        <w:autoSpaceDE w:val="0"/>
        <w:autoSpaceDN w:val="0"/>
        <w:bidi w:val="0"/>
        <w:adjustRightInd/>
        <w:spacing w:line="4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在满足合同约定支付条件且资金到位的前提下，按如下方式支付：合同生效后甲方收到乙方提供合格税务发票7个工作日内先支付合同价款的40%预付款；项目建设完成并验收合格后，甲方收到乙方提供合格税务发票7个工作日内支付合同价款60%。</w:t>
      </w:r>
    </w:p>
    <w:p w14:paraId="0048004E">
      <w:pPr>
        <w:keepNext w:val="0"/>
        <w:keepLines w:val="0"/>
        <w:pageBreakBefore w:val="0"/>
        <w:widowControl w:val="0"/>
        <w:kinsoku/>
        <w:wordWrap/>
        <w:overflowPunct/>
        <w:topLinePunct w:val="0"/>
        <w:autoSpaceDE w:val="0"/>
        <w:autoSpaceDN w:val="0"/>
        <w:bidi w:val="0"/>
        <w:adjustRightInd/>
        <w:spacing w:line="46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2、本项目不收取履约保证金。</w:t>
      </w:r>
    </w:p>
    <w:p w14:paraId="7141068A">
      <w:pPr>
        <w:keepNext w:val="0"/>
        <w:keepLines w:val="0"/>
        <w:pageBreakBefore w:val="0"/>
        <w:widowControl w:val="0"/>
        <w:tabs>
          <w:tab w:val="left" w:pos="522"/>
        </w:tabs>
        <w:kinsoku/>
        <w:wordWrap/>
        <w:overflowPunct/>
        <w:topLinePunct w:val="0"/>
        <w:autoSpaceDE w:val="0"/>
        <w:autoSpaceDN w:val="0"/>
        <w:bidi w:val="0"/>
        <w:adjustRightInd/>
        <w:spacing w:line="460" w:lineRule="exact"/>
        <w:ind w:left="-109" w:leftChars="-52" w:right="5231" w:rightChars="2491"/>
        <w:textAlignment w:val="auto"/>
        <w:rPr>
          <w:rFonts w:hint="eastAsia" w:ascii="宋体" w:hAnsi="宋体" w:eastAsia="宋体" w:cs="宋体"/>
          <w:b/>
          <w:color w:val="auto"/>
          <w:spacing w:val="10"/>
          <w:sz w:val="22"/>
          <w:szCs w:val="22"/>
          <w:highlight w:val="none"/>
        </w:rPr>
      </w:pPr>
      <w:r>
        <w:rPr>
          <w:rFonts w:hint="eastAsia" w:ascii="宋体" w:hAnsi="宋体" w:eastAsia="宋体" w:cs="宋体"/>
          <w:b/>
          <w:color w:val="auto"/>
          <w:spacing w:val="10"/>
          <w:sz w:val="22"/>
          <w:szCs w:val="22"/>
          <w:highlight w:val="none"/>
        </w:rPr>
        <w:t>九、税费</w:t>
      </w:r>
    </w:p>
    <w:p w14:paraId="2FE9F33C">
      <w:pPr>
        <w:pStyle w:val="21"/>
        <w:keepNext w:val="0"/>
        <w:keepLines w:val="0"/>
        <w:pageBreakBefore w:val="0"/>
        <w:widowControl w:val="0"/>
        <w:kinsoku/>
        <w:wordWrap/>
        <w:overflowPunct/>
        <w:topLinePunct w:val="0"/>
        <w:autoSpaceDE w:val="0"/>
        <w:autoSpaceDN w:val="0"/>
        <w:bidi w:val="0"/>
        <w:adjustRightInd/>
        <w:spacing w:line="460" w:lineRule="exact"/>
        <w:ind w:left="126" w:leftChars="60" w:firstLine="220" w:firstLineChars="100"/>
        <w:textAlignment w:val="auto"/>
        <w:rPr>
          <w:rFonts w:hint="eastAsia" w:ascii="宋体" w:hAnsi="宋体" w:eastAsia="宋体" w:cs="宋体"/>
          <w:b w:val="0"/>
          <w:color w:val="auto"/>
          <w:kern w:val="2"/>
          <w:sz w:val="22"/>
          <w:szCs w:val="22"/>
          <w:highlight w:val="none"/>
          <w:lang w:val="zh-CN" w:eastAsia="zh-CN" w:bidi="ar-SA"/>
        </w:rPr>
      </w:pPr>
      <w:r>
        <w:rPr>
          <w:rFonts w:hint="eastAsia" w:ascii="宋体" w:hAnsi="宋体" w:eastAsia="宋体" w:cs="宋体"/>
          <w:b w:val="0"/>
          <w:color w:val="auto"/>
          <w:kern w:val="2"/>
          <w:sz w:val="22"/>
          <w:szCs w:val="22"/>
          <w:highlight w:val="none"/>
          <w:lang w:val="zh-CN" w:eastAsia="zh-CN" w:bidi="ar-SA"/>
        </w:rPr>
        <w:t>本合同履行中相关的一切税费均由乙方负担。</w:t>
      </w:r>
    </w:p>
    <w:p w14:paraId="452371F3">
      <w:pPr>
        <w:pStyle w:val="5"/>
        <w:keepNext w:val="0"/>
        <w:keepLines w:val="0"/>
        <w:pageBreakBefore w:val="0"/>
        <w:widowControl w:val="0"/>
        <w:kinsoku/>
        <w:wordWrap/>
        <w:overflowPunct/>
        <w:topLinePunct w:val="0"/>
        <w:autoSpaceDE w:val="0"/>
        <w:autoSpaceDN w:val="0"/>
        <w:bidi w:val="0"/>
        <w:adjustRightInd/>
        <w:spacing w:before="0"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十、质量保证及售后服务</w:t>
      </w:r>
    </w:p>
    <w:p w14:paraId="1F88F207">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kern w:val="0"/>
          <w:sz w:val="22"/>
          <w:szCs w:val="22"/>
          <w:highlight w:val="none"/>
          <w:lang w:val="zh-CN" w:eastAsia="zh-CN" w:bidi="ar-SA"/>
        </w:rPr>
      </w:pPr>
      <w:r>
        <w:rPr>
          <w:rFonts w:hint="default" w:ascii="宋体" w:hAnsi="宋体" w:eastAsia="宋体" w:cs="宋体"/>
          <w:color w:val="auto"/>
          <w:kern w:val="0"/>
          <w:sz w:val="22"/>
          <w:szCs w:val="22"/>
          <w:highlight w:val="none"/>
          <w:lang w:val="zh-CN" w:eastAsia="zh-CN" w:bidi="ar-SA"/>
        </w:rPr>
        <w:t>1</w:t>
      </w:r>
      <w:r>
        <w:rPr>
          <w:rFonts w:hint="eastAsia" w:ascii="宋体" w:hAnsi="宋体" w:eastAsia="宋体" w:cs="宋体"/>
          <w:color w:val="auto"/>
          <w:kern w:val="0"/>
          <w:sz w:val="22"/>
          <w:szCs w:val="22"/>
          <w:highlight w:val="none"/>
          <w:lang w:val="zh-CN" w:eastAsia="zh-CN" w:bidi="ar-SA"/>
        </w:rPr>
        <w:t>、乙方保证本合同中所供应的货物是最新生产的符合国家技术规格和质量标准的出厂原装合格产品。如发生所供货物与合同不符，甲方有权拒收或退货，由此产生的一切责任和后果由乙方承担。</w:t>
      </w:r>
    </w:p>
    <w:p w14:paraId="2694A51C">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kern w:val="0"/>
          <w:sz w:val="22"/>
          <w:szCs w:val="22"/>
          <w:highlight w:val="none"/>
          <w:lang w:val="zh-CN" w:eastAsia="zh-CN" w:bidi="ar-SA"/>
        </w:rPr>
      </w:pPr>
      <w:r>
        <w:rPr>
          <w:rFonts w:hint="default" w:ascii="宋体" w:hAnsi="宋体" w:eastAsia="宋体" w:cs="宋体"/>
          <w:color w:val="auto"/>
          <w:kern w:val="0"/>
          <w:sz w:val="22"/>
          <w:szCs w:val="22"/>
          <w:highlight w:val="none"/>
          <w:lang w:val="zh-CN" w:eastAsia="zh-CN" w:bidi="ar-SA"/>
        </w:rPr>
        <w:t>2</w:t>
      </w:r>
      <w:r>
        <w:rPr>
          <w:rFonts w:hint="eastAsia" w:ascii="宋体" w:hAnsi="宋体" w:eastAsia="宋体" w:cs="宋体"/>
          <w:color w:val="auto"/>
          <w:kern w:val="0"/>
          <w:sz w:val="22"/>
          <w:szCs w:val="22"/>
          <w:highlight w:val="none"/>
          <w:lang w:val="zh-CN" w:eastAsia="zh-CN" w:bidi="ar-SA"/>
        </w:rPr>
        <w:t>、乙方提供的货物在质保期内因货物本身质量存在问题，乙方应负责免费更换。对达不到质量标准要求者，根据实际情况，经双方协商，可按以下办法处理：</w:t>
      </w:r>
    </w:p>
    <w:p w14:paraId="5D46B6FD">
      <w:pPr>
        <w:pStyle w:val="328"/>
        <w:keepNext w:val="0"/>
        <w:keepLines w:val="0"/>
        <w:pageBreakBefore w:val="0"/>
        <w:widowControl w:val="0"/>
        <w:numPr>
          <w:ilvl w:val="0"/>
          <w:numId w:val="0"/>
        </w:numPr>
        <w:tabs>
          <w:tab w:val="left" w:pos="797"/>
        </w:tabs>
        <w:kinsoku/>
        <w:wordWrap/>
        <w:overflowPunct/>
        <w:topLinePunct w:val="0"/>
        <w:autoSpaceDE w:val="0"/>
        <w:autoSpaceDN w:val="0"/>
        <w:bidi w:val="0"/>
        <w:adjustRightInd/>
        <w:spacing w:before="0" w:line="460" w:lineRule="exact"/>
        <w:ind w:left="560" w:leftChars="160" w:hanging="224" w:hangingChars="102"/>
        <w:textAlignment w:val="auto"/>
        <w:rPr>
          <w:rFonts w:hint="eastAsia" w:ascii="宋体" w:hAnsi="宋体" w:eastAsia="宋体" w:cs="宋体"/>
          <w:color w:val="auto"/>
          <w:kern w:val="0"/>
          <w:sz w:val="22"/>
          <w:szCs w:val="22"/>
          <w:highlight w:val="none"/>
          <w:lang w:val="zh-CN" w:eastAsia="zh-CN" w:bidi="ar-SA"/>
        </w:rPr>
      </w:pPr>
      <w:r>
        <w:rPr>
          <w:rFonts w:hint="default" w:ascii="宋体" w:hAnsi="宋体" w:eastAsia="宋体" w:cs="宋体"/>
          <w:color w:val="auto"/>
          <w:kern w:val="0"/>
          <w:sz w:val="22"/>
          <w:szCs w:val="22"/>
          <w:highlight w:val="none"/>
          <w:lang w:val="zh-CN" w:eastAsia="zh-CN" w:bidi="ar-SA"/>
        </w:rPr>
        <w:t>（1）</w:t>
      </w:r>
      <w:r>
        <w:rPr>
          <w:rFonts w:hint="eastAsia" w:ascii="宋体" w:hAnsi="宋体" w:eastAsia="宋体" w:cs="宋体"/>
          <w:color w:val="auto"/>
          <w:kern w:val="0"/>
          <w:sz w:val="22"/>
          <w:szCs w:val="22"/>
          <w:highlight w:val="none"/>
          <w:lang w:val="zh-CN" w:eastAsia="zh-CN" w:bidi="ar-SA"/>
        </w:rPr>
        <w:t>更换：由乙方承担所发生的全部费用。</w:t>
      </w:r>
    </w:p>
    <w:p w14:paraId="2F7312D6">
      <w:pPr>
        <w:pStyle w:val="328"/>
        <w:keepNext w:val="0"/>
        <w:keepLines w:val="0"/>
        <w:pageBreakBefore w:val="0"/>
        <w:widowControl w:val="0"/>
        <w:numPr>
          <w:ilvl w:val="0"/>
          <w:numId w:val="0"/>
        </w:numPr>
        <w:tabs>
          <w:tab w:val="left" w:pos="797"/>
        </w:tabs>
        <w:kinsoku/>
        <w:wordWrap/>
        <w:overflowPunct/>
        <w:topLinePunct w:val="0"/>
        <w:autoSpaceDE w:val="0"/>
        <w:autoSpaceDN w:val="0"/>
        <w:bidi w:val="0"/>
        <w:adjustRightInd/>
        <w:spacing w:before="0" w:line="460" w:lineRule="exact"/>
        <w:ind w:left="560" w:leftChars="160" w:hanging="224" w:hangingChars="102"/>
        <w:textAlignment w:val="auto"/>
        <w:rPr>
          <w:rFonts w:hint="eastAsia" w:ascii="宋体" w:hAnsi="宋体" w:eastAsia="宋体" w:cs="宋体"/>
          <w:color w:val="auto"/>
          <w:kern w:val="0"/>
          <w:sz w:val="22"/>
          <w:szCs w:val="22"/>
          <w:highlight w:val="none"/>
          <w:lang w:val="zh-CN" w:eastAsia="zh-CN" w:bidi="ar-SA"/>
        </w:rPr>
      </w:pPr>
      <w:r>
        <w:rPr>
          <w:rFonts w:hint="default" w:ascii="宋体" w:hAnsi="宋体" w:eastAsia="宋体" w:cs="宋体"/>
          <w:color w:val="auto"/>
          <w:kern w:val="0"/>
          <w:sz w:val="22"/>
          <w:szCs w:val="22"/>
          <w:highlight w:val="none"/>
          <w:lang w:val="zh-CN" w:eastAsia="zh-CN" w:bidi="ar-SA"/>
        </w:rPr>
        <w:t>（2）</w:t>
      </w:r>
      <w:r>
        <w:rPr>
          <w:rFonts w:hint="eastAsia" w:ascii="宋体" w:hAnsi="宋体" w:eastAsia="宋体" w:cs="宋体"/>
          <w:color w:val="auto"/>
          <w:kern w:val="0"/>
          <w:sz w:val="22"/>
          <w:szCs w:val="22"/>
          <w:highlight w:val="none"/>
          <w:lang w:val="zh-CN" w:eastAsia="zh-CN" w:bidi="ar-SA"/>
        </w:rPr>
        <w:t>退货处理：乙方应退还甲方支付的合同款，同时应承担该货物的直接费用（运输、保险、检验、货款利息及银行手续费等）。</w:t>
      </w:r>
    </w:p>
    <w:p w14:paraId="4EECF801">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kern w:val="0"/>
          <w:sz w:val="22"/>
          <w:szCs w:val="22"/>
          <w:highlight w:val="none"/>
          <w:lang w:val="zh-CN" w:eastAsia="zh-CN" w:bidi="ar-SA"/>
        </w:rPr>
      </w:pPr>
      <w:r>
        <w:rPr>
          <w:rFonts w:hint="default" w:ascii="宋体" w:hAnsi="宋体" w:eastAsia="宋体" w:cs="宋体"/>
          <w:color w:val="auto"/>
          <w:kern w:val="0"/>
          <w:sz w:val="22"/>
          <w:szCs w:val="22"/>
          <w:highlight w:val="none"/>
          <w:lang w:val="zh-CN" w:eastAsia="zh-CN" w:bidi="ar-SA"/>
        </w:rPr>
        <w:t>3</w:t>
      </w:r>
      <w:r>
        <w:rPr>
          <w:rFonts w:hint="eastAsia" w:ascii="宋体" w:hAnsi="宋体" w:eastAsia="宋体" w:cs="宋体"/>
          <w:color w:val="auto"/>
          <w:kern w:val="0"/>
          <w:sz w:val="22"/>
          <w:szCs w:val="22"/>
          <w:highlight w:val="none"/>
          <w:lang w:val="zh-CN" w:eastAsia="zh-CN" w:bidi="ar-SA"/>
        </w:rPr>
        <w:t>、在质保期内，乙方应对货物出现的质量及安全问题负责处理解决并承担一切费用。</w:t>
      </w:r>
    </w:p>
    <w:p w14:paraId="1CDA2CE0">
      <w:pPr>
        <w:pStyle w:val="5"/>
        <w:keepNext w:val="0"/>
        <w:keepLines w:val="0"/>
        <w:pageBreakBefore w:val="0"/>
        <w:widowControl w:val="0"/>
        <w:kinsoku/>
        <w:wordWrap/>
        <w:overflowPunct/>
        <w:topLinePunct w:val="0"/>
        <w:autoSpaceDE w:val="0"/>
        <w:autoSpaceDN w:val="0"/>
        <w:bidi w:val="0"/>
        <w:adjustRightInd/>
        <w:spacing w:before="0" w:line="460" w:lineRule="exact"/>
        <w:ind w:left="0"/>
        <w:textAlignment w:val="auto"/>
        <w:rPr>
          <w:rFonts w:hint="default" w:ascii="宋体" w:hAnsi="宋体" w:eastAsia="宋体" w:cs="宋体"/>
          <w:color w:val="auto"/>
          <w:kern w:val="0"/>
          <w:sz w:val="22"/>
          <w:szCs w:val="22"/>
          <w:highlight w:val="none"/>
          <w:lang w:val="zh-CN" w:eastAsia="zh-CN" w:bidi="ar-SA"/>
        </w:rPr>
      </w:pPr>
      <w:r>
        <w:rPr>
          <w:rFonts w:hint="eastAsia" w:ascii="宋体" w:hAnsi="宋体" w:eastAsia="宋体" w:cs="宋体"/>
          <w:color w:val="auto"/>
          <w:sz w:val="22"/>
          <w:szCs w:val="22"/>
          <w:highlight w:val="none"/>
        </w:rPr>
        <w:t>十一、验收</w:t>
      </w:r>
    </w:p>
    <w:p w14:paraId="46B94F3C">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default" w:ascii="宋体" w:hAnsi="宋体" w:eastAsia="宋体" w:cs="宋体"/>
          <w:color w:val="auto"/>
          <w:kern w:val="0"/>
          <w:sz w:val="22"/>
          <w:szCs w:val="22"/>
          <w:highlight w:val="none"/>
          <w:lang w:val="zh-CN" w:eastAsia="zh-CN" w:bidi="ar-SA"/>
        </w:rPr>
      </w:pPr>
      <w:r>
        <w:rPr>
          <w:rFonts w:hint="default" w:ascii="宋体" w:hAnsi="宋体" w:eastAsia="宋体" w:cs="宋体"/>
          <w:color w:val="auto"/>
          <w:kern w:val="0"/>
          <w:sz w:val="22"/>
          <w:szCs w:val="22"/>
          <w:highlight w:val="none"/>
          <w:lang w:val="zh-CN" w:eastAsia="zh-CN" w:bidi="ar-SA"/>
        </w:rPr>
        <w:t>1、在交货前，乙方应对货物的质量、规格、性能、数量、重量等进行详细而全面的检验，并出具证明货物符合合同规定的书面证书，乙方检验的结果和细节应在证书中加以说明。该证书将作为申请付款单据的一部分，但有关质量、规格、性能、数量、重量的检验不应视为最终检验。</w:t>
      </w:r>
    </w:p>
    <w:p w14:paraId="22B4D3DB">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default" w:ascii="宋体" w:hAnsi="宋体" w:eastAsia="宋体" w:cs="宋体"/>
          <w:color w:val="auto"/>
          <w:kern w:val="0"/>
          <w:sz w:val="22"/>
          <w:szCs w:val="22"/>
          <w:highlight w:val="none"/>
          <w:lang w:val="zh-CN" w:eastAsia="zh-CN" w:bidi="ar-SA"/>
        </w:rPr>
      </w:pPr>
      <w:r>
        <w:rPr>
          <w:rFonts w:hint="default" w:ascii="宋体" w:hAnsi="宋体" w:eastAsia="宋体" w:cs="宋体"/>
          <w:color w:val="auto"/>
          <w:kern w:val="0"/>
          <w:sz w:val="22"/>
          <w:szCs w:val="22"/>
          <w:highlight w:val="none"/>
          <w:lang w:val="zh-CN" w:eastAsia="zh-CN" w:bidi="ar-SA"/>
        </w:rPr>
        <w:t>2、供应商配合采购人及采购人委托第三方机构的验收工作，根据招标文件、投标（响应）文件、采购合同、封存样品等约定的质量、数量、技术指标或者服务要求设置验收指标及其标准，制定验收指标及标准。</w:t>
      </w:r>
    </w:p>
    <w:p w14:paraId="36F6B7C3">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default" w:ascii="宋体" w:hAnsi="宋体" w:eastAsia="宋体" w:cs="宋体"/>
          <w:color w:val="auto"/>
          <w:kern w:val="0"/>
          <w:sz w:val="22"/>
          <w:szCs w:val="22"/>
          <w:highlight w:val="none"/>
          <w:lang w:val="zh-CN" w:eastAsia="zh-CN" w:bidi="ar-SA"/>
        </w:rPr>
      </w:pPr>
      <w:r>
        <w:rPr>
          <w:rFonts w:hint="default" w:ascii="宋体" w:hAnsi="宋体" w:eastAsia="宋体" w:cs="宋体"/>
          <w:color w:val="auto"/>
          <w:kern w:val="0"/>
          <w:sz w:val="22"/>
          <w:szCs w:val="22"/>
          <w:highlight w:val="none"/>
          <w:lang w:val="zh-CN" w:eastAsia="zh-CN" w:bidi="ar-SA"/>
        </w:rPr>
        <w:t>3、如验收不合格的，供应商应采取补救措施，及时处理。整改结束后，重新组织验收，待验收合格后签署政府采购履约验收单当日为验收日期。</w:t>
      </w:r>
    </w:p>
    <w:p w14:paraId="2CB51010">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default" w:ascii="宋体" w:hAnsi="宋体" w:eastAsia="宋体" w:cs="宋体"/>
          <w:color w:val="auto"/>
          <w:kern w:val="0"/>
          <w:sz w:val="22"/>
          <w:szCs w:val="22"/>
          <w:highlight w:val="none"/>
          <w:lang w:val="zh-CN" w:eastAsia="zh-CN" w:bidi="ar-SA"/>
        </w:rPr>
      </w:pPr>
      <w:r>
        <w:rPr>
          <w:rFonts w:hint="default" w:ascii="宋体" w:hAnsi="宋体" w:eastAsia="宋体" w:cs="宋体"/>
          <w:color w:val="auto"/>
          <w:kern w:val="0"/>
          <w:sz w:val="22"/>
          <w:szCs w:val="22"/>
          <w:highlight w:val="none"/>
          <w:lang w:val="zh-CN" w:eastAsia="zh-CN" w:bidi="ar-SA"/>
        </w:rPr>
        <w:t>4、本项目由采购人委托第三方机构组织验收的，费用由中标人支付。</w:t>
      </w:r>
    </w:p>
    <w:p w14:paraId="4B3BB962">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default" w:ascii="宋体" w:hAnsi="宋体" w:eastAsia="宋体" w:cs="宋体"/>
          <w:color w:val="auto"/>
          <w:kern w:val="0"/>
          <w:sz w:val="22"/>
          <w:szCs w:val="22"/>
          <w:highlight w:val="none"/>
          <w:lang w:val="en-US" w:eastAsia="zh-CN" w:bidi="ar-SA"/>
        </w:rPr>
      </w:pPr>
      <w:r>
        <w:rPr>
          <w:rFonts w:hint="default" w:ascii="宋体" w:hAnsi="宋体" w:eastAsia="宋体" w:cs="宋体"/>
          <w:color w:val="auto"/>
          <w:kern w:val="0"/>
          <w:sz w:val="22"/>
          <w:szCs w:val="22"/>
          <w:highlight w:val="none"/>
          <w:lang w:val="zh-CN" w:eastAsia="zh-CN" w:bidi="ar-SA"/>
        </w:rPr>
        <w:t>5、未尽事宜，按《中华人民共和国政府采购法》及其实施条例、《中华人民共和国民法典》、《财政部关于进一步加强政府采购需求和履约验收管理的指导意见》（财库〔2016〕205号）、《浙江省财政厅关于印发浙江省政府采购合同暂行办法的通知》（浙财采监〔2017〕11号）、《温州市政府采购履约验收办法》（温财采〔2020〕6号）等相关法律法规、规定执行。</w:t>
      </w:r>
    </w:p>
    <w:p w14:paraId="3C158E0B">
      <w:pPr>
        <w:pStyle w:val="5"/>
        <w:keepNext w:val="0"/>
        <w:keepLines w:val="0"/>
        <w:pageBreakBefore w:val="0"/>
        <w:widowControl w:val="0"/>
        <w:kinsoku/>
        <w:wordWrap/>
        <w:overflowPunct/>
        <w:topLinePunct w:val="0"/>
        <w:autoSpaceDE w:val="0"/>
        <w:autoSpaceDN w:val="0"/>
        <w:bidi w:val="0"/>
        <w:adjustRightInd/>
        <w:spacing w:before="0"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十二、货物包装</w:t>
      </w:r>
    </w:p>
    <w:p w14:paraId="2A1A5629">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en-US" w:eastAsia="zh-CN" w:bidi="ar-SA"/>
        </w:rPr>
        <w:t>1、</w:t>
      </w:r>
      <w:r>
        <w:rPr>
          <w:rFonts w:hint="eastAsia" w:ascii="宋体" w:hAnsi="宋体" w:eastAsia="宋体" w:cs="宋体"/>
          <w:color w:val="auto"/>
          <w:kern w:val="0"/>
          <w:sz w:val="22"/>
          <w:szCs w:val="22"/>
          <w:highlight w:val="none"/>
          <w:lang w:val="zh-CN" w:eastAsia="zh-CN" w:bidi="ar-SA"/>
        </w:rPr>
        <w:t>乙方应在货物发运前对其进行满足运输距离、防潮、防震、防锈和防破损装卸等要求包装，以保证货物安全运达甲方指定地点。乙方应承担由于包装或防护措施不妥而引起货物锈蚀、损坏和丢失的任何损失的责任或费用。</w:t>
      </w:r>
    </w:p>
    <w:p w14:paraId="7AC321AA">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en-US" w:eastAsia="zh-CN" w:bidi="ar-SA"/>
        </w:rPr>
        <w:t>2、</w:t>
      </w:r>
      <w:r>
        <w:rPr>
          <w:rFonts w:hint="eastAsia" w:ascii="宋体" w:hAnsi="宋体" w:eastAsia="宋体" w:cs="宋体"/>
          <w:color w:val="auto"/>
          <w:kern w:val="0"/>
          <w:sz w:val="22"/>
          <w:szCs w:val="22"/>
          <w:highlight w:val="none"/>
          <w:lang w:val="zh-CN" w:eastAsia="zh-CN" w:bidi="ar-SA"/>
        </w:rPr>
        <w:t>使用说明书、质量检验证明书、随配附件和工具以及清单一并附于货物内。</w:t>
      </w:r>
    </w:p>
    <w:p w14:paraId="4C92DA30">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en-US" w:eastAsia="zh-CN" w:bidi="ar-SA"/>
        </w:rPr>
        <w:t>3、</w:t>
      </w:r>
      <w:r>
        <w:rPr>
          <w:rFonts w:hint="eastAsia" w:ascii="宋体" w:hAnsi="宋体" w:eastAsia="宋体" w:cs="宋体"/>
          <w:color w:val="auto"/>
          <w:kern w:val="0"/>
          <w:sz w:val="22"/>
          <w:szCs w:val="22"/>
          <w:highlight w:val="none"/>
          <w:lang w:val="zh-CN" w:eastAsia="zh-CN" w:bidi="ar-SA"/>
        </w:rPr>
        <w:t>乙方应在每一包装箱的四侧用不褪色的油漆以醒目的中文字样标注“收货人”“货物名称”“小心轻放”、“防潮”、“此端朝上，请勿倒置”等字样和其他国际贸易中使用的适当标志。</w:t>
      </w:r>
    </w:p>
    <w:p w14:paraId="2B6FF50B">
      <w:pPr>
        <w:pStyle w:val="328"/>
        <w:keepNext w:val="0"/>
        <w:keepLines w:val="0"/>
        <w:pageBreakBefore w:val="0"/>
        <w:widowControl w:val="0"/>
        <w:tabs>
          <w:tab w:val="left" w:pos="522"/>
        </w:tabs>
        <w:kinsoku/>
        <w:wordWrap/>
        <w:overflowPunct/>
        <w:topLinePunct w:val="0"/>
        <w:autoSpaceDE w:val="0"/>
        <w:autoSpaceDN w:val="0"/>
        <w:bidi w:val="0"/>
        <w:adjustRightInd/>
        <w:spacing w:before="0" w:line="460" w:lineRule="exact"/>
        <w:ind w:left="0" w:right="4267" w:rightChars="2032" w:firstLine="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pacing w:val="10"/>
          <w:sz w:val="22"/>
          <w:szCs w:val="22"/>
          <w:highlight w:val="none"/>
        </w:rPr>
        <w:t>十三、违约责任</w:t>
      </w:r>
    </w:p>
    <w:p w14:paraId="095A8CE3">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val="zh-CN" w:eastAsia="zh-CN" w:bidi="ar-SA"/>
        </w:rPr>
        <w:t>1</w:t>
      </w:r>
      <w:r>
        <w:rPr>
          <w:rFonts w:hint="eastAsia" w:ascii="宋体" w:hAnsi="宋体" w:eastAsia="宋体" w:cs="宋体"/>
          <w:color w:val="auto"/>
          <w:kern w:val="0"/>
          <w:sz w:val="22"/>
          <w:szCs w:val="22"/>
          <w:highlight w:val="none"/>
          <w:lang w:val="zh-CN" w:eastAsia="zh-CN" w:bidi="ar-SA"/>
        </w:rPr>
        <w:t>、</w:t>
      </w:r>
      <w:r>
        <w:rPr>
          <w:rFonts w:hint="eastAsia" w:ascii="宋体" w:hAnsi="宋体" w:eastAsia="宋体" w:cs="宋体"/>
          <w:color w:val="auto"/>
          <w:kern w:val="0"/>
          <w:sz w:val="22"/>
          <w:szCs w:val="22"/>
          <w:highlight w:val="none"/>
          <w:lang w:val="en-US" w:eastAsia="zh-CN" w:bidi="ar-SA"/>
        </w:rPr>
        <w:t>甲方</w:t>
      </w:r>
      <w:r>
        <w:rPr>
          <w:rFonts w:hint="eastAsia" w:ascii="宋体" w:hAnsi="宋体" w:eastAsia="宋体" w:cs="宋体"/>
          <w:color w:val="auto"/>
          <w:sz w:val="22"/>
          <w:szCs w:val="22"/>
          <w:highlight w:val="none"/>
        </w:rPr>
        <w:t>无正当理由拒收货物的，甲方向乙方偿付拒收货款总值的</w:t>
      </w:r>
      <w:r>
        <w:rPr>
          <w:rFonts w:hint="eastAsia" w:ascii="宋体" w:hAnsi="宋体" w:eastAsia="宋体" w:cs="宋体"/>
          <w:color w:val="auto"/>
          <w:spacing w:val="3"/>
          <w:sz w:val="22"/>
          <w:szCs w:val="22"/>
          <w:highlight w:val="none"/>
          <w:u w:val="single"/>
        </w:rPr>
        <w:t xml:space="preserve"> 百分之五</w:t>
      </w:r>
      <w:r>
        <w:rPr>
          <w:rFonts w:hint="eastAsia" w:ascii="宋体" w:hAnsi="宋体" w:eastAsia="宋体" w:cs="宋体"/>
          <w:color w:val="auto"/>
          <w:spacing w:val="45"/>
          <w:sz w:val="22"/>
          <w:szCs w:val="22"/>
          <w:highlight w:val="none"/>
          <w:u w:val="single"/>
        </w:rPr>
        <w:t xml:space="preserve"> </w:t>
      </w:r>
      <w:r>
        <w:rPr>
          <w:rFonts w:hint="eastAsia" w:ascii="宋体" w:hAnsi="宋体" w:eastAsia="宋体" w:cs="宋体"/>
          <w:color w:val="auto"/>
          <w:sz w:val="22"/>
          <w:szCs w:val="22"/>
          <w:highlight w:val="none"/>
        </w:rPr>
        <w:t>违约金。</w:t>
      </w:r>
    </w:p>
    <w:p w14:paraId="00614E6B">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val="zh-CN" w:eastAsia="zh-CN" w:bidi="ar-SA"/>
        </w:rPr>
        <w:t>2</w:t>
      </w:r>
      <w:r>
        <w:rPr>
          <w:rFonts w:hint="eastAsia" w:ascii="宋体" w:hAnsi="宋体" w:eastAsia="宋体" w:cs="宋体"/>
          <w:color w:val="auto"/>
          <w:kern w:val="0"/>
          <w:sz w:val="22"/>
          <w:szCs w:val="22"/>
          <w:highlight w:val="none"/>
          <w:lang w:val="zh-CN" w:eastAsia="zh-CN" w:bidi="ar-SA"/>
        </w:rPr>
        <w:t>、</w:t>
      </w:r>
      <w:r>
        <w:rPr>
          <w:rFonts w:hint="eastAsia" w:ascii="宋体" w:hAnsi="宋体" w:eastAsia="宋体" w:cs="宋体"/>
          <w:color w:val="auto"/>
          <w:kern w:val="0"/>
          <w:sz w:val="22"/>
          <w:szCs w:val="22"/>
          <w:highlight w:val="none"/>
          <w:lang w:val="en-US" w:eastAsia="zh-CN" w:bidi="ar-SA"/>
        </w:rPr>
        <w:t>乙</w:t>
      </w:r>
      <w:r>
        <w:rPr>
          <w:rFonts w:hint="eastAsia" w:ascii="宋体" w:hAnsi="宋体" w:eastAsia="宋体" w:cs="宋体"/>
          <w:color w:val="auto"/>
          <w:sz w:val="22"/>
          <w:szCs w:val="22"/>
          <w:highlight w:val="none"/>
        </w:rPr>
        <w:t>方逾期交付货物的，乙方应按逾期交货总额每日</w:t>
      </w:r>
      <w:r>
        <w:rPr>
          <w:rFonts w:hint="eastAsia" w:ascii="宋体" w:hAnsi="宋体" w:eastAsia="宋体" w:cs="宋体"/>
          <w:color w:val="auto"/>
          <w:spacing w:val="15"/>
          <w:sz w:val="22"/>
          <w:szCs w:val="22"/>
          <w:highlight w:val="none"/>
          <w:u w:val="single"/>
        </w:rPr>
        <w:t xml:space="preserve"> 千分之六</w:t>
      </w:r>
      <w:r>
        <w:rPr>
          <w:rFonts w:hint="eastAsia" w:ascii="宋体" w:hAnsi="宋体" w:eastAsia="宋体" w:cs="宋体"/>
          <w:color w:val="auto"/>
          <w:spacing w:val="29"/>
          <w:sz w:val="22"/>
          <w:szCs w:val="22"/>
          <w:highlight w:val="none"/>
        </w:rPr>
        <w:t xml:space="preserve"> </w:t>
      </w:r>
      <w:r>
        <w:rPr>
          <w:rFonts w:hint="eastAsia" w:ascii="宋体" w:hAnsi="宋体" w:eastAsia="宋体" w:cs="宋体"/>
          <w:color w:val="auto"/>
          <w:sz w:val="22"/>
          <w:szCs w:val="22"/>
          <w:highlight w:val="none"/>
        </w:rPr>
        <w:t>向甲方支付违约金，由甲方从待付货款中扣除。逾期超过约定日期</w:t>
      </w:r>
      <w:r>
        <w:rPr>
          <w:rFonts w:hint="eastAsia" w:ascii="宋体" w:hAnsi="宋体" w:eastAsia="宋体" w:cs="宋体"/>
          <w:color w:val="auto"/>
          <w:w w:val="98"/>
          <w:sz w:val="22"/>
          <w:szCs w:val="22"/>
          <w:highlight w:val="none"/>
          <w:u w:val="single"/>
        </w:rPr>
        <w:t xml:space="preserve"> </w:t>
      </w:r>
      <w:r>
        <w:rPr>
          <w:rFonts w:hint="eastAsia" w:ascii="宋体" w:hAnsi="宋体" w:eastAsia="宋体" w:cs="宋体"/>
          <w:color w:val="auto"/>
          <w:sz w:val="22"/>
          <w:szCs w:val="22"/>
          <w:highlight w:val="none"/>
          <w:u w:val="single"/>
        </w:rPr>
        <w:t xml:space="preserve">  10 </w:t>
      </w:r>
      <w:r>
        <w:rPr>
          <w:rFonts w:hint="eastAsia" w:ascii="宋体" w:hAnsi="宋体" w:eastAsia="宋体" w:cs="宋体"/>
          <w:color w:val="auto"/>
          <w:sz w:val="22"/>
          <w:szCs w:val="22"/>
          <w:highlight w:val="none"/>
        </w:rPr>
        <w:t>个工作日不能交货的，甲方可解除本合同。乙方因逾期交货或因其他违约行为导致甲方解除合同的，乙方应向甲方支付合同总值</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u w:val="single"/>
        </w:rPr>
        <w:t>5</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%的违约金，如造成甲方损失超过违约金的，超出部分由乙方继续承担赔偿责任。</w:t>
      </w:r>
    </w:p>
    <w:p w14:paraId="2AC3AA1E">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val="zh-CN" w:eastAsia="zh-CN" w:bidi="ar-SA"/>
        </w:rPr>
        <w:t>3</w:t>
      </w:r>
      <w:r>
        <w:rPr>
          <w:rFonts w:hint="eastAsia" w:ascii="宋体" w:hAnsi="宋体" w:eastAsia="宋体" w:cs="宋体"/>
          <w:color w:val="auto"/>
          <w:kern w:val="0"/>
          <w:sz w:val="22"/>
          <w:szCs w:val="22"/>
          <w:highlight w:val="none"/>
          <w:lang w:val="zh-CN" w:eastAsia="zh-CN" w:bidi="ar-SA"/>
        </w:rPr>
        <w:t>、乙方所</w:t>
      </w:r>
      <w:r>
        <w:rPr>
          <w:rFonts w:hint="eastAsia" w:ascii="宋体" w:hAnsi="宋体" w:eastAsia="宋体" w:cs="宋体"/>
          <w:color w:val="auto"/>
          <w:sz w:val="22"/>
          <w:szCs w:val="22"/>
          <w:highlight w:val="none"/>
        </w:rPr>
        <w:t>交的货物品种、型号、规格、技术参数、质量不符合合同规定及招标文件规定标准的，甲方有权拒收该货物，乙方愿意更换货物，但逾期交货的，按乙方逾期交货处理。乙方拒绝更换货物的，甲方可单方面解除合同。</w:t>
      </w:r>
    </w:p>
    <w:p w14:paraId="0F3B10F1">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val="zh-CN" w:eastAsia="zh-CN" w:bidi="ar-SA"/>
        </w:rPr>
        <w:t>4</w:t>
      </w:r>
      <w:r>
        <w:rPr>
          <w:rFonts w:hint="eastAsia" w:ascii="宋体" w:hAnsi="宋体" w:eastAsia="宋体" w:cs="宋体"/>
          <w:color w:val="auto"/>
          <w:kern w:val="0"/>
          <w:sz w:val="22"/>
          <w:szCs w:val="22"/>
          <w:highlight w:val="none"/>
          <w:lang w:val="zh-CN" w:eastAsia="zh-CN" w:bidi="ar-SA"/>
        </w:rPr>
        <w:t>、由</w:t>
      </w:r>
      <w:r>
        <w:rPr>
          <w:rFonts w:hint="eastAsia" w:ascii="宋体" w:hAnsi="宋体" w:eastAsia="宋体" w:cs="宋体"/>
          <w:color w:val="auto"/>
          <w:sz w:val="22"/>
          <w:szCs w:val="22"/>
          <w:highlight w:val="none"/>
          <w:lang w:eastAsia="zh-CN"/>
        </w:rPr>
        <w:t>于乙方所提供的货物存在问题，给第三人人身或财产造成损害的，由乙方承担赔偿责任。若甲方承担赔偿责任后，有权向乙方追偿，包括但不限于律师费、诉讼费、交通费等。</w:t>
      </w:r>
    </w:p>
    <w:p w14:paraId="729F663D">
      <w:pPr>
        <w:pStyle w:val="5"/>
        <w:keepNext w:val="0"/>
        <w:keepLines w:val="0"/>
        <w:pageBreakBefore w:val="0"/>
        <w:widowControl w:val="0"/>
        <w:kinsoku/>
        <w:wordWrap/>
        <w:overflowPunct/>
        <w:topLinePunct w:val="0"/>
        <w:autoSpaceDE w:val="0"/>
        <w:autoSpaceDN w:val="0"/>
        <w:bidi w:val="0"/>
        <w:adjustRightInd/>
        <w:spacing w:before="0"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十四、不可抗力事件处理</w:t>
      </w:r>
    </w:p>
    <w:p w14:paraId="39EF439A">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val="zh-CN" w:eastAsia="zh-CN" w:bidi="ar-SA"/>
        </w:rPr>
        <w:t>1</w:t>
      </w:r>
      <w:r>
        <w:rPr>
          <w:rFonts w:hint="eastAsia" w:ascii="宋体" w:hAnsi="宋体" w:eastAsia="宋体" w:cs="宋体"/>
          <w:color w:val="auto"/>
          <w:kern w:val="0"/>
          <w:sz w:val="22"/>
          <w:szCs w:val="22"/>
          <w:highlight w:val="none"/>
          <w:lang w:val="zh-CN" w:eastAsia="zh-CN" w:bidi="ar-SA"/>
        </w:rPr>
        <w:t>、</w:t>
      </w:r>
      <w:r>
        <w:rPr>
          <w:rFonts w:hint="eastAsia" w:ascii="宋体" w:hAnsi="宋体" w:eastAsia="宋体" w:cs="宋体"/>
          <w:color w:val="auto"/>
          <w:kern w:val="0"/>
          <w:sz w:val="22"/>
          <w:szCs w:val="22"/>
          <w:highlight w:val="none"/>
          <w:lang w:val="en-US" w:eastAsia="zh-CN" w:bidi="ar-SA"/>
        </w:rPr>
        <w:t>在</w:t>
      </w:r>
      <w:r>
        <w:rPr>
          <w:rFonts w:hint="eastAsia" w:ascii="宋体" w:hAnsi="宋体" w:eastAsia="宋体" w:cs="宋体"/>
          <w:color w:val="auto"/>
          <w:sz w:val="22"/>
          <w:szCs w:val="22"/>
          <w:highlight w:val="none"/>
        </w:rPr>
        <w:t>合同有效期内，任何一方因不可抗力事件导致不能履行合同，则合同履行期可延长，其延长期与不可抗力影响期相同。</w:t>
      </w:r>
    </w:p>
    <w:p w14:paraId="46ABDCBA">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kern w:val="0"/>
          <w:sz w:val="22"/>
          <w:szCs w:val="22"/>
          <w:highlight w:val="none"/>
          <w:lang w:val="zh-CN" w:eastAsia="zh-CN" w:bidi="ar-SA"/>
        </w:rPr>
      </w:pPr>
      <w:r>
        <w:rPr>
          <w:rFonts w:hint="default" w:ascii="宋体" w:hAnsi="宋体" w:eastAsia="宋体" w:cs="宋体"/>
          <w:color w:val="auto"/>
          <w:kern w:val="0"/>
          <w:sz w:val="22"/>
          <w:szCs w:val="22"/>
          <w:highlight w:val="none"/>
          <w:lang w:val="zh-CN" w:eastAsia="zh-CN" w:bidi="ar-SA"/>
        </w:rPr>
        <w:t>2</w:t>
      </w:r>
      <w:r>
        <w:rPr>
          <w:rFonts w:hint="eastAsia" w:ascii="宋体" w:hAnsi="宋体" w:eastAsia="宋体" w:cs="宋体"/>
          <w:color w:val="auto"/>
          <w:kern w:val="0"/>
          <w:sz w:val="22"/>
          <w:szCs w:val="22"/>
          <w:highlight w:val="none"/>
          <w:lang w:val="zh-CN" w:eastAsia="zh-CN" w:bidi="ar-SA"/>
        </w:rPr>
        <w:t>、不可抗力事件发生后，应立即通知对方，并寄送有关权威机构出具的证明。</w:t>
      </w:r>
    </w:p>
    <w:p w14:paraId="23C15E37">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val="zh-CN" w:eastAsia="zh-CN" w:bidi="ar-SA"/>
        </w:rPr>
        <w:t>3</w:t>
      </w:r>
      <w:r>
        <w:rPr>
          <w:rFonts w:hint="eastAsia" w:ascii="宋体" w:hAnsi="宋体" w:eastAsia="宋体" w:cs="宋体"/>
          <w:color w:val="auto"/>
          <w:kern w:val="0"/>
          <w:sz w:val="22"/>
          <w:szCs w:val="22"/>
          <w:highlight w:val="none"/>
          <w:lang w:val="zh-CN" w:eastAsia="zh-CN" w:bidi="ar-SA"/>
        </w:rPr>
        <w:t>、不</w:t>
      </w:r>
      <w:r>
        <w:rPr>
          <w:rFonts w:hint="eastAsia" w:ascii="宋体" w:hAnsi="宋体" w:eastAsia="宋体" w:cs="宋体"/>
          <w:color w:val="auto"/>
          <w:spacing w:val="-3"/>
          <w:sz w:val="22"/>
          <w:szCs w:val="22"/>
          <w:highlight w:val="none"/>
        </w:rPr>
        <w:t xml:space="preserve">可抗力事件延续 </w:t>
      </w:r>
      <w:r>
        <w:rPr>
          <w:rFonts w:hint="eastAsia" w:ascii="宋体" w:hAnsi="宋体" w:eastAsia="宋体" w:cs="宋体"/>
          <w:color w:val="auto"/>
          <w:sz w:val="22"/>
          <w:szCs w:val="22"/>
          <w:highlight w:val="none"/>
        </w:rPr>
        <w:t>120天以上，双方应通过友好协商，确定是否继续履行合同。</w:t>
      </w:r>
    </w:p>
    <w:p w14:paraId="019D7ECA">
      <w:pPr>
        <w:pStyle w:val="5"/>
        <w:keepNext w:val="0"/>
        <w:keepLines w:val="0"/>
        <w:pageBreakBefore w:val="0"/>
        <w:widowControl w:val="0"/>
        <w:kinsoku/>
        <w:wordWrap/>
        <w:overflowPunct/>
        <w:topLinePunct w:val="0"/>
        <w:autoSpaceDE w:val="0"/>
        <w:autoSpaceDN w:val="0"/>
        <w:bidi w:val="0"/>
        <w:adjustRightInd/>
        <w:spacing w:before="0"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十五、诉讼</w:t>
      </w:r>
    </w:p>
    <w:p w14:paraId="606CD293">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双方在</w:t>
      </w:r>
      <w:r>
        <w:rPr>
          <w:rFonts w:hint="eastAsia" w:ascii="宋体" w:hAnsi="宋体" w:eastAsia="宋体" w:cs="宋体"/>
          <w:color w:val="auto"/>
          <w:sz w:val="22"/>
          <w:szCs w:val="22"/>
          <w:highlight w:val="none"/>
          <w:lang w:eastAsia="zh-CN"/>
        </w:rPr>
        <w:t>履行</w:t>
      </w:r>
      <w:r>
        <w:rPr>
          <w:rFonts w:hint="eastAsia" w:ascii="宋体" w:hAnsi="宋体" w:eastAsia="宋体" w:cs="宋体"/>
          <w:color w:val="auto"/>
          <w:sz w:val="22"/>
          <w:szCs w:val="22"/>
          <w:highlight w:val="none"/>
        </w:rPr>
        <w:t>合同中所发生的一切争议，应通过协商解决。如协商不成，可向甲方所在地法院起诉。</w:t>
      </w:r>
    </w:p>
    <w:p w14:paraId="146C7F8B">
      <w:pPr>
        <w:pStyle w:val="5"/>
        <w:keepNext w:val="0"/>
        <w:keepLines w:val="0"/>
        <w:pageBreakBefore w:val="0"/>
        <w:widowControl w:val="0"/>
        <w:kinsoku/>
        <w:wordWrap/>
        <w:overflowPunct/>
        <w:topLinePunct w:val="0"/>
        <w:autoSpaceDE w:val="0"/>
        <w:autoSpaceDN w:val="0"/>
        <w:bidi w:val="0"/>
        <w:adjustRightInd/>
        <w:spacing w:before="0"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十六、合同生效及其它</w:t>
      </w:r>
    </w:p>
    <w:p w14:paraId="026A05EC">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kern w:val="0"/>
          <w:sz w:val="22"/>
          <w:szCs w:val="22"/>
          <w:highlight w:val="none"/>
          <w:lang w:val="zh-CN" w:eastAsia="zh-CN" w:bidi="ar-SA"/>
        </w:rPr>
      </w:pPr>
      <w:r>
        <w:rPr>
          <w:rFonts w:hint="default" w:ascii="宋体" w:hAnsi="宋体" w:eastAsia="宋体" w:cs="宋体"/>
          <w:color w:val="auto"/>
          <w:kern w:val="0"/>
          <w:sz w:val="22"/>
          <w:szCs w:val="22"/>
          <w:highlight w:val="none"/>
          <w:lang w:val="zh-CN" w:eastAsia="zh-CN" w:bidi="ar-SA"/>
        </w:rPr>
        <w:t>1</w:t>
      </w:r>
      <w:r>
        <w:rPr>
          <w:rFonts w:hint="eastAsia" w:ascii="宋体" w:hAnsi="宋体" w:eastAsia="宋体" w:cs="宋体"/>
          <w:color w:val="auto"/>
          <w:kern w:val="0"/>
          <w:sz w:val="22"/>
          <w:szCs w:val="22"/>
          <w:highlight w:val="none"/>
          <w:lang w:val="zh-CN" w:eastAsia="zh-CN" w:bidi="ar-SA"/>
        </w:rPr>
        <w:t>、本合同经甲、乙双方签字并加盖单位公章后生效。</w:t>
      </w:r>
    </w:p>
    <w:p w14:paraId="5F2B4810">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kern w:val="0"/>
          <w:sz w:val="22"/>
          <w:szCs w:val="22"/>
          <w:highlight w:val="none"/>
          <w:lang w:val="zh-CN" w:eastAsia="zh-CN" w:bidi="ar-SA"/>
        </w:rPr>
      </w:pPr>
      <w:r>
        <w:rPr>
          <w:rFonts w:hint="default" w:ascii="宋体" w:hAnsi="宋体" w:eastAsia="宋体" w:cs="宋体"/>
          <w:color w:val="auto"/>
          <w:kern w:val="0"/>
          <w:sz w:val="22"/>
          <w:szCs w:val="22"/>
          <w:highlight w:val="none"/>
          <w:lang w:val="zh-CN" w:eastAsia="zh-CN" w:bidi="ar-SA"/>
        </w:rPr>
        <w:t>2</w:t>
      </w:r>
      <w:r>
        <w:rPr>
          <w:rFonts w:hint="eastAsia" w:ascii="宋体" w:hAnsi="宋体" w:eastAsia="宋体" w:cs="宋体"/>
          <w:color w:val="auto"/>
          <w:kern w:val="0"/>
          <w:sz w:val="22"/>
          <w:szCs w:val="22"/>
          <w:highlight w:val="none"/>
          <w:lang w:val="zh-CN" w:eastAsia="zh-CN" w:bidi="ar-SA"/>
        </w:rPr>
        <w:t>、招标文件、投标文件、项目采购协议或入围承诺书与本合同具有同等法律效力。如前述各项文件之间约定不一致的，应以最新签署的文件内容为准。</w:t>
      </w:r>
    </w:p>
    <w:p w14:paraId="0BCFD5D6">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kern w:val="0"/>
          <w:sz w:val="22"/>
          <w:szCs w:val="22"/>
          <w:highlight w:val="none"/>
          <w:lang w:val="zh-CN" w:eastAsia="zh-CN" w:bidi="ar-SA"/>
        </w:rPr>
      </w:pPr>
      <w:r>
        <w:rPr>
          <w:rFonts w:hint="default" w:ascii="宋体" w:hAnsi="宋体" w:eastAsia="宋体" w:cs="宋体"/>
          <w:color w:val="auto"/>
          <w:kern w:val="0"/>
          <w:sz w:val="22"/>
          <w:szCs w:val="22"/>
          <w:highlight w:val="none"/>
          <w:lang w:val="zh-CN" w:eastAsia="zh-CN" w:bidi="ar-SA"/>
        </w:rPr>
        <w:t>3</w:t>
      </w:r>
      <w:r>
        <w:rPr>
          <w:rFonts w:hint="eastAsia" w:ascii="宋体" w:hAnsi="宋体" w:eastAsia="宋体" w:cs="宋体"/>
          <w:color w:val="auto"/>
          <w:kern w:val="0"/>
          <w:sz w:val="22"/>
          <w:szCs w:val="22"/>
          <w:highlight w:val="none"/>
          <w:lang w:val="zh-CN" w:eastAsia="zh-CN" w:bidi="ar-SA"/>
        </w:rPr>
        <w:t>、本合同未尽事宜，以招投标文件为准。</w:t>
      </w:r>
    </w:p>
    <w:p w14:paraId="264BE3ED">
      <w:pPr>
        <w:pStyle w:val="328"/>
        <w:keepNext w:val="0"/>
        <w:keepLines w:val="0"/>
        <w:pageBreakBefore w:val="0"/>
        <w:widowControl w:val="0"/>
        <w:numPr>
          <w:ilvl w:val="0"/>
          <w:numId w:val="0"/>
        </w:numPr>
        <w:tabs>
          <w:tab w:val="left" w:pos="522"/>
        </w:tabs>
        <w:kinsoku/>
        <w:wordWrap/>
        <w:overflowPunct/>
        <w:topLinePunct w:val="0"/>
        <w:autoSpaceDE w:val="0"/>
        <w:autoSpaceDN w:val="0"/>
        <w:bidi w:val="0"/>
        <w:adjustRightInd/>
        <w:spacing w:before="0" w:line="460" w:lineRule="exact"/>
        <w:ind w:firstLine="440" w:firstLineChars="200"/>
        <w:textAlignment w:val="auto"/>
        <w:rPr>
          <w:rFonts w:hint="eastAsia" w:ascii="宋体" w:hAnsi="宋体" w:eastAsia="宋体" w:cs="宋体"/>
          <w:color w:val="auto"/>
          <w:kern w:val="0"/>
          <w:sz w:val="22"/>
          <w:szCs w:val="22"/>
          <w:highlight w:val="none"/>
          <w:lang w:val="zh-CN" w:eastAsia="zh-CN" w:bidi="ar-SA"/>
        </w:rPr>
      </w:pPr>
      <w:r>
        <w:rPr>
          <w:rFonts w:hint="default" w:ascii="宋体" w:hAnsi="宋体" w:eastAsia="宋体" w:cs="宋体"/>
          <w:color w:val="auto"/>
          <w:kern w:val="0"/>
          <w:sz w:val="22"/>
          <w:szCs w:val="22"/>
          <w:highlight w:val="none"/>
          <w:lang w:val="zh-CN" w:eastAsia="zh-CN" w:bidi="ar-SA"/>
        </w:rPr>
        <w:t>4</w:t>
      </w:r>
      <w:r>
        <w:rPr>
          <w:rFonts w:hint="eastAsia" w:ascii="宋体" w:hAnsi="宋体" w:eastAsia="宋体" w:cs="宋体"/>
          <w:color w:val="auto"/>
          <w:kern w:val="0"/>
          <w:sz w:val="22"/>
          <w:szCs w:val="22"/>
          <w:highlight w:val="none"/>
          <w:lang w:val="zh-CN" w:eastAsia="zh-CN" w:bidi="ar-SA"/>
        </w:rPr>
        <w:t>、本合同一式三份，甲方执二份，乙方执一份，具有同等法律效力。</w:t>
      </w:r>
    </w:p>
    <w:p w14:paraId="7FB04DDC">
      <w:pPr>
        <w:keepNext w:val="0"/>
        <w:keepLines w:val="0"/>
        <w:pageBreakBefore w:val="0"/>
        <w:widowControl w:val="0"/>
        <w:tabs>
          <w:tab w:val="left" w:pos="522"/>
        </w:tabs>
        <w:kinsoku/>
        <w:wordWrap/>
        <w:overflowPunct/>
        <w:topLinePunct w:val="0"/>
        <w:autoSpaceDE w:val="0"/>
        <w:autoSpaceDN w:val="0"/>
        <w:bidi w:val="0"/>
        <w:adjustRightInd/>
        <w:spacing w:line="460" w:lineRule="exact"/>
        <w:textAlignment w:val="auto"/>
        <w:rPr>
          <w:rFonts w:hint="eastAsia" w:ascii="宋体" w:hAnsi="宋体" w:eastAsia="宋体" w:cs="宋体"/>
          <w:color w:val="auto"/>
          <w:sz w:val="22"/>
          <w:szCs w:val="22"/>
          <w:highlight w:val="none"/>
        </w:rPr>
      </w:pPr>
    </w:p>
    <w:p w14:paraId="17CCA117">
      <w:pPr>
        <w:keepNext w:val="0"/>
        <w:keepLines w:val="0"/>
        <w:pageBreakBefore w:val="0"/>
        <w:widowControl w:val="0"/>
        <w:tabs>
          <w:tab w:val="left" w:pos="522"/>
        </w:tabs>
        <w:kinsoku/>
        <w:wordWrap/>
        <w:overflowPunct/>
        <w:topLinePunct w:val="0"/>
        <w:autoSpaceDE w:val="0"/>
        <w:autoSpaceDN w:val="0"/>
        <w:bidi w:val="0"/>
        <w:adjustRightInd/>
        <w:spacing w:line="460" w:lineRule="exact"/>
        <w:textAlignment w:val="auto"/>
        <w:rPr>
          <w:rFonts w:hint="eastAsia" w:ascii="宋体" w:hAnsi="宋体" w:eastAsia="宋体" w:cs="宋体"/>
          <w:color w:val="auto"/>
          <w:sz w:val="22"/>
          <w:szCs w:val="22"/>
          <w:highlight w:val="none"/>
        </w:rPr>
      </w:pPr>
    </w:p>
    <w:p w14:paraId="1526827F">
      <w:pPr>
        <w:keepNext w:val="0"/>
        <w:keepLines w:val="0"/>
        <w:pageBreakBefore w:val="0"/>
        <w:widowControl w:val="0"/>
        <w:kinsoku/>
        <w:wordWrap/>
        <w:overflowPunct/>
        <w:topLinePunct w:val="0"/>
        <w:autoSpaceDE w:val="0"/>
        <w:autoSpaceDN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甲方（盖章）：温州市中医院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乙方（盖章）： </w:t>
      </w:r>
    </w:p>
    <w:p w14:paraId="2D06A9E5">
      <w:pPr>
        <w:keepNext w:val="0"/>
        <w:keepLines w:val="0"/>
        <w:pageBreakBefore w:val="0"/>
        <w:widowControl w:val="0"/>
        <w:kinsoku/>
        <w:wordWrap/>
        <w:overflowPunct/>
        <w:topLinePunct w:val="0"/>
        <w:autoSpaceDE w:val="0"/>
        <w:autoSpaceDN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地址：温州市六虹桥路蛟尾路9号</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地址：</w:t>
      </w:r>
    </w:p>
    <w:p w14:paraId="48641C64">
      <w:pPr>
        <w:keepNext w:val="0"/>
        <w:keepLines w:val="0"/>
        <w:pageBreakBefore w:val="0"/>
        <w:widowControl w:val="0"/>
        <w:kinsoku/>
        <w:wordWrap/>
        <w:overflowPunct/>
        <w:topLinePunct w:val="0"/>
        <w:autoSpaceDE w:val="0"/>
        <w:autoSpaceDN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法定（授权）代表人：</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法定（授权）代表人：</w:t>
      </w:r>
    </w:p>
    <w:p w14:paraId="67C527C7">
      <w:pPr>
        <w:keepNext w:val="0"/>
        <w:keepLines w:val="0"/>
        <w:pageBreakBefore w:val="0"/>
        <w:widowControl w:val="0"/>
        <w:kinsoku/>
        <w:wordWrap/>
        <w:overflowPunct/>
        <w:topLinePunct w:val="0"/>
        <w:autoSpaceDE w:val="0"/>
        <w:autoSpaceDN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签字日期：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年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月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签字日期：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月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w:t>
      </w:r>
    </w:p>
    <w:p w14:paraId="07300535">
      <w:pPr>
        <w:rPr>
          <w:rFonts w:hint="eastAsia" w:ascii="宋体" w:hAnsi="宋体" w:eastAsia="宋体" w:cs="宋体"/>
          <w:b/>
          <w:color w:val="auto"/>
          <w:sz w:val="30"/>
          <w:highlight w:val="none"/>
        </w:rPr>
      </w:pPr>
    </w:p>
    <w:p w14:paraId="5562E706">
      <w:pPr>
        <w:rPr>
          <w:rFonts w:hint="eastAsia" w:ascii="宋体" w:hAnsi="宋体" w:eastAsia="宋体" w:cs="宋体"/>
          <w:color w:val="auto"/>
          <w:highlight w:val="none"/>
        </w:rPr>
      </w:pPr>
      <w:bookmarkStart w:id="26" w:name="_Toc19081"/>
      <w:bookmarkStart w:id="27" w:name="_Toc18439"/>
      <w:r>
        <w:rPr>
          <w:rFonts w:hint="eastAsia" w:ascii="宋体" w:hAnsi="宋体" w:eastAsia="宋体" w:cs="宋体"/>
          <w:color w:val="auto"/>
          <w:highlight w:val="none"/>
        </w:rPr>
        <w:br w:type="page"/>
      </w:r>
    </w:p>
    <w:p w14:paraId="5514CA3E">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第三部分    附件</w:t>
      </w:r>
      <w:bookmarkEnd w:id="26"/>
      <w:bookmarkEnd w:id="27"/>
    </w:p>
    <w:p w14:paraId="6A2186B1">
      <w:pPr>
        <w:pStyle w:val="24"/>
        <w:spacing w:line="460" w:lineRule="exact"/>
        <w:ind w:left="433" w:hanging="433" w:hangingChars="196"/>
        <w:outlineLvl w:val="1"/>
        <w:rPr>
          <w:rFonts w:hint="eastAsia" w:ascii="宋体" w:hAnsi="宋体" w:eastAsia="宋体" w:cs="宋体"/>
          <w:b/>
          <w:color w:val="auto"/>
          <w:sz w:val="22"/>
          <w:highlight w:val="none"/>
        </w:rPr>
      </w:pPr>
      <w:bookmarkStart w:id="28" w:name="_Toc6368"/>
      <w:bookmarkStart w:id="29" w:name="_Toc7056"/>
      <w:r>
        <w:rPr>
          <w:rFonts w:hint="eastAsia" w:ascii="宋体" w:hAnsi="宋体" w:eastAsia="宋体" w:cs="宋体"/>
          <w:b/>
          <w:color w:val="auto"/>
          <w:sz w:val="22"/>
          <w:highlight w:val="none"/>
        </w:rPr>
        <w:t>附件一</w:t>
      </w:r>
      <w:bookmarkEnd w:id="28"/>
      <w:bookmarkEnd w:id="29"/>
    </w:p>
    <w:p w14:paraId="03537E63">
      <w:pPr>
        <w:spacing w:line="400" w:lineRule="exact"/>
        <w:jc w:val="center"/>
        <w:outlineLvl w:val="2"/>
        <w:rPr>
          <w:rFonts w:hint="eastAsia" w:ascii="宋体" w:hAnsi="宋体" w:eastAsia="宋体" w:cs="宋体"/>
          <w:b/>
          <w:bCs/>
          <w:color w:val="auto"/>
          <w:sz w:val="28"/>
          <w:szCs w:val="28"/>
          <w:highlight w:val="none"/>
        </w:rPr>
      </w:pPr>
      <w:bookmarkStart w:id="30" w:name="_Toc13365"/>
      <w:bookmarkStart w:id="31" w:name="_Toc5430"/>
      <w:r>
        <w:rPr>
          <w:rFonts w:hint="eastAsia" w:ascii="宋体" w:hAnsi="宋体" w:eastAsia="宋体" w:cs="宋体"/>
          <w:b/>
          <w:bCs/>
          <w:color w:val="auto"/>
          <w:sz w:val="28"/>
          <w:szCs w:val="28"/>
          <w:highlight w:val="none"/>
        </w:rPr>
        <w:t>报价文件</w:t>
      </w:r>
      <w:bookmarkEnd w:id="30"/>
      <w:bookmarkEnd w:id="31"/>
    </w:p>
    <w:p w14:paraId="6AEB1F8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color w:val="auto"/>
          <w:sz w:val="28"/>
          <w:szCs w:val="28"/>
          <w:highlight w:val="none"/>
          <w:lang w:val="zh-CN"/>
        </w:rPr>
      </w:pPr>
    </w:p>
    <w:p w14:paraId="08E6013D">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1、投标函</w:t>
      </w:r>
    </w:p>
    <w:p w14:paraId="1E25581B">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14:paraId="5F08BD6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4B7AFE5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0D0118A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14:paraId="1604E6B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4CE0057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0B96A66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5B90CC7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62D79A3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74B842F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3A38311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4C13014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0F7924D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14:paraId="3596C2B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14:paraId="5D5ABA1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14:paraId="6AC66AF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14:paraId="0824FC5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14:paraId="1A49178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14:paraId="5A05970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14:paraId="2B0883D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030CB0F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32A2454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2AB5CF1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14:paraId="296B88D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2ECAABE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3EBF4BF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2A4296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7079602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14:paraId="5E03F86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14:paraId="31D7DB9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14:paraId="256546C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14:paraId="49E64A8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704A822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14:paraId="7ADCD9DF">
      <w:pPr>
        <w:shd w:val="clear" w:color="auto" w:fill="FFFFFF"/>
        <w:snapToGrid w:val="0"/>
        <w:spacing w:line="360" w:lineRule="auto"/>
        <w:rPr>
          <w:rFonts w:hint="eastAsia" w:ascii="宋体" w:hAnsi="宋体" w:eastAsia="宋体" w:cs="宋体"/>
          <w:color w:val="auto"/>
          <w:kern w:val="0"/>
          <w:sz w:val="22"/>
          <w:szCs w:val="22"/>
          <w:highlight w:val="none"/>
          <w:lang w:val="zh-CN"/>
        </w:rPr>
      </w:pPr>
    </w:p>
    <w:p w14:paraId="5F6E1DE5">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14:paraId="7A26AB61">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22723FBE">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14:paraId="39F4AC2B">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752B5253">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14:paraId="1AFB7788">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14:paraId="590D6512">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05A85DD8">
      <w:pPr>
        <w:pStyle w:val="24"/>
        <w:ind w:left="442" w:hanging="442"/>
        <w:rPr>
          <w:rFonts w:hint="eastAsia" w:ascii="宋体" w:hAnsi="宋体" w:eastAsia="宋体" w:cs="宋体"/>
          <w:b/>
          <w:bCs/>
          <w:color w:val="auto"/>
          <w:sz w:val="22"/>
          <w:szCs w:val="22"/>
          <w:highlight w:val="none"/>
        </w:rPr>
      </w:pPr>
    </w:p>
    <w:p w14:paraId="08BDF77B">
      <w:pPr>
        <w:pStyle w:val="24"/>
        <w:ind w:left="442" w:hanging="442"/>
        <w:rPr>
          <w:rFonts w:hint="eastAsia" w:ascii="宋体" w:hAnsi="宋体" w:eastAsia="宋体" w:cs="宋体"/>
          <w:b/>
          <w:bCs/>
          <w:color w:val="auto"/>
          <w:sz w:val="22"/>
          <w:szCs w:val="22"/>
          <w:highlight w:val="none"/>
        </w:rPr>
      </w:pPr>
    </w:p>
    <w:p w14:paraId="165215C9">
      <w:pPr>
        <w:pStyle w:val="24"/>
        <w:ind w:left="442" w:hanging="442"/>
        <w:rPr>
          <w:rFonts w:hint="eastAsia" w:ascii="宋体" w:hAnsi="宋体" w:eastAsia="宋体" w:cs="宋体"/>
          <w:b/>
          <w:bCs/>
          <w:color w:val="auto"/>
          <w:sz w:val="22"/>
          <w:szCs w:val="22"/>
          <w:highlight w:val="none"/>
        </w:rPr>
      </w:pPr>
    </w:p>
    <w:p w14:paraId="3BDFA8C9">
      <w:pPr>
        <w:pStyle w:val="24"/>
        <w:ind w:left="442" w:hanging="442"/>
        <w:rPr>
          <w:rFonts w:hint="eastAsia" w:ascii="宋体" w:hAnsi="宋体" w:eastAsia="宋体" w:cs="宋体"/>
          <w:b/>
          <w:bCs/>
          <w:color w:val="auto"/>
          <w:sz w:val="22"/>
          <w:szCs w:val="22"/>
          <w:highlight w:val="none"/>
        </w:rPr>
      </w:pPr>
    </w:p>
    <w:p w14:paraId="7E0BA759">
      <w:pPr>
        <w:pStyle w:val="24"/>
        <w:ind w:left="442" w:hanging="442"/>
        <w:rPr>
          <w:rFonts w:hint="eastAsia" w:ascii="宋体" w:hAnsi="宋体" w:eastAsia="宋体" w:cs="宋体"/>
          <w:b/>
          <w:bCs/>
          <w:color w:val="auto"/>
          <w:sz w:val="22"/>
          <w:szCs w:val="22"/>
          <w:highlight w:val="none"/>
        </w:rPr>
      </w:pPr>
    </w:p>
    <w:p w14:paraId="0CFC2665">
      <w:pPr>
        <w:pStyle w:val="24"/>
        <w:ind w:left="442" w:hanging="442"/>
        <w:rPr>
          <w:rFonts w:hint="eastAsia" w:ascii="宋体" w:hAnsi="宋体" w:eastAsia="宋体" w:cs="宋体"/>
          <w:b/>
          <w:bCs/>
          <w:color w:val="auto"/>
          <w:sz w:val="22"/>
          <w:szCs w:val="22"/>
          <w:highlight w:val="none"/>
        </w:rPr>
      </w:pPr>
    </w:p>
    <w:p w14:paraId="0BD4705A">
      <w:pPr>
        <w:pStyle w:val="24"/>
        <w:ind w:left="442" w:hanging="442"/>
        <w:rPr>
          <w:rFonts w:hint="eastAsia" w:ascii="宋体" w:hAnsi="宋体" w:eastAsia="宋体" w:cs="宋体"/>
          <w:b/>
          <w:bCs/>
          <w:color w:val="auto"/>
          <w:sz w:val="22"/>
          <w:szCs w:val="22"/>
          <w:highlight w:val="none"/>
        </w:rPr>
      </w:pPr>
    </w:p>
    <w:p w14:paraId="7DE460D2">
      <w:pPr>
        <w:pStyle w:val="24"/>
        <w:ind w:left="442" w:hanging="442"/>
        <w:rPr>
          <w:rFonts w:hint="eastAsia" w:ascii="宋体" w:hAnsi="宋体" w:eastAsia="宋体" w:cs="宋体"/>
          <w:b/>
          <w:bCs/>
          <w:color w:val="auto"/>
          <w:sz w:val="22"/>
          <w:szCs w:val="22"/>
          <w:highlight w:val="none"/>
        </w:rPr>
      </w:pPr>
    </w:p>
    <w:p w14:paraId="6661CD4B">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109DB2EE">
      <w:pPr>
        <w:pStyle w:val="24"/>
        <w:ind w:left="0" w:firstLine="0" w:firstLineChars="0"/>
        <w:rPr>
          <w:rFonts w:hint="eastAsia" w:ascii="宋体" w:hAnsi="宋体" w:eastAsia="宋体" w:cs="宋体"/>
          <w:b/>
          <w:bCs/>
          <w:color w:val="auto"/>
          <w:sz w:val="22"/>
          <w:szCs w:val="22"/>
          <w:highlight w:val="none"/>
        </w:rPr>
      </w:pPr>
    </w:p>
    <w:p w14:paraId="18165C55">
      <w:pPr>
        <w:pStyle w:val="24"/>
        <w:ind w:left="0" w:firstLine="0" w:firstLineChars="0"/>
        <w:rPr>
          <w:rFonts w:hint="eastAsia" w:ascii="宋体" w:hAnsi="宋体" w:eastAsia="宋体" w:cs="宋体"/>
          <w:b/>
          <w:bCs/>
          <w:color w:val="auto"/>
          <w:sz w:val="22"/>
          <w:szCs w:val="22"/>
          <w:highlight w:val="none"/>
        </w:rPr>
      </w:pPr>
    </w:p>
    <w:p w14:paraId="2357C568">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zh-CN"/>
        </w:rPr>
        <w:t>投标报价一览表</w:t>
      </w:r>
    </w:p>
    <w:p w14:paraId="5D8BADBD">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4A2E0EB1">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14:paraId="7C56C482">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WZLCZB（W）-2025-07010</w:t>
      </w:r>
    </w:p>
    <w:p w14:paraId="59D83246">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家具采购</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14:paraId="7EFD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14:paraId="4939F288">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522" w:type="dxa"/>
            <w:vAlign w:val="center"/>
          </w:tcPr>
          <w:p w14:paraId="1687A24A">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413" w:type="dxa"/>
            <w:vAlign w:val="center"/>
          </w:tcPr>
          <w:p w14:paraId="5FAA7579">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868" w:type="dxa"/>
            <w:vAlign w:val="center"/>
          </w:tcPr>
          <w:p w14:paraId="20D8495A">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6235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14:paraId="1665B672">
            <w:pPr>
              <w:spacing w:line="380" w:lineRule="exact"/>
              <w:jc w:val="center"/>
              <w:rPr>
                <w:rFonts w:hint="eastAsia" w:ascii="宋体" w:hAnsi="宋体" w:eastAsia="宋体" w:cs="宋体"/>
                <w:color w:val="auto"/>
                <w:sz w:val="22"/>
                <w:highlight w:val="none"/>
              </w:rPr>
            </w:pPr>
          </w:p>
        </w:tc>
        <w:tc>
          <w:tcPr>
            <w:tcW w:w="2522" w:type="dxa"/>
            <w:vMerge w:val="restart"/>
            <w:vAlign w:val="center"/>
          </w:tcPr>
          <w:p w14:paraId="1CDF5F65">
            <w:pPr>
              <w:spacing w:line="380" w:lineRule="exact"/>
              <w:jc w:val="center"/>
              <w:rPr>
                <w:rFonts w:hint="eastAsia" w:ascii="宋体" w:hAnsi="宋体" w:eastAsia="宋体" w:cs="宋体"/>
                <w:color w:val="auto"/>
                <w:sz w:val="22"/>
                <w:highlight w:val="none"/>
              </w:rPr>
            </w:pPr>
          </w:p>
        </w:tc>
        <w:tc>
          <w:tcPr>
            <w:tcW w:w="5413" w:type="dxa"/>
            <w:vAlign w:val="center"/>
          </w:tcPr>
          <w:p w14:paraId="73AA8006">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868" w:type="dxa"/>
            <w:vMerge w:val="restart"/>
            <w:vAlign w:val="center"/>
          </w:tcPr>
          <w:p w14:paraId="764AF55C">
            <w:pPr>
              <w:spacing w:line="380" w:lineRule="exact"/>
              <w:jc w:val="center"/>
              <w:rPr>
                <w:rFonts w:hint="eastAsia" w:ascii="宋体" w:hAnsi="宋体" w:eastAsia="宋体" w:cs="宋体"/>
                <w:color w:val="auto"/>
                <w:sz w:val="22"/>
                <w:highlight w:val="none"/>
              </w:rPr>
            </w:pPr>
          </w:p>
        </w:tc>
      </w:tr>
      <w:tr w14:paraId="6339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14:paraId="1C6E729A">
            <w:pPr>
              <w:spacing w:line="380" w:lineRule="exact"/>
              <w:jc w:val="center"/>
              <w:rPr>
                <w:rFonts w:hint="eastAsia" w:ascii="宋体" w:hAnsi="宋体" w:eastAsia="宋体" w:cs="宋体"/>
                <w:color w:val="auto"/>
                <w:sz w:val="22"/>
                <w:highlight w:val="none"/>
              </w:rPr>
            </w:pPr>
          </w:p>
        </w:tc>
        <w:tc>
          <w:tcPr>
            <w:tcW w:w="2522" w:type="dxa"/>
            <w:vMerge w:val="continue"/>
            <w:vAlign w:val="center"/>
          </w:tcPr>
          <w:p w14:paraId="52055825">
            <w:pPr>
              <w:spacing w:line="380" w:lineRule="exact"/>
              <w:jc w:val="center"/>
              <w:rPr>
                <w:rFonts w:hint="eastAsia" w:ascii="宋体" w:hAnsi="宋体" w:eastAsia="宋体" w:cs="宋体"/>
                <w:color w:val="auto"/>
                <w:sz w:val="22"/>
                <w:highlight w:val="none"/>
              </w:rPr>
            </w:pPr>
          </w:p>
        </w:tc>
        <w:tc>
          <w:tcPr>
            <w:tcW w:w="5413" w:type="dxa"/>
            <w:vAlign w:val="center"/>
          </w:tcPr>
          <w:p w14:paraId="34592AB3">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868" w:type="dxa"/>
            <w:vMerge w:val="continue"/>
            <w:vAlign w:val="center"/>
          </w:tcPr>
          <w:p w14:paraId="0EF8CC8F">
            <w:pPr>
              <w:spacing w:line="380" w:lineRule="exact"/>
              <w:jc w:val="center"/>
              <w:rPr>
                <w:rFonts w:hint="eastAsia" w:ascii="宋体" w:hAnsi="宋体" w:eastAsia="宋体" w:cs="宋体"/>
                <w:color w:val="auto"/>
                <w:sz w:val="22"/>
                <w:highlight w:val="none"/>
              </w:rPr>
            </w:pPr>
          </w:p>
        </w:tc>
      </w:tr>
    </w:tbl>
    <w:p w14:paraId="251F37E7">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0AC73E87">
      <w:pPr>
        <w:numPr>
          <w:ilvl w:val="0"/>
          <w:numId w:val="2"/>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14:paraId="606BD066">
      <w:pPr>
        <w:numPr>
          <w:ilvl w:val="0"/>
          <w:numId w:val="2"/>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r>
        <w:rPr>
          <w:rFonts w:hint="eastAsia" w:ascii="宋体" w:hAnsi="宋体" w:cs="宋体"/>
          <w:b/>
          <w:color w:val="auto"/>
          <w:sz w:val="22"/>
          <w:highlight w:val="none"/>
          <w:lang w:eastAsia="zh-CN"/>
        </w:rPr>
        <w:t>。</w:t>
      </w:r>
    </w:p>
    <w:p w14:paraId="194AC7BE">
      <w:pPr>
        <w:spacing w:line="360" w:lineRule="auto"/>
        <w:jc w:val="center"/>
        <w:rPr>
          <w:rFonts w:hint="eastAsia" w:ascii="宋体" w:hAnsi="宋体" w:eastAsia="宋体" w:cs="宋体"/>
          <w:color w:val="auto"/>
          <w:sz w:val="22"/>
          <w:szCs w:val="22"/>
          <w:highlight w:val="none"/>
        </w:rPr>
      </w:pPr>
    </w:p>
    <w:p w14:paraId="2D03A278">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2D49832">
      <w:pPr>
        <w:spacing w:line="360" w:lineRule="auto"/>
        <w:jc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AE260D9">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50F33989">
      <w:pPr>
        <w:pStyle w:val="51"/>
        <w:ind w:left="860" w:hanging="440"/>
        <w:rPr>
          <w:rFonts w:hint="eastAsia" w:ascii="宋体" w:hAnsi="宋体" w:eastAsia="宋体" w:cs="宋体"/>
          <w:color w:val="auto"/>
          <w:sz w:val="22"/>
          <w:szCs w:val="22"/>
          <w:highlight w:val="none"/>
        </w:rPr>
      </w:pPr>
    </w:p>
    <w:p w14:paraId="7BCC9C90">
      <w:pPr>
        <w:pStyle w:val="51"/>
        <w:ind w:left="860" w:hanging="440"/>
        <w:rPr>
          <w:rFonts w:hint="eastAsia" w:ascii="宋体" w:hAnsi="宋体" w:eastAsia="宋体" w:cs="宋体"/>
          <w:color w:val="auto"/>
          <w:sz w:val="22"/>
          <w:szCs w:val="22"/>
          <w:highlight w:val="none"/>
        </w:rPr>
      </w:pPr>
    </w:p>
    <w:p w14:paraId="5FD67C27">
      <w:pPr>
        <w:pStyle w:val="51"/>
        <w:ind w:left="860" w:hanging="440"/>
        <w:rPr>
          <w:rFonts w:hint="eastAsia" w:ascii="宋体" w:hAnsi="宋体" w:eastAsia="宋体" w:cs="宋体"/>
          <w:color w:val="auto"/>
          <w:sz w:val="22"/>
          <w:szCs w:val="22"/>
          <w:highlight w:val="none"/>
        </w:rPr>
      </w:pPr>
    </w:p>
    <w:p w14:paraId="5A323185">
      <w:pPr>
        <w:pStyle w:val="51"/>
        <w:ind w:left="860" w:hanging="440"/>
        <w:rPr>
          <w:rFonts w:hint="eastAsia" w:ascii="宋体" w:hAnsi="宋体" w:eastAsia="宋体" w:cs="宋体"/>
          <w:color w:val="auto"/>
          <w:sz w:val="22"/>
          <w:szCs w:val="22"/>
          <w:highlight w:val="none"/>
        </w:rPr>
      </w:pPr>
    </w:p>
    <w:p w14:paraId="19A7C999">
      <w:pPr>
        <w:pStyle w:val="51"/>
        <w:ind w:left="860" w:hanging="440"/>
        <w:rPr>
          <w:rFonts w:hint="eastAsia" w:ascii="宋体" w:hAnsi="宋体" w:eastAsia="宋体" w:cs="宋体"/>
          <w:color w:val="auto"/>
          <w:sz w:val="22"/>
          <w:szCs w:val="22"/>
          <w:highlight w:val="none"/>
        </w:rPr>
      </w:pPr>
    </w:p>
    <w:p w14:paraId="1796710B">
      <w:pPr>
        <w:pStyle w:val="51"/>
        <w:ind w:left="860" w:hanging="440"/>
        <w:rPr>
          <w:rFonts w:hint="eastAsia" w:ascii="宋体" w:hAnsi="宋体" w:eastAsia="宋体" w:cs="宋体"/>
          <w:color w:val="auto"/>
          <w:sz w:val="22"/>
          <w:szCs w:val="22"/>
          <w:highlight w:val="none"/>
        </w:rPr>
      </w:pPr>
    </w:p>
    <w:p w14:paraId="0B512DBD">
      <w:pPr>
        <w:pStyle w:val="51"/>
        <w:ind w:left="860" w:hanging="440"/>
        <w:rPr>
          <w:rFonts w:hint="eastAsia" w:ascii="宋体" w:hAnsi="宋体" w:eastAsia="宋体" w:cs="宋体"/>
          <w:color w:val="auto"/>
          <w:sz w:val="22"/>
          <w:szCs w:val="22"/>
          <w:highlight w:val="none"/>
        </w:rPr>
      </w:pPr>
    </w:p>
    <w:p w14:paraId="29254E86">
      <w:pPr>
        <w:pStyle w:val="51"/>
        <w:ind w:left="860" w:hanging="440"/>
        <w:rPr>
          <w:rFonts w:hint="eastAsia" w:ascii="宋体" w:hAnsi="宋体" w:eastAsia="宋体" w:cs="宋体"/>
          <w:color w:val="auto"/>
          <w:sz w:val="22"/>
          <w:szCs w:val="22"/>
          <w:highlight w:val="none"/>
        </w:rPr>
      </w:pPr>
    </w:p>
    <w:p w14:paraId="2BFC896D">
      <w:pPr>
        <w:pStyle w:val="51"/>
        <w:ind w:left="860" w:hanging="440"/>
        <w:rPr>
          <w:rFonts w:hint="eastAsia" w:ascii="宋体" w:hAnsi="宋体" w:eastAsia="宋体" w:cs="宋体"/>
          <w:color w:val="auto"/>
          <w:sz w:val="22"/>
          <w:szCs w:val="22"/>
          <w:highlight w:val="none"/>
        </w:rPr>
      </w:pPr>
    </w:p>
    <w:p w14:paraId="05F3AB06">
      <w:pPr>
        <w:pStyle w:val="51"/>
        <w:ind w:left="860" w:hanging="440"/>
        <w:rPr>
          <w:rFonts w:hint="eastAsia" w:ascii="宋体" w:hAnsi="宋体" w:eastAsia="宋体" w:cs="宋体"/>
          <w:color w:val="auto"/>
          <w:sz w:val="22"/>
          <w:szCs w:val="22"/>
          <w:highlight w:val="none"/>
        </w:rPr>
      </w:pPr>
    </w:p>
    <w:p w14:paraId="311083DA">
      <w:pPr>
        <w:pStyle w:val="51"/>
        <w:ind w:left="860" w:hanging="440"/>
        <w:rPr>
          <w:rFonts w:hint="eastAsia" w:ascii="宋体" w:hAnsi="宋体" w:eastAsia="宋体" w:cs="宋体"/>
          <w:color w:val="auto"/>
          <w:sz w:val="22"/>
          <w:szCs w:val="22"/>
          <w:highlight w:val="none"/>
        </w:rPr>
      </w:pPr>
    </w:p>
    <w:p w14:paraId="5B263996">
      <w:pPr>
        <w:pStyle w:val="51"/>
        <w:ind w:left="860" w:hanging="440"/>
        <w:rPr>
          <w:rFonts w:hint="eastAsia" w:ascii="宋体" w:hAnsi="宋体" w:eastAsia="宋体" w:cs="宋体"/>
          <w:color w:val="auto"/>
          <w:sz w:val="22"/>
          <w:szCs w:val="22"/>
          <w:highlight w:val="none"/>
        </w:rPr>
      </w:pPr>
    </w:p>
    <w:p w14:paraId="69A810EB">
      <w:pPr>
        <w:pStyle w:val="51"/>
        <w:ind w:left="860" w:hanging="440"/>
        <w:rPr>
          <w:rFonts w:hint="eastAsia" w:ascii="宋体" w:hAnsi="宋体" w:eastAsia="宋体" w:cs="宋体"/>
          <w:color w:val="auto"/>
          <w:sz w:val="22"/>
          <w:szCs w:val="22"/>
          <w:highlight w:val="none"/>
        </w:rPr>
      </w:pPr>
    </w:p>
    <w:p w14:paraId="7B24ED30">
      <w:pPr>
        <w:pStyle w:val="51"/>
        <w:ind w:left="860" w:hanging="440"/>
        <w:rPr>
          <w:rFonts w:hint="eastAsia" w:ascii="宋体" w:hAnsi="宋体" w:eastAsia="宋体" w:cs="宋体"/>
          <w:color w:val="auto"/>
          <w:sz w:val="22"/>
          <w:szCs w:val="22"/>
          <w:highlight w:val="none"/>
        </w:rPr>
      </w:pPr>
    </w:p>
    <w:p w14:paraId="3CFBBC93">
      <w:pPr>
        <w:pStyle w:val="51"/>
        <w:ind w:left="860" w:hanging="440"/>
        <w:rPr>
          <w:rFonts w:hint="eastAsia" w:ascii="宋体" w:hAnsi="宋体" w:eastAsia="宋体" w:cs="宋体"/>
          <w:color w:val="auto"/>
          <w:sz w:val="22"/>
          <w:szCs w:val="22"/>
          <w:highlight w:val="none"/>
        </w:rPr>
      </w:pPr>
    </w:p>
    <w:p w14:paraId="67A43CF8">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14:paraId="2680C7B3">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3、分项报价表</w:t>
      </w:r>
    </w:p>
    <w:p w14:paraId="0C1BFB72">
      <w:pPr>
        <w:spacing w:line="360" w:lineRule="auto"/>
        <w:rPr>
          <w:rFonts w:hint="eastAsia" w:ascii="宋体" w:hAnsi="宋体" w:eastAsia="宋体" w:cs="宋体"/>
          <w:b w:val="0"/>
          <w:bCs w:val="0"/>
          <w:color w:val="auto"/>
          <w:sz w:val="22"/>
          <w:szCs w:val="22"/>
          <w:highlight w:val="none"/>
        </w:rPr>
      </w:pPr>
    </w:p>
    <w:p w14:paraId="6F4E5B8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WZLCZB（W）-2025-07010</w:t>
      </w:r>
    </w:p>
    <w:p w14:paraId="36F50A50">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家具采购</w:t>
      </w:r>
    </w:p>
    <w:tbl>
      <w:tblPr>
        <w:tblStyle w:val="52"/>
        <w:tblW w:w="51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557"/>
        <w:gridCol w:w="1403"/>
        <w:gridCol w:w="1165"/>
        <w:gridCol w:w="861"/>
        <w:gridCol w:w="1016"/>
        <w:gridCol w:w="1159"/>
        <w:gridCol w:w="1137"/>
        <w:gridCol w:w="1226"/>
      </w:tblGrid>
      <w:tr w14:paraId="204D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noWrap w:val="0"/>
            <w:vAlign w:val="center"/>
          </w:tcPr>
          <w:p w14:paraId="4E9BB894">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774" w:type="pct"/>
            <w:noWrap w:val="0"/>
            <w:vAlign w:val="center"/>
          </w:tcPr>
          <w:p w14:paraId="47B2EAD7">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695" w:type="pct"/>
            <w:noWrap w:val="0"/>
            <w:vAlign w:val="center"/>
          </w:tcPr>
          <w:p w14:paraId="63514E26">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579" w:type="pct"/>
            <w:noWrap w:val="0"/>
            <w:vAlign w:val="center"/>
          </w:tcPr>
          <w:p w14:paraId="36D6512E">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428" w:type="pct"/>
            <w:noWrap w:val="0"/>
            <w:vAlign w:val="center"/>
          </w:tcPr>
          <w:p w14:paraId="2BA17465">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505" w:type="pct"/>
            <w:noWrap w:val="0"/>
            <w:vAlign w:val="center"/>
          </w:tcPr>
          <w:p w14:paraId="304A5117">
            <w:pPr>
              <w:spacing w:line="460" w:lineRule="exact"/>
              <w:ind w:right="-11"/>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单位</w:t>
            </w:r>
          </w:p>
        </w:tc>
        <w:tc>
          <w:tcPr>
            <w:tcW w:w="576" w:type="pct"/>
            <w:noWrap w:val="0"/>
            <w:vAlign w:val="center"/>
          </w:tcPr>
          <w:p w14:paraId="79D5CB73">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5D00B97C">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563" w:type="pct"/>
            <w:noWrap w:val="0"/>
            <w:vAlign w:val="center"/>
          </w:tcPr>
          <w:p w14:paraId="246BD663">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0BBC9581">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609" w:type="pct"/>
            <w:noWrap w:val="0"/>
            <w:vAlign w:val="center"/>
          </w:tcPr>
          <w:p w14:paraId="6A405193">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4DDEF1DE">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3542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 w:type="pct"/>
            <w:noWrap w:val="0"/>
            <w:vAlign w:val="center"/>
          </w:tcPr>
          <w:p w14:paraId="14203452">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774" w:type="pct"/>
            <w:noWrap w:val="0"/>
            <w:vAlign w:val="center"/>
          </w:tcPr>
          <w:p w14:paraId="319AAA5D">
            <w:pPr>
              <w:tabs>
                <w:tab w:val="left" w:pos="360"/>
              </w:tabs>
              <w:spacing w:line="460" w:lineRule="exact"/>
              <w:jc w:val="center"/>
              <w:rPr>
                <w:rFonts w:hint="eastAsia" w:ascii="新宋体" w:hAnsi="新宋体" w:eastAsia="新宋体" w:cs="新宋体"/>
                <w:color w:val="auto"/>
                <w:sz w:val="22"/>
                <w:szCs w:val="22"/>
                <w:highlight w:val="none"/>
                <w:lang w:eastAsia="zh-CN"/>
              </w:rPr>
            </w:pPr>
          </w:p>
        </w:tc>
        <w:tc>
          <w:tcPr>
            <w:tcW w:w="695" w:type="pct"/>
            <w:noWrap w:val="0"/>
            <w:vAlign w:val="center"/>
          </w:tcPr>
          <w:p w14:paraId="402BA19D">
            <w:pPr>
              <w:spacing w:line="460" w:lineRule="exact"/>
              <w:jc w:val="center"/>
              <w:rPr>
                <w:rFonts w:ascii="新宋体" w:hAnsi="新宋体" w:eastAsia="新宋体" w:cs="新宋体"/>
                <w:color w:val="auto"/>
                <w:sz w:val="22"/>
                <w:szCs w:val="22"/>
                <w:highlight w:val="none"/>
              </w:rPr>
            </w:pPr>
          </w:p>
        </w:tc>
        <w:tc>
          <w:tcPr>
            <w:tcW w:w="579" w:type="pct"/>
            <w:noWrap w:val="0"/>
            <w:vAlign w:val="center"/>
          </w:tcPr>
          <w:p w14:paraId="15E7F271">
            <w:pPr>
              <w:spacing w:line="460" w:lineRule="exact"/>
              <w:ind w:right="-11"/>
              <w:jc w:val="center"/>
              <w:rPr>
                <w:rFonts w:ascii="新宋体" w:hAnsi="新宋体" w:eastAsia="新宋体" w:cs="新宋体"/>
                <w:color w:val="auto"/>
                <w:sz w:val="22"/>
                <w:szCs w:val="22"/>
                <w:highlight w:val="none"/>
              </w:rPr>
            </w:pPr>
          </w:p>
        </w:tc>
        <w:tc>
          <w:tcPr>
            <w:tcW w:w="428" w:type="pct"/>
            <w:noWrap w:val="0"/>
            <w:vAlign w:val="center"/>
          </w:tcPr>
          <w:p w14:paraId="559BF9FA">
            <w:pPr>
              <w:spacing w:line="460" w:lineRule="exact"/>
              <w:jc w:val="center"/>
              <w:rPr>
                <w:rFonts w:hint="default" w:ascii="新宋体" w:hAnsi="新宋体" w:eastAsia="新宋体" w:cs="新宋体"/>
                <w:color w:val="auto"/>
                <w:sz w:val="22"/>
                <w:szCs w:val="22"/>
                <w:highlight w:val="none"/>
                <w:lang w:val="en-US"/>
              </w:rPr>
            </w:pPr>
          </w:p>
        </w:tc>
        <w:tc>
          <w:tcPr>
            <w:tcW w:w="505" w:type="pct"/>
            <w:noWrap w:val="0"/>
            <w:vAlign w:val="center"/>
          </w:tcPr>
          <w:p w14:paraId="4DC58876">
            <w:pPr>
              <w:spacing w:line="460" w:lineRule="exact"/>
              <w:jc w:val="center"/>
              <w:rPr>
                <w:rFonts w:ascii="新宋体" w:hAnsi="新宋体" w:eastAsia="新宋体" w:cs="新宋体"/>
                <w:color w:val="auto"/>
                <w:sz w:val="22"/>
                <w:szCs w:val="22"/>
                <w:highlight w:val="none"/>
              </w:rPr>
            </w:pPr>
          </w:p>
        </w:tc>
        <w:tc>
          <w:tcPr>
            <w:tcW w:w="576" w:type="pct"/>
            <w:noWrap w:val="0"/>
            <w:vAlign w:val="center"/>
          </w:tcPr>
          <w:p w14:paraId="559DDB85">
            <w:pPr>
              <w:spacing w:line="460" w:lineRule="exact"/>
              <w:ind w:right="-11"/>
              <w:jc w:val="center"/>
              <w:rPr>
                <w:rFonts w:ascii="新宋体" w:hAnsi="新宋体" w:eastAsia="新宋体" w:cs="新宋体"/>
                <w:color w:val="auto"/>
                <w:sz w:val="22"/>
                <w:szCs w:val="22"/>
                <w:highlight w:val="none"/>
              </w:rPr>
            </w:pPr>
          </w:p>
        </w:tc>
        <w:tc>
          <w:tcPr>
            <w:tcW w:w="563" w:type="pct"/>
            <w:noWrap w:val="0"/>
            <w:vAlign w:val="center"/>
          </w:tcPr>
          <w:p w14:paraId="7E6F51AD">
            <w:pPr>
              <w:spacing w:line="460" w:lineRule="exact"/>
              <w:ind w:right="-11"/>
              <w:jc w:val="center"/>
              <w:rPr>
                <w:rFonts w:ascii="新宋体" w:hAnsi="新宋体" w:eastAsia="新宋体" w:cs="新宋体"/>
                <w:color w:val="auto"/>
                <w:sz w:val="22"/>
                <w:szCs w:val="22"/>
                <w:highlight w:val="none"/>
              </w:rPr>
            </w:pPr>
          </w:p>
        </w:tc>
        <w:tc>
          <w:tcPr>
            <w:tcW w:w="609" w:type="pct"/>
            <w:noWrap w:val="0"/>
            <w:vAlign w:val="center"/>
          </w:tcPr>
          <w:p w14:paraId="091BA0F0">
            <w:pPr>
              <w:spacing w:line="460" w:lineRule="exact"/>
              <w:ind w:right="-11"/>
              <w:jc w:val="center"/>
              <w:rPr>
                <w:rFonts w:ascii="新宋体" w:hAnsi="新宋体" w:eastAsia="新宋体" w:cs="新宋体"/>
                <w:color w:val="auto"/>
                <w:sz w:val="22"/>
                <w:szCs w:val="22"/>
                <w:highlight w:val="none"/>
              </w:rPr>
            </w:pPr>
          </w:p>
        </w:tc>
      </w:tr>
      <w:tr w14:paraId="5CF1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 w:type="pct"/>
            <w:noWrap w:val="0"/>
            <w:vAlign w:val="center"/>
          </w:tcPr>
          <w:p w14:paraId="0D5B8249">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774" w:type="pct"/>
            <w:noWrap w:val="0"/>
            <w:vAlign w:val="center"/>
          </w:tcPr>
          <w:p w14:paraId="07894EC4">
            <w:pPr>
              <w:tabs>
                <w:tab w:val="left" w:pos="360"/>
              </w:tabs>
              <w:spacing w:line="460" w:lineRule="exact"/>
              <w:jc w:val="center"/>
              <w:rPr>
                <w:rFonts w:ascii="新宋体" w:hAnsi="新宋体" w:eastAsia="新宋体" w:cs="新宋体"/>
                <w:color w:val="auto"/>
                <w:sz w:val="22"/>
                <w:szCs w:val="22"/>
                <w:highlight w:val="none"/>
              </w:rPr>
            </w:pPr>
          </w:p>
        </w:tc>
        <w:tc>
          <w:tcPr>
            <w:tcW w:w="695" w:type="pct"/>
            <w:noWrap w:val="0"/>
            <w:vAlign w:val="center"/>
          </w:tcPr>
          <w:p w14:paraId="060BD962">
            <w:pPr>
              <w:spacing w:line="460" w:lineRule="exact"/>
              <w:jc w:val="center"/>
              <w:rPr>
                <w:rFonts w:ascii="新宋体" w:hAnsi="新宋体" w:eastAsia="新宋体" w:cs="新宋体"/>
                <w:color w:val="auto"/>
                <w:sz w:val="22"/>
                <w:szCs w:val="22"/>
                <w:highlight w:val="none"/>
              </w:rPr>
            </w:pPr>
          </w:p>
        </w:tc>
        <w:tc>
          <w:tcPr>
            <w:tcW w:w="579" w:type="pct"/>
            <w:noWrap w:val="0"/>
            <w:vAlign w:val="center"/>
          </w:tcPr>
          <w:p w14:paraId="258D75B8">
            <w:pPr>
              <w:spacing w:line="460" w:lineRule="exact"/>
              <w:ind w:right="-11"/>
              <w:jc w:val="center"/>
              <w:rPr>
                <w:rFonts w:ascii="新宋体" w:hAnsi="新宋体" w:eastAsia="新宋体" w:cs="新宋体"/>
                <w:color w:val="auto"/>
                <w:sz w:val="22"/>
                <w:szCs w:val="22"/>
                <w:highlight w:val="none"/>
              </w:rPr>
            </w:pPr>
          </w:p>
        </w:tc>
        <w:tc>
          <w:tcPr>
            <w:tcW w:w="428" w:type="pct"/>
            <w:noWrap w:val="0"/>
            <w:vAlign w:val="center"/>
          </w:tcPr>
          <w:p w14:paraId="5A768922">
            <w:pPr>
              <w:spacing w:line="460" w:lineRule="exact"/>
              <w:jc w:val="center"/>
              <w:rPr>
                <w:rFonts w:ascii="新宋体" w:hAnsi="新宋体" w:eastAsia="新宋体" w:cs="新宋体"/>
                <w:color w:val="auto"/>
                <w:sz w:val="22"/>
                <w:szCs w:val="22"/>
                <w:highlight w:val="none"/>
              </w:rPr>
            </w:pPr>
          </w:p>
        </w:tc>
        <w:tc>
          <w:tcPr>
            <w:tcW w:w="505" w:type="pct"/>
            <w:noWrap w:val="0"/>
            <w:vAlign w:val="center"/>
          </w:tcPr>
          <w:p w14:paraId="788311FD">
            <w:pPr>
              <w:spacing w:line="460" w:lineRule="exact"/>
              <w:jc w:val="center"/>
              <w:rPr>
                <w:rFonts w:ascii="新宋体" w:hAnsi="新宋体" w:eastAsia="新宋体" w:cs="新宋体"/>
                <w:color w:val="auto"/>
                <w:sz w:val="22"/>
                <w:szCs w:val="22"/>
                <w:highlight w:val="none"/>
              </w:rPr>
            </w:pPr>
          </w:p>
        </w:tc>
        <w:tc>
          <w:tcPr>
            <w:tcW w:w="576" w:type="pct"/>
            <w:noWrap w:val="0"/>
            <w:vAlign w:val="center"/>
          </w:tcPr>
          <w:p w14:paraId="3216B2CD">
            <w:pPr>
              <w:spacing w:line="460" w:lineRule="exact"/>
              <w:ind w:right="-11"/>
              <w:jc w:val="center"/>
              <w:rPr>
                <w:rFonts w:ascii="新宋体" w:hAnsi="新宋体" w:eastAsia="新宋体" w:cs="新宋体"/>
                <w:color w:val="auto"/>
                <w:sz w:val="22"/>
                <w:szCs w:val="22"/>
                <w:highlight w:val="none"/>
              </w:rPr>
            </w:pPr>
          </w:p>
        </w:tc>
        <w:tc>
          <w:tcPr>
            <w:tcW w:w="563" w:type="pct"/>
            <w:noWrap w:val="0"/>
            <w:vAlign w:val="center"/>
          </w:tcPr>
          <w:p w14:paraId="75FA9395">
            <w:pPr>
              <w:spacing w:line="460" w:lineRule="exact"/>
              <w:ind w:right="-11"/>
              <w:jc w:val="center"/>
              <w:rPr>
                <w:rFonts w:ascii="新宋体" w:hAnsi="新宋体" w:eastAsia="新宋体" w:cs="新宋体"/>
                <w:color w:val="auto"/>
                <w:sz w:val="22"/>
                <w:szCs w:val="22"/>
                <w:highlight w:val="none"/>
              </w:rPr>
            </w:pPr>
          </w:p>
        </w:tc>
        <w:tc>
          <w:tcPr>
            <w:tcW w:w="609" w:type="pct"/>
            <w:noWrap w:val="0"/>
            <w:vAlign w:val="center"/>
          </w:tcPr>
          <w:p w14:paraId="7B15C07C">
            <w:pPr>
              <w:spacing w:line="460" w:lineRule="exact"/>
              <w:ind w:right="-11"/>
              <w:jc w:val="center"/>
              <w:rPr>
                <w:rFonts w:ascii="新宋体" w:hAnsi="新宋体" w:eastAsia="新宋体" w:cs="新宋体"/>
                <w:color w:val="auto"/>
                <w:sz w:val="22"/>
                <w:szCs w:val="22"/>
                <w:highlight w:val="none"/>
              </w:rPr>
            </w:pPr>
          </w:p>
        </w:tc>
      </w:tr>
      <w:tr w14:paraId="512B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 w:type="pct"/>
            <w:noWrap w:val="0"/>
            <w:vAlign w:val="center"/>
          </w:tcPr>
          <w:p w14:paraId="0CCDA29D">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774" w:type="pct"/>
            <w:noWrap w:val="0"/>
            <w:vAlign w:val="center"/>
          </w:tcPr>
          <w:p w14:paraId="74F3C8DC">
            <w:pPr>
              <w:tabs>
                <w:tab w:val="left" w:pos="360"/>
              </w:tabs>
              <w:spacing w:line="460" w:lineRule="exact"/>
              <w:jc w:val="center"/>
              <w:rPr>
                <w:rFonts w:ascii="新宋体" w:hAnsi="新宋体" w:eastAsia="新宋体" w:cs="新宋体"/>
                <w:color w:val="auto"/>
                <w:sz w:val="22"/>
                <w:szCs w:val="22"/>
                <w:highlight w:val="none"/>
              </w:rPr>
            </w:pPr>
          </w:p>
        </w:tc>
        <w:tc>
          <w:tcPr>
            <w:tcW w:w="695" w:type="pct"/>
            <w:noWrap w:val="0"/>
            <w:vAlign w:val="center"/>
          </w:tcPr>
          <w:p w14:paraId="2F84920A">
            <w:pPr>
              <w:spacing w:line="460" w:lineRule="exact"/>
              <w:jc w:val="center"/>
              <w:rPr>
                <w:rFonts w:ascii="新宋体" w:hAnsi="新宋体" w:eastAsia="新宋体" w:cs="新宋体"/>
                <w:color w:val="auto"/>
                <w:sz w:val="22"/>
                <w:szCs w:val="22"/>
                <w:highlight w:val="none"/>
              </w:rPr>
            </w:pPr>
          </w:p>
        </w:tc>
        <w:tc>
          <w:tcPr>
            <w:tcW w:w="579" w:type="pct"/>
            <w:noWrap w:val="0"/>
            <w:vAlign w:val="center"/>
          </w:tcPr>
          <w:p w14:paraId="3DA788D7">
            <w:pPr>
              <w:spacing w:line="460" w:lineRule="exact"/>
              <w:ind w:right="-11"/>
              <w:jc w:val="center"/>
              <w:rPr>
                <w:rFonts w:ascii="新宋体" w:hAnsi="新宋体" w:eastAsia="新宋体" w:cs="新宋体"/>
                <w:color w:val="auto"/>
                <w:sz w:val="22"/>
                <w:szCs w:val="22"/>
                <w:highlight w:val="none"/>
              </w:rPr>
            </w:pPr>
          </w:p>
        </w:tc>
        <w:tc>
          <w:tcPr>
            <w:tcW w:w="428" w:type="pct"/>
            <w:noWrap w:val="0"/>
            <w:vAlign w:val="center"/>
          </w:tcPr>
          <w:p w14:paraId="06B4A589">
            <w:pPr>
              <w:spacing w:line="460" w:lineRule="exact"/>
              <w:jc w:val="center"/>
              <w:rPr>
                <w:rFonts w:ascii="新宋体" w:hAnsi="新宋体" w:eastAsia="新宋体" w:cs="新宋体"/>
                <w:color w:val="auto"/>
                <w:sz w:val="22"/>
                <w:szCs w:val="22"/>
                <w:highlight w:val="none"/>
              </w:rPr>
            </w:pPr>
          </w:p>
        </w:tc>
        <w:tc>
          <w:tcPr>
            <w:tcW w:w="505" w:type="pct"/>
            <w:noWrap w:val="0"/>
            <w:vAlign w:val="center"/>
          </w:tcPr>
          <w:p w14:paraId="510C8E12">
            <w:pPr>
              <w:spacing w:line="460" w:lineRule="exact"/>
              <w:jc w:val="center"/>
              <w:rPr>
                <w:rFonts w:ascii="新宋体" w:hAnsi="新宋体" w:eastAsia="新宋体" w:cs="新宋体"/>
                <w:color w:val="auto"/>
                <w:sz w:val="22"/>
                <w:szCs w:val="22"/>
                <w:highlight w:val="none"/>
              </w:rPr>
            </w:pPr>
          </w:p>
        </w:tc>
        <w:tc>
          <w:tcPr>
            <w:tcW w:w="576" w:type="pct"/>
            <w:noWrap w:val="0"/>
            <w:vAlign w:val="center"/>
          </w:tcPr>
          <w:p w14:paraId="7982F14B">
            <w:pPr>
              <w:spacing w:line="460" w:lineRule="exact"/>
              <w:ind w:right="-11"/>
              <w:jc w:val="center"/>
              <w:rPr>
                <w:rFonts w:ascii="新宋体" w:hAnsi="新宋体" w:eastAsia="新宋体" w:cs="新宋体"/>
                <w:color w:val="auto"/>
                <w:sz w:val="22"/>
                <w:szCs w:val="22"/>
                <w:highlight w:val="none"/>
              </w:rPr>
            </w:pPr>
          </w:p>
        </w:tc>
        <w:tc>
          <w:tcPr>
            <w:tcW w:w="563" w:type="pct"/>
            <w:noWrap w:val="0"/>
            <w:vAlign w:val="center"/>
          </w:tcPr>
          <w:p w14:paraId="2ABCA739">
            <w:pPr>
              <w:spacing w:line="460" w:lineRule="exact"/>
              <w:ind w:right="-11"/>
              <w:jc w:val="center"/>
              <w:rPr>
                <w:rFonts w:ascii="新宋体" w:hAnsi="新宋体" w:eastAsia="新宋体" w:cs="新宋体"/>
                <w:color w:val="auto"/>
                <w:sz w:val="22"/>
                <w:szCs w:val="22"/>
                <w:highlight w:val="none"/>
              </w:rPr>
            </w:pPr>
          </w:p>
        </w:tc>
        <w:tc>
          <w:tcPr>
            <w:tcW w:w="609" w:type="pct"/>
            <w:noWrap w:val="0"/>
            <w:vAlign w:val="center"/>
          </w:tcPr>
          <w:p w14:paraId="004C7F0C">
            <w:pPr>
              <w:spacing w:line="460" w:lineRule="exact"/>
              <w:ind w:right="-11"/>
              <w:jc w:val="center"/>
              <w:rPr>
                <w:rFonts w:ascii="新宋体" w:hAnsi="新宋体" w:eastAsia="新宋体" w:cs="新宋体"/>
                <w:color w:val="auto"/>
                <w:sz w:val="22"/>
                <w:szCs w:val="22"/>
                <w:highlight w:val="none"/>
              </w:rPr>
            </w:pPr>
          </w:p>
        </w:tc>
      </w:tr>
      <w:tr w14:paraId="74BE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 w:type="pct"/>
            <w:noWrap w:val="0"/>
            <w:vAlign w:val="center"/>
          </w:tcPr>
          <w:p w14:paraId="27BDCF16">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774" w:type="pct"/>
            <w:noWrap w:val="0"/>
            <w:vAlign w:val="center"/>
          </w:tcPr>
          <w:p w14:paraId="5E7F0616">
            <w:pPr>
              <w:widowControl/>
              <w:spacing w:line="460" w:lineRule="exact"/>
              <w:jc w:val="center"/>
              <w:textAlignment w:val="center"/>
              <w:rPr>
                <w:rFonts w:ascii="新宋体" w:hAnsi="新宋体" w:eastAsia="新宋体" w:cs="新宋体"/>
                <w:color w:val="auto"/>
                <w:sz w:val="22"/>
                <w:szCs w:val="22"/>
                <w:highlight w:val="none"/>
              </w:rPr>
            </w:pPr>
          </w:p>
        </w:tc>
        <w:tc>
          <w:tcPr>
            <w:tcW w:w="695" w:type="pct"/>
            <w:noWrap w:val="0"/>
            <w:vAlign w:val="center"/>
          </w:tcPr>
          <w:p w14:paraId="266D56A9">
            <w:pPr>
              <w:spacing w:line="460" w:lineRule="exact"/>
              <w:jc w:val="center"/>
              <w:rPr>
                <w:rFonts w:ascii="新宋体" w:hAnsi="新宋体" w:eastAsia="新宋体" w:cs="新宋体"/>
                <w:color w:val="auto"/>
                <w:sz w:val="22"/>
                <w:szCs w:val="22"/>
                <w:highlight w:val="none"/>
              </w:rPr>
            </w:pPr>
          </w:p>
        </w:tc>
        <w:tc>
          <w:tcPr>
            <w:tcW w:w="579" w:type="pct"/>
            <w:noWrap w:val="0"/>
            <w:vAlign w:val="center"/>
          </w:tcPr>
          <w:p w14:paraId="3EDB8DFD">
            <w:pPr>
              <w:spacing w:line="460" w:lineRule="exact"/>
              <w:ind w:right="-11"/>
              <w:jc w:val="center"/>
              <w:rPr>
                <w:rFonts w:ascii="新宋体" w:hAnsi="新宋体" w:eastAsia="新宋体" w:cs="新宋体"/>
                <w:color w:val="auto"/>
                <w:sz w:val="22"/>
                <w:szCs w:val="22"/>
                <w:highlight w:val="none"/>
              </w:rPr>
            </w:pPr>
          </w:p>
        </w:tc>
        <w:tc>
          <w:tcPr>
            <w:tcW w:w="428" w:type="pct"/>
            <w:noWrap w:val="0"/>
            <w:vAlign w:val="center"/>
          </w:tcPr>
          <w:p w14:paraId="23C60D74">
            <w:pPr>
              <w:spacing w:line="460" w:lineRule="exact"/>
              <w:jc w:val="center"/>
              <w:rPr>
                <w:rFonts w:ascii="新宋体" w:hAnsi="新宋体" w:eastAsia="新宋体" w:cs="新宋体"/>
                <w:color w:val="auto"/>
                <w:sz w:val="22"/>
                <w:szCs w:val="22"/>
                <w:highlight w:val="none"/>
              </w:rPr>
            </w:pPr>
          </w:p>
        </w:tc>
        <w:tc>
          <w:tcPr>
            <w:tcW w:w="505" w:type="pct"/>
            <w:noWrap w:val="0"/>
            <w:vAlign w:val="center"/>
          </w:tcPr>
          <w:p w14:paraId="5D558305">
            <w:pPr>
              <w:spacing w:line="460" w:lineRule="exact"/>
              <w:jc w:val="center"/>
              <w:rPr>
                <w:rFonts w:ascii="新宋体" w:hAnsi="新宋体" w:eastAsia="新宋体" w:cs="新宋体"/>
                <w:color w:val="auto"/>
                <w:sz w:val="22"/>
                <w:szCs w:val="22"/>
                <w:highlight w:val="none"/>
              </w:rPr>
            </w:pPr>
          </w:p>
        </w:tc>
        <w:tc>
          <w:tcPr>
            <w:tcW w:w="576" w:type="pct"/>
            <w:noWrap w:val="0"/>
            <w:vAlign w:val="center"/>
          </w:tcPr>
          <w:p w14:paraId="2F6516B3">
            <w:pPr>
              <w:spacing w:line="460" w:lineRule="exact"/>
              <w:ind w:right="-11"/>
              <w:jc w:val="center"/>
              <w:rPr>
                <w:rFonts w:ascii="新宋体" w:hAnsi="新宋体" w:eastAsia="新宋体" w:cs="新宋体"/>
                <w:color w:val="auto"/>
                <w:sz w:val="22"/>
                <w:szCs w:val="22"/>
                <w:highlight w:val="none"/>
              </w:rPr>
            </w:pPr>
          </w:p>
        </w:tc>
        <w:tc>
          <w:tcPr>
            <w:tcW w:w="563" w:type="pct"/>
            <w:noWrap w:val="0"/>
            <w:vAlign w:val="center"/>
          </w:tcPr>
          <w:p w14:paraId="0927115C">
            <w:pPr>
              <w:spacing w:line="460" w:lineRule="exact"/>
              <w:ind w:right="-11"/>
              <w:jc w:val="center"/>
              <w:rPr>
                <w:rFonts w:ascii="新宋体" w:hAnsi="新宋体" w:eastAsia="新宋体" w:cs="新宋体"/>
                <w:color w:val="auto"/>
                <w:sz w:val="22"/>
                <w:szCs w:val="22"/>
                <w:highlight w:val="none"/>
              </w:rPr>
            </w:pPr>
          </w:p>
        </w:tc>
        <w:tc>
          <w:tcPr>
            <w:tcW w:w="609" w:type="pct"/>
            <w:noWrap w:val="0"/>
            <w:vAlign w:val="center"/>
          </w:tcPr>
          <w:p w14:paraId="7EDA7B0B">
            <w:pPr>
              <w:spacing w:line="460" w:lineRule="exact"/>
              <w:ind w:right="-11"/>
              <w:jc w:val="center"/>
              <w:rPr>
                <w:rFonts w:ascii="新宋体" w:hAnsi="新宋体" w:eastAsia="新宋体" w:cs="新宋体"/>
                <w:color w:val="auto"/>
                <w:sz w:val="22"/>
                <w:szCs w:val="22"/>
                <w:highlight w:val="none"/>
              </w:rPr>
            </w:pPr>
          </w:p>
        </w:tc>
      </w:tr>
      <w:tr w14:paraId="7F30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 w:type="pct"/>
            <w:noWrap w:val="0"/>
            <w:vAlign w:val="center"/>
          </w:tcPr>
          <w:p w14:paraId="4ABB1C8D">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774" w:type="pct"/>
            <w:noWrap w:val="0"/>
            <w:vAlign w:val="center"/>
          </w:tcPr>
          <w:p w14:paraId="54D37C9F">
            <w:pPr>
              <w:widowControl/>
              <w:spacing w:line="460" w:lineRule="exact"/>
              <w:jc w:val="center"/>
              <w:textAlignment w:val="center"/>
              <w:rPr>
                <w:rFonts w:ascii="新宋体" w:hAnsi="新宋体" w:eastAsia="新宋体" w:cs="新宋体"/>
                <w:color w:val="auto"/>
                <w:sz w:val="22"/>
                <w:szCs w:val="22"/>
                <w:highlight w:val="none"/>
              </w:rPr>
            </w:pPr>
          </w:p>
        </w:tc>
        <w:tc>
          <w:tcPr>
            <w:tcW w:w="695" w:type="pct"/>
            <w:noWrap w:val="0"/>
            <w:vAlign w:val="center"/>
          </w:tcPr>
          <w:p w14:paraId="37F4CAA0">
            <w:pPr>
              <w:spacing w:line="460" w:lineRule="exact"/>
              <w:jc w:val="center"/>
              <w:rPr>
                <w:rFonts w:ascii="新宋体" w:hAnsi="新宋体" w:eastAsia="新宋体" w:cs="新宋体"/>
                <w:color w:val="auto"/>
                <w:sz w:val="22"/>
                <w:szCs w:val="22"/>
                <w:highlight w:val="none"/>
              </w:rPr>
            </w:pPr>
          </w:p>
        </w:tc>
        <w:tc>
          <w:tcPr>
            <w:tcW w:w="579" w:type="pct"/>
            <w:noWrap w:val="0"/>
            <w:vAlign w:val="center"/>
          </w:tcPr>
          <w:p w14:paraId="2D218B2B">
            <w:pPr>
              <w:spacing w:line="460" w:lineRule="exact"/>
              <w:ind w:right="-11"/>
              <w:jc w:val="center"/>
              <w:rPr>
                <w:rFonts w:ascii="新宋体" w:hAnsi="新宋体" w:eastAsia="新宋体" w:cs="新宋体"/>
                <w:color w:val="auto"/>
                <w:sz w:val="22"/>
                <w:szCs w:val="22"/>
                <w:highlight w:val="none"/>
              </w:rPr>
            </w:pPr>
          </w:p>
        </w:tc>
        <w:tc>
          <w:tcPr>
            <w:tcW w:w="428" w:type="pct"/>
            <w:noWrap w:val="0"/>
            <w:vAlign w:val="center"/>
          </w:tcPr>
          <w:p w14:paraId="5F66C284">
            <w:pPr>
              <w:spacing w:line="460" w:lineRule="exact"/>
              <w:jc w:val="center"/>
              <w:rPr>
                <w:rFonts w:ascii="新宋体" w:hAnsi="新宋体" w:eastAsia="新宋体" w:cs="新宋体"/>
                <w:color w:val="auto"/>
                <w:sz w:val="22"/>
                <w:szCs w:val="22"/>
                <w:highlight w:val="none"/>
              </w:rPr>
            </w:pPr>
          </w:p>
        </w:tc>
        <w:tc>
          <w:tcPr>
            <w:tcW w:w="505" w:type="pct"/>
            <w:noWrap w:val="0"/>
            <w:vAlign w:val="center"/>
          </w:tcPr>
          <w:p w14:paraId="66A6281A">
            <w:pPr>
              <w:spacing w:line="460" w:lineRule="exact"/>
              <w:jc w:val="center"/>
              <w:rPr>
                <w:rFonts w:ascii="新宋体" w:hAnsi="新宋体" w:eastAsia="新宋体" w:cs="新宋体"/>
                <w:color w:val="auto"/>
                <w:sz w:val="22"/>
                <w:szCs w:val="22"/>
                <w:highlight w:val="none"/>
              </w:rPr>
            </w:pPr>
          </w:p>
        </w:tc>
        <w:tc>
          <w:tcPr>
            <w:tcW w:w="576" w:type="pct"/>
            <w:noWrap w:val="0"/>
            <w:vAlign w:val="center"/>
          </w:tcPr>
          <w:p w14:paraId="4B36266C">
            <w:pPr>
              <w:spacing w:line="460" w:lineRule="exact"/>
              <w:ind w:right="-11"/>
              <w:jc w:val="center"/>
              <w:rPr>
                <w:rFonts w:ascii="新宋体" w:hAnsi="新宋体" w:eastAsia="新宋体" w:cs="新宋体"/>
                <w:color w:val="auto"/>
                <w:sz w:val="22"/>
                <w:szCs w:val="22"/>
                <w:highlight w:val="none"/>
              </w:rPr>
            </w:pPr>
          </w:p>
        </w:tc>
        <w:tc>
          <w:tcPr>
            <w:tcW w:w="563" w:type="pct"/>
            <w:noWrap w:val="0"/>
            <w:vAlign w:val="center"/>
          </w:tcPr>
          <w:p w14:paraId="329FF4AD">
            <w:pPr>
              <w:spacing w:line="460" w:lineRule="exact"/>
              <w:ind w:right="-11"/>
              <w:jc w:val="center"/>
              <w:rPr>
                <w:rFonts w:ascii="新宋体" w:hAnsi="新宋体" w:eastAsia="新宋体" w:cs="新宋体"/>
                <w:color w:val="auto"/>
                <w:sz w:val="22"/>
                <w:szCs w:val="22"/>
                <w:highlight w:val="none"/>
              </w:rPr>
            </w:pPr>
          </w:p>
        </w:tc>
        <w:tc>
          <w:tcPr>
            <w:tcW w:w="609" w:type="pct"/>
            <w:noWrap w:val="0"/>
            <w:vAlign w:val="center"/>
          </w:tcPr>
          <w:p w14:paraId="20EA3FA5">
            <w:pPr>
              <w:spacing w:line="460" w:lineRule="exact"/>
              <w:ind w:right="-11"/>
              <w:jc w:val="center"/>
              <w:rPr>
                <w:rFonts w:ascii="新宋体" w:hAnsi="新宋体" w:eastAsia="新宋体" w:cs="新宋体"/>
                <w:color w:val="auto"/>
                <w:sz w:val="22"/>
                <w:szCs w:val="22"/>
                <w:highlight w:val="none"/>
              </w:rPr>
            </w:pPr>
          </w:p>
        </w:tc>
      </w:tr>
      <w:tr w14:paraId="0A5C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 w:type="pct"/>
            <w:noWrap w:val="0"/>
            <w:vAlign w:val="center"/>
          </w:tcPr>
          <w:p w14:paraId="4F29E9F8">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774" w:type="pct"/>
            <w:noWrap w:val="0"/>
            <w:vAlign w:val="center"/>
          </w:tcPr>
          <w:p w14:paraId="1A1BA366">
            <w:pPr>
              <w:widowControl/>
              <w:spacing w:line="460" w:lineRule="exact"/>
              <w:jc w:val="center"/>
              <w:textAlignment w:val="center"/>
              <w:rPr>
                <w:rFonts w:ascii="新宋体" w:hAnsi="新宋体" w:eastAsia="新宋体" w:cs="新宋体"/>
                <w:color w:val="auto"/>
                <w:sz w:val="22"/>
                <w:szCs w:val="22"/>
                <w:highlight w:val="none"/>
              </w:rPr>
            </w:pPr>
          </w:p>
        </w:tc>
        <w:tc>
          <w:tcPr>
            <w:tcW w:w="695" w:type="pct"/>
            <w:noWrap w:val="0"/>
            <w:vAlign w:val="center"/>
          </w:tcPr>
          <w:p w14:paraId="1343A301">
            <w:pPr>
              <w:spacing w:line="460" w:lineRule="exact"/>
              <w:jc w:val="center"/>
              <w:rPr>
                <w:rFonts w:ascii="新宋体" w:hAnsi="新宋体" w:eastAsia="新宋体" w:cs="新宋体"/>
                <w:color w:val="auto"/>
                <w:sz w:val="22"/>
                <w:szCs w:val="22"/>
                <w:highlight w:val="none"/>
              </w:rPr>
            </w:pPr>
          </w:p>
        </w:tc>
        <w:tc>
          <w:tcPr>
            <w:tcW w:w="579" w:type="pct"/>
            <w:noWrap w:val="0"/>
            <w:vAlign w:val="center"/>
          </w:tcPr>
          <w:p w14:paraId="15FE8032">
            <w:pPr>
              <w:spacing w:line="460" w:lineRule="exact"/>
              <w:ind w:right="-11"/>
              <w:jc w:val="center"/>
              <w:rPr>
                <w:rFonts w:ascii="新宋体" w:hAnsi="新宋体" w:eastAsia="新宋体" w:cs="新宋体"/>
                <w:color w:val="auto"/>
                <w:sz w:val="22"/>
                <w:szCs w:val="22"/>
                <w:highlight w:val="none"/>
              </w:rPr>
            </w:pPr>
          </w:p>
        </w:tc>
        <w:tc>
          <w:tcPr>
            <w:tcW w:w="428" w:type="pct"/>
            <w:noWrap w:val="0"/>
            <w:vAlign w:val="center"/>
          </w:tcPr>
          <w:p w14:paraId="0CE53968">
            <w:pPr>
              <w:spacing w:line="460" w:lineRule="exact"/>
              <w:jc w:val="center"/>
              <w:rPr>
                <w:rFonts w:ascii="新宋体" w:hAnsi="新宋体" w:eastAsia="新宋体" w:cs="新宋体"/>
                <w:color w:val="auto"/>
                <w:sz w:val="22"/>
                <w:szCs w:val="22"/>
                <w:highlight w:val="none"/>
              </w:rPr>
            </w:pPr>
          </w:p>
        </w:tc>
        <w:tc>
          <w:tcPr>
            <w:tcW w:w="505" w:type="pct"/>
            <w:noWrap w:val="0"/>
            <w:vAlign w:val="center"/>
          </w:tcPr>
          <w:p w14:paraId="51EB3B3F">
            <w:pPr>
              <w:spacing w:line="460" w:lineRule="exact"/>
              <w:jc w:val="center"/>
              <w:rPr>
                <w:rFonts w:ascii="新宋体" w:hAnsi="新宋体" w:eastAsia="新宋体" w:cs="新宋体"/>
                <w:color w:val="auto"/>
                <w:sz w:val="22"/>
                <w:szCs w:val="22"/>
                <w:highlight w:val="none"/>
              </w:rPr>
            </w:pPr>
          </w:p>
        </w:tc>
        <w:tc>
          <w:tcPr>
            <w:tcW w:w="576" w:type="pct"/>
            <w:noWrap w:val="0"/>
            <w:vAlign w:val="center"/>
          </w:tcPr>
          <w:p w14:paraId="24B2BF3E">
            <w:pPr>
              <w:spacing w:line="460" w:lineRule="exact"/>
              <w:ind w:right="-11"/>
              <w:jc w:val="center"/>
              <w:rPr>
                <w:rFonts w:ascii="新宋体" w:hAnsi="新宋体" w:eastAsia="新宋体" w:cs="新宋体"/>
                <w:color w:val="auto"/>
                <w:sz w:val="22"/>
                <w:szCs w:val="22"/>
                <w:highlight w:val="none"/>
              </w:rPr>
            </w:pPr>
          </w:p>
        </w:tc>
        <w:tc>
          <w:tcPr>
            <w:tcW w:w="563" w:type="pct"/>
            <w:noWrap w:val="0"/>
            <w:vAlign w:val="center"/>
          </w:tcPr>
          <w:p w14:paraId="55643DC8">
            <w:pPr>
              <w:spacing w:line="460" w:lineRule="exact"/>
              <w:ind w:right="-11"/>
              <w:jc w:val="center"/>
              <w:rPr>
                <w:rFonts w:ascii="新宋体" w:hAnsi="新宋体" w:eastAsia="新宋体" w:cs="新宋体"/>
                <w:color w:val="auto"/>
                <w:sz w:val="22"/>
                <w:szCs w:val="22"/>
                <w:highlight w:val="none"/>
              </w:rPr>
            </w:pPr>
          </w:p>
        </w:tc>
        <w:tc>
          <w:tcPr>
            <w:tcW w:w="609" w:type="pct"/>
            <w:noWrap w:val="0"/>
            <w:vAlign w:val="center"/>
          </w:tcPr>
          <w:p w14:paraId="73EEB2A5">
            <w:pPr>
              <w:spacing w:line="460" w:lineRule="exact"/>
              <w:ind w:right="-11"/>
              <w:jc w:val="center"/>
              <w:rPr>
                <w:rFonts w:ascii="新宋体" w:hAnsi="新宋体" w:eastAsia="新宋体" w:cs="新宋体"/>
                <w:color w:val="auto"/>
                <w:sz w:val="22"/>
                <w:szCs w:val="22"/>
                <w:highlight w:val="none"/>
              </w:rPr>
            </w:pPr>
          </w:p>
        </w:tc>
      </w:tr>
      <w:tr w14:paraId="3F7F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 w:type="pct"/>
            <w:noWrap w:val="0"/>
            <w:vAlign w:val="center"/>
          </w:tcPr>
          <w:p w14:paraId="2E6FB8C1">
            <w:pPr>
              <w:widowControl/>
              <w:spacing w:line="460" w:lineRule="exact"/>
              <w:jc w:val="center"/>
              <w:textAlignment w:val="center"/>
              <w:rPr>
                <w:rFonts w:ascii="新宋体" w:hAnsi="新宋体" w:eastAsia="新宋体" w:cs="新宋体"/>
                <w:color w:val="auto"/>
                <w:kern w:val="0"/>
                <w:sz w:val="22"/>
                <w:szCs w:val="22"/>
                <w:highlight w:val="none"/>
                <w:lang w:bidi="ar"/>
              </w:rPr>
            </w:pPr>
          </w:p>
        </w:tc>
        <w:tc>
          <w:tcPr>
            <w:tcW w:w="774" w:type="pct"/>
            <w:noWrap w:val="0"/>
            <w:vAlign w:val="center"/>
          </w:tcPr>
          <w:p w14:paraId="14FED867">
            <w:pPr>
              <w:widowControl/>
              <w:spacing w:line="460" w:lineRule="exac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695" w:type="pct"/>
            <w:noWrap w:val="0"/>
            <w:vAlign w:val="center"/>
          </w:tcPr>
          <w:p w14:paraId="56CC0797">
            <w:pPr>
              <w:spacing w:line="460" w:lineRule="exact"/>
              <w:jc w:val="center"/>
              <w:rPr>
                <w:rFonts w:ascii="新宋体" w:hAnsi="新宋体" w:eastAsia="新宋体" w:cs="新宋体"/>
                <w:color w:val="auto"/>
                <w:sz w:val="22"/>
                <w:szCs w:val="22"/>
                <w:highlight w:val="none"/>
              </w:rPr>
            </w:pPr>
          </w:p>
        </w:tc>
        <w:tc>
          <w:tcPr>
            <w:tcW w:w="579" w:type="pct"/>
            <w:noWrap w:val="0"/>
            <w:vAlign w:val="center"/>
          </w:tcPr>
          <w:p w14:paraId="4A9171CF">
            <w:pPr>
              <w:spacing w:line="460" w:lineRule="exact"/>
              <w:ind w:right="-11"/>
              <w:jc w:val="center"/>
              <w:rPr>
                <w:rFonts w:ascii="新宋体" w:hAnsi="新宋体" w:eastAsia="新宋体" w:cs="新宋体"/>
                <w:color w:val="auto"/>
                <w:sz w:val="22"/>
                <w:szCs w:val="22"/>
                <w:highlight w:val="none"/>
              </w:rPr>
            </w:pPr>
          </w:p>
        </w:tc>
        <w:tc>
          <w:tcPr>
            <w:tcW w:w="428" w:type="pct"/>
            <w:noWrap w:val="0"/>
            <w:vAlign w:val="center"/>
          </w:tcPr>
          <w:p w14:paraId="3847A718">
            <w:pPr>
              <w:spacing w:line="460" w:lineRule="exact"/>
              <w:jc w:val="center"/>
              <w:rPr>
                <w:rFonts w:ascii="新宋体" w:hAnsi="新宋体" w:eastAsia="新宋体" w:cs="新宋体"/>
                <w:color w:val="auto"/>
                <w:sz w:val="22"/>
                <w:szCs w:val="22"/>
                <w:highlight w:val="none"/>
              </w:rPr>
            </w:pPr>
          </w:p>
        </w:tc>
        <w:tc>
          <w:tcPr>
            <w:tcW w:w="505" w:type="pct"/>
            <w:noWrap w:val="0"/>
            <w:vAlign w:val="center"/>
          </w:tcPr>
          <w:p w14:paraId="399C19D2">
            <w:pPr>
              <w:spacing w:line="460" w:lineRule="exact"/>
              <w:jc w:val="center"/>
              <w:rPr>
                <w:rFonts w:ascii="新宋体" w:hAnsi="新宋体" w:eastAsia="新宋体" w:cs="新宋体"/>
                <w:color w:val="auto"/>
                <w:sz w:val="22"/>
                <w:szCs w:val="22"/>
                <w:highlight w:val="none"/>
              </w:rPr>
            </w:pPr>
          </w:p>
        </w:tc>
        <w:tc>
          <w:tcPr>
            <w:tcW w:w="576" w:type="pct"/>
            <w:noWrap w:val="0"/>
            <w:vAlign w:val="center"/>
          </w:tcPr>
          <w:p w14:paraId="56F87010">
            <w:pPr>
              <w:spacing w:line="460" w:lineRule="exact"/>
              <w:ind w:right="-11"/>
              <w:jc w:val="center"/>
              <w:rPr>
                <w:rFonts w:ascii="新宋体" w:hAnsi="新宋体" w:eastAsia="新宋体" w:cs="新宋体"/>
                <w:color w:val="auto"/>
                <w:sz w:val="22"/>
                <w:szCs w:val="22"/>
                <w:highlight w:val="none"/>
              </w:rPr>
            </w:pPr>
          </w:p>
        </w:tc>
        <w:tc>
          <w:tcPr>
            <w:tcW w:w="563" w:type="pct"/>
            <w:noWrap w:val="0"/>
            <w:vAlign w:val="center"/>
          </w:tcPr>
          <w:p w14:paraId="383EFB2F">
            <w:pPr>
              <w:spacing w:line="460" w:lineRule="exact"/>
              <w:ind w:right="-11"/>
              <w:jc w:val="center"/>
              <w:rPr>
                <w:rFonts w:ascii="新宋体" w:hAnsi="新宋体" w:eastAsia="新宋体" w:cs="新宋体"/>
                <w:color w:val="auto"/>
                <w:sz w:val="22"/>
                <w:szCs w:val="22"/>
                <w:highlight w:val="none"/>
              </w:rPr>
            </w:pPr>
          </w:p>
        </w:tc>
        <w:tc>
          <w:tcPr>
            <w:tcW w:w="609" w:type="pct"/>
            <w:noWrap w:val="0"/>
            <w:vAlign w:val="center"/>
          </w:tcPr>
          <w:p w14:paraId="70675C30">
            <w:pPr>
              <w:spacing w:line="460" w:lineRule="exact"/>
              <w:ind w:right="-11"/>
              <w:jc w:val="center"/>
              <w:rPr>
                <w:rFonts w:ascii="新宋体" w:hAnsi="新宋体" w:eastAsia="新宋体" w:cs="新宋体"/>
                <w:color w:val="auto"/>
                <w:sz w:val="22"/>
                <w:szCs w:val="22"/>
                <w:highlight w:val="none"/>
              </w:rPr>
            </w:pPr>
          </w:p>
        </w:tc>
      </w:tr>
      <w:tr w14:paraId="5255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37" w:type="pct"/>
            <w:gridSpan w:val="3"/>
            <w:noWrap w:val="0"/>
            <w:vAlign w:val="center"/>
          </w:tcPr>
          <w:p w14:paraId="3E44F8B3">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2653" w:type="pct"/>
            <w:gridSpan w:val="5"/>
            <w:noWrap w:val="0"/>
            <w:vAlign w:val="top"/>
          </w:tcPr>
          <w:p w14:paraId="4FDB04D1">
            <w:pPr>
              <w:spacing w:line="460" w:lineRule="exact"/>
              <w:rPr>
                <w:rFonts w:ascii="新宋体" w:hAnsi="新宋体" w:eastAsia="新宋体" w:cs="新宋体"/>
                <w:color w:val="auto"/>
                <w:sz w:val="22"/>
                <w:szCs w:val="22"/>
                <w:highlight w:val="none"/>
              </w:rPr>
            </w:pPr>
          </w:p>
        </w:tc>
        <w:tc>
          <w:tcPr>
            <w:tcW w:w="609" w:type="pct"/>
            <w:noWrap w:val="0"/>
            <w:vAlign w:val="top"/>
          </w:tcPr>
          <w:p w14:paraId="2600AC0D">
            <w:pPr>
              <w:spacing w:line="460" w:lineRule="exact"/>
              <w:rPr>
                <w:rFonts w:ascii="新宋体" w:hAnsi="新宋体" w:eastAsia="新宋体" w:cs="新宋体"/>
                <w:color w:val="auto"/>
                <w:sz w:val="22"/>
                <w:szCs w:val="22"/>
                <w:highlight w:val="none"/>
              </w:rPr>
            </w:pPr>
          </w:p>
        </w:tc>
      </w:tr>
      <w:tr w14:paraId="06F6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37" w:type="pct"/>
            <w:gridSpan w:val="3"/>
            <w:noWrap w:val="0"/>
            <w:vAlign w:val="center"/>
          </w:tcPr>
          <w:p w14:paraId="3AC64FF2">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3262" w:type="pct"/>
            <w:gridSpan w:val="6"/>
            <w:noWrap w:val="0"/>
            <w:vAlign w:val="top"/>
          </w:tcPr>
          <w:p w14:paraId="5866692A">
            <w:pPr>
              <w:spacing w:line="460" w:lineRule="exact"/>
              <w:rPr>
                <w:rFonts w:ascii="新宋体" w:hAnsi="新宋体" w:eastAsia="新宋体" w:cs="新宋体"/>
                <w:color w:val="auto"/>
                <w:sz w:val="22"/>
                <w:szCs w:val="22"/>
                <w:highlight w:val="none"/>
              </w:rPr>
            </w:pPr>
          </w:p>
        </w:tc>
      </w:tr>
      <w:tr w14:paraId="023F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37" w:type="pct"/>
            <w:gridSpan w:val="3"/>
            <w:noWrap w:val="0"/>
            <w:vAlign w:val="center"/>
          </w:tcPr>
          <w:p w14:paraId="45794B2A">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3262" w:type="pct"/>
            <w:gridSpan w:val="6"/>
            <w:noWrap w:val="0"/>
            <w:vAlign w:val="top"/>
          </w:tcPr>
          <w:p w14:paraId="5BF8DD79">
            <w:pPr>
              <w:spacing w:line="460" w:lineRule="exact"/>
              <w:rPr>
                <w:rFonts w:ascii="新宋体" w:hAnsi="新宋体" w:eastAsia="新宋体" w:cs="新宋体"/>
                <w:color w:val="auto"/>
                <w:sz w:val="22"/>
                <w:szCs w:val="22"/>
                <w:highlight w:val="none"/>
              </w:rPr>
            </w:pPr>
          </w:p>
        </w:tc>
      </w:tr>
      <w:tr w14:paraId="4B95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37" w:type="pct"/>
            <w:gridSpan w:val="3"/>
            <w:noWrap w:val="0"/>
            <w:vAlign w:val="center"/>
          </w:tcPr>
          <w:p w14:paraId="549B9D3F">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3262" w:type="pct"/>
            <w:gridSpan w:val="6"/>
            <w:noWrap w:val="0"/>
            <w:vAlign w:val="top"/>
          </w:tcPr>
          <w:p w14:paraId="18C49CF3">
            <w:pPr>
              <w:spacing w:line="460" w:lineRule="exact"/>
              <w:rPr>
                <w:rFonts w:ascii="新宋体" w:hAnsi="新宋体" w:eastAsia="新宋体" w:cs="新宋体"/>
                <w:color w:val="auto"/>
                <w:sz w:val="22"/>
                <w:szCs w:val="22"/>
                <w:highlight w:val="none"/>
              </w:rPr>
            </w:pPr>
          </w:p>
        </w:tc>
      </w:tr>
      <w:tr w14:paraId="64A7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37" w:type="pct"/>
            <w:gridSpan w:val="3"/>
            <w:noWrap w:val="0"/>
            <w:vAlign w:val="center"/>
          </w:tcPr>
          <w:p w14:paraId="42E5871C">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3262" w:type="pct"/>
            <w:gridSpan w:val="6"/>
            <w:noWrap w:val="0"/>
            <w:vAlign w:val="top"/>
          </w:tcPr>
          <w:p w14:paraId="0C121496">
            <w:pPr>
              <w:spacing w:line="460" w:lineRule="exact"/>
              <w:rPr>
                <w:rFonts w:ascii="新宋体" w:hAnsi="新宋体" w:eastAsia="新宋体" w:cs="新宋体"/>
                <w:color w:val="auto"/>
                <w:sz w:val="22"/>
                <w:szCs w:val="22"/>
                <w:highlight w:val="none"/>
              </w:rPr>
            </w:pPr>
          </w:p>
        </w:tc>
      </w:tr>
    </w:tbl>
    <w:p w14:paraId="6B6B7C64">
      <w:pPr>
        <w:spacing w:line="380" w:lineRule="exact"/>
        <w:rPr>
          <w:rFonts w:hint="eastAsia" w:ascii="宋体" w:hAnsi="宋体" w:eastAsia="宋体" w:cs="宋体"/>
          <w:b/>
          <w:color w:val="auto"/>
          <w:sz w:val="22"/>
          <w:szCs w:val="22"/>
          <w:highlight w:val="none"/>
        </w:rPr>
      </w:pPr>
    </w:p>
    <w:p w14:paraId="3446A18C">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14:paraId="1BD38011">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14:paraId="30C38414">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14:paraId="062109B4">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0730DE34">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12290E9E">
      <w:pPr>
        <w:spacing w:line="38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328CEDF9">
      <w:pPr>
        <w:outlineLvl w:val="9"/>
        <w:rPr>
          <w:rFonts w:hint="eastAsia" w:ascii="宋体" w:hAnsi="宋体" w:eastAsia="宋体" w:cs="宋体"/>
          <w:color w:val="auto"/>
          <w:sz w:val="22"/>
          <w:szCs w:val="22"/>
          <w:highlight w:val="none"/>
        </w:rPr>
      </w:pPr>
    </w:p>
    <w:p w14:paraId="7C2079DA">
      <w:pPr>
        <w:rPr>
          <w:rFonts w:hint="eastAsia" w:ascii="宋体" w:hAnsi="宋体" w:eastAsia="宋体" w:cs="宋体"/>
          <w:b/>
          <w:bCs/>
          <w:color w:val="auto"/>
          <w:sz w:val="28"/>
          <w:szCs w:val="28"/>
          <w:highlight w:val="none"/>
        </w:rPr>
      </w:pPr>
    </w:p>
    <w:p w14:paraId="771EF86D">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3FE5DF79">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ascii="宋体" w:hAnsi="宋体" w:cs="宋体"/>
          <w:color w:val="auto"/>
          <w:spacing w:val="6"/>
          <w:sz w:val="22"/>
          <w:szCs w:val="22"/>
          <w:highlight w:val="none"/>
        </w:rPr>
      </w:pPr>
      <w:bookmarkStart w:id="32" w:name="_Toc12035"/>
      <w:bookmarkStart w:id="33" w:name="_Toc19402"/>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rPr>
        <w:t>中小企业的相关证明材料</w:t>
      </w:r>
    </w:p>
    <w:p w14:paraId="1FFB4B30">
      <w:pPr>
        <w:spacing w:line="380" w:lineRule="exact"/>
        <w:rPr>
          <w:rFonts w:ascii="宋体" w:hAnsi="宋体" w:cs="宋体"/>
          <w:color w:val="auto"/>
          <w:sz w:val="22"/>
          <w:szCs w:val="22"/>
          <w:highlight w:val="none"/>
        </w:rPr>
      </w:pPr>
    </w:p>
    <w:p w14:paraId="420E5DE5">
      <w:pPr>
        <w:spacing w:line="460" w:lineRule="exact"/>
        <w:jc w:val="center"/>
        <w:rPr>
          <w:rFonts w:ascii="宋体" w:hAnsi="宋体" w:cs="宋体"/>
          <w:b/>
          <w:bCs/>
          <w:color w:val="auto"/>
          <w:sz w:val="22"/>
          <w:szCs w:val="22"/>
          <w:highlight w:val="none"/>
        </w:rPr>
      </w:pPr>
    </w:p>
    <w:p w14:paraId="45AB9B15">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14:paraId="1316DE5E">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3A66AF3C">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w:t>
      </w:r>
      <w:r>
        <w:rPr>
          <w:rFonts w:hint="eastAsia" w:ascii="宋体" w:hAnsi="宋体" w:eastAsia="宋体" w:cs="宋体"/>
          <w:b/>
          <w:bCs/>
          <w:color w:val="auto"/>
          <w:spacing w:val="20"/>
          <w:sz w:val="22"/>
          <w:szCs w:val="22"/>
          <w:highlight w:val="none"/>
        </w:rPr>
        <w:t>提供的货物全部由符合政策要求的中小企业制造</w:t>
      </w:r>
      <w:r>
        <w:rPr>
          <w:rFonts w:hint="eastAsia" w:ascii="宋体" w:hAnsi="宋体" w:eastAsia="宋体" w:cs="宋体"/>
          <w:color w:val="auto"/>
          <w:spacing w:val="20"/>
          <w:sz w:val="22"/>
          <w:szCs w:val="22"/>
          <w:highlight w:val="none"/>
        </w:rPr>
        <w:t>。相关企业（含联合体中的中小企业、签订分包意向协议的中小企业）的具体情况如下：</w:t>
      </w:r>
    </w:p>
    <w:p w14:paraId="1CBA47B4">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14:paraId="351D33AC">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14:paraId="085A8C5D">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14:paraId="5B068E14">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14:paraId="4644FB46">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14:paraId="5E789368">
      <w:pPr>
        <w:spacing w:line="460" w:lineRule="exact"/>
        <w:rPr>
          <w:rFonts w:hint="eastAsia" w:ascii="宋体" w:hAnsi="宋体" w:eastAsia="宋体" w:cs="宋体"/>
          <w:color w:val="auto"/>
          <w:spacing w:val="20"/>
          <w:sz w:val="22"/>
          <w:szCs w:val="22"/>
          <w:highlight w:val="none"/>
        </w:rPr>
      </w:pPr>
    </w:p>
    <w:p w14:paraId="00E15A02">
      <w:pPr>
        <w:pStyle w:val="9"/>
        <w:rPr>
          <w:rFonts w:hint="eastAsia" w:ascii="宋体" w:hAnsi="宋体" w:eastAsia="宋体" w:cs="宋体"/>
          <w:color w:val="auto"/>
          <w:sz w:val="22"/>
          <w:szCs w:val="22"/>
          <w:highlight w:val="none"/>
        </w:rPr>
      </w:pPr>
    </w:p>
    <w:p w14:paraId="4003EB74">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14:paraId="4659CC76">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14:paraId="1A6985A0">
      <w:pPr>
        <w:spacing w:line="460" w:lineRule="exact"/>
        <w:jc w:val="center"/>
        <w:rPr>
          <w:rFonts w:hint="eastAsia" w:ascii="宋体" w:hAnsi="宋体" w:eastAsia="宋体" w:cs="宋体"/>
          <w:color w:val="auto"/>
          <w:spacing w:val="20"/>
          <w:sz w:val="22"/>
          <w:szCs w:val="22"/>
          <w:highlight w:val="none"/>
        </w:rPr>
      </w:pPr>
    </w:p>
    <w:p w14:paraId="2645BB2D">
      <w:pPr>
        <w:spacing w:line="460" w:lineRule="exact"/>
        <w:rPr>
          <w:rFonts w:hint="eastAsia" w:ascii="宋体" w:hAnsi="宋体" w:eastAsia="宋体" w:cs="宋体"/>
          <w:color w:val="auto"/>
          <w:spacing w:val="20"/>
          <w:sz w:val="22"/>
          <w:szCs w:val="22"/>
          <w:highlight w:val="none"/>
        </w:rPr>
      </w:pPr>
    </w:p>
    <w:p w14:paraId="5C1C3984">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cs="宋体"/>
          <w:b/>
          <w:bCs/>
          <w:color w:val="auto"/>
          <w:sz w:val="28"/>
          <w:szCs w:val="28"/>
          <w:highlight w:val="none"/>
          <w:lang w:val="en-US" w:eastAsia="zh-CN"/>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lang w:val="en-US" w:eastAsia="zh-CN"/>
        </w:rPr>
        <w:t>5、监狱企业的相关证明材料</w:t>
      </w:r>
    </w:p>
    <w:p w14:paraId="035EB1E8">
      <w:pPr>
        <w:adjustRightInd w:val="0"/>
        <w:snapToGrid w:val="0"/>
        <w:spacing w:line="300" w:lineRule="auto"/>
        <w:jc w:val="center"/>
        <w:rPr>
          <w:rFonts w:ascii="宋体" w:hAnsi="宋体" w:cs="宋体"/>
          <w:b/>
          <w:color w:val="auto"/>
          <w:spacing w:val="6"/>
          <w:sz w:val="22"/>
          <w:szCs w:val="22"/>
          <w:highlight w:val="none"/>
        </w:rPr>
      </w:pPr>
    </w:p>
    <w:p w14:paraId="27AE9285">
      <w:pPr>
        <w:adjustRightInd w:val="0"/>
        <w:snapToGrid w:val="0"/>
        <w:spacing w:line="300" w:lineRule="auto"/>
        <w:jc w:val="center"/>
        <w:rPr>
          <w:rFonts w:ascii="宋体" w:hAnsi="宋体" w:cs="宋体"/>
          <w:b/>
          <w:color w:val="auto"/>
          <w:spacing w:val="6"/>
          <w:sz w:val="22"/>
          <w:szCs w:val="22"/>
          <w:highlight w:val="none"/>
        </w:rPr>
      </w:pPr>
    </w:p>
    <w:p w14:paraId="2BB26963">
      <w:pPr>
        <w:adjustRightInd w:val="0"/>
        <w:snapToGrid w:val="0"/>
        <w:spacing w:line="300" w:lineRule="auto"/>
        <w:jc w:val="center"/>
        <w:rPr>
          <w:rFonts w:ascii="宋体" w:hAnsi="宋体" w:cs="宋体"/>
          <w:b/>
          <w:color w:val="auto"/>
          <w:spacing w:val="6"/>
          <w:sz w:val="22"/>
          <w:szCs w:val="22"/>
          <w:highlight w:val="none"/>
        </w:rPr>
      </w:pPr>
    </w:p>
    <w:p w14:paraId="0596FE32">
      <w:pPr>
        <w:adjustRightInd w:val="0"/>
        <w:snapToGrid w:val="0"/>
        <w:spacing w:line="300" w:lineRule="auto"/>
        <w:jc w:val="center"/>
        <w:rPr>
          <w:rFonts w:ascii="宋体" w:hAnsi="宋体" w:cs="宋体"/>
          <w:color w:val="auto"/>
          <w:kern w:val="0"/>
          <w:sz w:val="22"/>
          <w:szCs w:val="22"/>
          <w:highlight w:val="none"/>
        </w:rPr>
      </w:pPr>
      <w:r>
        <w:rPr>
          <w:rFonts w:hint="eastAsia" w:ascii="宋体" w:hAnsi="宋体" w:cs="宋体"/>
          <w:b/>
          <w:color w:val="auto"/>
          <w:spacing w:val="6"/>
          <w:sz w:val="22"/>
          <w:szCs w:val="22"/>
          <w:highlight w:val="none"/>
        </w:rPr>
        <w:t>监狱企业声明函</w:t>
      </w:r>
    </w:p>
    <w:p w14:paraId="1E4382A0">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14:paraId="225D2911">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79A1F13E">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根据上述标准，我企业属于监狱企业的理由为：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 </w:t>
      </w:r>
    </w:p>
    <w:p w14:paraId="29C52FEB">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）（项目编号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14:paraId="2CF87C10">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7EB2F5EE">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供应商全称（盖章）：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465A010A">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日期：    年    月   日 </w:t>
      </w:r>
    </w:p>
    <w:p w14:paraId="7E006E66">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63FCEFC6">
      <w:pPr>
        <w:adjustRightInd w:val="0"/>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294E58">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cs="宋体"/>
          <w:b/>
          <w:bCs/>
          <w:color w:val="auto"/>
          <w:sz w:val="28"/>
          <w:szCs w:val="28"/>
          <w:highlight w:val="none"/>
          <w:lang w:val="en-US" w:eastAsia="zh-CN"/>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lang w:val="en-US" w:eastAsia="zh-CN"/>
        </w:rPr>
        <w:t>6、残疾人福利性单位的相关证明材料</w:t>
      </w:r>
    </w:p>
    <w:p w14:paraId="052D2B63">
      <w:pPr>
        <w:spacing w:line="460" w:lineRule="exact"/>
        <w:rPr>
          <w:rFonts w:ascii="宋体" w:hAnsi="宋体" w:cs="宋体"/>
          <w:color w:val="auto"/>
          <w:spacing w:val="20"/>
          <w:sz w:val="22"/>
          <w:szCs w:val="22"/>
          <w:highlight w:val="none"/>
        </w:rPr>
      </w:pPr>
    </w:p>
    <w:p w14:paraId="1452F089">
      <w:pPr>
        <w:spacing w:line="460" w:lineRule="exact"/>
        <w:rPr>
          <w:rFonts w:ascii="宋体" w:hAnsi="宋体" w:cs="宋体"/>
          <w:color w:val="auto"/>
          <w:spacing w:val="20"/>
          <w:sz w:val="22"/>
          <w:szCs w:val="22"/>
          <w:highlight w:val="none"/>
        </w:rPr>
      </w:pPr>
    </w:p>
    <w:p w14:paraId="51A92B30">
      <w:pPr>
        <w:spacing w:line="460" w:lineRule="exact"/>
        <w:jc w:val="center"/>
        <w:rPr>
          <w:rFonts w:ascii="宋体" w:hAnsi="宋体" w:cs="宋体"/>
          <w:color w:val="auto"/>
          <w:spacing w:val="6"/>
          <w:sz w:val="22"/>
          <w:szCs w:val="22"/>
          <w:highlight w:val="none"/>
        </w:rPr>
      </w:pPr>
      <w:r>
        <w:rPr>
          <w:rFonts w:hint="eastAsia" w:ascii="宋体" w:hAnsi="宋体" w:cs="宋体"/>
          <w:b/>
          <w:color w:val="auto"/>
          <w:spacing w:val="6"/>
          <w:sz w:val="22"/>
          <w:szCs w:val="22"/>
          <w:highlight w:val="none"/>
        </w:rPr>
        <w:t>残疾人福利性单位声明函</w:t>
      </w:r>
    </w:p>
    <w:p w14:paraId="32DFD517">
      <w:pPr>
        <w:widowControl/>
        <w:adjustRightInd w:val="0"/>
        <w:snapToGrid w:val="0"/>
        <w:spacing w:line="460" w:lineRule="exact"/>
        <w:ind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293F4B7D">
      <w:pPr>
        <w:snapToGrid w:val="0"/>
        <w:spacing w:line="460" w:lineRule="exact"/>
        <w:jc w:val="center"/>
        <w:rPr>
          <w:rFonts w:ascii="宋体" w:hAnsi="宋体" w:cs="宋体"/>
          <w:b/>
          <w:bCs/>
          <w:color w:val="auto"/>
          <w:sz w:val="22"/>
          <w:szCs w:val="22"/>
          <w:highlight w:val="none"/>
        </w:rPr>
      </w:pPr>
    </w:p>
    <w:p w14:paraId="38DE1E92">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（采购人名称）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2EDE1BCE">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3481CE6D">
      <w:pPr>
        <w:snapToGrid w:val="0"/>
        <w:spacing w:line="460" w:lineRule="exact"/>
        <w:ind w:firstLine="464" w:firstLineChars="200"/>
        <w:rPr>
          <w:rFonts w:ascii="宋体" w:hAnsi="宋体" w:cs="宋体"/>
          <w:color w:val="auto"/>
          <w:spacing w:val="6"/>
          <w:sz w:val="22"/>
          <w:szCs w:val="22"/>
          <w:highlight w:val="none"/>
        </w:rPr>
      </w:pPr>
    </w:p>
    <w:p w14:paraId="6629E786">
      <w:pPr>
        <w:snapToGrid w:val="0"/>
        <w:spacing w:line="460" w:lineRule="exact"/>
        <w:ind w:firstLine="464" w:firstLineChars="200"/>
        <w:rPr>
          <w:rFonts w:ascii="宋体" w:hAnsi="宋体" w:cs="宋体"/>
          <w:color w:val="auto"/>
          <w:spacing w:val="6"/>
          <w:sz w:val="22"/>
          <w:szCs w:val="22"/>
          <w:highlight w:val="none"/>
        </w:rPr>
      </w:pPr>
    </w:p>
    <w:p w14:paraId="237E6768">
      <w:pPr>
        <w:adjustRightInd w:val="0"/>
        <w:snapToGrid w:val="0"/>
        <w:spacing w:line="460" w:lineRule="exact"/>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供应商全称（盖章）：</w:t>
      </w:r>
      <w:r>
        <w:rPr>
          <w:rFonts w:hint="eastAsia" w:ascii="宋体" w:hAnsi="宋体" w:cs="宋体"/>
          <w:color w:val="auto"/>
          <w:kern w:val="0"/>
          <w:sz w:val="22"/>
          <w:szCs w:val="22"/>
          <w:highlight w:val="none"/>
          <w:u w:val="single"/>
        </w:rPr>
        <w:t xml:space="preserve">                    </w:t>
      </w:r>
    </w:p>
    <w:p w14:paraId="7DF59E96">
      <w:pPr>
        <w:adjustRightInd w:val="0"/>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6A23EAB4">
      <w:pPr>
        <w:rPr>
          <w:rFonts w:hint="eastAsia" w:ascii="宋体" w:hAnsi="宋体" w:eastAsia="宋体" w:cs="宋体"/>
          <w:b/>
          <w:color w:val="auto"/>
          <w:sz w:val="22"/>
          <w:szCs w:val="22"/>
          <w:highlight w:val="none"/>
        </w:rPr>
      </w:pPr>
    </w:p>
    <w:p w14:paraId="0EFC8D35">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1618D1E3">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7、其他说明</w:t>
      </w:r>
    </w:p>
    <w:p w14:paraId="257F1E5C">
      <w:pPr>
        <w:keepNext/>
        <w:keepLines/>
        <w:pageBreakBefore w:val="0"/>
        <w:widowControl w:val="0"/>
        <w:kinsoku/>
        <w:wordWrap/>
        <w:overflowPunct/>
        <w:topLinePunct w:val="0"/>
        <w:autoSpaceDE/>
        <w:autoSpaceDN/>
        <w:bidi w:val="0"/>
        <w:adjustRightInd/>
        <w:snapToGrid/>
        <w:textAlignment w:val="auto"/>
        <w:outlineLvl w:val="9"/>
        <w:rPr>
          <w:rFonts w:hint="default"/>
          <w:color w:val="auto"/>
          <w:highlight w:val="none"/>
          <w:lang w:val="en-US" w:eastAsia="zh-CN"/>
        </w:rPr>
      </w:pPr>
    </w:p>
    <w:p w14:paraId="55F73814">
      <w:pPr>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以联合体形式投标，且在</w:t>
      </w:r>
      <w:r>
        <w:rPr>
          <w:rFonts w:hint="eastAsia" w:ascii="宋体" w:hAnsi="宋体" w:eastAsia="宋体" w:cs="宋体"/>
          <w:b w:val="0"/>
          <w:bCs w:val="0"/>
          <w:color w:val="auto"/>
          <w:kern w:val="2"/>
          <w:sz w:val="22"/>
          <w:szCs w:val="22"/>
          <w:highlight w:val="none"/>
          <w:u w:val="none"/>
          <w:lang w:val="en-US" w:eastAsia="zh-CN" w:bidi="ar-SA"/>
        </w:rPr>
        <w:t>协议</w:t>
      </w:r>
      <w:r>
        <w:rPr>
          <w:rFonts w:hint="eastAsia" w:ascii="宋体" w:hAnsi="宋体" w:cs="宋体"/>
          <w:b w:val="0"/>
          <w:bCs w:val="0"/>
          <w:color w:val="auto"/>
          <w:kern w:val="2"/>
          <w:sz w:val="22"/>
          <w:szCs w:val="22"/>
          <w:highlight w:val="none"/>
          <w:u w:val="none"/>
          <w:lang w:val="en-US" w:eastAsia="zh-CN" w:bidi="ar-SA"/>
        </w:rPr>
        <w:t>中</w:t>
      </w:r>
      <w:r>
        <w:rPr>
          <w:rFonts w:hint="eastAsia" w:ascii="宋体" w:hAnsi="宋体" w:eastAsia="宋体" w:cs="宋体"/>
          <w:b w:val="0"/>
          <w:bCs w:val="0"/>
          <w:color w:val="auto"/>
          <w:kern w:val="2"/>
          <w:sz w:val="22"/>
          <w:szCs w:val="22"/>
          <w:highlight w:val="none"/>
          <w:u w:val="none"/>
          <w:lang w:val="en-US" w:eastAsia="zh-CN" w:bidi="ar-SA"/>
        </w:rPr>
        <w:t>约定小微企业的合同份额占到合同总金额</w:t>
      </w:r>
      <w:r>
        <w:rPr>
          <w:rFonts w:hint="eastAsia" w:ascii="宋体" w:hAnsi="宋体" w:cs="宋体"/>
          <w:b w:val="0"/>
          <w:bCs w:val="0"/>
          <w:color w:val="auto"/>
          <w:kern w:val="2"/>
          <w:sz w:val="22"/>
          <w:szCs w:val="22"/>
          <w:highlight w:val="none"/>
          <w:u w:val="none"/>
          <w:lang w:val="en-US" w:eastAsia="zh-CN" w:bidi="ar-SA"/>
        </w:rPr>
        <w:t>3</w:t>
      </w:r>
      <w:r>
        <w:rPr>
          <w:rFonts w:hint="eastAsia" w:ascii="宋体" w:hAnsi="宋体" w:eastAsia="宋体" w:cs="宋体"/>
          <w:b w:val="0"/>
          <w:bCs w:val="0"/>
          <w:color w:val="auto"/>
          <w:kern w:val="2"/>
          <w:sz w:val="22"/>
          <w:szCs w:val="22"/>
          <w:highlight w:val="none"/>
          <w:u w:val="none"/>
          <w:lang w:val="en-US" w:eastAsia="zh-CN" w:bidi="ar-SA"/>
        </w:rPr>
        <w:t>0%以上的</w:t>
      </w:r>
      <w:r>
        <w:rPr>
          <w:rFonts w:hint="eastAsia" w:ascii="宋体" w:hAnsi="宋体" w:cs="宋体"/>
          <w:b w:val="0"/>
          <w:bCs w:val="0"/>
          <w:color w:val="auto"/>
          <w:kern w:val="2"/>
          <w:sz w:val="22"/>
          <w:szCs w:val="22"/>
          <w:highlight w:val="none"/>
          <w:u w:val="none"/>
          <w:lang w:val="en-US" w:eastAsia="zh-CN" w:bidi="ar-SA"/>
        </w:rPr>
        <w:t>，予以说明并附联合体协议书</w:t>
      </w:r>
      <w:r>
        <w:rPr>
          <w:rFonts w:hint="eastAsia" w:ascii="宋体" w:hAnsi="宋体" w:eastAsia="宋体" w:cs="宋体"/>
          <w:color w:val="auto"/>
          <w:kern w:val="0"/>
          <w:sz w:val="22"/>
          <w:szCs w:val="22"/>
          <w:highlight w:val="none"/>
        </w:rPr>
        <w:t>】</w:t>
      </w:r>
    </w:p>
    <w:p w14:paraId="7B82A863">
      <w:pPr>
        <w:jc w:val="center"/>
        <w:rPr>
          <w:rFonts w:hint="eastAsia" w:ascii="宋体" w:hAnsi="宋体" w:eastAsia="宋体" w:cs="宋体"/>
          <w:color w:val="auto"/>
          <w:kern w:val="0"/>
          <w:sz w:val="22"/>
          <w:szCs w:val="22"/>
          <w:highlight w:val="none"/>
        </w:rPr>
      </w:pPr>
    </w:p>
    <w:p w14:paraId="1246C33E">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6E698B69">
      <w:pPr>
        <w:pStyle w:val="24"/>
        <w:spacing w:line="460" w:lineRule="exact"/>
        <w:ind w:left="0" w:leftChars="0" w:firstLine="0" w:firstLineChars="0"/>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附件二</w:t>
      </w:r>
      <w:bookmarkEnd w:id="32"/>
      <w:bookmarkEnd w:id="33"/>
    </w:p>
    <w:p w14:paraId="343068E1">
      <w:pPr>
        <w:spacing w:line="460" w:lineRule="exact"/>
        <w:jc w:val="center"/>
        <w:outlineLvl w:val="2"/>
        <w:rPr>
          <w:rFonts w:hint="eastAsia" w:ascii="宋体" w:hAnsi="宋体" w:eastAsia="宋体" w:cs="宋体"/>
          <w:color w:val="auto"/>
          <w:sz w:val="28"/>
          <w:szCs w:val="28"/>
          <w:highlight w:val="none"/>
        </w:rPr>
      </w:pPr>
      <w:bookmarkStart w:id="34" w:name="_Toc25309"/>
      <w:bookmarkStart w:id="35" w:name="_Toc4718"/>
      <w:r>
        <w:rPr>
          <w:rFonts w:hint="eastAsia" w:ascii="宋体" w:hAnsi="宋体" w:eastAsia="宋体" w:cs="宋体"/>
          <w:b/>
          <w:bCs/>
          <w:color w:val="auto"/>
          <w:sz w:val="32"/>
          <w:szCs w:val="32"/>
          <w:highlight w:val="none"/>
        </w:rPr>
        <w:t>资格证明文件</w:t>
      </w:r>
      <w:bookmarkEnd w:id="34"/>
      <w:bookmarkEnd w:id="35"/>
      <w:r>
        <w:rPr>
          <w:rFonts w:hint="eastAsia" w:ascii="宋体" w:hAnsi="宋体" w:eastAsia="宋体" w:cs="宋体"/>
          <w:color w:val="auto"/>
          <w:sz w:val="28"/>
          <w:szCs w:val="28"/>
          <w:highlight w:val="none"/>
        </w:rPr>
        <w:t xml:space="preserve"> </w:t>
      </w:r>
    </w:p>
    <w:p w14:paraId="308A541C">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bookmarkStart w:id="36" w:name="_Toc31356"/>
      <w:bookmarkStart w:id="37" w:name="_Toc16516"/>
    </w:p>
    <w:p w14:paraId="13BC7111">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14:paraId="6CD4AF14">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p>
    <w:p w14:paraId="6F973CEA">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14:paraId="61825CBA">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14:paraId="49B0DF42">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6A937463">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14701065">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569CB622">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374B3622">
      <w:pPr>
        <w:widowControl/>
        <w:snapToGrid w:val="0"/>
        <w:spacing w:line="440" w:lineRule="exact"/>
        <w:ind w:left="989" w:leftChars="314"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10321F3">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6E2E20A4">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31FF9804">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14:paraId="78103DBE">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14:paraId="49B5E706">
      <w:pPr>
        <w:widowControl/>
        <w:snapToGrid w:val="0"/>
        <w:spacing w:line="440" w:lineRule="exact"/>
        <w:ind w:left="210" w:leftChars="10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14:paraId="5B8BA8B0">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14:paraId="7A5943C1">
      <w:pPr>
        <w:snapToGrid w:val="0"/>
        <w:spacing w:line="360" w:lineRule="auto"/>
        <w:ind w:firstLine="5060" w:firstLineChars="2300"/>
        <w:rPr>
          <w:rFonts w:hint="eastAsia" w:ascii="宋体" w:hAnsi="宋体" w:eastAsia="宋体" w:cs="宋体"/>
          <w:color w:val="auto"/>
          <w:kern w:val="0"/>
          <w:sz w:val="22"/>
          <w:szCs w:val="22"/>
          <w:highlight w:val="none"/>
          <w:lang w:val="zh-CN"/>
        </w:rPr>
      </w:pPr>
    </w:p>
    <w:p w14:paraId="73E136A6">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14:paraId="0B972D02">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6D54B7BA">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26A76C02">
      <w:pPr>
        <w:pStyle w:val="24"/>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2F2E87D1">
      <w:pPr>
        <w:rPr>
          <w:rFonts w:hint="eastAsia" w:ascii="宋体" w:hAnsi="宋体" w:eastAsia="宋体" w:cs="宋体"/>
          <w:color w:val="auto"/>
          <w:highlight w:val="none"/>
        </w:rPr>
      </w:pPr>
    </w:p>
    <w:p w14:paraId="191AD654">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14:paraId="404FBC71">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14:paraId="21F13F42">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14:paraId="6B19B871">
      <w:pPr>
        <w:pStyle w:val="4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14:paraId="31A18F2C">
      <w:pPr>
        <w:pStyle w:val="4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14:paraId="39EB5338">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14:paraId="746E3030">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14:paraId="19ABC5CB">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14:paraId="26DC1278">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14:paraId="1E20F513">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14:paraId="1E749B41">
      <w:pPr>
        <w:pStyle w:val="48"/>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14:paraId="2783697E">
      <w:pPr>
        <w:pStyle w:val="218"/>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2F03485">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1654D36A">
      <w:pPr>
        <w:rPr>
          <w:rFonts w:hint="eastAsia" w:ascii="宋体" w:hAnsi="宋体" w:eastAsia="宋体" w:cs="宋体"/>
          <w:color w:val="auto"/>
          <w:highlight w:val="none"/>
        </w:rPr>
      </w:pPr>
    </w:p>
    <w:p w14:paraId="47292E1B">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14:paraId="15DD060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0E3286F7">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720DB74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643E1FCA">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14:paraId="3CB06554">
      <w:pPr>
        <w:rPr>
          <w:rFonts w:hint="eastAsia" w:cs="宋体"/>
          <w:b/>
          <w:bCs w:val="0"/>
          <w:color w:val="auto"/>
          <w:kern w:val="0"/>
          <w:sz w:val="28"/>
          <w:szCs w:val="28"/>
          <w:highlight w:val="none"/>
          <w:lang w:val="en-US" w:eastAsia="zh-CN" w:bidi="ar-SA"/>
        </w:rPr>
      </w:pPr>
    </w:p>
    <w:p w14:paraId="6E9DEC3C">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14:paraId="766B0DBF">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4、政府采购活动现场确认声明书</w:t>
      </w:r>
    </w:p>
    <w:p w14:paraId="283885A5">
      <w:pPr>
        <w:spacing w:line="460" w:lineRule="exact"/>
        <w:rPr>
          <w:rFonts w:hint="eastAsia" w:ascii="宋体" w:hAnsi="宋体" w:eastAsia="宋体" w:cs="宋体"/>
          <w:b/>
          <w:bCs/>
          <w:color w:val="auto"/>
          <w:sz w:val="22"/>
          <w:szCs w:val="22"/>
          <w:highlight w:val="none"/>
        </w:rPr>
      </w:pPr>
    </w:p>
    <w:p w14:paraId="54980E86">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14:paraId="53D6356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14:paraId="47C4AF32">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p>
    <w:p w14:paraId="204FE181">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w:t>
      </w:r>
    </w:p>
    <w:p w14:paraId="74ABE566">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14:paraId="392A43C8">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14:paraId="25DF0D2D">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2"/>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14:paraId="16C894D2">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p>
    <w:p w14:paraId="79D117E4">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□与其他所有供应商之间均不存在利害关系 </w:t>
      </w:r>
    </w:p>
    <w:p w14:paraId="49CC137F">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6B2E7514">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479A74A7">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6C309F83">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5169D908">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1A8A7047">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07914211">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2765E57E">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14:paraId="4621548B">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p>
    <w:p w14:paraId="5F5B0163">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14:paraId="4271150A">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14:paraId="206C7A31">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与</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（供应商名称）</w:t>
      </w:r>
      <w:r>
        <w:rPr>
          <w:rFonts w:hint="eastAsia" w:ascii="宋体" w:hAnsi="宋体" w:eastAsia="宋体" w:cs="宋体"/>
          <w:color w:val="auto"/>
          <w:kern w:val="0"/>
          <w:sz w:val="22"/>
          <w:szCs w:val="22"/>
          <w:highlight w:val="none"/>
        </w:rPr>
        <w:t>之间存在或可能存在上述第二条第</w:t>
      </w:r>
      <w:r>
        <w:rPr>
          <w:rStyle w:val="332"/>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56A9BA79">
      <w:pPr>
        <w:pStyle w:val="24"/>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14:paraId="43CF76AE">
      <w:pPr>
        <w:pStyle w:val="24"/>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日期:202</w:t>
      </w:r>
      <w:r>
        <w:rPr>
          <w:rFonts w:hint="eastAsia" w:ascii="宋体" w:hAnsi="宋体" w:eastAsia="宋体" w:cs="宋体"/>
          <w:b/>
          <w:color w:val="auto"/>
          <w:kern w:val="0"/>
          <w:sz w:val="22"/>
          <w:szCs w:val="22"/>
          <w:highlight w:val="none"/>
          <w:lang w:val="en-US" w:eastAsia="zh-CN"/>
        </w:rPr>
        <w:t xml:space="preserve">  </w:t>
      </w:r>
      <w:r>
        <w:rPr>
          <w:rFonts w:hint="eastAsia" w:ascii="宋体" w:hAnsi="宋体" w:eastAsia="宋体" w:cs="宋体"/>
          <w:b/>
          <w:color w:val="auto"/>
          <w:kern w:val="0"/>
          <w:sz w:val="22"/>
          <w:szCs w:val="22"/>
          <w:highlight w:val="none"/>
        </w:rPr>
        <w:t>年    月    日</w:t>
      </w:r>
    </w:p>
    <w:p w14:paraId="1A9AE98B">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7E81620C">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5、落实政府采购政策需满足的资格要求证明材料</w:t>
      </w:r>
    </w:p>
    <w:p w14:paraId="65D899E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（根据招标公告落实政府采购政策需满足的资格要求选择提供相应的材料；未要求的，无需提供）</w:t>
      </w:r>
    </w:p>
    <w:p w14:paraId="2F11282C">
      <w:pPr>
        <w:rPr>
          <w:rFonts w:hint="eastAsia" w:ascii="宋体" w:hAnsi="宋体" w:eastAsia="宋体" w:cs="宋体"/>
          <w:b/>
          <w:color w:val="auto"/>
          <w:sz w:val="28"/>
          <w:szCs w:val="28"/>
          <w:highlight w:val="none"/>
          <w:lang w:val="en-US" w:eastAsia="zh-CN"/>
        </w:rPr>
      </w:pPr>
    </w:p>
    <w:p w14:paraId="6EFC7E43">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04ECB3A6">
      <w:pPr>
        <w:keepNext w:val="0"/>
        <w:keepLines w:val="0"/>
        <w:pageBreakBefore w:val="0"/>
        <w:widowControl w:val="0"/>
        <w:tabs>
          <w:tab w:val="left" w:pos="774"/>
        </w:tabs>
        <w:kinsoku/>
        <w:wordWrap/>
        <w:overflowPunct/>
        <w:topLinePunct w:val="0"/>
        <w:autoSpaceDE w:val="0"/>
        <w:autoSpaceDN w:val="0"/>
        <w:bidi w:val="0"/>
        <w:adjustRightInd/>
        <w:snapToGrid/>
        <w:spacing w:before="240" w:line="276" w:lineRule="auto"/>
        <w:jc w:val="center"/>
        <w:textAlignment w:val="auto"/>
        <w:outlineLvl w:val="3"/>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lang w:val="zh-CN" w:eastAsia="zh-CN"/>
        </w:rPr>
        <w:t>联合体协议书（如有）</w:t>
      </w:r>
    </w:p>
    <w:p w14:paraId="03C5DA1B">
      <w:pPr>
        <w:spacing w:line="460" w:lineRule="exact"/>
        <w:ind w:firstLine="4400" w:firstLineChars="2000"/>
        <w:rPr>
          <w:rFonts w:hint="eastAsia" w:ascii="宋体" w:hAnsi="宋体" w:eastAsia="宋体" w:cs="宋体"/>
          <w:color w:val="auto"/>
          <w:sz w:val="22"/>
          <w:szCs w:val="22"/>
          <w:highlight w:val="none"/>
        </w:rPr>
      </w:pPr>
    </w:p>
    <w:p w14:paraId="73AF6307">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w:t>
      </w:r>
    </w:p>
    <w:p w14:paraId="7D282F29">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乙方：</w:t>
      </w:r>
    </w:p>
    <w:p w14:paraId="6FF34468">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各方经协商，就招标项目名称为</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编号为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的招标采购活动联合进行招标之事宜，达成如下协议：</w:t>
      </w:r>
    </w:p>
    <w:p w14:paraId="6AAFB0C7">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一、各方一致决定，</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为联合体牵头人，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为联合体成员，并按照招标文件的规定分别提交资格文件。</w:t>
      </w:r>
    </w:p>
    <w:p w14:paraId="37598DF6">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二、在本次投标过程中，牵头人的法定代表人或授权代理人根据招标文件规定及招标内容而对招标人所作的任何合法承诺，包括书面澄清及响应等均对联合体各方产生约束力。如果成交并签订合同，则联合体各方将共同履行对招标人所负有的全部义务并就采购合同约定的事项对招标人承担连带责任。</w:t>
      </w:r>
    </w:p>
    <w:p w14:paraId="23EF55C6">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三、联合体其余各方保证对牵头人为响应本次投标而提供的服务提供全部质量保证支持。</w:t>
      </w:r>
    </w:p>
    <w:p w14:paraId="3A1E0521">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四、本次联合体投标中，双方各承担以下的工作和责任：</w:t>
      </w:r>
    </w:p>
    <w:p w14:paraId="5D315614">
      <w:pPr>
        <w:widowControl/>
        <w:spacing w:line="460" w:lineRule="exact"/>
        <w:ind w:firstLine="440" w:firstLineChars="200"/>
        <w:rPr>
          <w:rFonts w:hint="eastAsia" w:ascii="新宋体" w:hAnsi="新宋体" w:eastAsia="新宋体" w:cs="新宋体"/>
          <w:color w:val="auto"/>
          <w:kern w:val="0"/>
          <w:sz w:val="22"/>
          <w:szCs w:val="22"/>
          <w:highlight w:val="none"/>
          <w:u w:val="single"/>
          <w:lang w:eastAsia="zh-CN"/>
        </w:rPr>
      </w:pPr>
      <w:r>
        <w:rPr>
          <w:rFonts w:hint="eastAsia" w:ascii="新宋体" w:hAnsi="新宋体" w:eastAsia="新宋体" w:cs="新宋体"/>
          <w:color w:val="auto"/>
          <w:kern w:val="0"/>
          <w:sz w:val="22"/>
          <w:szCs w:val="22"/>
          <w:highlight w:val="none"/>
        </w:rPr>
        <w:t xml:space="preserve">1、甲方承担的工作和责任为（详细说明）: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none"/>
          <w:lang w:eastAsia="zh-CN"/>
        </w:rPr>
        <w:t>；</w:t>
      </w:r>
      <w:r>
        <w:rPr>
          <w:rFonts w:hint="eastAsia" w:ascii="新宋体" w:hAnsi="新宋体" w:eastAsia="新宋体" w:cs="新宋体"/>
          <w:color w:val="auto"/>
          <w:kern w:val="0"/>
          <w:sz w:val="22"/>
          <w:szCs w:val="22"/>
          <w:highlight w:val="none"/>
          <w:lang w:val="en-US" w:eastAsia="zh-CN" w:bidi="ar-SA"/>
        </w:rPr>
        <w:t>甲方在合同中的资金占比为：</w:t>
      </w:r>
      <w:r>
        <w:rPr>
          <w:rFonts w:hint="eastAsia" w:ascii="新宋体" w:hAnsi="新宋体" w:eastAsia="新宋体" w:cs="新宋体"/>
          <w:color w:val="auto"/>
          <w:kern w:val="0"/>
          <w:sz w:val="22"/>
          <w:szCs w:val="22"/>
          <w:highlight w:val="none"/>
          <w:u w:val="single"/>
          <w:lang w:val="en-US" w:eastAsia="zh-CN" w:bidi="ar-SA"/>
        </w:rPr>
        <w:t xml:space="preserve">         </w:t>
      </w:r>
      <w:r>
        <w:rPr>
          <w:rFonts w:hint="eastAsia" w:ascii="新宋体" w:hAnsi="新宋体" w:eastAsia="新宋体" w:cs="新宋体"/>
          <w:color w:val="auto"/>
          <w:kern w:val="0"/>
          <w:sz w:val="22"/>
          <w:szCs w:val="22"/>
          <w:highlight w:val="none"/>
          <w:lang w:val="en-US" w:eastAsia="zh-CN" w:bidi="ar-SA"/>
        </w:rPr>
        <w:t>%。</w:t>
      </w:r>
    </w:p>
    <w:p w14:paraId="648CA069">
      <w:pPr>
        <w:widowControl/>
        <w:spacing w:line="460" w:lineRule="exact"/>
        <w:ind w:firstLine="440" w:firstLineChars="20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 xml:space="preserve">2、乙方承担的工作和责任为（详细说明）：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none"/>
          <w:lang w:eastAsia="zh-CN"/>
        </w:rPr>
        <w:t>；</w:t>
      </w:r>
      <w:r>
        <w:rPr>
          <w:rFonts w:hint="eastAsia" w:ascii="新宋体" w:hAnsi="新宋体" w:eastAsia="新宋体" w:cs="新宋体"/>
          <w:color w:val="auto"/>
          <w:kern w:val="0"/>
          <w:sz w:val="22"/>
          <w:szCs w:val="22"/>
          <w:highlight w:val="none"/>
          <w:lang w:val="en-US" w:eastAsia="zh-CN" w:bidi="ar-SA"/>
        </w:rPr>
        <w:t>乙方在合同中的资金占比为：</w:t>
      </w:r>
      <w:r>
        <w:rPr>
          <w:rFonts w:hint="eastAsia" w:ascii="新宋体" w:hAnsi="新宋体" w:eastAsia="新宋体" w:cs="新宋体"/>
          <w:color w:val="auto"/>
          <w:kern w:val="0"/>
          <w:sz w:val="22"/>
          <w:szCs w:val="22"/>
          <w:highlight w:val="none"/>
          <w:u w:val="single"/>
          <w:lang w:val="en-US" w:eastAsia="zh-CN" w:bidi="ar-SA"/>
        </w:rPr>
        <w:t xml:space="preserve">         </w:t>
      </w:r>
      <w:r>
        <w:rPr>
          <w:rFonts w:hint="eastAsia" w:ascii="新宋体" w:hAnsi="新宋体" w:eastAsia="新宋体" w:cs="新宋体"/>
          <w:color w:val="auto"/>
          <w:kern w:val="0"/>
          <w:sz w:val="22"/>
          <w:szCs w:val="22"/>
          <w:highlight w:val="none"/>
          <w:lang w:val="en-US" w:eastAsia="zh-CN" w:bidi="ar-SA"/>
        </w:rPr>
        <w:t>%。</w:t>
      </w:r>
    </w:p>
    <w:p w14:paraId="7C308EB9">
      <w:pPr>
        <w:widowControl/>
        <w:spacing w:line="460" w:lineRule="exact"/>
        <w:ind w:firstLine="440" w:firstLineChars="20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 xml:space="preserve">3、如中标，联合体将遵守以下规定： </w:t>
      </w:r>
    </w:p>
    <w:p w14:paraId="1E3DE114">
      <w:pPr>
        <w:widowControl/>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联合体牵头人和成员共同与招标人签订合同书，并就中标项目向招标人承担合同规定的联合或各自的义务、责任和风险，就合同约定的事项对招标人承担连带责任。在整个合同实施过程的全部事宜均联合体牵头人代表联合体成员接受招标人的指令、指示和通知。</w:t>
      </w:r>
    </w:p>
    <w:p w14:paraId="4341C015">
      <w:pPr>
        <w:widowControl/>
        <w:spacing w:line="460" w:lineRule="exact"/>
        <w:ind w:firstLine="440" w:firstLineChars="200"/>
        <w:jc w:val="left"/>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五、合同份额占比</w:t>
      </w:r>
    </w:p>
    <w:p w14:paraId="1FA753FC">
      <w:pPr>
        <w:widowControl/>
        <w:spacing w:line="460" w:lineRule="exact"/>
        <w:ind w:firstLine="442" w:firstLineChars="2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b/>
          <w:bCs/>
          <w:color w:val="auto"/>
          <w:sz w:val="22"/>
          <w:szCs w:val="22"/>
          <w:highlight w:val="none"/>
          <w:u w:val="none"/>
          <w:lang w:val="en-US" w:eastAsia="zh-CN"/>
        </w:rPr>
        <w:t>本项目为货物类项目，货物由小型或微型企业制造的占比</w:t>
      </w:r>
      <w:r>
        <w:rPr>
          <w:rFonts w:hint="eastAsia" w:ascii="新宋体" w:hAnsi="新宋体" w:eastAsia="新宋体" w:cs="新宋体"/>
          <w:color w:val="auto"/>
          <w:kern w:val="0"/>
          <w:sz w:val="22"/>
          <w:szCs w:val="22"/>
          <w:highlight w:val="none"/>
          <w:u w:val="none"/>
          <w:lang w:val="en-US" w:eastAsia="zh-CN"/>
        </w:rPr>
        <w:t>：</w:t>
      </w:r>
      <w:r>
        <w:rPr>
          <w:rFonts w:hint="eastAsia" w:ascii="新宋体" w:hAnsi="新宋体" w:eastAsia="新宋体" w:cs="新宋体"/>
          <w:color w:val="auto"/>
          <w:kern w:val="0"/>
          <w:sz w:val="22"/>
          <w:szCs w:val="22"/>
          <w:highlight w:val="none"/>
        </w:rPr>
        <w:t>小微企业合同金额</w:t>
      </w:r>
      <w:r>
        <w:rPr>
          <w:rFonts w:hint="eastAsia" w:ascii="新宋体" w:hAnsi="新宋体" w:eastAsia="新宋体" w:cs="新宋体"/>
          <w:color w:val="auto"/>
          <w:kern w:val="0"/>
          <w:sz w:val="22"/>
          <w:szCs w:val="22"/>
          <w:highlight w:val="none"/>
          <w:lang w:val="en-US" w:eastAsia="zh-CN"/>
        </w:rPr>
        <w:t>占比</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zh-CN"/>
        </w:rPr>
        <w:t>。</w:t>
      </w:r>
    </w:p>
    <w:p w14:paraId="524142FE">
      <w:pPr>
        <w:widowControl/>
        <w:spacing w:line="460" w:lineRule="exact"/>
        <w:ind w:firstLine="440" w:firstLineChars="200"/>
        <w:jc w:val="left"/>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eastAsia="zh-CN"/>
        </w:rPr>
        <w:t>六</w:t>
      </w:r>
      <w:r>
        <w:rPr>
          <w:rFonts w:hint="eastAsia" w:ascii="新宋体" w:hAnsi="新宋体" w:eastAsia="新宋体" w:cs="新宋体"/>
          <w:color w:val="auto"/>
          <w:kern w:val="0"/>
          <w:sz w:val="22"/>
          <w:szCs w:val="22"/>
          <w:highlight w:val="none"/>
        </w:rPr>
        <w:t>、有关本次联合体投标的其他事宜：</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w:t>
      </w:r>
    </w:p>
    <w:p w14:paraId="436C64FF">
      <w:pPr>
        <w:widowControl/>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七</w:t>
      </w:r>
      <w:r>
        <w:rPr>
          <w:rFonts w:hint="eastAsia" w:ascii="新宋体" w:hAnsi="新宋体" w:eastAsia="新宋体" w:cs="新宋体"/>
          <w:color w:val="auto"/>
          <w:kern w:val="0"/>
          <w:sz w:val="22"/>
          <w:szCs w:val="22"/>
          <w:highlight w:val="none"/>
        </w:rPr>
        <w:t>、本协议提交招标人后，联合体各方不得以任何形式对上述实质内容进行修改或撤销。</w:t>
      </w:r>
    </w:p>
    <w:p w14:paraId="1F6772C0">
      <w:pPr>
        <w:widowControl/>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八</w:t>
      </w:r>
      <w:r>
        <w:rPr>
          <w:rFonts w:hint="eastAsia" w:ascii="新宋体" w:hAnsi="新宋体" w:eastAsia="新宋体" w:cs="新宋体"/>
          <w:color w:val="auto"/>
          <w:kern w:val="0"/>
          <w:sz w:val="22"/>
          <w:szCs w:val="22"/>
          <w:highlight w:val="none"/>
        </w:rPr>
        <w:t>、本协议签约各方各持一份，交招标机构两份，其中一份投标时装订于投标文件正本内，一份与投标文件一同提交。</w:t>
      </w:r>
    </w:p>
    <w:p w14:paraId="4994AF66">
      <w:pPr>
        <w:spacing w:line="360" w:lineRule="auto"/>
        <w:ind w:left="143" w:leftChars="68"/>
        <w:rPr>
          <w:rFonts w:ascii="新宋体" w:hAnsi="新宋体" w:eastAsia="新宋体" w:cs="新宋体"/>
          <w:color w:val="auto"/>
          <w:kern w:val="0"/>
          <w:sz w:val="22"/>
          <w:szCs w:val="22"/>
          <w:highlight w:val="none"/>
        </w:rPr>
      </w:pPr>
    </w:p>
    <w:p w14:paraId="44820D45">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甲方单位：       （公章）                乙方单位：         （公章）</w:t>
      </w:r>
    </w:p>
    <w:p w14:paraId="787EFDBA">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法定代表人：（签字或盖章）                     法定代表人：（签字或盖章）</w:t>
      </w:r>
    </w:p>
    <w:p w14:paraId="25B8C8C5">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                 日期：     年   月   日</w:t>
      </w:r>
    </w:p>
    <w:p w14:paraId="69F01C33">
      <w:pPr>
        <w:spacing w:line="460" w:lineRule="exact"/>
        <w:ind w:firstLine="4400" w:firstLineChars="2000"/>
        <w:rPr>
          <w:rFonts w:hint="eastAsia" w:ascii="宋体" w:hAnsi="宋体" w:eastAsia="宋体" w:cs="宋体"/>
          <w:color w:val="auto"/>
          <w:sz w:val="22"/>
          <w:szCs w:val="22"/>
          <w:highlight w:val="none"/>
        </w:rPr>
      </w:pPr>
    </w:p>
    <w:p w14:paraId="428A89CA">
      <w:pPr>
        <w:spacing w:line="460" w:lineRule="exact"/>
        <w:ind w:firstLine="541" w:firstLineChars="245"/>
        <w:rPr>
          <w:rFonts w:hint="eastAsia" w:ascii="新宋体" w:hAnsi="新宋体" w:eastAsia="新宋体" w:cs="Times New Roman"/>
          <w:b/>
          <w:bCs/>
          <w:color w:val="auto"/>
          <w:sz w:val="22"/>
          <w:szCs w:val="22"/>
          <w:highlight w:val="none"/>
          <w:lang w:val="en-US" w:eastAsia="zh-CN"/>
        </w:rPr>
      </w:pPr>
      <w:r>
        <w:rPr>
          <w:rFonts w:hint="eastAsia" w:ascii="新宋体" w:hAnsi="新宋体" w:eastAsia="新宋体" w:cs="Times New Roman"/>
          <w:b/>
          <w:bCs/>
          <w:color w:val="auto"/>
          <w:sz w:val="22"/>
          <w:szCs w:val="22"/>
          <w:highlight w:val="none"/>
          <w:lang w:val="en-US" w:eastAsia="zh-CN"/>
        </w:rPr>
        <w:t>注:</w:t>
      </w:r>
    </w:p>
    <w:p w14:paraId="7E6623EB">
      <w:pPr>
        <w:spacing w:line="460" w:lineRule="exact"/>
        <w:ind w:firstLine="541" w:firstLineChars="245"/>
        <w:rPr>
          <w:rFonts w:hint="eastAsia" w:ascii="新宋体" w:hAnsi="新宋体" w:eastAsia="新宋体" w:cs="新宋体"/>
          <w:b/>
          <w:color w:val="auto"/>
          <w:kern w:val="0"/>
          <w:sz w:val="22"/>
          <w:highlight w:val="none"/>
          <w:lang w:eastAsia="zh-CN"/>
        </w:rPr>
      </w:pPr>
      <w:r>
        <w:rPr>
          <w:rFonts w:hint="eastAsia" w:ascii="新宋体" w:hAnsi="新宋体" w:eastAsia="新宋体" w:cs="Times New Roman"/>
          <w:b/>
          <w:bCs/>
          <w:color w:val="auto"/>
          <w:sz w:val="22"/>
          <w:szCs w:val="22"/>
          <w:highlight w:val="none"/>
          <w:lang w:val="en-US" w:eastAsia="zh-CN"/>
        </w:rPr>
        <w:t>1、</w:t>
      </w:r>
      <w:r>
        <w:rPr>
          <w:rFonts w:hint="eastAsia" w:ascii="新宋体" w:hAnsi="新宋体" w:eastAsia="新宋体" w:cs="Times New Roman"/>
          <w:b/>
          <w:bCs/>
          <w:color w:val="auto"/>
          <w:sz w:val="22"/>
          <w:szCs w:val="22"/>
          <w:highlight w:val="none"/>
        </w:rPr>
        <w:t>以联合体形式参加投标的，</w:t>
      </w:r>
      <w:r>
        <w:rPr>
          <w:rFonts w:hint="eastAsia" w:ascii="新宋体" w:hAnsi="新宋体" w:eastAsia="新宋体" w:cs="新宋体"/>
          <w:b/>
          <w:color w:val="auto"/>
          <w:kern w:val="0"/>
          <w:sz w:val="22"/>
          <w:highlight w:val="none"/>
        </w:rPr>
        <w:t>联合体成员数量不得超过</w:t>
      </w:r>
      <w:r>
        <w:rPr>
          <w:rFonts w:hint="eastAsia" w:ascii="新宋体" w:hAnsi="新宋体" w:eastAsia="新宋体" w:cs="新宋体"/>
          <w:b/>
          <w:color w:val="auto"/>
          <w:kern w:val="0"/>
          <w:sz w:val="22"/>
          <w:highlight w:val="none"/>
          <w:lang w:val="en-US" w:eastAsia="zh-CN"/>
        </w:rPr>
        <w:t>2</w:t>
      </w:r>
      <w:r>
        <w:rPr>
          <w:rFonts w:hint="eastAsia" w:ascii="新宋体" w:hAnsi="新宋体" w:eastAsia="新宋体" w:cs="新宋体"/>
          <w:b/>
          <w:color w:val="auto"/>
          <w:kern w:val="0"/>
          <w:sz w:val="22"/>
          <w:highlight w:val="none"/>
        </w:rPr>
        <w:t>个</w:t>
      </w:r>
      <w:r>
        <w:rPr>
          <w:rFonts w:hint="eastAsia" w:ascii="新宋体" w:hAnsi="新宋体" w:eastAsia="新宋体" w:cs="新宋体"/>
          <w:b/>
          <w:color w:val="auto"/>
          <w:kern w:val="0"/>
          <w:sz w:val="22"/>
          <w:highlight w:val="none"/>
          <w:lang w:eastAsia="zh-CN"/>
        </w:rPr>
        <w:t>，</w:t>
      </w:r>
      <w:r>
        <w:rPr>
          <w:rFonts w:hint="eastAsia" w:ascii="新宋体" w:hAnsi="新宋体" w:eastAsia="新宋体" w:cs="新宋体"/>
          <w:b/>
          <w:color w:val="auto"/>
          <w:kern w:val="0"/>
          <w:sz w:val="22"/>
          <w:highlight w:val="none"/>
          <w:lang w:val="en-US" w:eastAsia="zh-CN"/>
        </w:rPr>
        <w:t>否则按无效标处理</w:t>
      </w:r>
      <w:r>
        <w:rPr>
          <w:rFonts w:hint="eastAsia" w:ascii="新宋体" w:hAnsi="新宋体" w:eastAsia="新宋体" w:cs="新宋体"/>
          <w:b/>
          <w:color w:val="auto"/>
          <w:kern w:val="0"/>
          <w:sz w:val="22"/>
          <w:highlight w:val="none"/>
          <w:lang w:eastAsia="zh-CN"/>
        </w:rPr>
        <w:t>。</w:t>
      </w:r>
    </w:p>
    <w:p w14:paraId="5C7D1E70">
      <w:pPr>
        <w:spacing w:line="460" w:lineRule="exact"/>
        <w:ind w:firstLine="541" w:firstLineChars="245"/>
        <w:rPr>
          <w:rFonts w:hint="eastAsia" w:ascii="新宋体" w:hAnsi="新宋体" w:eastAsia="新宋体" w:cs="Times New Roman"/>
          <w:b/>
          <w:bCs/>
          <w:color w:val="auto"/>
          <w:sz w:val="22"/>
          <w:szCs w:val="22"/>
          <w:highlight w:val="none"/>
        </w:rPr>
      </w:pPr>
      <w:r>
        <w:rPr>
          <w:rFonts w:hint="eastAsia" w:ascii="新宋体" w:hAnsi="新宋体" w:eastAsia="新宋体" w:cs="新宋体"/>
          <w:b/>
          <w:color w:val="auto"/>
          <w:kern w:val="0"/>
          <w:sz w:val="22"/>
          <w:highlight w:val="none"/>
          <w:lang w:val="en-US" w:eastAsia="zh-CN"/>
        </w:rPr>
        <w:t>2、</w:t>
      </w:r>
      <w:r>
        <w:rPr>
          <w:rFonts w:hint="eastAsia" w:ascii="新宋体" w:hAnsi="新宋体" w:eastAsia="新宋体" w:cs="Times New Roman"/>
          <w:b/>
          <w:bCs/>
          <w:color w:val="auto"/>
          <w:sz w:val="22"/>
          <w:szCs w:val="22"/>
          <w:highlight w:val="none"/>
        </w:rPr>
        <w:t>联合体各方均应当符合政府采购法第二十二条第一款规定的条件。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w:t>
      </w:r>
    </w:p>
    <w:p w14:paraId="13DD5D8C">
      <w:pPr>
        <w:spacing w:line="460" w:lineRule="exact"/>
        <w:ind w:firstLine="442" w:firstLineChars="200"/>
        <w:rPr>
          <w:rFonts w:hint="eastAsia" w:ascii="新宋体" w:hAnsi="新宋体" w:eastAsia="新宋体" w:cs="Times New Roman"/>
          <w:b/>
          <w:bCs/>
          <w:color w:val="auto"/>
          <w:sz w:val="22"/>
          <w:szCs w:val="22"/>
          <w:highlight w:val="none"/>
        </w:rPr>
      </w:pPr>
      <w:r>
        <w:rPr>
          <w:rFonts w:hint="eastAsia" w:ascii="新宋体" w:hAnsi="新宋体" w:eastAsia="新宋体" w:cs="Times New Roman"/>
          <w:b/>
          <w:bCs/>
          <w:color w:val="auto"/>
          <w:sz w:val="22"/>
          <w:szCs w:val="22"/>
          <w:highlight w:val="none"/>
          <w:lang w:val="en-US" w:eastAsia="zh-CN"/>
        </w:rPr>
        <w:t>3、</w:t>
      </w:r>
      <w:r>
        <w:rPr>
          <w:rFonts w:hint="eastAsia" w:ascii="新宋体" w:hAnsi="新宋体" w:eastAsia="新宋体" w:cs="Times New Roman"/>
          <w:b/>
          <w:bCs/>
          <w:color w:val="auto"/>
          <w:sz w:val="22"/>
          <w:szCs w:val="22"/>
          <w:highlight w:val="none"/>
        </w:rPr>
        <w:t>联合体各方之间应当签订共同投标协议，明确约定联合体各方承担的工作和相应的责任。联合体各方签订共同投标协议后，不得再以自己名义单独在同一项目中投标，也不得组成新的联合体参加同一项目投标。</w:t>
      </w:r>
    </w:p>
    <w:p w14:paraId="37352866">
      <w:pPr>
        <w:pStyle w:val="21"/>
        <w:rPr>
          <w:rFonts w:hint="eastAsia" w:ascii="新宋体" w:hAnsi="新宋体" w:eastAsia="新宋体" w:cs="新宋体"/>
          <w:b/>
          <w:color w:val="auto"/>
          <w:kern w:val="0"/>
          <w:sz w:val="22"/>
          <w:szCs w:val="24"/>
          <w:highlight w:val="none"/>
          <w:lang w:val="en-US" w:eastAsia="zh-CN" w:bidi="ar-SA"/>
        </w:rPr>
      </w:pPr>
    </w:p>
    <w:p w14:paraId="60C1E771">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763DBAA2">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36"/>
      <w:bookmarkEnd w:id="37"/>
    </w:p>
    <w:p w14:paraId="2686654C">
      <w:pPr>
        <w:spacing w:line="460" w:lineRule="exact"/>
        <w:jc w:val="center"/>
        <w:outlineLvl w:val="2"/>
        <w:rPr>
          <w:rFonts w:hint="eastAsia" w:ascii="宋体" w:hAnsi="宋体" w:eastAsia="宋体" w:cs="宋体"/>
          <w:b/>
          <w:bCs/>
          <w:color w:val="auto"/>
          <w:sz w:val="28"/>
          <w:szCs w:val="28"/>
          <w:highlight w:val="none"/>
          <w:lang w:val="zh-CN"/>
        </w:rPr>
      </w:pPr>
      <w:bookmarkStart w:id="38" w:name="_Toc29102"/>
      <w:bookmarkStart w:id="39" w:name="_Toc13639"/>
      <w:r>
        <w:rPr>
          <w:rFonts w:hint="eastAsia" w:ascii="宋体" w:hAnsi="宋体" w:eastAsia="宋体" w:cs="宋体"/>
          <w:b/>
          <w:bCs/>
          <w:color w:val="auto"/>
          <w:sz w:val="28"/>
          <w:szCs w:val="28"/>
          <w:highlight w:val="none"/>
          <w:lang w:val="zh-CN"/>
        </w:rPr>
        <w:t>商务技术文件</w:t>
      </w:r>
      <w:bookmarkEnd w:id="38"/>
      <w:bookmarkEnd w:id="39"/>
    </w:p>
    <w:p w14:paraId="2791C85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02A1D7C0">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1、法定代表人身份证明或授权委托书</w:t>
      </w:r>
    </w:p>
    <w:p w14:paraId="7CC19693">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28"/>
          <w:szCs w:val="28"/>
          <w:highlight w:val="none"/>
          <w:lang w:eastAsia="zh-CN"/>
        </w:rPr>
      </w:pPr>
    </w:p>
    <w:p w14:paraId="1621B712">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法定代表人资格证明书</w:t>
      </w:r>
    </w:p>
    <w:p w14:paraId="719CFB32">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b/>
          <w:color w:val="auto"/>
          <w:sz w:val="22"/>
          <w:szCs w:val="22"/>
          <w:highlight w:val="none"/>
        </w:rPr>
      </w:pPr>
    </w:p>
    <w:p w14:paraId="62013DC1">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14:paraId="585F1A0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2"/>
          <w:szCs w:val="22"/>
          <w:highlight w:val="none"/>
          <w:u w:val="single"/>
        </w:rPr>
      </w:pPr>
    </w:p>
    <w:p w14:paraId="7D452803">
      <w:pPr>
        <w:keepNext w:val="0"/>
        <w:keepLines w:val="0"/>
        <w:pageBreakBefore w:val="0"/>
        <w:widowControl w:val="0"/>
        <w:kinsoku/>
        <w:wordWrap/>
        <w:overflowPunct/>
        <w:topLinePunct w:val="0"/>
        <w:autoSpaceDE/>
        <w:autoSpaceDN/>
        <w:bidi w:val="0"/>
        <w:adjustRightInd/>
        <w:snapToGrid/>
        <w:spacing w:line="500" w:lineRule="exact"/>
        <w:ind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（姓名、性别、年龄</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电话</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在我单位任</w:t>
      </w:r>
      <w:r>
        <w:rPr>
          <w:rFonts w:hint="eastAsia" w:ascii="宋体" w:hAnsi="宋体" w:eastAsia="宋体" w:cs="宋体"/>
          <w:color w:val="auto"/>
          <w:sz w:val="22"/>
          <w:szCs w:val="22"/>
          <w:highlight w:val="none"/>
          <w:u w:val="single"/>
        </w:rPr>
        <w:t xml:space="preserve">                  （职务名称）</w:t>
      </w:r>
      <w:r>
        <w:rPr>
          <w:rFonts w:hint="eastAsia" w:ascii="宋体" w:hAnsi="宋体" w:eastAsia="宋体" w:cs="宋体"/>
          <w:color w:val="auto"/>
          <w:sz w:val="22"/>
          <w:szCs w:val="22"/>
          <w:highlight w:val="none"/>
        </w:rPr>
        <w:t>职务，是我单位的法定代表人。</w:t>
      </w:r>
    </w:p>
    <w:p w14:paraId="1B5702F2">
      <w:pPr>
        <w:keepNext w:val="0"/>
        <w:keepLines w:val="0"/>
        <w:pageBreakBefore w:val="0"/>
        <w:widowControl w:val="0"/>
        <w:kinsoku/>
        <w:wordWrap/>
        <w:overflowPunct/>
        <w:topLinePunct w:val="0"/>
        <w:autoSpaceDE/>
        <w:autoSpaceDN/>
        <w:bidi w:val="0"/>
        <w:adjustRightInd/>
        <w:snapToGrid/>
        <w:spacing w:line="500" w:lineRule="exact"/>
        <w:ind w:firstLine="880" w:firstLineChars="4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特此证明。</w:t>
      </w:r>
    </w:p>
    <w:p w14:paraId="4ECEF88D">
      <w:pPr>
        <w:spacing w:line="360" w:lineRule="auto"/>
        <w:jc w:val="left"/>
        <w:rPr>
          <w:rFonts w:hint="eastAsia" w:ascii="宋体" w:hAnsi="宋体" w:eastAsia="宋体" w:cs="宋体"/>
          <w:b/>
          <w:bCs/>
          <w:color w:val="auto"/>
          <w:sz w:val="22"/>
          <w:szCs w:val="22"/>
          <w:highlight w:val="none"/>
        </w:rPr>
      </w:pPr>
    </w:p>
    <w:p w14:paraId="48A87F42">
      <w:pPr>
        <w:spacing w:line="360" w:lineRule="auto"/>
        <w:jc w:val="left"/>
        <w:rPr>
          <w:rFonts w:hint="eastAsia" w:ascii="宋体" w:hAnsi="宋体" w:eastAsia="宋体" w:cs="宋体"/>
          <w:b w:val="0"/>
          <w:bCs w:val="0"/>
          <w:color w:val="auto"/>
          <w:sz w:val="22"/>
          <w:szCs w:val="22"/>
          <w:highlight w:val="none"/>
        </w:rPr>
      </w:pPr>
    </w:p>
    <w:p w14:paraId="33189196">
      <w:pPr>
        <w:spacing w:line="460" w:lineRule="exact"/>
        <w:ind w:firstLine="5060" w:firstLineChars="2300"/>
        <w:rPr>
          <w:rFonts w:hint="eastAsia" w:ascii="新宋体" w:hAnsi="新宋体" w:eastAsia="新宋体"/>
          <w:color w:val="auto"/>
          <w:sz w:val="22"/>
          <w:szCs w:val="22"/>
          <w:highlight w:val="none"/>
          <w:lang w:val="en-US" w:eastAsia="zh-CN"/>
        </w:rPr>
      </w:pPr>
      <w:r>
        <w:rPr>
          <w:rFonts w:hint="eastAsia" w:ascii="新宋体" w:hAnsi="新宋体" w:eastAsia="新宋体"/>
          <w:color w:val="auto"/>
          <w:sz w:val="22"/>
          <w:szCs w:val="22"/>
          <w:highlight w:val="none"/>
        </w:rPr>
        <w:t>投标人全称（盖章）：</w:t>
      </w:r>
      <w:r>
        <w:rPr>
          <w:rFonts w:hint="eastAsia" w:ascii="新宋体" w:hAnsi="新宋体" w:eastAsia="新宋体"/>
          <w:color w:val="auto"/>
          <w:sz w:val="22"/>
          <w:szCs w:val="22"/>
          <w:highlight w:val="none"/>
          <w:lang w:val="en-US" w:eastAsia="zh-CN"/>
        </w:rPr>
        <w:t xml:space="preserve"> </w:t>
      </w:r>
    </w:p>
    <w:p w14:paraId="1AF74722">
      <w:pPr>
        <w:spacing w:line="460" w:lineRule="exact"/>
        <w:ind w:firstLine="5060" w:firstLineChars="23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日 期：   年  月  日</w:t>
      </w:r>
    </w:p>
    <w:p w14:paraId="64F880DE">
      <w:pPr>
        <w:rPr>
          <w:rFonts w:hint="eastAsia" w:ascii="宋体" w:hAnsi="宋体" w:eastAsia="宋体" w:cs="宋体"/>
          <w:b/>
          <w:bCs/>
          <w:color w:val="auto"/>
          <w:sz w:val="24"/>
          <w:highlight w:val="none"/>
        </w:rPr>
      </w:pPr>
    </w:p>
    <w:p w14:paraId="1F279952">
      <w:pPr>
        <w:rPr>
          <w:rFonts w:hint="eastAsia" w:ascii="宋体" w:hAnsi="宋体" w:eastAsia="宋体" w:cs="宋体"/>
          <w:b/>
          <w:bCs/>
          <w:color w:val="auto"/>
          <w:sz w:val="24"/>
          <w:highlight w:val="none"/>
        </w:rPr>
      </w:pPr>
    </w:p>
    <w:p w14:paraId="4003A4FF">
      <w:pPr>
        <w:rPr>
          <w:rFonts w:hint="eastAsia" w:ascii="宋体" w:hAnsi="宋体" w:eastAsia="宋体" w:cs="宋体"/>
          <w:b/>
          <w:bCs/>
          <w:color w:val="auto"/>
          <w:sz w:val="24"/>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92710</wp:posOffset>
                </wp:positionV>
                <wp:extent cx="5978525" cy="2546985"/>
                <wp:effectExtent l="4445" t="4445" r="17780" b="20320"/>
                <wp:wrapNone/>
                <wp:docPr id="4" name="文本框 4"/>
                <wp:cNvGraphicFramePr/>
                <a:graphic xmlns:a="http://schemas.openxmlformats.org/drawingml/2006/main">
                  <a:graphicData uri="http://schemas.microsoft.com/office/word/2010/wordprocessingShape">
                    <wps:wsp>
                      <wps:cNvSpPr txBox="1"/>
                      <wps:spPr>
                        <a:xfrm>
                          <a:off x="0" y="0"/>
                          <a:ext cx="5978525" cy="2546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D2063D">
                            <w:r>
                              <w:rPr>
                                <w:rFonts w:hint="eastAsia" w:ascii="新宋体" w:hAnsi="新宋体" w:eastAsia="新宋体"/>
                                <w:sz w:val="22"/>
                                <w:szCs w:val="22"/>
                              </w:rPr>
                              <w:t>法定代表人身份证（正反面）：</w:t>
                            </w:r>
                          </w:p>
                        </w:txbxContent>
                      </wps:txbx>
                      <wps:bodyPr upright="1"/>
                    </wps:wsp>
                  </a:graphicData>
                </a:graphic>
              </wp:anchor>
            </w:drawing>
          </mc:Choice>
          <mc:Fallback>
            <w:pict>
              <v:shape id="_x0000_s1026" o:spid="_x0000_s1026" o:spt="202" type="#_x0000_t202" style="position:absolute;left:0pt;margin-left:1.45pt;margin-top:7.3pt;height:200.55pt;width:470.75pt;z-index:251662336;mso-width-relative:page;mso-height-relative:page;" fillcolor="#FFFFFF" filled="t" stroked="t" coordsize="21600,21600" o:gfxdata="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Vy9L/YAAAACAEAAA8AAAAAAAAAAQAgAAAA&#10;IgAAAGRycy9kb3ducmV2LnhtbFBLAQIUABQAAAAIAIdO4kBqtJx/CwIAADcEAAAOAAAAAAAAAAEA&#10;IAAAACcBAABkcnMvZTJvRG9jLnhtbFBLBQYAAAAABgAGAFkBAACkBQAAAAA=&#10;">
                <v:fill on="t" focussize="0,0"/>
                <v:stroke color="#000000" joinstyle="miter"/>
                <v:imagedata o:title=""/>
                <o:lock v:ext="edit" aspectratio="f"/>
                <v:textbox>
                  <w:txbxContent>
                    <w:p w14:paraId="01D2063D">
                      <w:r>
                        <w:rPr>
                          <w:rFonts w:hint="eastAsia" w:ascii="新宋体" w:hAnsi="新宋体" w:eastAsia="新宋体"/>
                          <w:sz w:val="22"/>
                          <w:szCs w:val="22"/>
                        </w:rPr>
                        <w:t>法定代表人身份证（正反面）：</w:t>
                      </w:r>
                    </w:p>
                  </w:txbxContent>
                </v:textbox>
              </v:shape>
            </w:pict>
          </mc:Fallback>
        </mc:AlternateContent>
      </w:r>
    </w:p>
    <w:p w14:paraId="77205B28">
      <w:pPr>
        <w:rPr>
          <w:rFonts w:hint="eastAsia" w:ascii="宋体" w:hAnsi="宋体" w:eastAsia="宋体" w:cs="宋体"/>
          <w:b/>
          <w:bCs/>
          <w:color w:val="auto"/>
          <w:sz w:val="24"/>
          <w:highlight w:val="none"/>
        </w:rPr>
      </w:pPr>
    </w:p>
    <w:p w14:paraId="3A02BA68">
      <w:pPr>
        <w:rPr>
          <w:rFonts w:hint="eastAsia" w:ascii="宋体" w:hAnsi="宋体" w:eastAsia="宋体" w:cs="宋体"/>
          <w:b/>
          <w:bCs/>
          <w:color w:val="auto"/>
          <w:sz w:val="24"/>
          <w:highlight w:val="none"/>
        </w:rPr>
      </w:pPr>
    </w:p>
    <w:p w14:paraId="7F3C4EFF">
      <w:pPr>
        <w:rPr>
          <w:rFonts w:hint="eastAsia" w:ascii="宋体" w:hAnsi="宋体" w:eastAsia="宋体" w:cs="宋体"/>
          <w:b/>
          <w:bCs/>
          <w:color w:val="auto"/>
          <w:sz w:val="24"/>
          <w:highlight w:val="none"/>
        </w:rPr>
      </w:pPr>
    </w:p>
    <w:p w14:paraId="184EAB74">
      <w:pPr>
        <w:rPr>
          <w:rFonts w:hint="eastAsia" w:ascii="宋体" w:hAnsi="宋体" w:eastAsia="宋体" w:cs="宋体"/>
          <w:b/>
          <w:bCs/>
          <w:color w:val="auto"/>
          <w:sz w:val="24"/>
          <w:highlight w:val="none"/>
        </w:rPr>
      </w:pPr>
    </w:p>
    <w:p w14:paraId="2D684DF4">
      <w:pPr>
        <w:rPr>
          <w:rFonts w:hint="eastAsia" w:ascii="宋体" w:hAnsi="宋体" w:eastAsia="宋体" w:cs="宋体"/>
          <w:b/>
          <w:bCs/>
          <w:color w:val="auto"/>
          <w:sz w:val="24"/>
          <w:highlight w:val="none"/>
        </w:rPr>
      </w:pPr>
    </w:p>
    <w:p w14:paraId="1D991A39">
      <w:pPr>
        <w:rPr>
          <w:rFonts w:hint="eastAsia" w:ascii="宋体" w:hAnsi="宋体" w:eastAsia="宋体" w:cs="宋体"/>
          <w:b/>
          <w:bCs/>
          <w:color w:val="auto"/>
          <w:sz w:val="24"/>
          <w:highlight w:val="none"/>
        </w:rPr>
      </w:pPr>
    </w:p>
    <w:p w14:paraId="632C3455">
      <w:pPr>
        <w:rPr>
          <w:rFonts w:hint="eastAsia" w:ascii="宋体" w:hAnsi="宋体" w:eastAsia="宋体" w:cs="宋体"/>
          <w:b/>
          <w:bCs/>
          <w:color w:val="auto"/>
          <w:sz w:val="24"/>
          <w:highlight w:val="none"/>
        </w:rPr>
      </w:pPr>
    </w:p>
    <w:p w14:paraId="6D20B28E">
      <w:pPr>
        <w:rPr>
          <w:rFonts w:hint="eastAsia" w:ascii="宋体" w:hAnsi="宋体" w:eastAsia="宋体" w:cs="宋体"/>
          <w:b/>
          <w:bCs/>
          <w:color w:val="auto"/>
          <w:sz w:val="24"/>
          <w:highlight w:val="none"/>
        </w:rPr>
      </w:pPr>
    </w:p>
    <w:p w14:paraId="5772A144">
      <w:pPr>
        <w:rPr>
          <w:rFonts w:hint="eastAsia" w:ascii="宋体" w:hAnsi="宋体" w:eastAsia="宋体" w:cs="宋体"/>
          <w:b/>
          <w:bCs/>
          <w:color w:val="auto"/>
          <w:sz w:val="24"/>
          <w:highlight w:val="none"/>
        </w:rPr>
      </w:pPr>
    </w:p>
    <w:p w14:paraId="7E8EF37F">
      <w:pPr>
        <w:rPr>
          <w:rFonts w:hint="eastAsia" w:ascii="宋体" w:hAnsi="宋体" w:eastAsia="宋体" w:cs="宋体"/>
          <w:b/>
          <w:bCs/>
          <w:color w:val="auto"/>
          <w:sz w:val="24"/>
          <w:highlight w:val="none"/>
        </w:rPr>
      </w:pPr>
    </w:p>
    <w:p w14:paraId="709DD71A">
      <w:pPr>
        <w:rPr>
          <w:rFonts w:hint="eastAsia" w:ascii="宋体" w:hAnsi="宋体" w:eastAsia="宋体" w:cs="宋体"/>
          <w:b/>
          <w:bCs/>
          <w:color w:val="auto"/>
          <w:sz w:val="24"/>
          <w:highlight w:val="none"/>
        </w:rPr>
      </w:pPr>
    </w:p>
    <w:p w14:paraId="1CE604D6">
      <w:pPr>
        <w:snapToGrid w:val="0"/>
        <w:spacing w:before="120" w:beforeLines="50" w:after="50" w:line="460" w:lineRule="exact"/>
        <w:rPr>
          <w:rFonts w:hint="eastAsia" w:ascii="宋体" w:hAnsi="宋体" w:eastAsia="宋体" w:cs="宋体"/>
          <w:color w:val="auto"/>
          <w:sz w:val="24"/>
          <w:highlight w:val="none"/>
        </w:rPr>
      </w:pPr>
    </w:p>
    <w:p w14:paraId="04601C92">
      <w:pPr>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2"/>
          <w:szCs w:val="22"/>
          <w:highlight w:val="none"/>
        </w:rPr>
        <w:t>说明：供应商的法定代表人参加投标，提供法定代表人资格证明书；供应商的法定代表人委托授权代表参加投标，提供法定代表人授权</w:t>
      </w:r>
      <w:r>
        <w:rPr>
          <w:rFonts w:hint="eastAsia" w:ascii="宋体" w:hAnsi="宋体" w:eastAsia="宋体" w:cs="宋体"/>
          <w:b/>
          <w:bCs/>
          <w:color w:val="auto"/>
          <w:spacing w:val="-6"/>
          <w:sz w:val="22"/>
          <w:szCs w:val="22"/>
          <w:highlight w:val="none"/>
          <w:lang w:val="en-US" w:eastAsia="zh-CN"/>
        </w:rPr>
        <w:t>书</w:t>
      </w:r>
      <w:r>
        <w:rPr>
          <w:rFonts w:hint="eastAsia" w:ascii="宋体" w:hAnsi="宋体" w:eastAsia="宋体" w:cs="宋体"/>
          <w:b/>
          <w:bCs/>
          <w:color w:val="auto"/>
          <w:spacing w:val="-6"/>
          <w:sz w:val="22"/>
          <w:szCs w:val="22"/>
          <w:highlight w:val="none"/>
        </w:rPr>
        <w:t>。</w:t>
      </w:r>
    </w:p>
    <w:p w14:paraId="0B629F19">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13ADD67C">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）法定代表人授权</w:t>
      </w:r>
      <w:r>
        <w:rPr>
          <w:rFonts w:hint="eastAsia" w:ascii="宋体" w:hAnsi="宋体" w:cs="宋体"/>
          <w:b/>
          <w:bCs/>
          <w:color w:val="auto"/>
          <w:sz w:val="28"/>
          <w:szCs w:val="28"/>
          <w:highlight w:val="none"/>
          <w:lang w:val="en-US" w:eastAsia="zh-CN"/>
        </w:rPr>
        <w:t>委托书</w:t>
      </w:r>
    </w:p>
    <w:p w14:paraId="21BC725D">
      <w:pPr>
        <w:spacing w:line="460" w:lineRule="exact"/>
        <w:rPr>
          <w:rFonts w:hint="eastAsia" w:ascii="宋体" w:hAnsi="宋体" w:eastAsia="宋体" w:cs="宋体"/>
          <w:color w:val="auto"/>
          <w:sz w:val="22"/>
          <w:szCs w:val="22"/>
          <w:highlight w:val="none"/>
          <w:lang w:eastAsia="zh-CN"/>
        </w:rPr>
      </w:pPr>
    </w:p>
    <w:p w14:paraId="558B8C65">
      <w:pPr>
        <w:spacing w:line="460" w:lineRule="exact"/>
        <w:rPr>
          <w:rFonts w:hint="eastAsia" w:ascii="宋体" w:hAnsi="宋体" w:eastAsia="宋体" w:cs="宋体"/>
          <w:color w:val="auto"/>
          <w:sz w:val="22"/>
          <w:szCs w:val="22"/>
          <w:highlight w:val="none"/>
          <w:lang w:eastAsia="zh-CN"/>
        </w:rPr>
      </w:pPr>
    </w:p>
    <w:p w14:paraId="4BD8CACF">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14:paraId="20EA5251">
      <w:pPr>
        <w:spacing w:line="460" w:lineRule="exact"/>
        <w:rPr>
          <w:rFonts w:hint="eastAsia" w:ascii="宋体" w:hAnsi="宋体" w:eastAsia="宋体" w:cs="宋体"/>
          <w:color w:val="auto"/>
          <w:sz w:val="22"/>
          <w:szCs w:val="22"/>
          <w:highlight w:val="none"/>
        </w:rPr>
      </w:pPr>
    </w:p>
    <w:p w14:paraId="69A74496">
      <w:pPr>
        <w:spacing w:line="460" w:lineRule="exact"/>
        <w:rPr>
          <w:rFonts w:hint="eastAsia" w:ascii="宋体" w:hAnsi="宋体" w:eastAsia="宋体" w:cs="宋体"/>
          <w:color w:val="auto"/>
          <w:sz w:val="22"/>
          <w:szCs w:val="22"/>
          <w:highlight w:val="none"/>
          <w:u w:val="single"/>
        </w:rPr>
      </w:pPr>
    </w:p>
    <w:p w14:paraId="393D8A16">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投标人</w:t>
      </w:r>
      <w:r>
        <w:rPr>
          <w:rFonts w:hint="eastAsia" w:ascii="宋体" w:hAnsi="宋体" w:eastAsia="宋体" w:cs="宋体"/>
          <w:color w:val="auto"/>
          <w:sz w:val="22"/>
          <w:szCs w:val="22"/>
          <w:highlight w:val="none"/>
        </w:rPr>
        <w:t>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职务、电话</w:t>
      </w:r>
      <w:r>
        <w:rPr>
          <w:rFonts w:hint="eastAsia" w:ascii="宋体" w:hAnsi="宋体" w:eastAsia="宋体" w:cs="宋体"/>
          <w:color w:val="auto"/>
          <w:sz w:val="22"/>
          <w:szCs w:val="22"/>
          <w:highlight w:val="none"/>
        </w:rPr>
        <w:t>）为全权代表，参加贵处组织的（项目名称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活动，全权代表我方处理</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活动中的一切事宜。</w:t>
      </w:r>
    </w:p>
    <w:p w14:paraId="6D86A58E">
      <w:pPr>
        <w:spacing w:line="460" w:lineRule="exact"/>
        <w:ind w:firstLine="2955"/>
        <w:rPr>
          <w:rFonts w:hint="eastAsia" w:ascii="宋体" w:hAnsi="宋体" w:eastAsia="宋体" w:cs="宋体"/>
          <w:color w:val="auto"/>
          <w:sz w:val="22"/>
          <w:szCs w:val="22"/>
          <w:highlight w:val="none"/>
        </w:rPr>
      </w:pPr>
    </w:p>
    <w:p w14:paraId="59E0E2EF">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405DAF4">
      <w:pPr>
        <w:spacing w:line="460" w:lineRule="exact"/>
        <w:ind w:left="5034" w:leftChars="1903" w:hanging="1038" w:hangingChars="47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114E3DBC">
      <w:pPr>
        <w:spacing w:line="460" w:lineRule="exact"/>
        <w:ind w:left="5034" w:leftChars="1903" w:hanging="1038" w:hangingChars="47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投标人全称（公章）：</w:t>
      </w:r>
    </w:p>
    <w:p w14:paraId="0461CAA8">
      <w:pPr>
        <w:spacing w:line="460" w:lineRule="exact"/>
        <w:ind w:left="5034" w:leftChars="1903" w:hanging="1038" w:hangingChars="47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161626E8">
      <w:pPr>
        <w:spacing w:line="380" w:lineRule="exact"/>
        <w:rPr>
          <w:rFonts w:hint="eastAsia" w:ascii="宋体" w:hAnsi="宋体" w:eastAsia="宋体" w:cs="宋体"/>
          <w:color w:val="auto"/>
          <w:sz w:val="22"/>
          <w:szCs w:val="22"/>
          <w:highlight w:val="none"/>
        </w:rPr>
      </w:pPr>
    </w:p>
    <w:p w14:paraId="5F8E5F6F">
      <w:pPr>
        <w:keepNext w:val="0"/>
        <w:keepLines w:val="0"/>
        <w:pageBreakBefore w:val="0"/>
        <w:widowControl w:val="0"/>
        <w:kinsoku/>
        <w:wordWrap/>
        <w:overflowPunct/>
        <w:topLinePunct w:val="0"/>
        <w:autoSpaceDE/>
        <w:autoSpaceDN/>
        <w:bidi w:val="0"/>
        <w:adjustRightInd/>
        <w:snapToGrid w:val="0"/>
        <w:spacing w:before="120" w:beforeLines="50" w:after="50" w:line="460" w:lineRule="exact"/>
        <w:ind w:firstLine="442" w:firstLineChars="200"/>
        <w:textAlignment w:val="auto"/>
        <w:rPr>
          <w:rStyle w:val="341"/>
          <w:rFonts w:hint="eastAsia" w:ascii="宋体" w:hAnsi="宋体" w:eastAsia="宋体" w:cs="宋体"/>
          <w:b/>
          <w:bCs/>
          <w:color w:val="auto"/>
          <w:sz w:val="22"/>
          <w:szCs w:val="22"/>
          <w:highlight w:val="none"/>
          <w:u w:val="single"/>
        </w:rPr>
      </w:pPr>
      <w:r>
        <w:rPr>
          <w:rStyle w:val="341"/>
          <w:rFonts w:hint="eastAsia" w:ascii="宋体" w:hAnsi="宋体" w:cs="宋体"/>
          <w:b/>
          <w:bCs/>
          <w:color w:val="auto"/>
          <w:sz w:val="22"/>
          <w:szCs w:val="22"/>
          <w:highlight w:val="none"/>
          <w:u w:val="single"/>
        </w:rPr>
        <w:t>▲</w:t>
      </w:r>
      <w:r>
        <w:rPr>
          <w:rStyle w:val="341"/>
          <w:rFonts w:hint="eastAsia" w:ascii="宋体" w:hAnsi="宋体" w:eastAsia="宋体" w:cs="宋体"/>
          <w:b/>
          <w:bCs/>
          <w:color w:val="auto"/>
          <w:sz w:val="22"/>
          <w:szCs w:val="22"/>
          <w:highlight w:val="none"/>
          <w:u w:val="single"/>
        </w:rPr>
        <w:t>1.投标委托：</w:t>
      </w:r>
    </w:p>
    <w:p w14:paraId="44058030">
      <w:pPr>
        <w:keepNext w:val="0"/>
        <w:keepLines w:val="0"/>
        <w:pageBreakBefore w:val="0"/>
        <w:widowControl w:val="0"/>
        <w:kinsoku/>
        <w:wordWrap/>
        <w:overflowPunct/>
        <w:topLinePunct w:val="0"/>
        <w:autoSpaceDE/>
        <w:autoSpaceDN/>
        <w:bidi w:val="0"/>
        <w:adjustRightInd/>
        <w:snapToGrid w:val="0"/>
        <w:spacing w:before="120" w:beforeLines="50" w:after="50" w:line="460" w:lineRule="exact"/>
        <w:ind w:firstLine="440" w:firstLineChars="200"/>
        <w:textAlignment w:val="auto"/>
        <w:rPr>
          <w:rStyle w:val="341"/>
          <w:rFonts w:hint="eastAsia" w:ascii="宋体" w:hAnsi="宋体" w:eastAsia="宋体" w:cs="宋体"/>
          <w:b w:val="0"/>
          <w:bCs w:val="0"/>
          <w:color w:val="auto"/>
          <w:sz w:val="22"/>
          <w:szCs w:val="22"/>
          <w:highlight w:val="none"/>
          <w:u w:val="single"/>
        </w:rPr>
      </w:pPr>
      <w:r>
        <w:rPr>
          <w:rStyle w:val="341"/>
          <w:rFonts w:hint="eastAsia" w:ascii="宋体" w:hAnsi="宋体" w:eastAsia="宋体" w:cs="宋体"/>
          <w:b w:val="0"/>
          <w:bCs w:val="0"/>
          <w:color w:val="auto"/>
          <w:sz w:val="22"/>
          <w:szCs w:val="22"/>
          <w:highlight w:val="none"/>
          <w:u w:val="single"/>
          <w:lang w:val="en-US"/>
        </w:rPr>
        <w:t>1.1</w:t>
      </w:r>
      <w:r>
        <w:rPr>
          <w:rStyle w:val="341"/>
          <w:rFonts w:hint="eastAsia" w:ascii="宋体" w:hAnsi="宋体" w:cs="宋体"/>
          <w:b w:val="0"/>
          <w:bCs w:val="0"/>
          <w:color w:val="auto"/>
          <w:sz w:val="22"/>
          <w:szCs w:val="22"/>
          <w:highlight w:val="none"/>
          <w:u w:val="single"/>
          <w:lang w:val="en-US"/>
        </w:rPr>
        <w:t>授权</w:t>
      </w:r>
      <w:r>
        <w:rPr>
          <w:rStyle w:val="341"/>
          <w:rFonts w:hint="eastAsia" w:ascii="宋体" w:hAnsi="宋体" w:eastAsia="宋体" w:cs="宋体"/>
          <w:b w:val="0"/>
          <w:bCs w:val="0"/>
          <w:color w:val="auto"/>
          <w:sz w:val="22"/>
          <w:szCs w:val="22"/>
          <w:highlight w:val="none"/>
          <w:u w:val="single"/>
        </w:rPr>
        <w:t>代表不是法定代表人（单位负责人、自然人本人）的，提供</w:t>
      </w:r>
      <w:r>
        <w:rPr>
          <w:rStyle w:val="341"/>
          <w:rFonts w:hint="eastAsia" w:ascii="宋体" w:hAnsi="宋体" w:eastAsia="宋体" w:cs="宋体"/>
          <w:b/>
          <w:bCs/>
          <w:color w:val="auto"/>
          <w:sz w:val="22"/>
          <w:szCs w:val="22"/>
          <w:highlight w:val="none"/>
          <w:u w:val="single"/>
        </w:rPr>
        <w:t>法定代表人授权书</w:t>
      </w:r>
      <w:r>
        <w:rPr>
          <w:rStyle w:val="341"/>
          <w:rFonts w:hint="eastAsia" w:ascii="宋体" w:hAnsi="宋体" w:eastAsia="宋体" w:cs="宋体"/>
          <w:b w:val="0"/>
          <w:bCs w:val="0"/>
          <w:color w:val="auto"/>
          <w:sz w:val="22"/>
          <w:szCs w:val="22"/>
          <w:highlight w:val="none"/>
          <w:u w:val="single"/>
        </w:rPr>
        <w:t>和授权代表</w:t>
      </w:r>
      <w:r>
        <w:rPr>
          <w:rStyle w:val="341"/>
          <w:rFonts w:hint="eastAsia" w:ascii="宋体" w:hAnsi="宋体" w:eastAsia="宋体" w:cs="宋体"/>
          <w:b/>
          <w:bCs/>
          <w:color w:val="auto"/>
          <w:sz w:val="22"/>
          <w:szCs w:val="22"/>
          <w:highlight w:val="none"/>
          <w:u w:val="single"/>
        </w:rPr>
        <w:t>社保缴纳证明</w:t>
      </w:r>
      <w:r>
        <w:rPr>
          <w:rStyle w:val="341"/>
          <w:rFonts w:hint="eastAsia" w:ascii="宋体" w:hAnsi="宋体" w:eastAsia="宋体" w:cs="宋体"/>
          <w:b w:val="0"/>
          <w:bCs w:val="0"/>
          <w:color w:val="auto"/>
          <w:sz w:val="22"/>
          <w:szCs w:val="22"/>
          <w:highlight w:val="none"/>
          <w:u w:val="single"/>
        </w:rPr>
        <w:t>（本项目投标文件提交截止时间止近一年任意一月）；</w:t>
      </w:r>
    </w:p>
    <w:p w14:paraId="2071B55F">
      <w:pPr>
        <w:keepNext w:val="0"/>
        <w:keepLines w:val="0"/>
        <w:pageBreakBefore w:val="0"/>
        <w:widowControl w:val="0"/>
        <w:kinsoku/>
        <w:wordWrap/>
        <w:overflowPunct/>
        <w:topLinePunct w:val="0"/>
        <w:autoSpaceDE/>
        <w:autoSpaceDN/>
        <w:bidi w:val="0"/>
        <w:adjustRightInd/>
        <w:snapToGrid w:val="0"/>
        <w:spacing w:before="120" w:beforeLines="50" w:after="50" w:line="460" w:lineRule="exact"/>
        <w:ind w:firstLine="440" w:firstLineChars="200"/>
        <w:textAlignment w:val="auto"/>
        <w:rPr>
          <w:rStyle w:val="341"/>
          <w:rFonts w:hint="eastAsia" w:ascii="宋体" w:hAnsi="宋体" w:eastAsia="宋体" w:cs="宋体"/>
          <w:b w:val="0"/>
          <w:bCs w:val="0"/>
          <w:color w:val="auto"/>
          <w:sz w:val="22"/>
          <w:szCs w:val="22"/>
          <w:highlight w:val="none"/>
          <w:u w:val="single"/>
        </w:rPr>
      </w:pPr>
      <w:r>
        <w:rPr>
          <w:rStyle w:val="341"/>
          <w:rFonts w:hint="eastAsia" w:ascii="宋体" w:hAnsi="宋体" w:eastAsia="宋体" w:cs="宋体"/>
          <w:b w:val="0"/>
          <w:bCs w:val="0"/>
          <w:color w:val="auto"/>
          <w:sz w:val="22"/>
          <w:szCs w:val="22"/>
          <w:highlight w:val="none"/>
          <w:u w:val="single"/>
        </w:rPr>
        <w:t>1.</w:t>
      </w:r>
      <w:r>
        <w:rPr>
          <w:rStyle w:val="341"/>
          <w:rFonts w:hint="eastAsia" w:ascii="宋体" w:hAnsi="宋体" w:eastAsia="宋体" w:cs="宋体"/>
          <w:b w:val="0"/>
          <w:bCs w:val="0"/>
          <w:color w:val="auto"/>
          <w:sz w:val="22"/>
          <w:szCs w:val="22"/>
          <w:highlight w:val="none"/>
          <w:u w:val="single"/>
          <w:lang w:val="en-US"/>
        </w:rPr>
        <w:t>2</w:t>
      </w:r>
      <w:r>
        <w:rPr>
          <w:rStyle w:val="341"/>
          <w:rFonts w:hint="eastAsia" w:ascii="宋体" w:hAnsi="宋体" w:cs="宋体"/>
          <w:b w:val="0"/>
          <w:bCs w:val="0"/>
          <w:color w:val="auto"/>
          <w:sz w:val="22"/>
          <w:szCs w:val="22"/>
          <w:highlight w:val="none"/>
          <w:u w:val="single"/>
          <w:lang w:val="en-US"/>
        </w:rPr>
        <w:t>投标人</w:t>
      </w:r>
      <w:r>
        <w:rPr>
          <w:rStyle w:val="341"/>
          <w:rFonts w:hint="eastAsia" w:ascii="宋体" w:hAnsi="宋体" w:eastAsia="宋体" w:cs="宋体"/>
          <w:b w:val="0"/>
          <w:bCs w:val="0"/>
          <w:color w:val="auto"/>
          <w:sz w:val="22"/>
          <w:szCs w:val="22"/>
          <w:highlight w:val="none"/>
          <w:u w:val="single"/>
        </w:rPr>
        <w:t>委派不在本单位缴纳社保的人员作为授权代表的，应当在投标文件中，</w:t>
      </w:r>
      <w:r>
        <w:rPr>
          <w:rStyle w:val="341"/>
          <w:rFonts w:hint="eastAsia" w:ascii="宋体" w:hAnsi="宋体" w:eastAsia="宋体" w:cs="宋体"/>
          <w:b/>
          <w:bCs/>
          <w:color w:val="auto"/>
          <w:sz w:val="22"/>
          <w:szCs w:val="22"/>
          <w:highlight w:val="none"/>
          <w:u w:val="single"/>
        </w:rPr>
        <w:t>说明具体原因、授权代表缴纳社保的单位</w:t>
      </w:r>
      <w:r>
        <w:rPr>
          <w:rStyle w:val="341"/>
          <w:rFonts w:hint="eastAsia" w:ascii="宋体" w:hAnsi="宋体" w:eastAsia="宋体" w:cs="宋体"/>
          <w:b w:val="0"/>
          <w:bCs w:val="0"/>
          <w:color w:val="auto"/>
          <w:sz w:val="22"/>
          <w:szCs w:val="22"/>
          <w:highlight w:val="none"/>
          <w:u w:val="single"/>
        </w:rPr>
        <w:t>，并附列该授权代表</w:t>
      </w:r>
      <w:r>
        <w:rPr>
          <w:rStyle w:val="341"/>
          <w:rFonts w:hint="eastAsia" w:ascii="宋体" w:hAnsi="宋体" w:eastAsia="宋体" w:cs="宋体"/>
          <w:b/>
          <w:bCs/>
          <w:color w:val="auto"/>
          <w:sz w:val="22"/>
          <w:szCs w:val="22"/>
          <w:highlight w:val="none"/>
          <w:u w:val="single"/>
        </w:rPr>
        <w:t>社保缴纳证明</w:t>
      </w:r>
      <w:r>
        <w:rPr>
          <w:rStyle w:val="341"/>
          <w:rFonts w:hint="eastAsia" w:ascii="宋体" w:hAnsi="宋体" w:eastAsia="宋体" w:cs="宋体"/>
          <w:b w:val="0"/>
          <w:bCs w:val="0"/>
          <w:color w:val="auto"/>
          <w:sz w:val="22"/>
          <w:szCs w:val="22"/>
          <w:highlight w:val="none"/>
          <w:u w:val="single"/>
        </w:rPr>
        <w:t>（本项目投标文件提交截止时间止近一年任意一月）。</w:t>
      </w:r>
    </w:p>
    <w:p w14:paraId="793C5C4F">
      <w:pPr>
        <w:spacing w:line="380" w:lineRule="exact"/>
        <w:rPr>
          <w:rFonts w:hint="eastAsia" w:ascii="宋体" w:hAnsi="宋体" w:eastAsia="宋体" w:cs="宋体"/>
          <w:color w:val="auto"/>
          <w:sz w:val="22"/>
          <w:szCs w:val="22"/>
          <w:highlight w:val="none"/>
        </w:rPr>
      </w:pPr>
    </w:p>
    <w:p w14:paraId="1E6B4B70">
      <w:pPr>
        <w:spacing w:line="460" w:lineRule="exact"/>
        <w:jc w:val="center"/>
        <w:rPr>
          <w:rFonts w:hint="eastAsia" w:ascii="宋体" w:hAnsi="宋体" w:eastAsia="宋体" w:cs="宋体"/>
          <w:b/>
          <w:bCs/>
          <w:color w:val="auto"/>
          <w:sz w:val="28"/>
          <w:szCs w:val="28"/>
          <w:highlight w:val="none"/>
        </w:rPr>
      </w:pPr>
    </w:p>
    <w:p w14:paraId="62BF9608">
      <w:pPr>
        <w:spacing w:line="460" w:lineRule="exact"/>
        <w:jc w:val="center"/>
        <w:rPr>
          <w:rFonts w:hint="eastAsia" w:ascii="宋体" w:hAnsi="宋体" w:eastAsia="宋体" w:cs="宋体"/>
          <w:b/>
          <w:bCs/>
          <w:color w:val="auto"/>
          <w:sz w:val="28"/>
          <w:szCs w:val="28"/>
          <w:highlight w:val="none"/>
        </w:rPr>
      </w:pPr>
    </w:p>
    <w:p w14:paraId="4600318D">
      <w:pPr>
        <w:spacing w:line="460" w:lineRule="exact"/>
        <w:jc w:val="center"/>
        <w:rPr>
          <w:rFonts w:hint="eastAsia" w:ascii="宋体" w:hAnsi="宋体" w:eastAsia="宋体" w:cs="宋体"/>
          <w:b/>
          <w:bCs/>
          <w:color w:val="auto"/>
          <w:sz w:val="28"/>
          <w:szCs w:val="28"/>
          <w:highlight w:val="none"/>
        </w:rPr>
      </w:pPr>
    </w:p>
    <w:p w14:paraId="1B8D1DC1">
      <w:pPr>
        <w:spacing w:line="460" w:lineRule="exact"/>
        <w:jc w:val="center"/>
        <w:rPr>
          <w:rFonts w:hint="eastAsia" w:ascii="宋体" w:hAnsi="宋体" w:eastAsia="宋体" w:cs="宋体"/>
          <w:b/>
          <w:bCs/>
          <w:color w:val="auto"/>
          <w:sz w:val="28"/>
          <w:szCs w:val="28"/>
          <w:highlight w:val="none"/>
        </w:rPr>
      </w:pPr>
    </w:p>
    <w:p w14:paraId="057A79D0">
      <w:pPr>
        <w:spacing w:line="460" w:lineRule="exact"/>
        <w:jc w:val="center"/>
        <w:rPr>
          <w:rFonts w:hint="eastAsia" w:ascii="宋体" w:hAnsi="宋体" w:eastAsia="宋体" w:cs="宋体"/>
          <w:b/>
          <w:bCs/>
          <w:color w:val="auto"/>
          <w:sz w:val="28"/>
          <w:szCs w:val="28"/>
          <w:highlight w:val="none"/>
        </w:rPr>
      </w:pPr>
    </w:p>
    <w:p w14:paraId="3AABB5A4">
      <w:pPr>
        <w:spacing w:line="460" w:lineRule="exact"/>
        <w:jc w:val="center"/>
        <w:rPr>
          <w:rFonts w:hint="eastAsia" w:ascii="宋体" w:hAnsi="宋体" w:eastAsia="宋体" w:cs="宋体"/>
          <w:b/>
          <w:bCs/>
          <w:color w:val="auto"/>
          <w:sz w:val="28"/>
          <w:szCs w:val="28"/>
          <w:highlight w:val="none"/>
        </w:rPr>
      </w:pPr>
    </w:p>
    <w:p w14:paraId="2785D95D">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6241645">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113665</wp:posOffset>
                </wp:positionH>
                <wp:positionV relativeFrom="paragraph">
                  <wp:posOffset>79375</wp:posOffset>
                </wp:positionV>
                <wp:extent cx="5920740" cy="3004185"/>
                <wp:effectExtent l="5080" t="4445" r="17780" b="20320"/>
                <wp:wrapNone/>
                <wp:docPr id="2" name="文本框 2"/>
                <wp:cNvGraphicFramePr/>
                <a:graphic xmlns:a="http://schemas.openxmlformats.org/drawingml/2006/main">
                  <a:graphicData uri="http://schemas.microsoft.com/office/word/2010/wordprocessingShape">
                    <wps:wsp>
                      <wps:cNvSpPr txBox="1"/>
                      <wps:spPr>
                        <a:xfrm>
                          <a:off x="0" y="0"/>
                          <a:ext cx="5920740"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97BE78">
                            <w:r>
                              <w:rPr>
                                <w:rFonts w:hint="eastAsia" w:ascii="新宋体" w:hAnsi="新宋体" w:eastAsia="新宋体"/>
                                <w:sz w:val="22"/>
                                <w:szCs w:val="22"/>
                              </w:rPr>
                              <w:t>法定代表人身份证（正反面）：</w:t>
                            </w:r>
                          </w:p>
                        </w:txbxContent>
                      </wps:txbx>
                      <wps:bodyPr upright="1"/>
                    </wps:wsp>
                  </a:graphicData>
                </a:graphic>
              </wp:anchor>
            </w:drawing>
          </mc:Choice>
          <mc:Fallback>
            <w:pict>
              <v:shape id="_x0000_s1026" o:spid="_x0000_s1026" o:spt="202" type="#_x0000_t202" style="position:absolute;left:0pt;margin-left:8.95pt;margin-top:6.25pt;height:236.55pt;width:466.2pt;z-index:251661312;mso-width-relative:page;mso-height-relative:page;" fillcolor="#FFFFFF" filled="t" stroked="t" coordsize="21600,21600" o:gfxdata="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Nyc2QAAAAkBAAAPAAAAAAAAAAEAIAAA&#10;ACIAAABkcnMvZG93bnJldi54bWxQSwECFAAUAAAACACHTuJACwZjeAsCAAA3BAAADgAAAAAAAAAB&#10;ACAAAAAoAQAAZHJzL2Uyb0RvYy54bWxQSwUGAAAAAAYABgBZAQAApQUAAAAA&#10;">
                <v:fill on="t" focussize="0,0"/>
                <v:stroke color="#000000" joinstyle="miter"/>
                <v:imagedata o:title=""/>
                <o:lock v:ext="edit" aspectratio="f"/>
                <v:textbox>
                  <w:txbxContent>
                    <w:p w14:paraId="1397BE78">
                      <w:r>
                        <w:rPr>
                          <w:rFonts w:hint="eastAsia" w:ascii="新宋体" w:hAnsi="新宋体" w:eastAsia="新宋体"/>
                          <w:sz w:val="22"/>
                          <w:szCs w:val="22"/>
                        </w:rPr>
                        <w:t>法定代表人身份证（正反面）：</w:t>
                      </w:r>
                    </w:p>
                  </w:txbxContent>
                </v:textbox>
              </v:shape>
            </w:pict>
          </mc:Fallback>
        </mc:AlternateContent>
      </w:r>
    </w:p>
    <w:p w14:paraId="077985AA">
      <w:pPr>
        <w:spacing w:line="460" w:lineRule="exact"/>
        <w:jc w:val="center"/>
        <w:rPr>
          <w:rFonts w:hint="eastAsia" w:ascii="宋体" w:hAnsi="宋体" w:eastAsia="宋体" w:cs="宋体"/>
          <w:b/>
          <w:bCs/>
          <w:color w:val="auto"/>
          <w:sz w:val="28"/>
          <w:szCs w:val="28"/>
          <w:highlight w:val="none"/>
        </w:rPr>
      </w:pPr>
    </w:p>
    <w:p w14:paraId="28996958">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2917825</wp:posOffset>
                </wp:positionV>
                <wp:extent cx="5941695" cy="3875405"/>
                <wp:effectExtent l="4445" t="5080" r="16510" b="5715"/>
                <wp:wrapNone/>
                <wp:docPr id="3" name="文本框 3"/>
                <wp:cNvGraphicFramePr/>
                <a:graphic xmlns:a="http://schemas.openxmlformats.org/drawingml/2006/main">
                  <a:graphicData uri="http://schemas.microsoft.com/office/word/2010/wordprocessingShape">
                    <wps:wsp>
                      <wps:cNvSpPr txBox="1"/>
                      <wps:spPr>
                        <a:xfrm>
                          <a:off x="0" y="0"/>
                          <a:ext cx="5941695" cy="3875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930315">
                            <w:r>
                              <w:rPr>
                                <w:rFonts w:hint="eastAsia" w:ascii="新宋体" w:hAnsi="新宋体" w:eastAsia="新宋体"/>
                                <w:sz w:val="22"/>
                                <w:szCs w:val="22"/>
                              </w:rPr>
                              <w:t>授权代表身份证（正反面）：</w:t>
                            </w:r>
                          </w:p>
                        </w:txbxContent>
                      </wps:txbx>
                      <wps:bodyPr upright="1"/>
                    </wps:wsp>
                  </a:graphicData>
                </a:graphic>
              </wp:anchor>
            </w:drawing>
          </mc:Choice>
          <mc:Fallback>
            <w:pict>
              <v:shape id="_x0000_s1026" o:spid="_x0000_s1026" o:spt="202" type="#_x0000_t202" style="position:absolute;left:0pt;margin-left:6.95pt;margin-top:229.75pt;height:305.15pt;width:467.85pt;z-index:251660288;mso-width-relative:page;mso-height-relative:page;" fillcolor="#FFFFFF" filled="t" stroked="t" coordsize="21600,21600" o:gfxdata="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0Kyg9kAAAALAQAADwAAAAAAAAABACAA&#10;AAAiAAAAZHJzL2Rvd25yZXYueG1sUEsBAhQAFAAAAAgAh07iQE7fWPYMAgAANwQAAA4AAAAAAAAA&#10;AQAgAAAAKAEAAGRycy9lMm9Eb2MueG1sUEsFBgAAAAAGAAYAWQEAAKYFAAAAAA==&#10;">
                <v:fill on="t" focussize="0,0"/>
                <v:stroke color="#000000" joinstyle="miter"/>
                <v:imagedata o:title=""/>
                <o:lock v:ext="edit" aspectratio="f"/>
                <v:textbox>
                  <w:txbxContent>
                    <w:p w14:paraId="76930315">
                      <w:r>
                        <w:rPr>
                          <w:rFonts w:hint="eastAsia" w:ascii="新宋体" w:hAnsi="新宋体" w:eastAsia="新宋体"/>
                          <w:sz w:val="22"/>
                          <w:szCs w:val="22"/>
                        </w:rPr>
                        <w:t>授权代表身份证（正反面）：</w:t>
                      </w:r>
                    </w:p>
                  </w:txbxContent>
                </v:textbox>
              </v:shape>
            </w:pict>
          </mc:Fallback>
        </mc:AlternateContent>
      </w:r>
    </w:p>
    <w:p w14:paraId="6926D97A">
      <w:pPr>
        <w:spacing w:line="460" w:lineRule="exact"/>
        <w:jc w:val="center"/>
        <w:rPr>
          <w:rFonts w:hint="eastAsia" w:ascii="宋体" w:hAnsi="宋体" w:eastAsia="宋体" w:cs="宋体"/>
          <w:b/>
          <w:bCs/>
          <w:color w:val="auto"/>
          <w:sz w:val="28"/>
          <w:szCs w:val="28"/>
          <w:highlight w:val="none"/>
        </w:rPr>
      </w:pPr>
    </w:p>
    <w:p w14:paraId="7452376D">
      <w:pPr>
        <w:spacing w:line="460" w:lineRule="exact"/>
        <w:jc w:val="center"/>
        <w:rPr>
          <w:rFonts w:hint="eastAsia" w:ascii="宋体" w:hAnsi="宋体" w:eastAsia="宋体" w:cs="宋体"/>
          <w:b/>
          <w:bCs/>
          <w:color w:val="auto"/>
          <w:sz w:val="28"/>
          <w:szCs w:val="28"/>
          <w:highlight w:val="none"/>
        </w:rPr>
      </w:pPr>
    </w:p>
    <w:p w14:paraId="0D3DC7BA">
      <w:pPr>
        <w:spacing w:line="460" w:lineRule="exact"/>
        <w:jc w:val="center"/>
        <w:rPr>
          <w:rFonts w:hint="eastAsia" w:ascii="宋体" w:hAnsi="宋体" w:eastAsia="宋体" w:cs="宋体"/>
          <w:b/>
          <w:bCs/>
          <w:color w:val="auto"/>
          <w:sz w:val="28"/>
          <w:szCs w:val="28"/>
          <w:highlight w:val="none"/>
        </w:rPr>
      </w:pPr>
    </w:p>
    <w:p w14:paraId="72260885">
      <w:pPr>
        <w:spacing w:line="460" w:lineRule="exact"/>
        <w:jc w:val="center"/>
        <w:rPr>
          <w:rFonts w:hint="eastAsia" w:ascii="宋体" w:hAnsi="宋体" w:eastAsia="宋体" w:cs="宋体"/>
          <w:b/>
          <w:bCs/>
          <w:color w:val="auto"/>
          <w:sz w:val="28"/>
          <w:szCs w:val="28"/>
          <w:highlight w:val="none"/>
        </w:rPr>
      </w:pPr>
    </w:p>
    <w:p w14:paraId="7DF45F52">
      <w:pPr>
        <w:spacing w:line="460" w:lineRule="exact"/>
        <w:jc w:val="center"/>
        <w:rPr>
          <w:rFonts w:hint="eastAsia" w:ascii="宋体" w:hAnsi="宋体" w:eastAsia="宋体" w:cs="宋体"/>
          <w:b/>
          <w:bCs/>
          <w:color w:val="auto"/>
          <w:sz w:val="28"/>
          <w:szCs w:val="28"/>
          <w:highlight w:val="none"/>
        </w:rPr>
      </w:pPr>
    </w:p>
    <w:p w14:paraId="37F8C678">
      <w:pPr>
        <w:spacing w:line="460" w:lineRule="exact"/>
        <w:jc w:val="center"/>
        <w:rPr>
          <w:rFonts w:hint="eastAsia" w:ascii="宋体" w:hAnsi="宋体" w:eastAsia="宋体" w:cs="宋体"/>
          <w:b/>
          <w:bCs/>
          <w:color w:val="auto"/>
          <w:sz w:val="28"/>
          <w:szCs w:val="28"/>
          <w:highlight w:val="none"/>
        </w:rPr>
      </w:pPr>
    </w:p>
    <w:p w14:paraId="0CCC78BE">
      <w:pPr>
        <w:spacing w:line="460" w:lineRule="exact"/>
        <w:jc w:val="center"/>
        <w:rPr>
          <w:rFonts w:hint="eastAsia" w:ascii="宋体" w:hAnsi="宋体" w:eastAsia="宋体" w:cs="宋体"/>
          <w:b/>
          <w:bCs/>
          <w:color w:val="auto"/>
          <w:sz w:val="28"/>
          <w:szCs w:val="28"/>
          <w:highlight w:val="none"/>
        </w:rPr>
      </w:pPr>
    </w:p>
    <w:p w14:paraId="7EAF8DDD">
      <w:pPr>
        <w:spacing w:line="460" w:lineRule="exact"/>
        <w:jc w:val="center"/>
        <w:rPr>
          <w:rFonts w:hint="eastAsia" w:ascii="宋体" w:hAnsi="宋体" w:eastAsia="宋体" w:cs="宋体"/>
          <w:b/>
          <w:bCs/>
          <w:color w:val="auto"/>
          <w:sz w:val="28"/>
          <w:szCs w:val="28"/>
          <w:highlight w:val="none"/>
        </w:rPr>
      </w:pPr>
    </w:p>
    <w:p w14:paraId="557299A5">
      <w:pPr>
        <w:spacing w:line="460" w:lineRule="exact"/>
        <w:jc w:val="center"/>
        <w:rPr>
          <w:rFonts w:hint="eastAsia" w:ascii="宋体" w:hAnsi="宋体" w:eastAsia="宋体" w:cs="宋体"/>
          <w:b/>
          <w:bCs/>
          <w:color w:val="auto"/>
          <w:sz w:val="28"/>
          <w:szCs w:val="28"/>
          <w:highlight w:val="none"/>
        </w:rPr>
      </w:pPr>
    </w:p>
    <w:p w14:paraId="1D2A13EC">
      <w:pPr>
        <w:spacing w:line="460" w:lineRule="exact"/>
        <w:jc w:val="center"/>
        <w:rPr>
          <w:rFonts w:hint="eastAsia" w:ascii="宋体" w:hAnsi="宋体" w:eastAsia="宋体" w:cs="宋体"/>
          <w:b/>
          <w:bCs/>
          <w:color w:val="auto"/>
          <w:sz w:val="28"/>
          <w:szCs w:val="28"/>
          <w:highlight w:val="none"/>
        </w:rPr>
      </w:pPr>
    </w:p>
    <w:p w14:paraId="562704BF">
      <w:pPr>
        <w:spacing w:line="460" w:lineRule="exact"/>
        <w:jc w:val="center"/>
        <w:rPr>
          <w:rFonts w:hint="eastAsia" w:ascii="宋体" w:hAnsi="宋体" w:eastAsia="宋体" w:cs="宋体"/>
          <w:b/>
          <w:bCs/>
          <w:color w:val="auto"/>
          <w:sz w:val="28"/>
          <w:szCs w:val="28"/>
          <w:highlight w:val="none"/>
        </w:rPr>
      </w:pPr>
    </w:p>
    <w:p w14:paraId="1F529FB4">
      <w:pPr>
        <w:spacing w:line="460" w:lineRule="exact"/>
        <w:jc w:val="center"/>
        <w:rPr>
          <w:rFonts w:hint="eastAsia" w:ascii="宋体" w:hAnsi="宋体" w:eastAsia="宋体" w:cs="宋体"/>
          <w:b/>
          <w:bCs/>
          <w:color w:val="auto"/>
          <w:sz w:val="28"/>
          <w:szCs w:val="28"/>
          <w:highlight w:val="none"/>
        </w:rPr>
      </w:pPr>
    </w:p>
    <w:p w14:paraId="079EEB65">
      <w:pPr>
        <w:spacing w:line="460" w:lineRule="exact"/>
        <w:jc w:val="center"/>
        <w:rPr>
          <w:rFonts w:hint="eastAsia" w:ascii="宋体" w:hAnsi="宋体" w:eastAsia="宋体" w:cs="宋体"/>
          <w:b/>
          <w:bCs/>
          <w:color w:val="auto"/>
          <w:sz w:val="28"/>
          <w:szCs w:val="28"/>
          <w:highlight w:val="none"/>
        </w:rPr>
      </w:pPr>
    </w:p>
    <w:p w14:paraId="6FC44322">
      <w:pPr>
        <w:spacing w:line="460" w:lineRule="exact"/>
        <w:jc w:val="center"/>
        <w:rPr>
          <w:rFonts w:hint="eastAsia" w:ascii="宋体" w:hAnsi="宋体" w:eastAsia="宋体" w:cs="宋体"/>
          <w:b/>
          <w:bCs/>
          <w:color w:val="auto"/>
          <w:sz w:val="28"/>
          <w:szCs w:val="28"/>
          <w:highlight w:val="none"/>
        </w:rPr>
      </w:pPr>
    </w:p>
    <w:p w14:paraId="35F0D599">
      <w:pPr>
        <w:spacing w:line="460" w:lineRule="exact"/>
        <w:jc w:val="center"/>
        <w:rPr>
          <w:rFonts w:hint="eastAsia" w:ascii="宋体" w:hAnsi="宋体" w:eastAsia="宋体" w:cs="宋体"/>
          <w:b/>
          <w:bCs/>
          <w:color w:val="auto"/>
          <w:sz w:val="28"/>
          <w:szCs w:val="28"/>
          <w:highlight w:val="none"/>
        </w:rPr>
      </w:pPr>
    </w:p>
    <w:p w14:paraId="4D985614">
      <w:pPr>
        <w:spacing w:line="460" w:lineRule="exact"/>
        <w:jc w:val="center"/>
        <w:rPr>
          <w:rFonts w:hint="eastAsia" w:ascii="宋体" w:hAnsi="宋体" w:eastAsia="宋体" w:cs="宋体"/>
          <w:b/>
          <w:bCs/>
          <w:color w:val="auto"/>
          <w:sz w:val="28"/>
          <w:szCs w:val="28"/>
          <w:highlight w:val="none"/>
        </w:rPr>
      </w:pPr>
    </w:p>
    <w:p w14:paraId="0CF33F94">
      <w:pPr>
        <w:spacing w:line="460" w:lineRule="exact"/>
        <w:jc w:val="center"/>
        <w:rPr>
          <w:rFonts w:hint="eastAsia" w:ascii="宋体" w:hAnsi="宋体" w:eastAsia="宋体" w:cs="宋体"/>
          <w:b/>
          <w:bCs/>
          <w:color w:val="auto"/>
          <w:sz w:val="28"/>
          <w:szCs w:val="28"/>
          <w:highlight w:val="none"/>
        </w:rPr>
      </w:pPr>
    </w:p>
    <w:p w14:paraId="0D1BEBA8">
      <w:pPr>
        <w:spacing w:line="460" w:lineRule="exact"/>
        <w:jc w:val="center"/>
        <w:rPr>
          <w:rFonts w:hint="eastAsia" w:ascii="宋体" w:hAnsi="宋体" w:eastAsia="宋体" w:cs="宋体"/>
          <w:b/>
          <w:bCs/>
          <w:color w:val="auto"/>
          <w:sz w:val="28"/>
          <w:szCs w:val="28"/>
          <w:highlight w:val="none"/>
        </w:rPr>
      </w:pPr>
    </w:p>
    <w:p w14:paraId="22902303">
      <w:pPr>
        <w:spacing w:line="460" w:lineRule="exact"/>
        <w:jc w:val="center"/>
        <w:rPr>
          <w:rFonts w:hint="eastAsia" w:ascii="宋体" w:hAnsi="宋体" w:eastAsia="宋体" w:cs="宋体"/>
          <w:b/>
          <w:bCs/>
          <w:color w:val="auto"/>
          <w:sz w:val="28"/>
          <w:szCs w:val="28"/>
          <w:highlight w:val="none"/>
        </w:rPr>
      </w:pPr>
    </w:p>
    <w:p w14:paraId="3CAB1B38">
      <w:pPr>
        <w:spacing w:line="460" w:lineRule="exact"/>
        <w:jc w:val="center"/>
        <w:rPr>
          <w:rFonts w:hint="eastAsia" w:ascii="宋体" w:hAnsi="宋体" w:eastAsia="宋体" w:cs="宋体"/>
          <w:b/>
          <w:bCs/>
          <w:color w:val="auto"/>
          <w:sz w:val="28"/>
          <w:szCs w:val="28"/>
          <w:highlight w:val="none"/>
        </w:rPr>
      </w:pPr>
    </w:p>
    <w:p w14:paraId="7C5871A7">
      <w:pPr>
        <w:spacing w:line="460" w:lineRule="exact"/>
        <w:jc w:val="center"/>
        <w:rPr>
          <w:rFonts w:hint="eastAsia" w:ascii="宋体" w:hAnsi="宋体" w:eastAsia="宋体" w:cs="宋体"/>
          <w:b/>
          <w:bCs/>
          <w:color w:val="auto"/>
          <w:sz w:val="28"/>
          <w:szCs w:val="28"/>
          <w:highlight w:val="none"/>
        </w:rPr>
      </w:pPr>
    </w:p>
    <w:p w14:paraId="1F292F07">
      <w:pPr>
        <w:spacing w:line="460" w:lineRule="exact"/>
        <w:jc w:val="center"/>
        <w:rPr>
          <w:rFonts w:hint="eastAsia" w:ascii="宋体" w:hAnsi="宋体" w:eastAsia="宋体" w:cs="宋体"/>
          <w:b/>
          <w:bCs/>
          <w:color w:val="auto"/>
          <w:sz w:val="28"/>
          <w:szCs w:val="28"/>
          <w:highlight w:val="none"/>
        </w:rPr>
      </w:pPr>
    </w:p>
    <w:p w14:paraId="1754929C">
      <w:pPr>
        <w:spacing w:line="460" w:lineRule="exact"/>
        <w:jc w:val="center"/>
        <w:rPr>
          <w:rFonts w:hint="eastAsia" w:ascii="宋体" w:hAnsi="宋体" w:eastAsia="宋体" w:cs="宋体"/>
          <w:b/>
          <w:bCs/>
          <w:color w:val="auto"/>
          <w:sz w:val="28"/>
          <w:szCs w:val="28"/>
          <w:highlight w:val="none"/>
        </w:rPr>
      </w:pPr>
    </w:p>
    <w:p w14:paraId="6880D5CB">
      <w:pPr>
        <w:spacing w:line="460" w:lineRule="exact"/>
        <w:jc w:val="center"/>
        <w:rPr>
          <w:rFonts w:hint="eastAsia" w:ascii="宋体" w:hAnsi="宋体" w:eastAsia="宋体" w:cs="宋体"/>
          <w:b/>
          <w:bCs/>
          <w:color w:val="auto"/>
          <w:sz w:val="28"/>
          <w:szCs w:val="28"/>
          <w:highlight w:val="none"/>
        </w:rPr>
      </w:pPr>
    </w:p>
    <w:p w14:paraId="0F95B3B8">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3701F9F2">
      <w:pPr>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社保缴纳证明、非本单位缴纳社保的人员说明具体原因（如有）</w:t>
      </w:r>
    </w:p>
    <w:p w14:paraId="60B983C8">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23FDE683">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14:paraId="205A8F1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WZLCZB（W）-2025-07010</w:t>
      </w:r>
    </w:p>
    <w:p w14:paraId="33A26450">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家具采购</w:t>
      </w:r>
    </w:p>
    <w:tbl>
      <w:tblPr>
        <w:tblStyle w:val="52"/>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839"/>
        <w:gridCol w:w="731"/>
        <w:gridCol w:w="1697"/>
        <w:gridCol w:w="976"/>
        <w:gridCol w:w="985"/>
        <w:gridCol w:w="1383"/>
        <w:gridCol w:w="1500"/>
      </w:tblGrid>
      <w:tr w14:paraId="7481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noWrap w:val="0"/>
            <w:vAlign w:val="center"/>
          </w:tcPr>
          <w:p w14:paraId="18DF7462">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单位名称</w:t>
            </w:r>
          </w:p>
        </w:tc>
        <w:tc>
          <w:tcPr>
            <w:tcW w:w="1839" w:type="dxa"/>
            <w:noWrap w:val="0"/>
            <w:vAlign w:val="center"/>
          </w:tcPr>
          <w:p w14:paraId="4E68DABE">
            <w:pPr>
              <w:spacing w:line="480" w:lineRule="exact"/>
              <w:jc w:val="center"/>
              <w:rPr>
                <w:rFonts w:ascii="宋体" w:hAnsi="宋体" w:cs="宋体"/>
                <w:color w:val="auto"/>
                <w:sz w:val="22"/>
                <w:szCs w:val="22"/>
                <w:highlight w:val="none"/>
              </w:rPr>
            </w:pPr>
          </w:p>
        </w:tc>
        <w:tc>
          <w:tcPr>
            <w:tcW w:w="731" w:type="dxa"/>
            <w:noWrap w:val="0"/>
            <w:vAlign w:val="center"/>
          </w:tcPr>
          <w:p w14:paraId="7348338B">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电话</w:t>
            </w:r>
          </w:p>
        </w:tc>
        <w:tc>
          <w:tcPr>
            <w:tcW w:w="1697" w:type="dxa"/>
            <w:noWrap w:val="0"/>
            <w:vAlign w:val="center"/>
          </w:tcPr>
          <w:p w14:paraId="11BE6D58">
            <w:pPr>
              <w:spacing w:line="480" w:lineRule="exact"/>
              <w:jc w:val="center"/>
              <w:rPr>
                <w:rFonts w:ascii="宋体" w:hAnsi="宋体" w:cs="宋体"/>
                <w:color w:val="auto"/>
                <w:sz w:val="22"/>
                <w:szCs w:val="22"/>
                <w:highlight w:val="none"/>
              </w:rPr>
            </w:pPr>
          </w:p>
        </w:tc>
        <w:tc>
          <w:tcPr>
            <w:tcW w:w="976" w:type="dxa"/>
            <w:noWrap w:val="0"/>
            <w:vAlign w:val="center"/>
          </w:tcPr>
          <w:p w14:paraId="5419D2C8">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985" w:type="dxa"/>
            <w:noWrap w:val="0"/>
            <w:vAlign w:val="center"/>
          </w:tcPr>
          <w:p w14:paraId="05EBEBE2">
            <w:pPr>
              <w:spacing w:line="480" w:lineRule="exact"/>
              <w:jc w:val="center"/>
              <w:rPr>
                <w:rFonts w:ascii="宋体" w:hAnsi="宋体" w:cs="宋体"/>
                <w:color w:val="auto"/>
                <w:sz w:val="22"/>
                <w:szCs w:val="22"/>
                <w:highlight w:val="none"/>
              </w:rPr>
            </w:pPr>
          </w:p>
        </w:tc>
        <w:tc>
          <w:tcPr>
            <w:tcW w:w="1383" w:type="dxa"/>
            <w:noWrap w:val="0"/>
            <w:vAlign w:val="center"/>
          </w:tcPr>
          <w:p w14:paraId="3C815806">
            <w:pPr>
              <w:spacing w:line="4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企业负责人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职务</w:t>
            </w:r>
            <w:r>
              <w:rPr>
                <w:rFonts w:hint="eastAsia" w:ascii="宋体" w:hAnsi="宋体" w:cs="宋体"/>
                <w:color w:val="auto"/>
                <w:sz w:val="22"/>
                <w:szCs w:val="22"/>
                <w:highlight w:val="none"/>
                <w:lang w:eastAsia="zh-CN"/>
              </w:rPr>
              <w:t>）</w:t>
            </w:r>
          </w:p>
        </w:tc>
        <w:tc>
          <w:tcPr>
            <w:tcW w:w="1500" w:type="dxa"/>
            <w:noWrap w:val="0"/>
            <w:vAlign w:val="center"/>
          </w:tcPr>
          <w:p w14:paraId="1670D246">
            <w:pPr>
              <w:spacing w:line="480" w:lineRule="exact"/>
              <w:jc w:val="center"/>
              <w:rPr>
                <w:rFonts w:ascii="宋体" w:hAnsi="宋体" w:cs="宋体"/>
                <w:color w:val="auto"/>
                <w:sz w:val="22"/>
                <w:szCs w:val="22"/>
                <w:highlight w:val="none"/>
              </w:rPr>
            </w:pPr>
          </w:p>
        </w:tc>
      </w:tr>
      <w:tr w14:paraId="5E9B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noWrap w:val="0"/>
            <w:vAlign w:val="center"/>
          </w:tcPr>
          <w:p w14:paraId="290A2E74">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地址</w:t>
            </w:r>
          </w:p>
        </w:tc>
        <w:tc>
          <w:tcPr>
            <w:tcW w:w="1839" w:type="dxa"/>
            <w:noWrap w:val="0"/>
            <w:vAlign w:val="center"/>
          </w:tcPr>
          <w:p w14:paraId="5ADCA62C">
            <w:pPr>
              <w:spacing w:line="480" w:lineRule="exact"/>
              <w:jc w:val="center"/>
              <w:rPr>
                <w:rFonts w:ascii="宋体" w:hAnsi="宋体" w:cs="宋体"/>
                <w:color w:val="auto"/>
                <w:sz w:val="22"/>
                <w:szCs w:val="22"/>
                <w:highlight w:val="none"/>
              </w:rPr>
            </w:pPr>
          </w:p>
        </w:tc>
        <w:tc>
          <w:tcPr>
            <w:tcW w:w="731" w:type="dxa"/>
            <w:noWrap w:val="0"/>
            <w:vAlign w:val="center"/>
          </w:tcPr>
          <w:p w14:paraId="287690F6">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传真</w:t>
            </w:r>
          </w:p>
        </w:tc>
        <w:tc>
          <w:tcPr>
            <w:tcW w:w="1697" w:type="dxa"/>
            <w:noWrap w:val="0"/>
            <w:vAlign w:val="center"/>
          </w:tcPr>
          <w:p w14:paraId="62761D23">
            <w:pPr>
              <w:spacing w:line="480" w:lineRule="exact"/>
              <w:jc w:val="center"/>
              <w:rPr>
                <w:rFonts w:ascii="宋体" w:hAnsi="宋体" w:cs="宋体"/>
                <w:color w:val="auto"/>
                <w:sz w:val="22"/>
                <w:szCs w:val="22"/>
                <w:highlight w:val="none"/>
              </w:rPr>
            </w:pPr>
          </w:p>
        </w:tc>
        <w:tc>
          <w:tcPr>
            <w:tcW w:w="976" w:type="dxa"/>
            <w:noWrap w:val="0"/>
            <w:vAlign w:val="center"/>
          </w:tcPr>
          <w:p w14:paraId="4D1414A1">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985" w:type="dxa"/>
            <w:noWrap w:val="0"/>
            <w:vAlign w:val="center"/>
          </w:tcPr>
          <w:p w14:paraId="23AB35CF">
            <w:pPr>
              <w:spacing w:line="480" w:lineRule="exact"/>
              <w:jc w:val="center"/>
              <w:rPr>
                <w:rFonts w:ascii="宋体" w:hAnsi="宋体" w:cs="宋体"/>
                <w:color w:val="auto"/>
                <w:sz w:val="22"/>
                <w:szCs w:val="22"/>
                <w:highlight w:val="none"/>
              </w:rPr>
            </w:pPr>
          </w:p>
        </w:tc>
        <w:tc>
          <w:tcPr>
            <w:tcW w:w="1383" w:type="dxa"/>
            <w:noWrap w:val="0"/>
            <w:vAlign w:val="center"/>
          </w:tcPr>
          <w:p w14:paraId="6C2CF105">
            <w:pPr>
              <w:spacing w:line="4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授权代表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职务</w:t>
            </w:r>
            <w:r>
              <w:rPr>
                <w:rFonts w:hint="eastAsia" w:ascii="宋体" w:hAnsi="宋体" w:cs="宋体"/>
                <w:color w:val="auto"/>
                <w:sz w:val="22"/>
                <w:szCs w:val="22"/>
                <w:highlight w:val="none"/>
                <w:lang w:eastAsia="zh-CN"/>
              </w:rPr>
              <w:t>）</w:t>
            </w:r>
          </w:p>
        </w:tc>
        <w:tc>
          <w:tcPr>
            <w:tcW w:w="1500" w:type="dxa"/>
            <w:noWrap w:val="0"/>
            <w:vAlign w:val="center"/>
          </w:tcPr>
          <w:p w14:paraId="6C562852">
            <w:pPr>
              <w:spacing w:line="480" w:lineRule="exact"/>
              <w:jc w:val="center"/>
              <w:rPr>
                <w:rFonts w:ascii="宋体" w:hAnsi="宋体" w:cs="宋体"/>
                <w:color w:val="auto"/>
                <w:sz w:val="22"/>
                <w:szCs w:val="22"/>
                <w:highlight w:val="none"/>
              </w:rPr>
            </w:pPr>
          </w:p>
        </w:tc>
      </w:tr>
      <w:tr w14:paraId="699B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0" w:hRule="atLeast"/>
        </w:trPr>
        <w:tc>
          <w:tcPr>
            <w:tcW w:w="804" w:type="dxa"/>
            <w:noWrap w:val="0"/>
            <w:vAlign w:val="center"/>
          </w:tcPr>
          <w:p w14:paraId="59AC8ED3">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14:paraId="5796593A">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9111" w:type="dxa"/>
            <w:gridSpan w:val="7"/>
            <w:noWrap w:val="0"/>
            <w:vAlign w:val="center"/>
          </w:tcPr>
          <w:p w14:paraId="2E1A9582">
            <w:pPr>
              <w:spacing w:line="480" w:lineRule="exact"/>
              <w:rPr>
                <w:rFonts w:ascii="宋体" w:hAnsi="宋体" w:cs="宋体"/>
                <w:color w:val="auto"/>
                <w:sz w:val="22"/>
                <w:szCs w:val="22"/>
                <w:highlight w:val="none"/>
              </w:rPr>
            </w:pPr>
          </w:p>
        </w:tc>
      </w:tr>
    </w:tbl>
    <w:p w14:paraId="4A773495">
      <w:pPr>
        <w:pStyle w:val="2"/>
        <w:rPr>
          <w:rFonts w:hint="eastAsia"/>
          <w:color w:val="auto"/>
          <w:highlight w:val="none"/>
        </w:rPr>
        <w:sectPr>
          <w:pgSz w:w="11906" w:h="16838"/>
          <w:pgMar w:top="1134" w:right="1134" w:bottom="1134" w:left="1134" w:header="850" w:footer="992" w:gutter="0"/>
          <w:cols w:space="720" w:num="1"/>
          <w:docGrid w:type="lines" w:linePitch="321" w:charSpace="0"/>
        </w:sectPr>
      </w:pPr>
    </w:p>
    <w:p w14:paraId="50CAA9EF">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14:paraId="0B756C88">
      <w:pPr>
        <w:spacing w:line="360" w:lineRule="auto"/>
        <w:rPr>
          <w:rFonts w:hint="eastAsia" w:ascii="宋体" w:hAnsi="宋体" w:eastAsia="宋体" w:cs="宋体"/>
          <w:b w:val="0"/>
          <w:bCs w:val="0"/>
          <w:color w:val="auto"/>
          <w:sz w:val="22"/>
          <w:szCs w:val="22"/>
          <w:highlight w:val="none"/>
        </w:rPr>
      </w:pPr>
    </w:p>
    <w:p w14:paraId="47885FBF">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WZLCZB（W）-2025-07010</w:t>
      </w:r>
    </w:p>
    <w:p w14:paraId="7D436803">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家具采购</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3AC8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44014D29">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14:paraId="0D8E7D18">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6E0772F9">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14:paraId="2C7CA42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3B98F8DC">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14:paraId="2975F5E3">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4675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302711A6">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7DCC9BAF">
            <w:pPr>
              <w:jc w:val="center"/>
              <w:rPr>
                <w:rFonts w:hint="eastAsia" w:ascii="宋体" w:hAnsi="宋体" w:eastAsia="宋体" w:cs="宋体"/>
                <w:color w:val="auto"/>
                <w:sz w:val="22"/>
                <w:szCs w:val="22"/>
                <w:highlight w:val="none"/>
              </w:rPr>
            </w:pPr>
          </w:p>
        </w:tc>
        <w:tc>
          <w:tcPr>
            <w:tcW w:w="3402" w:type="dxa"/>
            <w:vAlign w:val="center"/>
          </w:tcPr>
          <w:p w14:paraId="4292378E">
            <w:pPr>
              <w:jc w:val="center"/>
              <w:rPr>
                <w:rFonts w:hint="eastAsia" w:ascii="宋体" w:hAnsi="宋体" w:eastAsia="宋体" w:cs="宋体"/>
                <w:color w:val="auto"/>
                <w:sz w:val="22"/>
                <w:szCs w:val="22"/>
                <w:highlight w:val="none"/>
              </w:rPr>
            </w:pPr>
          </w:p>
        </w:tc>
        <w:tc>
          <w:tcPr>
            <w:tcW w:w="1580" w:type="dxa"/>
            <w:vAlign w:val="center"/>
          </w:tcPr>
          <w:p w14:paraId="21D4FCDE">
            <w:pPr>
              <w:jc w:val="center"/>
              <w:rPr>
                <w:rFonts w:hint="eastAsia" w:ascii="宋体" w:hAnsi="宋体" w:eastAsia="宋体" w:cs="宋体"/>
                <w:color w:val="auto"/>
                <w:sz w:val="22"/>
                <w:szCs w:val="22"/>
                <w:highlight w:val="none"/>
              </w:rPr>
            </w:pPr>
          </w:p>
        </w:tc>
      </w:tr>
      <w:tr w14:paraId="7797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BDE319F">
            <w:pPr>
              <w:jc w:val="center"/>
              <w:rPr>
                <w:rFonts w:hint="eastAsia" w:ascii="宋体" w:hAnsi="宋体" w:eastAsia="宋体" w:cs="宋体"/>
                <w:color w:val="auto"/>
                <w:sz w:val="22"/>
                <w:szCs w:val="22"/>
                <w:highlight w:val="none"/>
              </w:rPr>
            </w:pPr>
          </w:p>
        </w:tc>
        <w:tc>
          <w:tcPr>
            <w:tcW w:w="3687" w:type="dxa"/>
            <w:vAlign w:val="center"/>
          </w:tcPr>
          <w:p w14:paraId="330F3DEE">
            <w:pPr>
              <w:jc w:val="center"/>
              <w:rPr>
                <w:rFonts w:hint="eastAsia" w:ascii="宋体" w:hAnsi="宋体" w:eastAsia="宋体" w:cs="宋体"/>
                <w:color w:val="auto"/>
                <w:sz w:val="22"/>
                <w:szCs w:val="22"/>
                <w:highlight w:val="none"/>
              </w:rPr>
            </w:pPr>
          </w:p>
        </w:tc>
        <w:tc>
          <w:tcPr>
            <w:tcW w:w="3402" w:type="dxa"/>
            <w:vAlign w:val="center"/>
          </w:tcPr>
          <w:p w14:paraId="187C5EE0">
            <w:pPr>
              <w:jc w:val="center"/>
              <w:rPr>
                <w:rFonts w:hint="eastAsia" w:ascii="宋体" w:hAnsi="宋体" w:eastAsia="宋体" w:cs="宋体"/>
                <w:color w:val="auto"/>
                <w:sz w:val="22"/>
                <w:szCs w:val="22"/>
                <w:highlight w:val="none"/>
              </w:rPr>
            </w:pPr>
          </w:p>
        </w:tc>
        <w:tc>
          <w:tcPr>
            <w:tcW w:w="1580" w:type="dxa"/>
            <w:vAlign w:val="center"/>
          </w:tcPr>
          <w:p w14:paraId="43DBE8BB">
            <w:pPr>
              <w:jc w:val="center"/>
              <w:rPr>
                <w:rFonts w:hint="eastAsia" w:ascii="宋体" w:hAnsi="宋体" w:eastAsia="宋体" w:cs="宋体"/>
                <w:color w:val="auto"/>
                <w:sz w:val="22"/>
                <w:szCs w:val="22"/>
                <w:highlight w:val="none"/>
              </w:rPr>
            </w:pPr>
          </w:p>
        </w:tc>
      </w:tr>
      <w:tr w14:paraId="6A75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BC61CD0">
            <w:pPr>
              <w:jc w:val="center"/>
              <w:rPr>
                <w:rFonts w:hint="eastAsia" w:ascii="宋体" w:hAnsi="宋体" w:eastAsia="宋体" w:cs="宋体"/>
                <w:color w:val="auto"/>
                <w:sz w:val="22"/>
                <w:szCs w:val="22"/>
                <w:highlight w:val="none"/>
              </w:rPr>
            </w:pPr>
          </w:p>
        </w:tc>
        <w:tc>
          <w:tcPr>
            <w:tcW w:w="3687" w:type="dxa"/>
            <w:vAlign w:val="center"/>
          </w:tcPr>
          <w:p w14:paraId="512D346D">
            <w:pPr>
              <w:jc w:val="center"/>
              <w:rPr>
                <w:rFonts w:hint="eastAsia" w:ascii="宋体" w:hAnsi="宋体" w:eastAsia="宋体" w:cs="宋体"/>
                <w:color w:val="auto"/>
                <w:sz w:val="22"/>
                <w:szCs w:val="22"/>
                <w:highlight w:val="none"/>
              </w:rPr>
            </w:pPr>
          </w:p>
        </w:tc>
        <w:tc>
          <w:tcPr>
            <w:tcW w:w="3402" w:type="dxa"/>
            <w:vAlign w:val="center"/>
          </w:tcPr>
          <w:p w14:paraId="2C0B19F7">
            <w:pPr>
              <w:jc w:val="center"/>
              <w:rPr>
                <w:rFonts w:hint="eastAsia" w:ascii="宋体" w:hAnsi="宋体" w:eastAsia="宋体" w:cs="宋体"/>
                <w:color w:val="auto"/>
                <w:sz w:val="22"/>
                <w:szCs w:val="22"/>
                <w:highlight w:val="none"/>
              </w:rPr>
            </w:pPr>
          </w:p>
        </w:tc>
        <w:tc>
          <w:tcPr>
            <w:tcW w:w="1580" w:type="dxa"/>
            <w:vAlign w:val="center"/>
          </w:tcPr>
          <w:p w14:paraId="7952EAAF">
            <w:pPr>
              <w:jc w:val="center"/>
              <w:rPr>
                <w:rFonts w:hint="eastAsia" w:ascii="宋体" w:hAnsi="宋体" w:eastAsia="宋体" w:cs="宋体"/>
                <w:color w:val="auto"/>
                <w:sz w:val="22"/>
                <w:szCs w:val="22"/>
                <w:highlight w:val="none"/>
              </w:rPr>
            </w:pPr>
          </w:p>
        </w:tc>
      </w:tr>
      <w:tr w14:paraId="77D3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D0BDDF5">
            <w:pPr>
              <w:jc w:val="center"/>
              <w:rPr>
                <w:rFonts w:hint="eastAsia" w:ascii="宋体" w:hAnsi="宋体" w:eastAsia="宋体" w:cs="宋体"/>
                <w:color w:val="auto"/>
                <w:sz w:val="22"/>
                <w:szCs w:val="22"/>
                <w:highlight w:val="none"/>
              </w:rPr>
            </w:pPr>
          </w:p>
        </w:tc>
        <w:tc>
          <w:tcPr>
            <w:tcW w:w="3687" w:type="dxa"/>
            <w:vAlign w:val="center"/>
          </w:tcPr>
          <w:p w14:paraId="48E26385">
            <w:pPr>
              <w:jc w:val="center"/>
              <w:rPr>
                <w:rFonts w:hint="eastAsia" w:ascii="宋体" w:hAnsi="宋体" w:eastAsia="宋体" w:cs="宋体"/>
                <w:color w:val="auto"/>
                <w:sz w:val="22"/>
                <w:szCs w:val="22"/>
                <w:highlight w:val="none"/>
              </w:rPr>
            </w:pPr>
          </w:p>
        </w:tc>
        <w:tc>
          <w:tcPr>
            <w:tcW w:w="3402" w:type="dxa"/>
            <w:vAlign w:val="center"/>
          </w:tcPr>
          <w:p w14:paraId="631B0A25">
            <w:pPr>
              <w:jc w:val="center"/>
              <w:rPr>
                <w:rFonts w:hint="eastAsia" w:ascii="宋体" w:hAnsi="宋体" w:eastAsia="宋体" w:cs="宋体"/>
                <w:color w:val="auto"/>
                <w:sz w:val="22"/>
                <w:szCs w:val="22"/>
                <w:highlight w:val="none"/>
              </w:rPr>
            </w:pPr>
          </w:p>
        </w:tc>
        <w:tc>
          <w:tcPr>
            <w:tcW w:w="1580" w:type="dxa"/>
            <w:vAlign w:val="center"/>
          </w:tcPr>
          <w:p w14:paraId="7E767A4A">
            <w:pPr>
              <w:jc w:val="center"/>
              <w:rPr>
                <w:rFonts w:hint="eastAsia" w:ascii="宋体" w:hAnsi="宋体" w:eastAsia="宋体" w:cs="宋体"/>
                <w:color w:val="auto"/>
                <w:sz w:val="22"/>
                <w:szCs w:val="22"/>
                <w:highlight w:val="none"/>
              </w:rPr>
            </w:pPr>
          </w:p>
        </w:tc>
      </w:tr>
      <w:tr w14:paraId="321D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4C9A0D6">
            <w:pPr>
              <w:jc w:val="center"/>
              <w:rPr>
                <w:rFonts w:hint="eastAsia" w:ascii="宋体" w:hAnsi="宋体" w:eastAsia="宋体" w:cs="宋体"/>
                <w:color w:val="auto"/>
                <w:sz w:val="22"/>
                <w:szCs w:val="22"/>
                <w:highlight w:val="none"/>
              </w:rPr>
            </w:pPr>
          </w:p>
        </w:tc>
        <w:tc>
          <w:tcPr>
            <w:tcW w:w="3687" w:type="dxa"/>
            <w:vAlign w:val="center"/>
          </w:tcPr>
          <w:p w14:paraId="7C555B30">
            <w:pPr>
              <w:jc w:val="center"/>
              <w:rPr>
                <w:rFonts w:hint="eastAsia" w:ascii="宋体" w:hAnsi="宋体" w:eastAsia="宋体" w:cs="宋体"/>
                <w:color w:val="auto"/>
                <w:sz w:val="22"/>
                <w:szCs w:val="22"/>
                <w:highlight w:val="none"/>
              </w:rPr>
            </w:pPr>
          </w:p>
        </w:tc>
        <w:tc>
          <w:tcPr>
            <w:tcW w:w="3402" w:type="dxa"/>
            <w:vAlign w:val="center"/>
          </w:tcPr>
          <w:p w14:paraId="09A00072">
            <w:pPr>
              <w:jc w:val="center"/>
              <w:rPr>
                <w:rFonts w:hint="eastAsia" w:ascii="宋体" w:hAnsi="宋体" w:eastAsia="宋体" w:cs="宋体"/>
                <w:color w:val="auto"/>
                <w:sz w:val="22"/>
                <w:szCs w:val="22"/>
                <w:highlight w:val="none"/>
              </w:rPr>
            </w:pPr>
          </w:p>
        </w:tc>
        <w:tc>
          <w:tcPr>
            <w:tcW w:w="1580" w:type="dxa"/>
            <w:vAlign w:val="center"/>
          </w:tcPr>
          <w:p w14:paraId="0C31B923">
            <w:pPr>
              <w:jc w:val="center"/>
              <w:rPr>
                <w:rFonts w:hint="eastAsia" w:ascii="宋体" w:hAnsi="宋体" w:eastAsia="宋体" w:cs="宋体"/>
                <w:color w:val="auto"/>
                <w:sz w:val="22"/>
                <w:szCs w:val="22"/>
                <w:highlight w:val="none"/>
              </w:rPr>
            </w:pPr>
          </w:p>
        </w:tc>
      </w:tr>
      <w:tr w14:paraId="4548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353942F">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2BD832BB">
            <w:pPr>
              <w:jc w:val="center"/>
              <w:rPr>
                <w:rFonts w:hint="eastAsia" w:ascii="宋体" w:hAnsi="宋体" w:eastAsia="宋体" w:cs="宋体"/>
                <w:color w:val="auto"/>
                <w:sz w:val="22"/>
                <w:szCs w:val="22"/>
                <w:highlight w:val="none"/>
              </w:rPr>
            </w:pPr>
          </w:p>
        </w:tc>
        <w:tc>
          <w:tcPr>
            <w:tcW w:w="3402" w:type="dxa"/>
            <w:vAlign w:val="center"/>
          </w:tcPr>
          <w:p w14:paraId="1EFC0829">
            <w:pPr>
              <w:jc w:val="center"/>
              <w:rPr>
                <w:rFonts w:hint="eastAsia" w:ascii="宋体" w:hAnsi="宋体" w:eastAsia="宋体" w:cs="宋体"/>
                <w:color w:val="auto"/>
                <w:sz w:val="22"/>
                <w:szCs w:val="22"/>
                <w:highlight w:val="none"/>
              </w:rPr>
            </w:pPr>
          </w:p>
        </w:tc>
        <w:tc>
          <w:tcPr>
            <w:tcW w:w="1580" w:type="dxa"/>
            <w:vAlign w:val="center"/>
          </w:tcPr>
          <w:p w14:paraId="481F7130">
            <w:pPr>
              <w:jc w:val="center"/>
              <w:rPr>
                <w:rFonts w:hint="eastAsia" w:ascii="宋体" w:hAnsi="宋体" w:eastAsia="宋体" w:cs="宋体"/>
                <w:color w:val="auto"/>
                <w:sz w:val="22"/>
                <w:szCs w:val="22"/>
                <w:highlight w:val="none"/>
              </w:rPr>
            </w:pPr>
          </w:p>
        </w:tc>
      </w:tr>
      <w:tr w14:paraId="00A6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665B3A5">
            <w:pPr>
              <w:jc w:val="center"/>
              <w:rPr>
                <w:rFonts w:hint="eastAsia" w:ascii="宋体" w:hAnsi="宋体" w:eastAsia="宋体" w:cs="宋体"/>
                <w:color w:val="auto"/>
                <w:sz w:val="22"/>
                <w:szCs w:val="22"/>
                <w:highlight w:val="none"/>
              </w:rPr>
            </w:pPr>
          </w:p>
        </w:tc>
        <w:tc>
          <w:tcPr>
            <w:tcW w:w="3687" w:type="dxa"/>
            <w:vAlign w:val="center"/>
          </w:tcPr>
          <w:p w14:paraId="2C4B05C4">
            <w:pPr>
              <w:jc w:val="center"/>
              <w:rPr>
                <w:rFonts w:hint="eastAsia" w:ascii="宋体" w:hAnsi="宋体" w:eastAsia="宋体" w:cs="宋体"/>
                <w:color w:val="auto"/>
                <w:sz w:val="22"/>
                <w:szCs w:val="22"/>
                <w:highlight w:val="none"/>
              </w:rPr>
            </w:pPr>
          </w:p>
        </w:tc>
        <w:tc>
          <w:tcPr>
            <w:tcW w:w="3402" w:type="dxa"/>
            <w:vAlign w:val="center"/>
          </w:tcPr>
          <w:p w14:paraId="6BD6D303">
            <w:pPr>
              <w:jc w:val="center"/>
              <w:rPr>
                <w:rFonts w:hint="eastAsia" w:ascii="宋体" w:hAnsi="宋体" w:eastAsia="宋体" w:cs="宋体"/>
                <w:color w:val="auto"/>
                <w:sz w:val="22"/>
                <w:szCs w:val="22"/>
                <w:highlight w:val="none"/>
              </w:rPr>
            </w:pPr>
          </w:p>
        </w:tc>
        <w:tc>
          <w:tcPr>
            <w:tcW w:w="1580" w:type="dxa"/>
            <w:vAlign w:val="center"/>
          </w:tcPr>
          <w:p w14:paraId="3DD602E9">
            <w:pPr>
              <w:jc w:val="center"/>
              <w:rPr>
                <w:rFonts w:hint="eastAsia" w:ascii="宋体" w:hAnsi="宋体" w:eastAsia="宋体" w:cs="宋体"/>
                <w:color w:val="auto"/>
                <w:sz w:val="22"/>
                <w:szCs w:val="22"/>
                <w:highlight w:val="none"/>
              </w:rPr>
            </w:pPr>
          </w:p>
        </w:tc>
      </w:tr>
      <w:tr w14:paraId="0F53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0FEF9CB">
            <w:pPr>
              <w:jc w:val="center"/>
              <w:rPr>
                <w:rFonts w:hint="eastAsia" w:ascii="宋体" w:hAnsi="宋体" w:eastAsia="宋体" w:cs="宋体"/>
                <w:color w:val="auto"/>
                <w:sz w:val="22"/>
                <w:szCs w:val="22"/>
                <w:highlight w:val="none"/>
              </w:rPr>
            </w:pPr>
          </w:p>
        </w:tc>
        <w:tc>
          <w:tcPr>
            <w:tcW w:w="3687" w:type="dxa"/>
            <w:vAlign w:val="center"/>
          </w:tcPr>
          <w:p w14:paraId="4E105D5E">
            <w:pPr>
              <w:jc w:val="center"/>
              <w:rPr>
                <w:rFonts w:hint="eastAsia" w:ascii="宋体" w:hAnsi="宋体" w:eastAsia="宋体" w:cs="宋体"/>
                <w:color w:val="auto"/>
                <w:sz w:val="22"/>
                <w:szCs w:val="22"/>
                <w:highlight w:val="none"/>
              </w:rPr>
            </w:pPr>
          </w:p>
        </w:tc>
        <w:tc>
          <w:tcPr>
            <w:tcW w:w="3402" w:type="dxa"/>
            <w:vAlign w:val="center"/>
          </w:tcPr>
          <w:p w14:paraId="10208E2F">
            <w:pPr>
              <w:jc w:val="center"/>
              <w:rPr>
                <w:rFonts w:hint="eastAsia" w:ascii="宋体" w:hAnsi="宋体" w:eastAsia="宋体" w:cs="宋体"/>
                <w:color w:val="auto"/>
                <w:sz w:val="22"/>
                <w:szCs w:val="22"/>
                <w:highlight w:val="none"/>
              </w:rPr>
            </w:pPr>
          </w:p>
        </w:tc>
        <w:tc>
          <w:tcPr>
            <w:tcW w:w="1580" w:type="dxa"/>
            <w:vAlign w:val="center"/>
          </w:tcPr>
          <w:p w14:paraId="59BD047B">
            <w:pPr>
              <w:jc w:val="center"/>
              <w:rPr>
                <w:rFonts w:hint="eastAsia" w:ascii="宋体" w:hAnsi="宋体" w:eastAsia="宋体" w:cs="宋体"/>
                <w:color w:val="auto"/>
                <w:sz w:val="22"/>
                <w:szCs w:val="22"/>
                <w:highlight w:val="none"/>
              </w:rPr>
            </w:pPr>
          </w:p>
        </w:tc>
      </w:tr>
      <w:tr w14:paraId="1D41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EE94406">
            <w:pPr>
              <w:jc w:val="center"/>
              <w:rPr>
                <w:rFonts w:hint="eastAsia" w:ascii="宋体" w:hAnsi="宋体" w:eastAsia="宋体" w:cs="宋体"/>
                <w:color w:val="auto"/>
                <w:sz w:val="22"/>
                <w:szCs w:val="22"/>
                <w:highlight w:val="none"/>
              </w:rPr>
            </w:pPr>
          </w:p>
        </w:tc>
        <w:tc>
          <w:tcPr>
            <w:tcW w:w="3687" w:type="dxa"/>
            <w:vAlign w:val="center"/>
          </w:tcPr>
          <w:p w14:paraId="7E632A54">
            <w:pPr>
              <w:jc w:val="center"/>
              <w:rPr>
                <w:rFonts w:hint="eastAsia" w:ascii="宋体" w:hAnsi="宋体" w:eastAsia="宋体" w:cs="宋体"/>
                <w:color w:val="auto"/>
                <w:sz w:val="22"/>
                <w:szCs w:val="22"/>
                <w:highlight w:val="none"/>
              </w:rPr>
            </w:pPr>
          </w:p>
        </w:tc>
        <w:tc>
          <w:tcPr>
            <w:tcW w:w="3402" w:type="dxa"/>
            <w:vAlign w:val="center"/>
          </w:tcPr>
          <w:p w14:paraId="591D6030">
            <w:pPr>
              <w:jc w:val="center"/>
              <w:rPr>
                <w:rFonts w:hint="eastAsia" w:ascii="宋体" w:hAnsi="宋体" w:eastAsia="宋体" w:cs="宋体"/>
                <w:color w:val="auto"/>
                <w:sz w:val="22"/>
                <w:szCs w:val="22"/>
                <w:highlight w:val="none"/>
              </w:rPr>
            </w:pPr>
          </w:p>
        </w:tc>
        <w:tc>
          <w:tcPr>
            <w:tcW w:w="1580" w:type="dxa"/>
            <w:vAlign w:val="center"/>
          </w:tcPr>
          <w:p w14:paraId="6A22E9F7">
            <w:pPr>
              <w:jc w:val="center"/>
              <w:rPr>
                <w:rFonts w:hint="eastAsia" w:ascii="宋体" w:hAnsi="宋体" w:eastAsia="宋体" w:cs="宋体"/>
                <w:color w:val="auto"/>
                <w:sz w:val="22"/>
                <w:szCs w:val="22"/>
                <w:highlight w:val="none"/>
              </w:rPr>
            </w:pPr>
          </w:p>
        </w:tc>
      </w:tr>
      <w:tr w14:paraId="0ABA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0203E29">
            <w:pPr>
              <w:jc w:val="center"/>
              <w:rPr>
                <w:rFonts w:hint="eastAsia" w:ascii="宋体" w:hAnsi="宋体" w:eastAsia="宋体" w:cs="宋体"/>
                <w:color w:val="auto"/>
                <w:sz w:val="22"/>
                <w:szCs w:val="22"/>
                <w:highlight w:val="none"/>
              </w:rPr>
            </w:pPr>
          </w:p>
        </w:tc>
        <w:tc>
          <w:tcPr>
            <w:tcW w:w="3687" w:type="dxa"/>
            <w:vAlign w:val="center"/>
          </w:tcPr>
          <w:p w14:paraId="36C9CB37">
            <w:pPr>
              <w:jc w:val="center"/>
              <w:rPr>
                <w:rFonts w:hint="eastAsia" w:ascii="宋体" w:hAnsi="宋体" w:eastAsia="宋体" w:cs="宋体"/>
                <w:color w:val="auto"/>
                <w:sz w:val="22"/>
                <w:szCs w:val="22"/>
                <w:highlight w:val="none"/>
              </w:rPr>
            </w:pPr>
          </w:p>
        </w:tc>
        <w:tc>
          <w:tcPr>
            <w:tcW w:w="3402" w:type="dxa"/>
            <w:vAlign w:val="center"/>
          </w:tcPr>
          <w:p w14:paraId="6E70CC3A">
            <w:pPr>
              <w:jc w:val="center"/>
              <w:rPr>
                <w:rFonts w:hint="eastAsia" w:ascii="宋体" w:hAnsi="宋体" w:eastAsia="宋体" w:cs="宋体"/>
                <w:color w:val="auto"/>
                <w:sz w:val="22"/>
                <w:szCs w:val="22"/>
                <w:highlight w:val="none"/>
              </w:rPr>
            </w:pPr>
          </w:p>
        </w:tc>
        <w:tc>
          <w:tcPr>
            <w:tcW w:w="1580" w:type="dxa"/>
            <w:vAlign w:val="center"/>
          </w:tcPr>
          <w:p w14:paraId="1EAA8EA9">
            <w:pPr>
              <w:jc w:val="center"/>
              <w:rPr>
                <w:rFonts w:hint="eastAsia" w:ascii="宋体" w:hAnsi="宋体" w:eastAsia="宋体" w:cs="宋体"/>
                <w:color w:val="auto"/>
                <w:sz w:val="22"/>
                <w:szCs w:val="22"/>
                <w:highlight w:val="none"/>
              </w:rPr>
            </w:pPr>
          </w:p>
        </w:tc>
      </w:tr>
      <w:tr w14:paraId="0FB4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E32DFB5">
            <w:pPr>
              <w:jc w:val="center"/>
              <w:rPr>
                <w:rFonts w:hint="eastAsia" w:ascii="宋体" w:hAnsi="宋体" w:eastAsia="宋体" w:cs="宋体"/>
                <w:color w:val="auto"/>
                <w:sz w:val="22"/>
                <w:szCs w:val="22"/>
                <w:highlight w:val="none"/>
              </w:rPr>
            </w:pPr>
          </w:p>
        </w:tc>
        <w:tc>
          <w:tcPr>
            <w:tcW w:w="3687" w:type="dxa"/>
            <w:vAlign w:val="center"/>
          </w:tcPr>
          <w:p w14:paraId="418D828B">
            <w:pPr>
              <w:jc w:val="center"/>
              <w:rPr>
                <w:rFonts w:hint="eastAsia" w:ascii="宋体" w:hAnsi="宋体" w:eastAsia="宋体" w:cs="宋体"/>
                <w:color w:val="auto"/>
                <w:sz w:val="22"/>
                <w:szCs w:val="22"/>
                <w:highlight w:val="none"/>
              </w:rPr>
            </w:pPr>
          </w:p>
        </w:tc>
        <w:tc>
          <w:tcPr>
            <w:tcW w:w="3402" w:type="dxa"/>
            <w:vAlign w:val="center"/>
          </w:tcPr>
          <w:p w14:paraId="21E545F9">
            <w:pPr>
              <w:jc w:val="center"/>
              <w:rPr>
                <w:rFonts w:hint="eastAsia" w:ascii="宋体" w:hAnsi="宋体" w:eastAsia="宋体" w:cs="宋体"/>
                <w:color w:val="auto"/>
                <w:sz w:val="22"/>
                <w:szCs w:val="22"/>
                <w:highlight w:val="none"/>
              </w:rPr>
            </w:pPr>
          </w:p>
        </w:tc>
        <w:tc>
          <w:tcPr>
            <w:tcW w:w="1580" w:type="dxa"/>
            <w:vAlign w:val="center"/>
          </w:tcPr>
          <w:p w14:paraId="00BD79B0">
            <w:pPr>
              <w:jc w:val="center"/>
              <w:rPr>
                <w:rFonts w:hint="eastAsia" w:ascii="宋体" w:hAnsi="宋体" w:eastAsia="宋体" w:cs="宋体"/>
                <w:color w:val="auto"/>
                <w:sz w:val="22"/>
                <w:szCs w:val="22"/>
                <w:highlight w:val="none"/>
              </w:rPr>
            </w:pPr>
          </w:p>
        </w:tc>
      </w:tr>
    </w:tbl>
    <w:p w14:paraId="333C3D8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14:paraId="0D172FA6">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E9D593F">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2C2A38A">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42CE5916">
      <w:pPr>
        <w:rPr>
          <w:rFonts w:hint="eastAsia" w:ascii="宋体" w:hAnsi="宋体" w:eastAsia="宋体" w:cs="宋体"/>
          <w:b/>
          <w:color w:val="auto"/>
          <w:sz w:val="24"/>
          <w:highlight w:val="none"/>
        </w:rPr>
      </w:pPr>
      <w:bookmarkStart w:id="40" w:name="_Toc415152386"/>
      <w:r>
        <w:rPr>
          <w:rFonts w:hint="eastAsia" w:ascii="宋体" w:hAnsi="宋体" w:eastAsia="宋体" w:cs="宋体"/>
          <w:b/>
          <w:color w:val="auto"/>
          <w:sz w:val="24"/>
          <w:highlight w:val="none"/>
        </w:rPr>
        <w:br w:type="page"/>
      </w:r>
    </w:p>
    <w:p w14:paraId="39020767">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rPr>
        <w:t>4、</w:t>
      </w:r>
      <w:r>
        <w:rPr>
          <w:rFonts w:hint="eastAsia" w:ascii="新宋体" w:hAnsi="新宋体" w:eastAsia="新宋体" w:cs="新宋体"/>
          <w:b/>
          <w:color w:val="auto"/>
          <w:sz w:val="24"/>
          <w:highlight w:val="none"/>
          <w:lang w:val="zh-CN"/>
        </w:rPr>
        <w:t>详细供货清单说明一览表（</w:t>
      </w:r>
      <w:r>
        <w:rPr>
          <w:rFonts w:hint="eastAsia" w:ascii="新宋体" w:hAnsi="新宋体" w:eastAsia="新宋体" w:cs="新宋体"/>
          <w:b/>
          <w:color w:val="auto"/>
          <w:sz w:val="24"/>
          <w:highlight w:val="none"/>
          <w:lang w:val="en-US" w:eastAsia="zh-CN"/>
        </w:rPr>
        <w:t>如有</w:t>
      </w:r>
      <w:r>
        <w:rPr>
          <w:rFonts w:hint="eastAsia" w:ascii="新宋体" w:hAnsi="新宋体" w:eastAsia="新宋体" w:cs="新宋体"/>
          <w:b/>
          <w:color w:val="auto"/>
          <w:sz w:val="24"/>
          <w:highlight w:val="none"/>
          <w:lang w:val="zh-CN"/>
        </w:rPr>
        <w:t>）</w:t>
      </w:r>
    </w:p>
    <w:p w14:paraId="0B86C00A">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WZLCZB（W）-2025-07010</w:t>
      </w:r>
    </w:p>
    <w:p w14:paraId="79311CD8">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家具采购</w:t>
      </w:r>
    </w:p>
    <w:tbl>
      <w:tblPr>
        <w:tblStyle w:val="52"/>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880"/>
        <w:gridCol w:w="1661"/>
        <w:gridCol w:w="1260"/>
        <w:gridCol w:w="1219"/>
      </w:tblGrid>
      <w:tr w14:paraId="74FF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noWrap w:val="0"/>
            <w:vAlign w:val="center"/>
          </w:tcPr>
          <w:p w14:paraId="02F94A5B">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692" w:type="dxa"/>
            <w:shd w:val="clear" w:color="auto" w:fill="FFFFFF"/>
            <w:noWrap w:val="0"/>
            <w:vAlign w:val="center"/>
          </w:tcPr>
          <w:p w14:paraId="0BFF0CE7">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设备名称</w:t>
            </w:r>
          </w:p>
        </w:tc>
        <w:tc>
          <w:tcPr>
            <w:tcW w:w="2880" w:type="dxa"/>
            <w:shd w:val="clear" w:color="auto" w:fill="FFFFFF"/>
            <w:noWrap w:val="0"/>
            <w:vAlign w:val="center"/>
          </w:tcPr>
          <w:p w14:paraId="62104131">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规格及技术参数</w:t>
            </w:r>
          </w:p>
        </w:tc>
        <w:tc>
          <w:tcPr>
            <w:tcW w:w="1661" w:type="dxa"/>
            <w:shd w:val="clear" w:color="auto" w:fill="FFFFFF"/>
            <w:noWrap w:val="0"/>
            <w:vAlign w:val="center"/>
          </w:tcPr>
          <w:p w14:paraId="53745612">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w:t>
            </w:r>
          </w:p>
          <w:p w14:paraId="34E65614">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（生产厂家）</w:t>
            </w:r>
          </w:p>
        </w:tc>
        <w:tc>
          <w:tcPr>
            <w:tcW w:w="1260" w:type="dxa"/>
            <w:shd w:val="clear" w:color="auto" w:fill="FFFFFF"/>
            <w:noWrap w:val="0"/>
            <w:vAlign w:val="center"/>
          </w:tcPr>
          <w:p w14:paraId="3F52CA83">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219" w:type="dxa"/>
            <w:shd w:val="clear" w:color="auto" w:fill="FFFFFF"/>
            <w:noWrap w:val="0"/>
            <w:vAlign w:val="center"/>
          </w:tcPr>
          <w:p w14:paraId="6FAF6BD0">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质保期</w:t>
            </w:r>
          </w:p>
        </w:tc>
      </w:tr>
      <w:tr w14:paraId="69AE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AB889D9">
            <w:pPr>
              <w:spacing w:line="360" w:lineRule="auto"/>
              <w:jc w:val="center"/>
              <w:rPr>
                <w:rFonts w:ascii="新宋体" w:hAnsi="新宋体" w:eastAsia="新宋体"/>
                <w:color w:val="auto"/>
                <w:sz w:val="22"/>
                <w:szCs w:val="22"/>
                <w:highlight w:val="none"/>
              </w:rPr>
            </w:pPr>
          </w:p>
        </w:tc>
        <w:tc>
          <w:tcPr>
            <w:tcW w:w="1692" w:type="dxa"/>
            <w:noWrap w:val="0"/>
            <w:vAlign w:val="center"/>
          </w:tcPr>
          <w:p w14:paraId="2D323557">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37707730">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47F061C1">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946C8A3">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65E47FFC">
            <w:pPr>
              <w:rPr>
                <w:rFonts w:ascii="新宋体" w:hAnsi="新宋体" w:eastAsia="新宋体"/>
                <w:color w:val="auto"/>
                <w:sz w:val="22"/>
                <w:szCs w:val="22"/>
                <w:highlight w:val="none"/>
              </w:rPr>
            </w:pPr>
          </w:p>
        </w:tc>
      </w:tr>
      <w:tr w14:paraId="6FAB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EC496B3">
            <w:pPr>
              <w:spacing w:line="360" w:lineRule="auto"/>
              <w:jc w:val="center"/>
              <w:rPr>
                <w:rFonts w:ascii="新宋体" w:hAnsi="新宋体" w:eastAsia="新宋体"/>
                <w:color w:val="auto"/>
                <w:sz w:val="22"/>
                <w:szCs w:val="22"/>
                <w:highlight w:val="none"/>
              </w:rPr>
            </w:pPr>
          </w:p>
        </w:tc>
        <w:tc>
          <w:tcPr>
            <w:tcW w:w="1692" w:type="dxa"/>
            <w:noWrap w:val="0"/>
            <w:vAlign w:val="center"/>
          </w:tcPr>
          <w:p w14:paraId="6A7A9A50">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7291AA3F">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5EFCE9F">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A79D5F4">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4A6E402">
            <w:pPr>
              <w:rPr>
                <w:rFonts w:ascii="新宋体" w:hAnsi="新宋体" w:eastAsia="新宋体"/>
                <w:color w:val="auto"/>
                <w:sz w:val="22"/>
                <w:szCs w:val="22"/>
                <w:highlight w:val="none"/>
              </w:rPr>
            </w:pPr>
          </w:p>
        </w:tc>
      </w:tr>
      <w:tr w14:paraId="19AC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2D684C2">
            <w:pPr>
              <w:spacing w:line="360" w:lineRule="auto"/>
              <w:jc w:val="center"/>
              <w:rPr>
                <w:rFonts w:ascii="新宋体" w:hAnsi="新宋体" w:eastAsia="新宋体"/>
                <w:color w:val="auto"/>
                <w:sz w:val="22"/>
                <w:szCs w:val="22"/>
                <w:highlight w:val="none"/>
              </w:rPr>
            </w:pPr>
          </w:p>
        </w:tc>
        <w:tc>
          <w:tcPr>
            <w:tcW w:w="1692" w:type="dxa"/>
            <w:noWrap w:val="0"/>
            <w:vAlign w:val="center"/>
          </w:tcPr>
          <w:p w14:paraId="27D71EF7">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0D24D5C2">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526C684F">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8DD794A">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B425DCE">
            <w:pPr>
              <w:rPr>
                <w:rFonts w:ascii="新宋体" w:hAnsi="新宋体" w:eastAsia="新宋体"/>
                <w:color w:val="auto"/>
                <w:sz w:val="22"/>
                <w:szCs w:val="22"/>
                <w:highlight w:val="none"/>
              </w:rPr>
            </w:pPr>
          </w:p>
        </w:tc>
      </w:tr>
      <w:tr w14:paraId="3058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6256470">
            <w:pPr>
              <w:spacing w:line="360" w:lineRule="auto"/>
              <w:jc w:val="center"/>
              <w:rPr>
                <w:rFonts w:ascii="新宋体" w:hAnsi="新宋体" w:eastAsia="新宋体"/>
                <w:color w:val="auto"/>
                <w:sz w:val="22"/>
                <w:szCs w:val="22"/>
                <w:highlight w:val="none"/>
              </w:rPr>
            </w:pPr>
          </w:p>
        </w:tc>
        <w:tc>
          <w:tcPr>
            <w:tcW w:w="1692" w:type="dxa"/>
            <w:noWrap w:val="0"/>
            <w:vAlign w:val="center"/>
          </w:tcPr>
          <w:p w14:paraId="53334B37">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7B555FE9">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29262153">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40112196">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0F1E1D7E">
            <w:pPr>
              <w:rPr>
                <w:rFonts w:ascii="新宋体" w:hAnsi="新宋体" w:eastAsia="新宋体"/>
                <w:color w:val="auto"/>
                <w:sz w:val="22"/>
                <w:szCs w:val="22"/>
                <w:highlight w:val="none"/>
              </w:rPr>
            </w:pPr>
          </w:p>
        </w:tc>
      </w:tr>
      <w:tr w14:paraId="6736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C9DFEF1">
            <w:pPr>
              <w:spacing w:line="360" w:lineRule="auto"/>
              <w:jc w:val="center"/>
              <w:rPr>
                <w:rFonts w:ascii="新宋体" w:hAnsi="新宋体" w:eastAsia="新宋体"/>
                <w:color w:val="auto"/>
                <w:sz w:val="22"/>
                <w:szCs w:val="22"/>
                <w:highlight w:val="none"/>
              </w:rPr>
            </w:pPr>
          </w:p>
        </w:tc>
        <w:tc>
          <w:tcPr>
            <w:tcW w:w="1692" w:type="dxa"/>
            <w:noWrap w:val="0"/>
            <w:vAlign w:val="center"/>
          </w:tcPr>
          <w:p w14:paraId="59A263D9">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037ABA8C">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5DA442CC">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0045841">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7A73929F">
            <w:pPr>
              <w:rPr>
                <w:rFonts w:ascii="新宋体" w:hAnsi="新宋体" w:eastAsia="新宋体"/>
                <w:color w:val="auto"/>
                <w:sz w:val="22"/>
                <w:szCs w:val="22"/>
                <w:highlight w:val="none"/>
              </w:rPr>
            </w:pPr>
          </w:p>
        </w:tc>
      </w:tr>
      <w:tr w14:paraId="67B5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1FB7828">
            <w:pPr>
              <w:spacing w:line="360" w:lineRule="auto"/>
              <w:jc w:val="center"/>
              <w:rPr>
                <w:rFonts w:ascii="新宋体" w:hAnsi="新宋体" w:eastAsia="新宋体"/>
                <w:color w:val="auto"/>
                <w:sz w:val="22"/>
                <w:szCs w:val="22"/>
                <w:highlight w:val="none"/>
              </w:rPr>
            </w:pPr>
          </w:p>
        </w:tc>
        <w:tc>
          <w:tcPr>
            <w:tcW w:w="1692" w:type="dxa"/>
            <w:noWrap w:val="0"/>
            <w:vAlign w:val="center"/>
          </w:tcPr>
          <w:p w14:paraId="1A44D760">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0AD12EF5">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170BFF0C">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AF0C5CB">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477EEAA2">
            <w:pPr>
              <w:rPr>
                <w:rFonts w:ascii="新宋体" w:hAnsi="新宋体" w:eastAsia="新宋体"/>
                <w:color w:val="auto"/>
                <w:sz w:val="22"/>
                <w:szCs w:val="22"/>
                <w:highlight w:val="none"/>
              </w:rPr>
            </w:pPr>
          </w:p>
        </w:tc>
      </w:tr>
      <w:tr w14:paraId="32D9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425C6B8">
            <w:pPr>
              <w:spacing w:line="360" w:lineRule="auto"/>
              <w:jc w:val="center"/>
              <w:rPr>
                <w:rFonts w:ascii="新宋体" w:hAnsi="新宋体" w:eastAsia="新宋体"/>
                <w:color w:val="auto"/>
                <w:sz w:val="22"/>
                <w:szCs w:val="22"/>
                <w:highlight w:val="none"/>
              </w:rPr>
            </w:pPr>
          </w:p>
        </w:tc>
        <w:tc>
          <w:tcPr>
            <w:tcW w:w="1692" w:type="dxa"/>
            <w:noWrap w:val="0"/>
            <w:vAlign w:val="center"/>
          </w:tcPr>
          <w:p w14:paraId="2D5B3E28">
            <w:pPr>
              <w:spacing w:line="360" w:lineRule="auto"/>
              <w:jc w:val="center"/>
              <w:rPr>
                <w:rFonts w:ascii="新宋体" w:hAnsi="新宋体" w:eastAsia="新宋体"/>
                <w:color w:val="auto"/>
                <w:sz w:val="22"/>
                <w:szCs w:val="22"/>
                <w:highlight w:val="none"/>
              </w:rPr>
            </w:pPr>
          </w:p>
        </w:tc>
        <w:tc>
          <w:tcPr>
            <w:tcW w:w="2880" w:type="dxa"/>
            <w:noWrap w:val="0"/>
            <w:vAlign w:val="center"/>
          </w:tcPr>
          <w:p w14:paraId="34B37B26">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5336FE2A">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76D7EE5">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2DCCFF0">
            <w:pPr>
              <w:rPr>
                <w:rFonts w:ascii="新宋体" w:hAnsi="新宋体" w:eastAsia="新宋体"/>
                <w:color w:val="auto"/>
                <w:sz w:val="22"/>
                <w:szCs w:val="22"/>
                <w:highlight w:val="none"/>
              </w:rPr>
            </w:pPr>
          </w:p>
        </w:tc>
      </w:tr>
      <w:tr w14:paraId="79E5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5E3C006">
            <w:pPr>
              <w:spacing w:line="360" w:lineRule="auto"/>
              <w:jc w:val="center"/>
              <w:rPr>
                <w:rFonts w:ascii="新宋体" w:hAnsi="新宋体" w:eastAsia="新宋体"/>
                <w:color w:val="auto"/>
                <w:sz w:val="22"/>
                <w:szCs w:val="22"/>
                <w:highlight w:val="none"/>
              </w:rPr>
            </w:pPr>
          </w:p>
        </w:tc>
        <w:tc>
          <w:tcPr>
            <w:tcW w:w="1692" w:type="dxa"/>
            <w:noWrap w:val="0"/>
            <w:vAlign w:val="center"/>
          </w:tcPr>
          <w:p w14:paraId="7AC1B853">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30ACA188">
            <w:pPr>
              <w:spacing w:line="360" w:lineRule="auto"/>
              <w:jc w:val="center"/>
              <w:rPr>
                <w:rFonts w:ascii="新宋体" w:hAnsi="新宋体" w:eastAsia="新宋体"/>
                <w:color w:val="auto"/>
                <w:sz w:val="22"/>
                <w:szCs w:val="22"/>
                <w:highlight w:val="none"/>
              </w:rPr>
            </w:pPr>
          </w:p>
        </w:tc>
        <w:tc>
          <w:tcPr>
            <w:tcW w:w="1661" w:type="dxa"/>
            <w:noWrap w:val="0"/>
            <w:vAlign w:val="center"/>
          </w:tcPr>
          <w:p w14:paraId="77375BDE">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DDF429A">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7CD50F51">
            <w:pPr>
              <w:rPr>
                <w:rFonts w:ascii="新宋体" w:hAnsi="新宋体" w:eastAsia="新宋体"/>
                <w:color w:val="auto"/>
                <w:sz w:val="22"/>
                <w:szCs w:val="22"/>
                <w:highlight w:val="none"/>
              </w:rPr>
            </w:pPr>
          </w:p>
        </w:tc>
      </w:tr>
      <w:tr w14:paraId="5531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120CEB1">
            <w:pPr>
              <w:spacing w:line="360" w:lineRule="auto"/>
              <w:jc w:val="center"/>
              <w:rPr>
                <w:rFonts w:ascii="新宋体" w:hAnsi="新宋体" w:eastAsia="新宋体"/>
                <w:color w:val="auto"/>
                <w:sz w:val="22"/>
                <w:szCs w:val="22"/>
                <w:highlight w:val="none"/>
              </w:rPr>
            </w:pPr>
          </w:p>
        </w:tc>
        <w:tc>
          <w:tcPr>
            <w:tcW w:w="1692" w:type="dxa"/>
            <w:noWrap w:val="0"/>
            <w:vAlign w:val="center"/>
          </w:tcPr>
          <w:p w14:paraId="7655BAB8">
            <w:pPr>
              <w:spacing w:line="360" w:lineRule="auto"/>
              <w:jc w:val="center"/>
              <w:rPr>
                <w:rFonts w:ascii="新宋体" w:hAnsi="新宋体" w:eastAsia="新宋体"/>
                <w:color w:val="auto"/>
                <w:sz w:val="22"/>
                <w:szCs w:val="22"/>
                <w:highlight w:val="none"/>
              </w:rPr>
            </w:pPr>
          </w:p>
        </w:tc>
        <w:tc>
          <w:tcPr>
            <w:tcW w:w="2880" w:type="dxa"/>
            <w:noWrap w:val="0"/>
            <w:vAlign w:val="top"/>
          </w:tcPr>
          <w:p w14:paraId="390A3688">
            <w:pPr>
              <w:spacing w:line="360" w:lineRule="auto"/>
              <w:rPr>
                <w:rFonts w:ascii="新宋体" w:hAnsi="新宋体" w:eastAsia="新宋体"/>
                <w:b/>
                <w:bCs/>
                <w:color w:val="auto"/>
                <w:sz w:val="22"/>
                <w:szCs w:val="22"/>
                <w:highlight w:val="none"/>
              </w:rPr>
            </w:pPr>
          </w:p>
        </w:tc>
        <w:tc>
          <w:tcPr>
            <w:tcW w:w="1661" w:type="dxa"/>
            <w:noWrap w:val="0"/>
            <w:vAlign w:val="center"/>
          </w:tcPr>
          <w:p w14:paraId="413B2655">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2027234">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A8E2F22">
            <w:pPr>
              <w:rPr>
                <w:rFonts w:ascii="新宋体" w:hAnsi="新宋体" w:eastAsia="新宋体"/>
                <w:color w:val="auto"/>
                <w:sz w:val="22"/>
                <w:szCs w:val="22"/>
                <w:highlight w:val="none"/>
              </w:rPr>
            </w:pPr>
          </w:p>
        </w:tc>
      </w:tr>
      <w:tr w14:paraId="7E54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73ED282">
            <w:pPr>
              <w:spacing w:line="360" w:lineRule="auto"/>
              <w:jc w:val="center"/>
              <w:rPr>
                <w:rFonts w:ascii="新宋体" w:hAnsi="新宋体" w:eastAsia="新宋体"/>
                <w:color w:val="auto"/>
                <w:sz w:val="22"/>
                <w:szCs w:val="22"/>
                <w:highlight w:val="none"/>
              </w:rPr>
            </w:pPr>
          </w:p>
        </w:tc>
        <w:tc>
          <w:tcPr>
            <w:tcW w:w="1692" w:type="dxa"/>
            <w:noWrap w:val="0"/>
            <w:vAlign w:val="center"/>
          </w:tcPr>
          <w:p w14:paraId="32DD61C9">
            <w:pPr>
              <w:spacing w:line="360" w:lineRule="auto"/>
              <w:jc w:val="center"/>
              <w:rPr>
                <w:rFonts w:ascii="新宋体" w:hAnsi="新宋体" w:eastAsia="新宋体"/>
                <w:b/>
                <w:bCs/>
                <w:color w:val="auto"/>
                <w:sz w:val="22"/>
                <w:szCs w:val="22"/>
                <w:highlight w:val="none"/>
              </w:rPr>
            </w:pPr>
          </w:p>
        </w:tc>
        <w:tc>
          <w:tcPr>
            <w:tcW w:w="2880" w:type="dxa"/>
            <w:noWrap w:val="0"/>
            <w:vAlign w:val="top"/>
          </w:tcPr>
          <w:p w14:paraId="7DF50AEB">
            <w:pPr>
              <w:spacing w:line="360" w:lineRule="auto"/>
              <w:rPr>
                <w:rFonts w:ascii="新宋体" w:hAnsi="新宋体" w:eastAsia="新宋体"/>
                <w:color w:val="auto"/>
                <w:sz w:val="22"/>
                <w:szCs w:val="22"/>
                <w:highlight w:val="none"/>
              </w:rPr>
            </w:pPr>
          </w:p>
        </w:tc>
        <w:tc>
          <w:tcPr>
            <w:tcW w:w="1661" w:type="dxa"/>
            <w:noWrap w:val="0"/>
            <w:vAlign w:val="center"/>
          </w:tcPr>
          <w:p w14:paraId="78619573">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0CA849C">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EA370E9">
            <w:pPr>
              <w:rPr>
                <w:rFonts w:ascii="新宋体" w:hAnsi="新宋体" w:eastAsia="新宋体"/>
                <w:color w:val="auto"/>
                <w:sz w:val="22"/>
                <w:szCs w:val="22"/>
                <w:highlight w:val="none"/>
              </w:rPr>
            </w:pPr>
          </w:p>
        </w:tc>
      </w:tr>
      <w:tr w14:paraId="40AF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56D9AD1">
            <w:pPr>
              <w:spacing w:line="360" w:lineRule="auto"/>
              <w:jc w:val="center"/>
              <w:rPr>
                <w:rFonts w:ascii="新宋体" w:hAnsi="新宋体" w:eastAsia="新宋体"/>
                <w:color w:val="auto"/>
                <w:sz w:val="22"/>
                <w:szCs w:val="22"/>
                <w:highlight w:val="none"/>
              </w:rPr>
            </w:pPr>
          </w:p>
        </w:tc>
        <w:tc>
          <w:tcPr>
            <w:tcW w:w="1692" w:type="dxa"/>
            <w:noWrap w:val="0"/>
            <w:vAlign w:val="center"/>
          </w:tcPr>
          <w:p w14:paraId="563586FC">
            <w:pPr>
              <w:spacing w:line="360" w:lineRule="auto"/>
              <w:jc w:val="center"/>
              <w:rPr>
                <w:rFonts w:ascii="新宋体" w:hAnsi="新宋体" w:eastAsia="新宋体"/>
                <w:color w:val="auto"/>
                <w:sz w:val="22"/>
                <w:szCs w:val="22"/>
                <w:highlight w:val="none"/>
              </w:rPr>
            </w:pPr>
          </w:p>
        </w:tc>
        <w:tc>
          <w:tcPr>
            <w:tcW w:w="2880" w:type="dxa"/>
            <w:noWrap w:val="0"/>
            <w:vAlign w:val="top"/>
          </w:tcPr>
          <w:p w14:paraId="12DFFC25">
            <w:pPr>
              <w:spacing w:line="360" w:lineRule="auto"/>
              <w:rPr>
                <w:rFonts w:ascii="新宋体" w:hAnsi="新宋体" w:eastAsia="新宋体"/>
                <w:color w:val="auto"/>
                <w:sz w:val="22"/>
                <w:szCs w:val="22"/>
                <w:highlight w:val="none"/>
              </w:rPr>
            </w:pPr>
          </w:p>
        </w:tc>
        <w:tc>
          <w:tcPr>
            <w:tcW w:w="1661" w:type="dxa"/>
            <w:noWrap w:val="0"/>
            <w:vAlign w:val="center"/>
          </w:tcPr>
          <w:p w14:paraId="277E5C8F">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EC50C71">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80035AC">
            <w:pPr>
              <w:rPr>
                <w:rFonts w:ascii="新宋体" w:hAnsi="新宋体" w:eastAsia="新宋体"/>
                <w:color w:val="auto"/>
                <w:sz w:val="22"/>
                <w:szCs w:val="22"/>
                <w:highlight w:val="none"/>
              </w:rPr>
            </w:pPr>
          </w:p>
        </w:tc>
      </w:tr>
      <w:tr w14:paraId="1AF4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6D0452D">
            <w:pPr>
              <w:spacing w:line="360" w:lineRule="auto"/>
              <w:jc w:val="center"/>
              <w:rPr>
                <w:rFonts w:ascii="新宋体" w:hAnsi="新宋体" w:eastAsia="新宋体"/>
                <w:color w:val="auto"/>
                <w:sz w:val="22"/>
                <w:szCs w:val="22"/>
                <w:highlight w:val="none"/>
              </w:rPr>
            </w:pPr>
          </w:p>
        </w:tc>
        <w:tc>
          <w:tcPr>
            <w:tcW w:w="1692" w:type="dxa"/>
            <w:noWrap w:val="0"/>
            <w:vAlign w:val="center"/>
          </w:tcPr>
          <w:p w14:paraId="7811F4AF">
            <w:pPr>
              <w:spacing w:line="360" w:lineRule="auto"/>
              <w:jc w:val="center"/>
              <w:rPr>
                <w:rFonts w:ascii="新宋体" w:hAnsi="新宋体" w:eastAsia="新宋体"/>
                <w:color w:val="auto"/>
                <w:sz w:val="22"/>
                <w:szCs w:val="22"/>
                <w:highlight w:val="none"/>
              </w:rPr>
            </w:pPr>
          </w:p>
        </w:tc>
        <w:tc>
          <w:tcPr>
            <w:tcW w:w="2880" w:type="dxa"/>
            <w:noWrap w:val="0"/>
            <w:vAlign w:val="top"/>
          </w:tcPr>
          <w:p w14:paraId="20FCCEDE">
            <w:pPr>
              <w:spacing w:line="360" w:lineRule="auto"/>
              <w:rPr>
                <w:rFonts w:ascii="新宋体" w:hAnsi="新宋体" w:eastAsia="新宋体"/>
                <w:color w:val="auto"/>
                <w:sz w:val="22"/>
                <w:szCs w:val="22"/>
                <w:highlight w:val="none"/>
              </w:rPr>
            </w:pPr>
          </w:p>
        </w:tc>
        <w:tc>
          <w:tcPr>
            <w:tcW w:w="1661" w:type="dxa"/>
            <w:noWrap w:val="0"/>
            <w:vAlign w:val="center"/>
          </w:tcPr>
          <w:p w14:paraId="06AAF449">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320A17A7">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405145E">
            <w:pPr>
              <w:rPr>
                <w:rFonts w:ascii="新宋体" w:hAnsi="新宋体" w:eastAsia="新宋体"/>
                <w:color w:val="auto"/>
                <w:sz w:val="22"/>
                <w:szCs w:val="22"/>
                <w:highlight w:val="none"/>
              </w:rPr>
            </w:pPr>
          </w:p>
        </w:tc>
      </w:tr>
      <w:tr w14:paraId="13A2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DF45739">
            <w:pPr>
              <w:spacing w:line="360" w:lineRule="auto"/>
              <w:jc w:val="center"/>
              <w:rPr>
                <w:rFonts w:ascii="新宋体" w:hAnsi="新宋体" w:eastAsia="新宋体"/>
                <w:color w:val="auto"/>
                <w:sz w:val="22"/>
                <w:szCs w:val="22"/>
                <w:highlight w:val="none"/>
              </w:rPr>
            </w:pPr>
          </w:p>
        </w:tc>
        <w:tc>
          <w:tcPr>
            <w:tcW w:w="1692" w:type="dxa"/>
            <w:noWrap w:val="0"/>
            <w:vAlign w:val="center"/>
          </w:tcPr>
          <w:p w14:paraId="699E88BC">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27C8AF53">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53E6B86F">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3DE8FA0">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62ECAB20">
            <w:pPr>
              <w:rPr>
                <w:rFonts w:ascii="新宋体" w:hAnsi="新宋体" w:eastAsia="新宋体"/>
                <w:color w:val="auto"/>
                <w:sz w:val="22"/>
                <w:szCs w:val="22"/>
                <w:highlight w:val="none"/>
              </w:rPr>
            </w:pPr>
          </w:p>
        </w:tc>
      </w:tr>
      <w:tr w14:paraId="6BE8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272F6A3">
            <w:pPr>
              <w:spacing w:line="360" w:lineRule="auto"/>
              <w:jc w:val="center"/>
              <w:rPr>
                <w:rFonts w:ascii="新宋体" w:hAnsi="新宋体" w:eastAsia="新宋体"/>
                <w:color w:val="auto"/>
                <w:sz w:val="22"/>
                <w:szCs w:val="22"/>
                <w:highlight w:val="none"/>
              </w:rPr>
            </w:pPr>
          </w:p>
        </w:tc>
        <w:tc>
          <w:tcPr>
            <w:tcW w:w="1692" w:type="dxa"/>
            <w:noWrap w:val="0"/>
            <w:vAlign w:val="center"/>
          </w:tcPr>
          <w:p w14:paraId="42E63B4D">
            <w:pPr>
              <w:spacing w:line="360" w:lineRule="auto"/>
              <w:rPr>
                <w:rFonts w:ascii="新宋体" w:hAnsi="新宋体" w:eastAsia="新宋体"/>
                <w:b/>
                <w:bCs/>
                <w:color w:val="auto"/>
                <w:sz w:val="22"/>
                <w:szCs w:val="22"/>
                <w:highlight w:val="none"/>
              </w:rPr>
            </w:pPr>
          </w:p>
        </w:tc>
        <w:tc>
          <w:tcPr>
            <w:tcW w:w="2880" w:type="dxa"/>
            <w:noWrap w:val="0"/>
            <w:vAlign w:val="center"/>
          </w:tcPr>
          <w:p w14:paraId="6316F3BB">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4B8A65F9">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D0C1558">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6A3F4D2F">
            <w:pPr>
              <w:rPr>
                <w:rFonts w:ascii="新宋体" w:hAnsi="新宋体" w:eastAsia="新宋体"/>
                <w:color w:val="auto"/>
                <w:sz w:val="22"/>
                <w:szCs w:val="22"/>
                <w:highlight w:val="none"/>
              </w:rPr>
            </w:pPr>
          </w:p>
        </w:tc>
      </w:tr>
      <w:tr w14:paraId="000F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F695F14">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3675E1B5">
            <w:pPr>
              <w:spacing w:line="360" w:lineRule="auto"/>
              <w:rPr>
                <w:rFonts w:ascii="新宋体" w:hAnsi="新宋体" w:eastAsia="新宋体"/>
                <w:b/>
                <w:bCs/>
                <w:color w:val="auto"/>
                <w:sz w:val="22"/>
                <w:szCs w:val="22"/>
                <w:highlight w:val="none"/>
              </w:rPr>
            </w:pPr>
          </w:p>
        </w:tc>
        <w:tc>
          <w:tcPr>
            <w:tcW w:w="2880" w:type="dxa"/>
            <w:noWrap w:val="0"/>
            <w:vAlign w:val="center"/>
          </w:tcPr>
          <w:p w14:paraId="10D4E139">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5C83B537">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671B30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30F1B83">
            <w:pPr>
              <w:rPr>
                <w:rFonts w:ascii="新宋体" w:hAnsi="新宋体" w:eastAsia="新宋体"/>
                <w:color w:val="auto"/>
                <w:sz w:val="22"/>
                <w:szCs w:val="22"/>
                <w:highlight w:val="none"/>
              </w:rPr>
            </w:pPr>
          </w:p>
        </w:tc>
      </w:tr>
      <w:tr w14:paraId="660C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D00A50B">
            <w:pPr>
              <w:spacing w:line="360" w:lineRule="auto"/>
              <w:jc w:val="center"/>
              <w:rPr>
                <w:rFonts w:ascii="新宋体" w:hAnsi="新宋体" w:eastAsia="新宋体"/>
                <w:bCs/>
                <w:color w:val="auto"/>
                <w:sz w:val="22"/>
                <w:szCs w:val="22"/>
                <w:highlight w:val="none"/>
              </w:rPr>
            </w:pPr>
          </w:p>
        </w:tc>
        <w:tc>
          <w:tcPr>
            <w:tcW w:w="1692" w:type="dxa"/>
            <w:noWrap w:val="0"/>
            <w:vAlign w:val="center"/>
          </w:tcPr>
          <w:p w14:paraId="2EC97B6F">
            <w:pPr>
              <w:spacing w:line="360" w:lineRule="auto"/>
              <w:rPr>
                <w:rFonts w:ascii="新宋体" w:hAnsi="新宋体" w:eastAsia="新宋体"/>
                <w:color w:val="auto"/>
                <w:sz w:val="22"/>
                <w:szCs w:val="22"/>
                <w:highlight w:val="none"/>
              </w:rPr>
            </w:pPr>
          </w:p>
        </w:tc>
        <w:tc>
          <w:tcPr>
            <w:tcW w:w="2880" w:type="dxa"/>
            <w:noWrap w:val="0"/>
            <w:vAlign w:val="center"/>
          </w:tcPr>
          <w:p w14:paraId="6BE654CC">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11E17CB">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2F059F5">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1C37705">
            <w:pPr>
              <w:rPr>
                <w:rFonts w:ascii="新宋体" w:hAnsi="新宋体" w:eastAsia="新宋体"/>
                <w:color w:val="auto"/>
                <w:sz w:val="22"/>
                <w:szCs w:val="22"/>
                <w:highlight w:val="none"/>
              </w:rPr>
            </w:pPr>
          </w:p>
        </w:tc>
      </w:tr>
      <w:tr w14:paraId="0775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C108D51">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49BA0C79">
            <w:pPr>
              <w:spacing w:line="360" w:lineRule="auto"/>
              <w:rPr>
                <w:rFonts w:ascii="新宋体" w:hAnsi="新宋体" w:eastAsia="新宋体"/>
                <w:b/>
                <w:bCs/>
                <w:color w:val="auto"/>
                <w:sz w:val="22"/>
                <w:szCs w:val="22"/>
                <w:highlight w:val="none"/>
              </w:rPr>
            </w:pPr>
          </w:p>
        </w:tc>
        <w:tc>
          <w:tcPr>
            <w:tcW w:w="2880" w:type="dxa"/>
            <w:noWrap w:val="0"/>
            <w:vAlign w:val="center"/>
          </w:tcPr>
          <w:p w14:paraId="38E237AA">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4B45169">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64C4A00">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0F6526A">
            <w:pPr>
              <w:rPr>
                <w:rFonts w:ascii="新宋体" w:hAnsi="新宋体" w:eastAsia="新宋体"/>
                <w:color w:val="auto"/>
                <w:sz w:val="22"/>
                <w:szCs w:val="22"/>
                <w:highlight w:val="none"/>
              </w:rPr>
            </w:pPr>
          </w:p>
        </w:tc>
      </w:tr>
      <w:tr w14:paraId="7D12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646C884">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1CB7A8AA">
            <w:pPr>
              <w:spacing w:line="360" w:lineRule="auto"/>
              <w:rPr>
                <w:rFonts w:ascii="新宋体" w:hAnsi="新宋体" w:eastAsia="新宋体"/>
                <w:color w:val="auto"/>
                <w:sz w:val="22"/>
                <w:szCs w:val="22"/>
                <w:highlight w:val="none"/>
              </w:rPr>
            </w:pPr>
          </w:p>
        </w:tc>
        <w:tc>
          <w:tcPr>
            <w:tcW w:w="2880" w:type="dxa"/>
            <w:noWrap w:val="0"/>
            <w:vAlign w:val="center"/>
          </w:tcPr>
          <w:p w14:paraId="28EB14AD">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B509B52">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137B614">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A3F8557">
            <w:pPr>
              <w:rPr>
                <w:rFonts w:ascii="新宋体" w:hAnsi="新宋体" w:eastAsia="新宋体"/>
                <w:color w:val="auto"/>
                <w:sz w:val="22"/>
                <w:szCs w:val="22"/>
                <w:highlight w:val="none"/>
              </w:rPr>
            </w:pPr>
          </w:p>
        </w:tc>
      </w:tr>
      <w:tr w14:paraId="78C3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AB62E80">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78522CBA">
            <w:pPr>
              <w:spacing w:line="360" w:lineRule="auto"/>
              <w:rPr>
                <w:rFonts w:ascii="新宋体" w:hAnsi="新宋体" w:eastAsia="新宋体"/>
                <w:b/>
                <w:bCs/>
                <w:color w:val="auto"/>
                <w:sz w:val="22"/>
                <w:szCs w:val="22"/>
                <w:highlight w:val="none"/>
              </w:rPr>
            </w:pPr>
          </w:p>
        </w:tc>
        <w:tc>
          <w:tcPr>
            <w:tcW w:w="2880" w:type="dxa"/>
            <w:noWrap w:val="0"/>
            <w:vAlign w:val="center"/>
          </w:tcPr>
          <w:p w14:paraId="24DD73FC">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4F15995">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BFE8599">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4EFE742A">
            <w:pPr>
              <w:rPr>
                <w:rFonts w:ascii="新宋体" w:hAnsi="新宋体" w:eastAsia="新宋体"/>
                <w:color w:val="auto"/>
                <w:sz w:val="22"/>
                <w:szCs w:val="22"/>
                <w:highlight w:val="none"/>
              </w:rPr>
            </w:pPr>
          </w:p>
        </w:tc>
      </w:tr>
      <w:tr w14:paraId="49C2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A09523A">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52A3C3A4">
            <w:pPr>
              <w:spacing w:line="360" w:lineRule="auto"/>
              <w:rPr>
                <w:rFonts w:ascii="新宋体" w:hAnsi="新宋体" w:eastAsia="新宋体"/>
                <w:b/>
                <w:bCs/>
                <w:color w:val="auto"/>
                <w:sz w:val="22"/>
                <w:szCs w:val="22"/>
                <w:highlight w:val="none"/>
              </w:rPr>
            </w:pPr>
          </w:p>
        </w:tc>
        <w:tc>
          <w:tcPr>
            <w:tcW w:w="2880" w:type="dxa"/>
            <w:noWrap w:val="0"/>
            <w:vAlign w:val="center"/>
          </w:tcPr>
          <w:p w14:paraId="05DBA8A4">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C36076E">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237F473">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AD142D3">
            <w:pPr>
              <w:rPr>
                <w:rFonts w:ascii="新宋体" w:hAnsi="新宋体" w:eastAsia="新宋体"/>
                <w:color w:val="auto"/>
                <w:sz w:val="22"/>
                <w:szCs w:val="22"/>
                <w:highlight w:val="none"/>
              </w:rPr>
            </w:pPr>
          </w:p>
        </w:tc>
      </w:tr>
      <w:tr w14:paraId="69FD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149F047">
            <w:pPr>
              <w:spacing w:line="360" w:lineRule="auto"/>
              <w:jc w:val="center"/>
              <w:rPr>
                <w:rFonts w:ascii="新宋体" w:hAnsi="新宋体" w:eastAsia="新宋体"/>
                <w:color w:val="auto"/>
                <w:sz w:val="22"/>
                <w:szCs w:val="22"/>
                <w:highlight w:val="none"/>
              </w:rPr>
            </w:pPr>
          </w:p>
        </w:tc>
        <w:tc>
          <w:tcPr>
            <w:tcW w:w="1692" w:type="dxa"/>
            <w:noWrap w:val="0"/>
            <w:vAlign w:val="center"/>
          </w:tcPr>
          <w:p w14:paraId="26A7F95C">
            <w:pPr>
              <w:spacing w:line="360" w:lineRule="auto"/>
              <w:rPr>
                <w:rFonts w:ascii="新宋体" w:hAnsi="新宋体" w:eastAsia="新宋体"/>
                <w:color w:val="auto"/>
                <w:sz w:val="22"/>
                <w:szCs w:val="22"/>
                <w:highlight w:val="none"/>
              </w:rPr>
            </w:pPr>
          </w:p>
        </w:tc>
        <w:tc>
          <w:tcPr>
            <w:tcW w:w="2880" w:type="dxa"/>
            <w:noWrap w:val="0"/>
            <w:vAlign w:val="center"/>
          </w:tcPr>
          <w:p w14:paraId="62191EBD">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1182A27A">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22EE6297">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1CFED51">
            <w:pPr>
              <w:rPr>
                <w:rFonts w:ascii="新宋体" w:hAnsi="新宋体" w:eastAsia="新宋体"/>
                <w:color w:val="auto"/>
                <w:sz w:val="22"/>
                <w:szCs w:val="22"/>
                <w:highlight w:val="none"/>
              </w:rPr>
            </w:pPr>
          </w:p>
        </w:tc>
      </w:tr>
      <w:tr w14:paraId="4FEE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16C1162">
            <w:pPr>
              <w:spacing w:line="360" w:lineRule="auto"/>
              <w:rPr>
                <w:rFonts w:ascii="新宋体" w:hAnsi="新宋体" w:eastAsia="新宋体"/>
                <w:color w:val="auto"/>
                <w:sz w:val="22"/>
                <w:szCs w:val="22"/>
                <w:highlight w:val="none"/>
              </w:rPr>
            </w:pPr>
          </w:p>
        </w:tc>
        <w:tc>
          <w:tcPr>
            <w:tcW w:w="1692" w:type="dxa"/>
            <w:noWrap w:val="0"/>
            <w:vAlign w:val="center"/>
          </w:tcPr>
          <w:p w14:paraId="03E59B76">
            <w:pPr>
              <w:spacing w:line="360" w:lineRule="auto"/>
              <w:rPr>
                <w:rFonts w:ascii="新宋体" w:hAnsi="新宋体" w:eastAsia="新宋体"/>
                <w:color w:val="auto"/>
                <w:sz w:val="22"/>
                <w:szCs w:val="22"/>
                <w:highlight w:val="none"/>
              </w:rPr>
            </w:pPr>
          </w:p>
        </w:tc>
        <w:tc>
          <w:tcPr>
            <w:tcW w:w="2880" w:type="dxa"/>
            <w:noWrap w:val="0"/>
            <w:vAlign w:val="center"/>
          </w:tcPr>
          <w:p w14:paraId="4434BA61">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786C0B34">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1EC6A5B">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1DCC46D">
            <w:pPr>
              <w:rPr>
                <w:rFonts w:ascii="新宋体" w:hAnsi="新宋体" w:eastAsia="新宋体"/>
                <w:color w:val="auto"/>
                <w:sz w:val="22"/>
                <w:szCs w:val="22"/>
                <w:highlight w:val="none"/>
              </w:rPr>
            </w:pPr>
          </w:p>
        </w:tc>
      </w:tr>
      <w:tr w14:paraId="25D3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073DB52">
            <w:pPr>
              <w:spacing w:line="360" w:lineRule="auto"/>
              <w:jc w:val="center"/>
              <w:rPr>
                <w:rFonts w:ascii="新宋体" w:hAnsi="新宋体" w:eastAsia="新宋体"/>
                <w:b/>
                <w:bCs/>
                <w:color w:val="auto"/>
                <w:sz w:val="22"/>
                <w:szCs w:val="22"/>
                <w:highlight w:val="none"/>
              </w:rPr>
            </w:pPr>
          </w:p>
        </w:tc>
        <w:tc>
          <w:tcPr>
            <w:tcW w:w="1692" w:type="dxa"/>
            <w:noWrap w:val="0"/>
            <w:vAlign w:val="top"/>
          </w:tcPr>
          <w:p w14:paraId="051EB0B5">
            <w:pPr>
              <w:spacing w:line="360" w:lineRule="auto"/>
              <w:rPr>
                <w:rFonts w:ascii="新宋体" w:hAnsi="新宋体" w:eastAsia="新宋体"/>
                <w:color w:val="auto"/>
                <w:sz w:val="22"/>
                <w:szCs w:val="22"/>
                <w:highlight w:val="none"/>
              </w:rPr>
            </w:pPr>
          </w:p>
        </w:tc>
        <w:tc>
          <w:tcPr>
            <w:tcW w:w="2880" w:type="dxa"/>
            <w:noWrap w:val="0"/>
            <w:vAlign w:val="center"/>
          </w:tcPr>
          <w:p w14:paraId="623B388B">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1793A857">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3AD508B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A8A950B">
            <w:pPr>
              <w:rPr>
                <w:rFonts w:ascii="新宋体" w:hAnsi="新宋体" w:eastAsia="新宋体"/>
                <w:color w:val="auto"/>
                <w:sz w:val="22"/>
                <w:szCs w:val="22"/>
                <w:highlight w:val="none"/>
              </w:rPr>
            </w:pPr>
          </w:p>
        </w:tc>
      </w:tr>
    </w:tbl>
    <w:p w14:paraId="7E461A4F">
      <w:pPr>
        <w:pStyle w:val="30"/>
        <w:spacing w:line="400" w:lineRule="atLeast"/>
        <w:rPr>
          <w:rFonts w:ascii="新宋体" w:hAnsi="新宋体" w:eastAsia="新宋体"/>
          <w:color w:val="auto"/>
          <w:sz w:val="22"/>
          <w:szCs w:val="22"/>
          <w:highlight w:val="none"/>
        </w:rPr>
      </w:pPr>
    </w:p>
    <w:p w14:paraId="2430005B">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14:paraId="12583D15">
      <w:pPr>
        <w:spacing w:line="460" w:lineRule="exact"/>
        <w:ind w:firstLine="5060" w:firstLineChars="2300"/>
        <w:rPr>
          <w:rFonts w:ascii="新宋体" w:hAnsi="新宋体" w:eastAsia="新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olor w:val="auto"/>
          <w:sz w:val="22"/>
          <w:szCs w:val="22"/>
          <w:highlight w:val="none"/>
        </w:rPr>
        <w:t>：</w:t>
      </w:r>
    </w:p>
    <w:p w14:paraId="3C0310BE">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14:paraId="441EBF5F">
      <w:pPr>
        <w:spacing w:line="460" w:lineRule="exact"/>
        <w:ind w:firstLine="5060" w:firstLineChars="2300"/>
        <w:rPr>
          <w:rFonts w:ascii="新宋体" w:hAnsi="新宋体" w:eastAsia="新宋体"/>
          <w:color w:val="auto"/>
          <w:sz w:val="22"/>
          <w:szCs w:val="22"/>
          <w:highlight w:val="none"/>
        </w:rPr>
      </w:pPr>
    </w:p>
    <w:p w14:paraId="62541B02">
      <w:pPr>
        <w:spacing w:line="460" w:lineRule="exact"/>
        <w:ind w:firstLine="5060" w:firstLineChars="2300"/>
        <w:rPr>
          <w:rFonts w:ascii="新宋体" w:hAnsi="新宋体" w:eastAsia="新宋体"/>
          <w:color w:val="auto"/>
          <w:sz w:val="22"/>
          <w:szCs w:val="22"/>
          <w:highlight w:val="none"/>
        </w:rPr>
      </w:pPr>
    </w:p>
    <w:p w14:paraId="4B35EC39">
      <w:pPr>
        <w:spacing w:line="460" w:lineRule="exact"/>
        <w:ind w:firstLine="5060" w:firstLineChars="2300"/>
        <w:rPr>
          <w:rFonts w:ascii="新宋体" w:hAnsi="新宋体" w:eastAsia="新宋体"/>
          <w:color w:val="auto"/>
          <w:sz w:val="22"/>
          <w:szCs w:val="22"/>
          <w:highlight w:val="none"/>
        </w:rPr>
      </w:pPr>
    </w:p>
    <w:p w14:paraId="16B36F90">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rPr>
        <w:t>5、备</w:t>
      </w:r>
      <w:r>
        <w:rPr>
          <w:rFonts w:hint="eastAsia" w:ascii="新宋体" w:hAnsi="新宋体" w:eastAsia="新宋体" w:cs="新宋体"/>
          <w:b/>
          <w:color w:val="auto"/>
          <w:sz w:val="24"/>
          <w:highlight w:val="none"/>
          <w:lang w:val="zh-CN"/>
        </w:rPr>
        <w:t>品、易损件、备件、专用工具清单（</w:t>
      </w:r>
      <w:r>
        <w:rPr>
          <w:rFonts w:hint="eastAsia" w:ascii="新宋体" w:hAnsi="新宋体" w:eastAsia="新宋体" w:cs="新宋体"/>
          <w:b/>
          <w:color w:val="auto"/>
          <w:sz w:val="24"/>
          <w:highlight w:val="none"/>
          <w:lang w:val="en-US" w:eastAsia="zh-CN"/>
        </w:rPr>
        <w:t>如有</w:t>
      </w:r>
      <w:r>
        <w:rPr>
          <w:rFonts w:hint="eastAsia" w:ascii="新宋体" w:hAnsi="新宋体" w:eastAsia="新宋体" w:cs="新宋体"/>
          <w:b/>
          <w:color w:val="auto"/>
          <w:sz w:val="24"/>
          <w:highlight w:val="none"/>
          <w:lang w:val="zh-CN"/>
        </w:rPr>
        <w:t>）</w:t>
      </w:r>
    </w:p>
    <w:p w14:paraId="599FD8C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WZLCZB（W）-2025-07010</w:t>
      </w:r>
    </w:p>
    <w:p w14:paraId="29B49BAF">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cs="新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家具采购</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2E08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14:paraId="4AD73A3A">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noWrap w:val="0"/>
            <w:vAlign w:val="center"/>
          </w:tcPr>
          <w:p w14:paraId="34542E7F">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noWrap w:val="0"/>
            <w:vAlign w:val="center"/>
          </w:tcPr>
          <w:p w14:paraId="5F8CB69F">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noWrap w:val="0"/>
            <w:vAlign w:val="center"/>
          </w:tcPr>
          <w:p w14:paraId="1CD1BE07">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noWrap w:val="0"/>
            <w:vAlign w:val="center"/>
          </w:tcPr>
          <w:p w14:paraId="3E569CF2">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noWrap w:val="0"/>
            <w:vAlign w:val="center"/>
          </w:tcPr>
          <w:p w14:paraId="01847A7C">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1C33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355D678">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3A4752F">
            <w:pPr>
              <w:spacing w:line="400" w:lineRule="exact"/>
              <w:rPr>
                <w:rFonts w:ascii="新宋体" w:hAnsi="新宋体" w:eastAsia="新宋体" w:cs="新宋体"/>
                <w:color w:val="auto"/>
                <w:sz w:val="22"/>
                <w:szCs w:val="22"/>
                <w:highlight w:val="none"/>
              </w:rPr>
            </w:pPr>
          </w:p>
        </w:tc>
        <w:tc>
          <w:tcPr>
            <w:tcW w:w="1404" w:type="dxa"/>
            <w:noWrap w:val="0"/>
            <w:vAlign w:val="top"/>
          </w:tcPr>
          <w:p w14:paraId="25B124CE">
            <w:pPr>
              <w:spacing w:line="400" w:lineRule="exact"/>
              <w:rPr>
                <w:rFonts w:ascii="新宋体" w:hAnsi="新宋体" w:eastAsia="新宋体" w:cs="新宋体"/>
                <w:color w:val="auto"/>
                <w:sz w:val="22"/>
                <w:szCs w:val="22"/>
                <w:highlight w:val="none"/>
              </w:rPr>
            </w:pPr>
          </w:p>
        </w:tc>
        <w:tc>
          <w:tcPr>
            <w:tcW w:w="796" w:type="dxa"/>
            <w:noWrap w:val="0"/>
            <w:vAlign w:val="top"/>
          </w:tcPr>
          <w:p w14:paraId="677F6493">
            <w:pPr>
              <w:spacing w:line="400" w:lineRule="exact"/>
              <w:rPr>
                <w:rFonts w:ascii="新宋体" w:hAnsi="新宋体" w:eastAsia="新宋体" w:cs="新宋体"/>
                <w:color w:val="auto"/>
                <w:sz w:val="22"/>
                <w:szCs w:val="22"/>
                <w:highlight w:val="none"/>
              </w:rPr>
            </w:pPr>
          </w:p>
        </w:tc>
        <w:tc>
          <w:tcPr>
            <w:tcW w:w="3704" w:type="dxa"/>
            <w:noWrap w:val="0"/>
            <w:vAlign w:val="top"/>
          </w:tcPr>
          <w:p w14:paraId="1DAF326B">
            <w:pPr>
              <w:spacing w:line="400" w:lineRule="exact"/>
              <w:rPr>
                <w:rFonts w:ascii="新宋体" w:hAnsi="新宋体" w:eastAsia="新宋体" w:cs="新宋体"/>
                <w:color w:val="auto"/>
                <w:sz w:val="22"/>
                <w:szCs w:val="22"/>
                <w:highlight w:val="none"/>
              </w:rPr>
            </w:pPr>
          </w:p>
        </w:tc>
        <w:tc>
          <w:tcPr>
            <w:tcW w:w="1568" w:type="dxa"/>
            <w:noWrap w:val="0"/>
            <w:vAlign w:val="top"/>
          </w:tcPr>
          <w:p w14:paraId="7D3D5EA1">
            <w:pPr>
              <w:spacing w:line="400" w:lineRule="exact"/>
              <w:rPr>
                <w:rFonts w:ascii="新宋体" w:hAnsi="新宋体" w:eastAsia="新宋体" w:cs="新宋体"/>
                <w:color w:val="auto"/>
                <w:sz w:val="22"/>
                <w:szCs w:val="22"/>
                <w:highlight w:val="none"/>
              </w:rPr>
            </w:pPr>
          </w:p>
        </w:tc>
      </w:tr>
      <w:tr w14:paraId="6EB8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155B671">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62CE2B07">
            <w:pPr>
              <w:spacing w:line="400" w:lineRule="exact"/>
              <w:rPr>
                <w:rFonts w:ascii="新宋体" w:hAnsi="新宋体" w:eastAsia="新宋体" w:cs="新宋体"/>
                <w:color w:val="auto"/>
                <w:sz w:val="22"/>
                <w:szCs w:val="22"/>
                <w:highlight w:val="none"/>
              </w:rPr>
            </w:pPr>
          </w:p>
        </w:tc>
        <w:tc>
          <w:tcPr>
            <w:tcW w:w="1404" w:type="dxa"/>
            <w:noWrap w:val="0"/>
            <w:vAlign w:val="top"/>
          </w:tcPr>
          <w:p w14:paraId="7DCAD029">
            <w:pPr>
              <w:spacing w:line="400" w:lineRule="exact"/>
              <w:rPr>
                <w:rFonts w:ascii="新宋体" w:hAnsi="新宋体" w:eastAsia="新宋体" w:cs="新宋体"/>
                <w:color w:val="auto"/>
                <w:sz w:val="22"/>
                <w:szCs w:val="22"/>
                <w:highlight w:val="none"/>
              </w:rPr>
            </w:pPr>
          </w:p>
        </w:tc>
        <w:tc>
          <w:tcPr>
            <w:tcW w:w="796" w:type="dxa"/>
            <w:noWrap w:val="0"/>
            <w:vAlign w:val="top"/>
          </w:tcPr>
          <w:p w14:paraId="48243539">
            <w:pPr>
              <w:spacing w:line="400" w:lineRule="exact"/>
              <w:rPr>
                <w:rFonts w:ascii="新宋体" w:hAnsi="新宋体" w:eastAsia="新宋体" w:cs="新宋体"/>
                <w:color w:val="auto"/>
                <w:sz w:val="22"/>
                <w:szCs w:val="22"/>
                <w:highlight w:val="none"/>
              </w:rPr>
            </w:pPr>
          </w:p>
        </w:tc>
        <w:tc>
          <w:tcPr>
            <w:tcW w:w="3704" w:type="dxa"/>
            <w:noWrap w:val="0"/>
            <w:vAlign w:val="top"/>
          </w:tcPr>
          <w:p w14:paraId="4CC701FA">
            <w:pPr>
              <w:spacing w:line="400" w:lineRule="exact"/>
              <w:rPr>
                <w:rFonts w:ascii="新宋体" w:hAnsi="新宋体" w:eastAsia="新宋体" w:cs="新宋体"/>
                <w:color w:val="auto"/>
                <w:sz w:val="22"/>
                <w:szCs w:val="22"/>
                <w:highlight w:val="none"/>
              </w:rPr>
            </w:pPr>
          </w:p>
        </w:tc>
        <w:tc>
          <w:tcPr>
            <w:tcW w:w="1568" w:type="dxa"/>
            <w:noWrap w:val="0"/>
            <w:vAlign w:val="top"/>
          </w:tcPr>
          <w:p w14:paraId="1B366B7B">
            <w:pPr>
              <w:spacing w:line="400" w:lineRule="exact"/>
              <w:rPr>
                <w:rFonts w:ascii="新宋体" w:hAnsi="新宋体" w:eastAsia="新宋体" w:cs="新宋体"/>
                <w:color w:val="auto"/>
                <w:sz w:val="22"/>
                <w:szCs w:val="22"/>
                <w:highlight w:val="none"/>
              </w:rPr>
            </w:pPr>
          </w:p>
        </w:tc>
      </w:tr>
      <w:tr w14:paraId="0F17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FC4DA76">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64304645">
            <w:pPr>
              <w:spacing w:line="400" w:lineRule="exact"/>
              <w:rPr>
                <w:rFonts w:ascii="新宋体" w:hAnsi="新宋体" w:eastAsia="新宋体" w:cs="新宋体"/>
                <w:color w:val="auto"/>
                <w:sz w:val="22"/>
                <w:szCs w:val="22"/>
                <w:highlight w:val="none"/>
              </w:rPr>
            </w:pPr>
          </w:p>
        </w:tc>
        <w:tc>
          <w:tcPr>
            <w:tcW w:w="1404" w:type="dxa"/>
            <w:noWrap w:val="0"/>
            <w:vAlign w:val="top"/>
          </w:tcPr>
          <w:p w14:paraId="14B24663">
            <w:pPr>
              <w:spacing w:line="400" w:lineRule="exact"/>
              <w:rPr>
                <w:rFonts w:ascii="新宋体" w:hAnsi="新宋体" w:eastAsia="新宋体" w:cs="新宋体"/>
                <w:color w:val="auto"/>
                <w:sz w:val="22"/>
                <w:szCs w:val="22"/>
                <w:highlight w:val="none"/>
              </w:rPr>
            </w:pPr>
          </w:p>
        </w:tc>
        <w:tc>
          <w:tcPr>
            <w:tcW w:w="796" w:type="dxa"/>
            <w:noWrap w:val="0"/>
            <w:vAlign w:val="top"/>
          </w:tcPr>
          <w:p w14:paraId="6D9ED397">
            <w:pPr>
              <w:spacing w:line="400" w:lineRule="exact"/>
              <w:rPr>
                <w:rFonts w:ascii="新宋体" w:hAnsi="新宋体" w:eastAsia="新宋体" w:cs="新宋体"/>
                <w:color w:val="auto"/>
                <w:sz w:val="22"/>
                <w:szCs w:val="22"/>
                <w:highlight w:val="none"/>
              </w:rPr>
            </w:pPr>
          </w:p>
        </w:tc>
        <w:tc>
          <w:tcPr>
            <w:tcW w:w="3704" w:type="dxa"/>
            <w:noWrap w:val="0"/>
            <w:vAlign w:val="top"/>
          </w:tcPr>
          <w:p w14:paraId="156BC269">
            <w:pPr>
              <w:spacing w:line="400" w:lineRule="exact"/>
              <w:rPr>
                <w:rFonts w:ascii="新宋体" w:hAnsi="新宋体" w:eastAsia="新宋体" w:cs="新宋体"/>
                <w:color w:val="auto"/>
                <w:sz w:val="22"/>
                <w:szCs w:val="22"/>
                <w:highlight w:val="none"/>
              </w:rPr>
            </w:pPr>
          </w:p>
        </w:tc>
        <w:tc>
          <w:tcPr>
            <w:tcW w:w="1568" w:type="dxa"/>
            <w:noWrap w:val="0"/>
            <w:vAlign w:val="top"/>
          </w:tcPr>
          <w:p w14:paraId="428ACD2C">
            <w:pPr>
              <w:spacing w:line="400" w:lineRule="exact"/>
              <w:rPr>
                <w:rFonts w:ascii="新宋体" w:hAnsi="新宋体" w:eastAsia="新宋体" w:cs="新宋体"/>
                <w:color w:val="auto"/>
                <w:sz w:val="22"/>
                <w:szCs w:val="22"/>
                <w:highlight w:val="none"/>
              </w:rPr>
            </w:pPr>
          </w:p>
        </w:tc>
      </w:tr>
      <w:tr w14:paraId="1C81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772BA6A1">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6894F59">
            <w:pPr>
              <w:spacing w:line="400" w:lineRule="exact"/>
              <w:rPr>
                <w:rFonts w:ascii="新宋体" w:hAnsi="新宋体" w:eastAsia="新宋体" w:cs="新宋体"/>
                <w:color w:val="auto"/>
                <w:sz w:val="22"/>
                <w:szCs w:val="22"/>
                <w:highlight w:val="none"/>
              </w:rPr>
            </w:pPr>
          </w:p>
        </w:tc>
        <w:tc>
          <w:tcPr>
            <w:tcW w:w="1404" w:type="dxa"/>
            <w:noWrap w:val="0"/>
            <w:vAlign w:val="top"/>
          </w:tcPr>
          <w:p w14:paraId="6D34B039">
            <w:pPr>
              <w:spacing w:line="400" w:lineRule="exact"/>
              <w:rPr>
                <w:rFonts w:ascii="新宋体" w:hAnsi="新宋体" w:eastAsia="新宋体" w:cs="新宋体"/>
                <w:color w:val="auto"/>
                <w:sz w:val="22"/>
                <w:szCs w:val="22"/>
                <w:highlight w:val="none"/>
              </w:rPr>
            </w:pPr>
          </w:p>
        </w:tc>
        <w:tc>
          <w:tcPr>
            <w:tcW w:w="796" w:type="dxa"/>
            <w:noWrap w:val="0"/>
            <w:vAlign w:val="top"/>
          </w:tcPr>
          <w:p w14:paraId="770782A0">
            <w:pPr>
              <w:spacing w:line="400" w:lineRule="exact"/>
              <w:rPr>
                <w:rFonts w:ascii="新宋体" w:hAnsi="新宋体" w:eastAsia="新宋体" w:cs="新宋体"/>
                <w:color w:val="auto"/>
                <w:sz w:val="22"/>
                <w:szCs w:val="22"/>
                <w:highlight w:val="none"/>
              </w:rPr>
            </w:pPr>
          </w:p>
        </w:tc>
        <w:tc>
          <w:tcPr>
            <w:tcW w:w="3704" w:type="dxa"/>
            <w:noWrap w:val="0"/>
            <w:vAlign w:val="top"/>
          </w:tcPr>
          <w:p w14:paraId="7EF49478">
            <w:pPr>
              <w:spacing w:line="400" w:lineRule="exact"/>
              <w:rPr>
                <w:rFonts w:ascii="新宋体" w:hAnsi="新宋体" w:eastAsia="新宋体" w:cs="新宋体"/>
                <w:color w:val="auto"/>
                <w:sz w:val="22"/>
                <w:szCs w:val="22"/>
                <w:highlight w:val="none"/>
              </w:rPr>
            </w:pPr>
          </w:p>
        </w:tc>
        <w:tc>
          <w:tcPr>
            <w:tcW w:w="1568" w:type="dxa"/>
            <w:noWrap w:val="0"/>
            <w:vAlign w:val="top"/>
          </w:tcPr>
          <w:p w14:paraId="1F70C811">
            <w:pPr>
              <w:spacing w:line="400" w:lineRule="exact"/>
              <w:rPr>
                <w:rFonts w:ascii="新宋体" w:hAnsi="新宋体" w:eastAsia="新宋体" w:cs="新宋体"/>
                <w:color w:val="auto"/>
                <w:sz w:val="22"/>
                <w:szCs w:val="22"/>
                <w:highlight w:val="none"/>
              </w:rPr>
            </w:pPr>
          </w:p>
        </w:tc>
      </w:tr>
      <w:tr w14:paraId="40A7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028E1928">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AA89514">
            <w:pPr>
              <w:spacing w:line="400" w:lineRule="exact"/>
              <w:rPr>
                <w:rFonts w:ascii="新宋体" w:hAnsi="新宋体" w:eastAsia="新宋体" w:cs="新宋体"/>
                <w:color w:val="auto"/>
                <w:sz w:val="22"/>
                <w:szCs w:val="22"/>
                <w:highlight w:val="none"/>
              </w:rPr>
            </w:pPr>
          </w:p>
        </w:tc>
        <w:tc>
          <w:tcPr>
            <w:tcW w:w="1404" w:type="dxa"/>
            <w:noWrap w:val="0"/>
            <w:vAlign w:val="top"/>
          </w:tcPr>
          <w:p w14:paraId="4FBF77B5">
            <w:pPr>
              <w:spacing w:line="400" w:lineRule="exact"/>
              <w:rPr>
                <w:rFonts w:ascii="新宋体" w:hAnsi="新宋体" w:eastAsia="新宋体" w:cs="新宋体"/>
                <w:color w:val="auto"/>
                <w:sz w:val="22"/>
                <w:szCs w:val="22"/>
                <w:highlight w:val="none"/>
              </w:rPr>
            </w:pPr>
          </w:p>
        </w:tc>
        <w:tc>
          <w:tcPr>
            <w:tcW w:w="796" w:type="dxa"/>
            <w:noWrap w:val="0"/>
            <w:vAlign w:val="top"/>
          </w:tcPr>
          <w:p w14:paraId="411C7E03">
            <w:pPr>
              <w:spacing w:line="400" w:lineRule="exact"/>
              <w:rPr>
                <w:rFonts w:ascii="新宋体" w:hAnsi="新宋体" w:eastAsia="新宋体" w:cs="新宋体"/>
                <w:color w:val="auto"/>
                <w:sz w:val="22"/>
                <w:szCs w:val="22"/>
                <w:highlight w:val="none"/>
              </w:rPr>
            </w:pPr>
          </w:p>
        </w:tc>
        <w:tc>
          <w:tcPr>
            <w:tcW w:w="3704" w:type="dxa"/>
            <w:noWrap w:val="0"/>
            <w:vAlign w:val="top"/>
          </w:tcPr>
          <w:p w14:paraId="1D5CE9A7">
            <w:pPr>
              <w:spacing w:line="400" w:lineRule="exact"/>
              <w:rPr>
                <w:rFonts w:ascii="新宋体" w:hAnsi="新宋体" w:eastAsia="新宋体" w:cs="新宋体"/>
                <w:color w:val="auto"/>
                <w:sz w:val="22"/>
                <w:szCs w:val="22"/>
                <w:highlight w:val="none"/>
              </w:rPr>
            </w:pPr>
          </w:p>
        </w:tc>
        <w:tc>
          <w:tcPr>
            <w:tcW w:w="1568" w:type="dxa"/>
            <w:noWrap w:val="0"/>
            <w:vAlign w:val="top"/>
          </w:tcPr>
          <w:p w14:paraId="3D4EA60D">
            <w:pPr>
              <w:spacing w:line="400" w:lineRule="exact"/>
              <w:rPr>
                <w:rFonts w:ascii="新宋体" w:hAnsi="新宋体" w:eastAsia="新宋体" w:cs="新宋体"/>
                <w:color w:val="auto"/>
                <w:sz w:val="22"/>
                <w:szCs w:val="22"/>
                <w:highlight w:val="none"/>
              </w:rPr>
            </w:pPr>
          </w:p>
        </w:tc>
      </w:tr>
      <w:tr w14:paraId="7F6B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F4E3C23">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79FC73BF">
            <w:pPr>
              <w:spacing w:line="400" w:lineRule="exact"/>
              <w:rPr>
                <w:rFonts w:ascii="新宋体" w:hAnsi="新宋体" w:eastAsia="新宋体" w:cs="新宋体"/>
                <w:color w:val="auto"/>
                <w:sz w:val="22"/>
                <w:szCs w:val="22"/>
                <w:highlight w:val="none"/>
              </w:rPr>
            </w:pPr>
          </w:p>
        </w:tc>
        <w:tc>
          <w:tcPr>
            <w:tcW w:w="1404" w:type="dxa"/>
            <w:noWrap w:val="0"/>
            <w:vAlign w:val="top"/>
          </w:tcPr>
          <w:p w14:paraId="7577E835">
            <w:pPr>
              <w:spacing w:line="400" w:lineRule="exact"/>
              <w:rPr>
                <w:rFonts w:ascii="新宋体" w:hAnsi="新宋体" w:eastAsia="新宋体" w:cs="新宋体"/>
                <w:color w:val="auto"/>
                <w:sz w:val="22"/>
                <w:szCs w:val="22"/>
                <w:highlight w:val="none"/>
              </w:rPr>
            </w:pPr>
          </w:p>
        </w:tc>
        <w:tc>
          <w:tcPr>
            <w:tcW w:w="796" w:type="dxa"/>
            <w:noWrap w:val="0"/>
            <w:vAlign w:val="top"/>
          </w:tcPr>
          <w:p w14:paraId="388BA236">
            <w:pPr>
              <w:spacing w:line="400" w:lineRule="exact"/>
              <w:rPr>
                <w:rFonts w:ascii="新宋体" w:hAnsi="新宋体" w:eastAsia="新宋体" w:cs="新宋体"/>
                <w:color w:val="auto"/>
                <w:sz w:val="22"/>
                <w:szCs w:val="22"/>
                <w:highlight w:val="none"/>
              </w:rPr>
            </w:pPr>
          </w:p>
        </w:tc>
        <w:tc>
          <w:tcPr>
            <w:tcW w:w="3704" w:type="dxa"/>
            <w:noWrap w:val="0"/>
            <w:vAlign w:val="top"/>
          </w:tcPr>
          <w:p w14:paraId="6E996EB8">
            <w:pPr>
              <w:spacing w:line="400" w:lineRule="exact"/>
              <w:rPr>
                <w:rFonts w:ascii="新宋体" w:hAnsi="新宋体" w:eastAsia="新宋体" w:cs="新宋体"/>
                <w:color w:val="auto"/>
                <w:sz w:val="22"/>
                <w:szCs w:val="22"/>
                <w:highlight w:val="none"/>
              </w:rPr>
            </w:pPr>
          </w:p>
        </w:tc>
        <w:tc>
          <w:tcPr>
            <w:tcW w:w="1568" w:type="dxa"/>
            <w:noWrap w:val="0"/>
            <w:vAlign w:val="top"/>
          </w:tcPr>
          <w:p w14:paraId="55F61142">
            <w:pPr>
              <w:spacing w:line="400" w:lineRule="exact"/>
              <w:rPr>
                <w:rFonts w:ascii="新宋体" w:hAnsi="新宋体" w:eastAsia="新宋体" w:cs="新宋体"/>
                <w:color w:val="auto"/>
                <w:sz w:val="22"/>
                <w:szCs w:val="22"/>
                <w:highlight w:val="none"/>
              </w:rPr>
            </w:pPr>
          </w:p>
        </w:tc>
      </w:tr>
      <w:tr w14:paraId="4CB4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0EC00705">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6537AB1">
            <w:pPr>
              <w:spacing w:line="400" w:lineRule="exact"/>
              <w:rPr>
                <w:rFonts w:ascii="新宋体" w:hAnsi="新宋体" w:eastAsia="新宋体" w:cs="新宋体"/>
                <w:color w:val="auto"/>
                <w:sz w:val="22"/>
                <w:szCs w:val="22"/>
                <w:highlight w:val="none"/>
              </w:rPr>
            </w:pPr>
          </w:p>
        </w:tc>
        <w:tc>
          <w:tcPr>
            <w:tcW w:w="1404" w:type="dxa"/>
            <w:noWrap w:val="0"/>
            <w:vAlign w:val="top"/>
          </w:tcPr>
          <w:p w14:paraId="04FBB442">
            <w:pPr>
              <w:spacing w:line="400" w:lineRule="exact"/>
              <w:rPr>
                <w:rFonts w:ascii="新宋体" w:hAnsi="新宋体" w:eastAsia="新宋体" w:cs="新宋体"/>
                <w:color w:val="auto"/>
                <w:sz w:val="22"/>
                <w:szCs w:val="22"/>
                <w:highlight w:val="none"/>
              </w:rPr>
            </w:pPr>
          </w:p>
        </w:tc>
        <w:tc>
          <w:tcPr>
            <w:tcW w:w="796" w:type="dxa"/>
            <w:noWrap w:val="0"/>
            <w:vAlign w:val="top"/>
          </w:tcPr>
          <w:p w14:paraId="458B7C6A">
            <w:pPr>
              <w:spacing w:line="400" w:lineRule="exact"/>
              <w:rPr>
                <w:rFonts w:ascii="新宋体" w:hAnsi="新宋体" w:eastAsia="新宋体" w:cs="新宋体"/>
                <w:color w:val="auto"/>
                <w:sz w:val="22"/>
                <w:szCs w:val="22"/>
                <w:highlight w:val="none"/>
              </w:rPr>
            </w:pPr>
          </w:p>
        </w:tc>
        <w:tc>
          <w:tcPr>
            <w:tcW w:w="3704" w:type="dxa"/>
            <w:noWrap w:val="0"/>
            <w:vAlign w:val="top"/>
          </w:tcPr>
          <w:p w14:paraId="2B8A997A">
            <w:pPr>
              <w:spacing w:line="400" w:lineRule="exact"/>
              <w:rPr>
                <w:rFonts w:ascii="新宋体" w:hAnsi="新宋体" w:eastAsia="新宋体" w:cs="新宋体"/>
                <w:color w:val="auto"/>
                <w:sz w:val="22"/>
                <w:szCs w:val="22"/>
                <w:highlight w:val="none"/>
              </w:rPr>
            </w:pPr>
          </w:p>
        </w:tc>
        <w:tc>
          <w:tcPr>
            <w:tcW w:w="1568" w:type="dxa"/>
            <w:noWrap w:val="0"/>
            <w:vAlign w:val="top"/>
          </w:tcPr>
          <w:p w14:paraId="5BB37FA4">
            <w:pPr>
              <w:spacing w:line="400" w:lineRule="exact"/>
              <w:rPr>
                <w:rFonts w:ascii="新宋体" w:hAnsi="新宋体" w:eastAsia="新宋体" w:cs="新宋体"/>
                <w:color w:val="auto"/>
                <w:sz w:val="22"/>
                <w:szCs w:val="22"/>
                <w:highlight w:val="none"/>
              </w:rPr>
            </w:pPr>
          </w:p>
        </w:tc>
      </w:tr>
      <w:tr w14:paraId="3AA5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08B1241A">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67CADF0">
            <w:pPr>
              <w:spacing w:line="400" w:lineRule="exact"/>
              <w:rPr>
                <w:rFonts w:ascii="新宋体" w:hAnsi="新宋体" w:eastAsia="新宋体" w:cs="新宋体"/>
                <w:color w:val="auto"/>
                <w:sz w:val="22"/>
                <w:szCs w:val="22"/>
                <w:highlight w:val="none"/>
              </w:rPr>
            </w:pPr>
          </w:p>
        </w:tc>
        <w:tc>
          <w:tcPr>
            <w:tcW w:w="1404" w:type="dxa"/>
            <w:noWrap w:val="0"/>
            <w:vAlign w:val="top"/>
          </w:tcPr>
          <w:p w14:paraId="52FC7EF7">
            <w:pPr>
              <w:spacing w:line="400" w:lineRule="exact"/>
              <w:rPr>
                <w:rFonts w:ascii="新宋体" w:hAnsi="新宋体" w:eastAsia="新宋体" w:cs="新宋体"/>
                <w:color w:val="auto"/>
                <w:sz w:val="22"/>
                <w:szCs w:val="22"/>
                <w:highlight w:val="none"/>
              </w:rPr>
            </w:pPr>
          </w:p>
        </w:tc>
        <w:tc>
          <w:tcPr>
            <w:tcW w:w="796" w:type="dxa"/>
            <w:noWrap w:val="0"/>
            <w:vAlign w:val="top"/>
          </w:tcPr>
          <w:p w14:paraId="42C5F18B">
            <w:pPr>
              <w:spacing w:line="400" w:lineRule="exact"/>
              <w:rPr>
                <w:rFonts w:ascii="新宋体" w:hAnsi="新宋体" w:eastAsia="新宋体" w:cs="新宋体"/>
                <w:color w:val="auto"/>
                <w:sz w:val="22"/>
                <w:szCs w:val="22"/>
                <w:highlight w:val="none"/>
              </w:rPr>
            </w:pPr>
          </w:p>
        </w:tc>
        <w:tc>
          <w:tcPr>
            <w:tcW w:w="3704" w:type="dxa"/>
            <w:noWrap w:val="0"/>
            <w:vAlign w:val="top"/>
          </w:tcPr>
          <w:p w14:paraId="09F5BB24">
            <w:pPr>
              <w:spacing w:line="400" w:lineRule="exact"/>
              <w:rPr>
                <w:rFonts w:ascii="新宋体" w:hAnsi="新宋体" w:eastAsia="新宋体" w:cs="新宋体"/>
                <w:color w:val="auto"/>
                <w:sz w:val="22"/>
                <w:szCs w:val="22"/>
                <w:highlight w:val="none"/>
              </w:rPr>
            </w:pPr>
          </w:p>
        </w:tc>
        <w:tc>
          <w:tcPr>
            <w:tcW w:w="1568" w:type="dxa"/>
            <w:noWrap w:val="0"/>
            <w:vAlign w:val="top"/>
          </w:tcPr>
          <w:p w14:paraId="66D6B0D4">
            <w:pPr>
              <w:spacing w:line="400" w:lineRule="exact"/>
              <w:rPr>
                <w:rFonts w:ascii="新宋体" w:hAnsi="新宋体" w:eastAsia="新宋体" w:cs="新宋体"/>
                <w:color w:val="auto"/>
                <w:sz w:val="22"/>
                <w:szCs w:val="22"/>
                <w:highlight w:val="none"/>
              </w:rPr>
            </w:pPr>
          </w:p>
        </w:tc>
      </w:tr>
      <w:tr w14:paraId="2E96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663604DA">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BA657E8">
            <w:pPr>
              <w:spacing w:line="400" w:lineRule="exact"/>
              <w:rPr>
                <w:rFonts w:ascii="新宋体" w:hAnsi="新宋体" w:eastAsia="新宋体" w:cs="新宋体"/>
                <w:color w:val="auto"/>
                <w:sz w:val="22"/>
                <w:szCs w:val="22"/>
                <w:highlight w:val="none"/>
              </w:rPr>
            </w:pPr>
          </w:p>
        </w:tc>
        <w:tc>
          <w:tcPr>
            <w:tcW w:w="1404" w:type="dxa"/>
            <w:noWrap w:val="0"/>
            <w:vAlign w:val="top"/>
          </w:tcPr>
          <w:p w14:paraId="11A57BC8">
            <w:pPr>
              <w:spacing w:line="400" w:lineRule="exact"/>
              <w:rPr>
                <w:rFonts w:ascii="新宋体" w:hAnsi="新宋体" w:eastAsia="新宋体" w:cs="新宋体"/>
                <w:color w:val="auto"/>
                <w:sz w:val="22"/>
                <w:szCs w:val="22"/>
                <w:highlight w:val="none"/>
              </w:rPr>
            </w:pPr>
          </w:p>
        </w:tc>
        <w:tc>
          <w:tcPr>
            <w:tcW w:w="796" w:type="dxa"/>
            <w:noWrap w:val="0"/>
            <w:vAlign w:val="top"/>
          </w:tcPr>
          <w:p w14:paraId="2C63E522">
            <w:pPr>
              <w:spacing w:line="400" w:lineRule="exact"/>
              <w:rPr>
                <w:rFonts w:ascii="新宋体" w:hAnsi="新宋体" w:eastAsia="新宋体" w:cs="新宋体"/>
                <w:color w:val="auto"/>
                <w:sz w:val="22"/>
                <w:szCs w:val="22"/>
                <w:highlight w:val="none"/>
              </w:rPr>
            </w:pPr>
          </w:p>
        </w:tc>
        <w:tc>
          <w:tcPr>
            <w:tcW w:w="3704" w:type="dxa"/>
            <w:noWrap w:val="0"/>
            <w:vAlign w:val="top"/>
          </w:tcPr>
          <w:p w14:paraId="66409300">
            <w:pPr>
              <w:spacing w:line="400" w:lineRule="exact"/>
              <w:rPr>
                <w:rFonts w:ascii="新宋体" w:hAnsi="新宋体" w:eastAsia="新宋体" w:cs="新宋体"/>
                <w:color w:val="auto"/>
                <w:sz w:val="22"/>
                <w:szCs w:val="22"/>
                <w:highlight w:val="none"/>
              </w:rPr>
            </w:pPr>
          </w:p>
        </w:tc>
        <w:tc>
          <w:tcPr>
            <w:tcW w:w="1568" w:type="dxa"/>
            <w:noWrap w:val="0"/>
            <w:vAlign w:val="top"/>
          </w:tcPr>
          <w:p w14:paraId="75E8A619">
            <w:pPr>
              <w:spacing w:line="400" w:lineRule="exact"/>
              <w:rPr>
                <w:rFonts w:ascii="新宋体" w:hAnsi="新宋体" w:eastAsia="新宋体" w:cs="新宋体"/>
                <w:color w:val="auto"/>
                <w:sz w:val="22"/>
                <w:szCs w:val="22"/>
                <w:highlight w:val="none"/>
              </w:rPr>
            </w:pPr>
          </w:p>
        </w:tc>
      </w:tr>
      <w:tr w14:paraId="303D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5217A10">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70AC2C15">
            <w:pPr>
              <w:spacing w:line="400" w:lineRule="exact"/>
              <w:rPr>
                <w:rFonts w:ascii="新宋体" w:hAnsi="新宋体" w:eastAsia="新宋体" w:cs="新宋体"/>
                <w:color w:val="auto"/>
                <w:sz w:val="22"/>
                <w:szCs w:val="22"/>
                <w:highlight w:val="none"/>
              </w:rPr>
            </w:pPr>
          </w:p>
        </w:tc>
        <w:tc>
          <w:tcPr>
            <w:tcW w:w="1404" w:type="dxa"/>
            <w:noWrap w:val="0"/>
            <w:vAlign w:val="top"/>
          </w:tcPr>
          <w:p w14:paraId="578CABF1">
            <w:pPr>
              <w:spacing w:line="400" w:lineRule="exact"/>
              <w:rPr>
                <w:rFonts w:ascii="新宋体" w:hAnsi="新宋体" w:eastAsia="新宋体" w:cs="新宋体"/>
                <w:color w:val="auto"/>
                <w:sz w:val="22"/>
                <w:szCs w:val="22"/>
                <w:highlight w:val="none"/>
              </w:rPr>
            </w:pPr>
          </w:p>
        </w:tc>
        <w:tc>
          <w:tcPr>
            <w:tcW w:w="796" w:type="dxa"/>
            <w:noWrap w:val="0"/>
            <w:vAlign w:val="top"/>
          </w:tcPr>
          <w:p w14:paraId="0A5A2D08">
            <w:pPr>
              <w:spacing w:line="400" w:lineRule="exact"/>
              <w:rPr>
                <w:rFonts w:ascii="新宋体" w:hAnsi="新宋体" w:eastAsia="新宋体" w:cs="新宋体"/>
                <w:color w:val="auto"/>
                <w:sz w:val="22"/>
                <w:szCs w:val="22"/>
                <w:highlight w:val="none"/>
              </w:rPr>
            </w:pPr>
          </w:p>
        </w:tc>
        <w:tc>
          <w:tcPr>
            <w:tcW w:w="3704" w:type="dxa"/>
            <w:noWrap w:val="0"/>
            <w:vAlign w:val="top"/>
          </w:tcPr>
          <w:p w14:paraId="7FFA1C00">
            <w:pPr>
              <w:spacing w:line="400" w:lineRule="exact"/>
              <w:rPr>
                <w:rFonts w:ascii="新宋体" w:hAnsi="新宋体" w:eastAsia="新宋体" w:cs="新宋体"/>
                <w:color w:val="auto"/>
                <w:sz w:val="22"/>
                <w:szCs w:val="22"/>
                <w:highlight w:val="none"/>
              </w:rPr>
            </w:pPr>
          </w:p>
        </w:tc>
        <w:tc>
          <w:tcPr>
            <w:tcW w:w="1568" w:type="dxa"/>
            <w:noWrap w:val="0"/>
            <w:vAlign w:val="top"/>
          </w:tcPr>
          <w:p w14:paraId="5E709684">
            <w:pPr>
              <w:spacing w:line="400" w:lineRule="exact"/>
              <w:rPr>
                <w:rFonts w:ascii="新宋体" w:hAnsi="新宋体" w:eastAsia="新宋体" w:cs="新宋体"/>
                <w:color w:val="auto"/>
                <w:sz w:val="22"/>
                <w:szCs w:val="22"/>
                <w:highlight w:val="none"/>
              </w:rPr>
            </w:pPr>
          </w:p>
        </w:tc>
      </w:tr>
      <w:tr w14:paraId="16E4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2FB3659">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23AE96B">
            <w:pPr>
              <w:spacing w:line="400" w:lineRule="exact"/>
              <w:rPr>
                <w:rFonts w:ascii="新宋体" w:hAnsi="新宋体" w:eastAsia="新宋体" w:cs="新宋体"/>
                <w:color w:val="auto"/>
                <w:sz w:val="22"/>
                <w:szCs w:val="22"/>
                <w:highlight w:val="none"/>
              </w:rPr>
            </w:pPr>
          </w:p>
        </w:tc>
        <w:tc>
          <w:tcPr>
            <w:tcW w:w="1404" w:type="dxa"/>
            <w:noWrap w:val="0"/>
            <w:vAlign w:val="top"/>
          </w:tcPr>
          <w:p w14:paraId="76167A44">
            <w:pPr>
              <w:spacing w:line="400" w:lineRule="exact"/>
              <w:rPr>
                <w:rFonts w:ascii="新宋体" w:hAnsi="新宋体" w:eastAsia="新宋体" w:cs="新宋体"/>
                <w:color w:val="auto"/>
                <w:sz w:val="22"/>
                <w:szCs w:val="22"/>
                <w:highlight w:val="none"/>
              </w:rPr>
            </w:pPr>
          </w:p>
        </w:tc>
        <w:tc>
          <w:tcPr>
            <w:tcW w:w="796" w:type="dxa"/>
            <w:noWrap w:val="0"/>
            <w:vAlign w:val="top"/>
          </w:tcPr>
          <w:p w14:paraId="2A5E844D">
            <w:pPr>
              <w:spacing w:line="400" w:lineRule="exact"/>
              <w:rPr>
                <w:rFonts w:ascii="新宋体" w:hAnsi="新宋体" w:eastAsia="新宋体" w:cs="新宋体"/>
                <w:color w:val="auto"/>
                <w:sz w:val="22"/>
                <w:szCs w:val="22"/>
                <w:highlight w:val="none"/>
              </w:rPr>
            </w:pPr>
          </w:p>
        </w:tc>
        <w:tc>
          <w:tcPr>
            <w:tcW w:w="3704" w:type="dxa"/>
            <w:noWrap w:val="0"/>
            <w:vAlign w:val="top"/>
          </w:tcPr>
          <w:p w14:paraId="653B8003">
            <w:pPr>
              <w:spacing w:line="400" w:lineRule="exact"/>
              <w:rPr>
                <w:rFonts w:ascii="新宋体" w:hAnsi="新宋体" w:eastAsia="新宋体" w:cs="新宋体"/>
                <w:color w:val="auto"/>
                <w:sz w:val="22"/>
                <w:szCs w:val="22"/>
                <w:highlight w:val="none"/>
              </w:rPr>
            </w:pPr>
          </w:p>
        </w:tc>
        <w:tc>
          <w:tcPr>
            <w:tcW w:w="1568" w:type="dxa"/>
            <w:noWrap w:val="0"/>
            <w:vAlign w:val="top"/>
          </w:tcPr>
          <w:p w14:paraId="6A420976">
            <w:pPr>
              <w:spacing w:line="400" w:lineRule="exact"/>
              <w:rPr>
                <w:rFonts w:ascii="新宋体" w:hAnsi="新宋体" w:eastAsia="新宋体" w:cs="新宋体"/>
                <w:color w:val="auto"/>
                <w:sz w:val="22"/>
                <w:szCs w:val="22"/>
                <w:highlight w:val="none"/>
              </w:rPr>
            </w:pPr>
          </w:p>
        </w:tc>
      </w:tr>
      <w:tr w14:paraId="6FFD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CAF663B">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7C7968E">
            <w:pPr>
              <w:spacing w:line="400" w:lineRule="exact"/>
              <w:rPr>
                <w:rFonts w:ascii="新宋体" w:hAnsi="新宋体" w:eastAsia="新宋体" w:cs="新宋体"/>
                <w:color w:val="auto"/>
                <w:sz w:val="22"/>
                <w:szCs w:val="22"/>
                <w:highlight w:val="none"/>
              </w:rPr>
            </w:pPr>
          </w:p>
        </w:tc>
        <w:tc>
          <w:tcPr>
            <w:tcW w:w="1404" w:type="dxa"/>
            <w:noWrap w:val="0"/>
            <w:vAlign w:val="top"/>
          </w:tcPr>
          <w:p w14:paraId="1C799362">
            <w:pPr>
              <w:spacing w:line="400" w:lineRule="exact"/>
              <w:rPr>
                <w:rFonts w:ascii="新宋体" w:hAnsi="新宋体" w:eastAsia="新宋体" w:cs="新宋体"/>
                <w:color w:val="auto"/>
                <w:sz w:val="22"/>
                <w:szCs w:val="22"/>
                <w:highlight w:val="none"/>
              </w:rPr>
            </w:pPr>
          </w:p>
        </w:tc>
        <w:tc>
          <w:tcPr>
            <w:tcW w:w="796" w:type="dxa"/>
            <w:noWrap w:val="0"/>
            <w:vAlign w:val="top"/>
          </w:tcPr>
          <w:p w14:paraId="218EB2D3">
            <w:pPr>
              <w:spacing w:line="400" w:lineRule="exact"/>
              <w:rPr>
                <w:rFonts w:ascii="新宋体" w:hAnsi="新宋体" w:eastAsia="新宋体" w:cs="新宋体"/>
                <w:color w:val="auto"/>
                <w:sz w:val="22"/>
                <w:szCs w:val="22"/>
                <w:highlight w:val="none"/>
              </w:rPr>
            </w:pPr>
          </w:p>
        </w:tc>
        <w:tc>
          <w:tcPr>
            <w:tcW w:w="3704" w:type="dxa"/>
            <w:noWrap w:val="0"/>
            <w:vAlign w:val="top"/>
          </w:tcPr>
          <w:p w14:paraId="5236172A">
            <w:pPr>
              <w:spacing w:line="400" w:lineRule="exact"/>
              <w:rPr>
                <w:rFonts w:ascii="新宋体" w:hAnsi="新宋体" w:eastAsia="新宋体" w:cs="新宋体"/>
                <w:color w:val="auto"/>
                <w:sz w:val="22"/>
                <w:szCs w:val="22"/>
                <w:highlight w:val="none"/>
              </w:rPr>
            </w:pPr>
          </w:p>
        </w:tc>
        <w:tc>
          <w:tcPr>
            <w:tcW w:w="1568" w:type="dxa"/>
            <w:noWrap w:val="0"/>
            <w:vAlign w:val="top"/>
          </w:tcPr>
          <w:p w14:paraId="038F30FD">
            <w:pPr>
              <w:spacing w:line="400" w:lineRule="exact"/>
              <w:rPr>
                <w:rFonts w:ascii="新宋体" w:hAnsi="新宋体" w:eastAsia="新宋体" w:cs="新宋体"/>
                <w:color w:val="auto"/>
                <w:sz w:val="22"/>
                <w:szCs w:val="22"/>
                <w:highlight w:val="none"/>
              </w:rPr>
            </w:pPr>
          </w:p>
        </w:tc>
      </w:tr>
      <w:tr w14:paraId="412B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724C4A8">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EA87437">
            <w:pPr>
              <w:spacing w:line="400" w:lineRule="exact"/>
              <w:rPr>
                <w:rFonts w:ascii="新宋体" w:hAnsi="新宋体" w:eastAsia="新宋体" w:cs="新宋体"/>
                <w:color w:val="auto"/>
                <w:sz w:val="22"/>
                <w:szCs w:val="22"/>
                <w:highlight w:val="none"/>
              </w:rPr>
            </w:pPr>
          </w:p>
        </w:tc>
        <w:tc>
          <w:tcPr>
            <w:tcW w:w="1404" w:type="dxa"/>
            <w:noWrap w:val="0"/>
            <w:vAlign w:val="top"/>
          </w:tcPr>
          <w:p w14:paraId="09472D94">
            <w:pPr>
              <w:spacing w:line="400" w:lineRule="exact"/>
              <w:rPr>
                <w:rFonts w:ascii="新宋体" w:hAnsi="新宋体" w:eastAsia="新宋体" w:cs="新宋体"/>
                <w:color w:val="auto"/>
                <w:sz w:val="22"/>
                <w:szCs w:val="22"/>
                <w:highlight w:val="none"/>
              </w:rPr>
            </w:pPr>
          </w:p>
        </w:tc>
        <w:tc>
          <w:tcPr>
            <w:tcW w:w="796" w:type="dxa"/>
            <w:noWrap w:val="0"/>
            <w:vAlign w:val="top"/>
          </w:tcPr>
          <w:p w14:paraId="6DF0DDE1">
            <w:pPr>
              <w:spacing w:line="400" w:lineRule="exact"/>
              <w:rPr>
                <w:rFonts w:ascii="新宋体" w:hAnsi="新宋体" w:eastAsia="新宋体" w:cs="新宋体"/>
                <w:color w:val="auto"/>
                <w:sz w:val="22"/>
                <w:szCs w:val="22"/>
                <w:highlight w:val="none"/>
              </w:rPr>
            </w:pPr>
          </w:p>
        </w:tc>
        <w:tc>
          <w:tcPr>
            <w:tcW w:w="3704" w:type="dxa"/>
            <w:noWrap w:val="0"/>
            <w:vAlign w:val="top"/>
          </w:tcPr>
          <w:p w14:paraId="4952E14B">
            <w:pPr>
              <w:spacing w:line="400" w:lineRule="exact"/>
              <w:rPr>
                <w:rFonts w:ascii="新宋体" w:hAnsi="新宋体" w:eastAsia="新宋体" w:cs="新宋体"/>
                <w:color w:val="auto"/>
                <w:sz w:val="22"/>
                <w:szCs w:val="22"/>
                <w:highlight w:val="none"/>
              </w:rPr>
            </w:pPr>
          </w:p>
        </w:tc>
        <w:tc>
          <w:tcPr>
            <w:tcW w:w="1568" w:type="dxa"/>
            <w:noWrap w:val="0"/>
            <w:vAlign w:val="top"/>
          </w:tcPr>
          <w:p w14:paraId="2F7E2B90">
            <w:pPr>
              <w:spacing w:line="400" w:lineRule="exact"/>
              <w:rPr>
                <w:rFonts w:ascii="新宋体" w:hAnsi="新宋体" w:eastAsia="新宋体" w:cs="新宋体"/>
                <w:color w:val="auto"/>
                <w:sz w:val="22"/>
                <w:szCs w:val="22"/>
                <w:highlight w:val="none"/>
              </w:rPr>
            </w:pPr>
          </w:p>
        </w:tc>
      </w:tr>
      <w:tr w14:paraId="6D74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450484B">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AD124B6">
            <w:pPr>
              <w:spacing w:line="400" w:lineRule="exact"/>
              <w:rPr>
                <w:rFonts w:ascii="新宋体" w:hAnsi="新宋体" w:eastAsia="新宋体" w:cs="新宋体"/>
                <w:color w:val="auto"/>
                <w:sz w:val="22"/>
                <w:szCs w:val="22"/>
                <w:highlight w:val="none"/>
              </w:rPr>
            </w:pPr>
          </w:p>
        </w:tc>
        <w:tc>
          <w:tcPr>
            <w:tcW w:w="1404" w:type="dxa"/>
            <w:noWrap w:val="0"/>
            <w:vAlign w:val="top"/>
          </w:tcPr>
          <w:p w14:paraId="0B22C5BF">
            <w:pPr>
              <w:spacing w:line="400" w:lineRule="exact"/>
              <w:rPr>
                <w:rFonts w:ascii="新宋体" w:hAnsi="新宋体" w:eastAsia="新宋体" w:cs="新宋体"/>
                <w:color w:val="auto"/>
                <w:sz w:val="22"/>
                <w:szCs w:val="22"/>
                <w:highlight w:val="none"/>
              </w:rPr>
            </w:pPr>
          </w:p>
        </w:tc>
        <w:tc>
          <w:tcPr>
            <w:tcW w:w="796" w:type="dxa"/>
            <w:noWrap w:val="0"/>
            <w:vAlign w:val="top"/>
          </w:tcPr>
          <w:p w14:paraId="3F41AE20">
            <w:pPr>
              <w:spacing w:line="400" w:lineRule="exact"/>
              <w:rPr>
                <w:rFonts w:ascii="新宋体" w:hAnsi="新宋体" w:eastAsia="新宋体" w:cs="新宋体"/>
                <w:color w:val="auto"/>
                <w:sz w:val="22"/>
                <w:szCs w:val="22"/>
                <w:highlight w:val="none"/>
              </w:rPr>
            </w:pPr>
          </w:p>
        </w:tc>
        <w:tc>
          <w:tcPr>
            <w:tcW w:w="3704" w:type="dxa"/>
            <w:noWrap w:val="0"/>
            <w:vAlign w:val="top"/>
          </w:tcPr>
          <w:p w14:paraId="236ED13C">
            <w:pPr>
              <w:spacing w:line="400" w:lineRule="exact"/>
              <w:rPr>
                <w:rFonts w:ascii="新宋体" w:hAnsi="新宋体" w:eastAsia="新宋体" w:cs="新宋体"/>
                <w:color w:val="auto"/>
                <w:sz w:val="22"/>
                <w:szCs w:val="22"/>
                <w:highlight w:val="none"/>
              </w:rPr>
            </w:pPr>
          </w:p>
        </w:tc>
        <w:tc>
          <w:tcPr>
            <w:tcW w:w="1568" w:type="dxa"/>
            <w:noWrap w:val="0"/>
            <w:vAlign w:val="top"/>
          </w:tcPr>
          <w:p w14:paraId="12417B5F">
            <w:pPr>
              <w:spacing w:line="400" w:lineRule="exact"/>
              <w:rPr>
                <w:rFonts w:ascii="新宋体" w:hAnsi="新宋体" w:eastAsia="新宋体" w:cs="新宋体"/>
                <w:color w:val="auto"/>
                <w:sz w:val="22"/>
                <w:szCs w:val="22"/>
                <w:highlight w:val="none"/>
              </w:rPr>
            </w:pPr>
          </w:p>
        </w:tc>
      </w:tr>
    </w:tbl>
    <w:p w14:paraId="000CD4D2">
      <w:pPr>
        <w:spacing w:line="400" w:lineRule="exact"/>
        <w:ind w:firstLine="4620" w:firstLineChars="2100"/>
        <w:rPr>
          <w:rFonts w:ascii="新宋体" w:hAnsi="新宋体" w:eastAsia="新宋体" w:cs="新宋体"/>
          <w:color w:val="auto"/>
          <w:sz w:val="22"/>
          <w:szCs w:val="22"/>
          <w:highlight w:val="none"/>
        </w:rPr>
      </w:pPr>
    </w:p>
    <w:p w14:paraId="64A0A7FD">
      <w:pPr>
        <w:spacing w:line="360" w:lineRule="auto"/>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7D15723">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5F90A467">
      <w:pPr>
        <w:spacing w:line="360" w:lineRule="auto"/>
        <w:rPr>
          <w:rFonts w:hint="eastAsia" w:ascii="宋体" w:hAnsi="宋体" w:eastAsia="宋体" w:cs="宋体"/>
          <w:b/>
          <w:bCs/>
          <w:color w:val="auto"/>
          <w:sz w:val="28"/>
          <w:szCs w:val="28"/>
          <w:highlight w:val="none"/>
          <w:lang w:val="en-US" w:eastAsia="zh-CN"/>
        </w:rPr>
      </w:pPr>
      <w:r>
        <w:rPr>
          <w:rFonts w:hint="eastAsia" w:ascii="新宋体" w:hAnsi="新宋体" w:eastAsia="新宋体" w:cs="新宋体"/>
          <w:color w:val="auto"/>
          <w:sz w:val="22"/>
          <w:szCs w:val="22"/>
          <w:highlight w:val="none"/>
        </w:rPr>
        <w:t xml:space="preserve">                                                日    期：</w:t>
      </w:r>
    </w:p>
    <w:p w14:paraId="421F411D">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4A4105D3">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val="en-US" w:eastAsia="zh-CN"/>
        </w:rPr>
        <w:t>、</w:t>
      </w:r>
      <w:bookmarkEnd w:id="40"/>
      <w:r>
        <w:rPr>
          <w:rFonts w:hint="eastAsia" w:ascii="宋体" w:hAnsi="宋体" w:eastAsia="宋体" w:cs="宋体"/>
          <w:b/>
          <w:bCs/>
          <w:color w:val="auto"/>
          <w:sz w:val="28"/>
          <w:szCs w:val="28"/>
          <w:highlight w:val="none"/>
          <w:lang w:val="en-US" w:eastAsia="zh-CN"/>
        </w:rPr>
        <w:t>认证证书</w:t>
      </w:r>
    </w:p>
    <w:p w14:paraId="3952CA33">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WZLCZB（W）-2025-07010</w:t>
      </w:r>
    </w:p>
    <w:p w14:paraId="1B50C714">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家具采购</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6EDE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166B2519">
            <w:pPr>
              <w:spacing w:line="360" w:lineRule="auto"/>
              <w:rPr>
                <w:rFonts w:hint="eastAsia" w:ascii="宋体" w:hAnsi="宋体" w:eastAsia="宋体" w:cs="宋体"/>
                <w:color w:val="auto"/>
                <w:sz w:val="22"/>
                <w:szCs w:val="22"/>
                <w:highlight w:val="none"/>
              </w:rPr>
            </w:pPr>
          </w:p>
        </w:tc>
      </w:tr>
    </w:tbl>
    <w:p w14:paraId="3E41C7D9">
      <w:pPr>
        <w:pStyle w:val="30"/>
        <w:spacing w:line="400" w:lineRule="atLeast"/>
        <w:rPr>
          <w:rFonts w:hint="eastAsia" w:ascii="宋体" w:hAnsi="宋体" w:eastAsia="宋体" w:cs="宋体"/>
          <w:color w:val="auto"/>
          <w:sz w:val="22"/>
          <w:szCs w:val="22"/>
          <w:highlight w:val="none"/>
        </w:rPr>
      </w:pPr>
    </w:p>
    <w:p w14:paraId="19E76C19">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74636D5">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6C992B5F">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4E18451B">
      <w:pPr>
        <w:spacing w:line="460" w:lineRule="exact"/>
        <w:ind w:firstLine="5060" w:firstLineChars="2300"/>
        <w:rPr>
          <w:rFonts w:hint="eastAsia" w:ascii="宋体" w:hAnsi="宋体" w:eastAsia="宋体" w:cs="宋体"/>
          <w:color w:val="auto"/>
          <w:sz w:val="22"/>
          <w:szCs w:val="22"/>
          <w:highlight w:val="none"/>
        </w:rPr>
      </w:pPr>
    </w:p>
    <w:p w14:paraId="7359615C">
      <w:pPr>
        <w:spacing w:line="460" w:lineRule="exact"/>
        <w:rPr>
          <w:rFonts w:hint="eastAsia" w:ascii="宋体" w:hAnsi="宋体" w:eastAsia="宋体" w:cs="宋体"/>
          <w:color w:val="auto"/>
          <w:sz w:val="22"/>
          <w:szCs w:val="22"/>
          <w:highlight w:val="none"/>
        </w:rPr>
      </w:pPr>
    </w:p>
    <w:p w14:paraId="28788978">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262A346D">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、深化设计</w:t>
      </w:r>
    </w:p>
    <w:p w14:paraId="09A00980">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WZLCZB（W）-2025-07010</w:t>
      </w:r>
    </w:p>
    <w:p w14:paraId="067EECE8">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家具采购</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78D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0AAC7DE">
            <w:pPr>
              <w:spacing w:line="360" w:lineRule="auto"/>
              <w:rPr>
                <w:rFonts w:hint="eastAsia" w:ascii="宋体" w:hAnsi="宋体" w:eastAsia="宋体" w:cs="宋体"/>
                <w:color w:val="auto"/>
                <w:sz w:val="22"/>
                <w:szCs w:val="22"/>
                <w:highlight w:val="none"/>
              </w:rPr>
            </w:pPr>
          </w:p>
        </w:tc>
      </w:tr>
    </w:tbl>
    <w:p w14:paraId="6C30CD01">
      <w:pPr>
        <w:spacing w:line="400" w:lineRule="exact"/>
        <w:ind w:firstLine="4620" w:firstLineChars="2100"/>
        <w:rPr>
          <w:rFonts w:hint="eastAsia" w:ascii="宋体" w:hAnsi="宋体" w:eastAsia="宋体" w:cs="宋体"/>
          <w:color w:val="auto"/>
          <w:sz w:val="22"/>
          <w:szCs w:val="22"/>
          <w:highlight w:val="none"/>
        </w:rPr>
      </w:pPr>
    </w:p>
    <w:p w14:paraId="2BBDDBF1">
      <w:pPr>
        <w:spacing w:line="360" w:lineRule="auto"/>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18B4DF4">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B34E5EC">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5511E15F">
      <w:pPr>
        <w:spacing w:line="460" w:lineRule="exact"/>
        <w:ind w:firstLine="5060" w:firstLineChars="2300"/>
        <w:rPr>
          <w:rFonts w:hint="eastAsia" w:ascii="宋体" w:hAnsi="宋体" w:eastAsia="宋体" w:cs="宋体"/>
          <w:color w:val="auto"/>
          <w:sz w:val="22"/>
          <w:szCs w:val="22"/>
          <w:highlight w:val="none"/>
        </w:rPr>
      </w:pPr>
    </w:p>
    <w:p w14:paraId="112C528B">
      <w:pPr>
        <w:rPr>
          <w:rFonts w:hint="eastAsia" w:ascii="宋体" w:hAnsi="宋体" w:eastAsia="宋体" w:cs="宋体"/>
          <w:color w:val="auto"/>
          <w:highlight w:val="none"/>
        </w:rPr>
      </w:pPr>
    </w:p>
    <w:p w14:paraId="2F721867">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4EA24E3B">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、原材料检测报告</w:t>
      </w:r>
    </w:p>
    <w:p w14:paraId="15A1FC36">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WZLCZB（W）-2025-07010</w:t>
      </w:r>
    </w:p>
    <w:p w14:paraId="5E2AD935">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家具采购</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3D1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35B5180">
            <w:pPr>
              <w:spacing w:line="360" w:lineRule="auto"/>
              <w:rPr>
                <w:rFonts w:hint="eastAsia" w:ascii="宋体" w:hAnsi="宋体" w:eastAsia="宋体" w:cs="宋体"/>
                <w:color w:val="auto"/>
                <w:sz w:val="22"/>
                <w:szCs w:val="22"/>
                <w:highlight w:val="none"/>
              </w:rPr>
            </w:pPr>
          </w:p>
        </w:tc>
      </w:tr>
    </w:tbl>
    <w:p w14:paraId="3656F438">
      <w:pPr>
        <w:pStyle w:val="30"/>
        <w:spacing w:line="400" w:lineRule="atLeast"/>
        <w:rPr>
          <w:rFonts w:hint="eastAsia" w:ascii="宋体" w:hAnsi="宋体" w:eastAsia="宋体" w:cs="宋体"/>
          <w:color w:val="auto"/>
          <w:sz w:val="22"/>
          <w:highlight w:val="none"/>
        </w:rPr>
      </w:pPr>
    </w:p>
    <w:p w14:paraId="01D85FAD">
      <w:pPr>
        <w:pStyle w:val="30"/>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14:paraId="7488F0A5">
      <w:pPr>
        <w:pStyle w:val="30"/>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法定代表人或其授权代表（签字或盖章）：   </w:t>
      </w:r>
    </w:p>
    <w:p w14:paraId="550BE73A">
      <w:pPr>
        <w:pStyle w:val="30"/>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14:paraId="1F1B4BBD">
      <w:pPr>
        <w:jc w:val="both"/>
        <w:rPr>
          <w:rFonts w:hint="eastAsia" w:ascii="宋体" w:hAnsi="宋体" w:eastAsia="宋体" w:cs="宋体"/>
          <w:b/>
          <w:bCs/>
          <w:color w:val="auto"/>
          <w:sz w:val="22"/>
          <w:szCs w:val="22"/>
          <w:highlight w:val="none"/>
        </w:rPr>
      </w:pPr>
    </w:p>
    <w:p w14:paraId="6ACCFA18">
      <w:pPr>
        <w:pStyle w:val="9"/>
        <w:rPr>
          <w:rFonts w:hint="eastAsia" w:ascii="宋体" w:hAnsi="宋体" w:eastAsia="宋体" w:cs="宋体"/>
          <w:bCs/>
          <w:color w:val="auto"/>
          <w:sz w:val="22"/>
          <w:szCs w:val="22"/>
          <w:highlight w:val="none"/>
        </w:rPr>
      </w:pPr>
    </w:p>
    <w:p w14:paraId="7D5A6A57">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6704B86C">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、成品检测报告</w:t>
      </w:r>
    </w:p>
    <w:p w14:paraId="012CED6F">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WZLCZB（W）-2025-07010</w:t>
      </w:r>
    </w:p>
    <w:p w14:paraId="483B70CA">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家具采购</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D25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216F97EE">
            <w:pPr>
              <w:spacing w:line="360" w:lineRule="auto"/>
              <w:rPr>
                <w:rFonts w:hint="eastAsia" w:ascii="宋体" w:hAnsi="宋体" w:eastAsia="宋体" w:cs="宋体"/>
                <w:color w:val="auto"/>
                <w:sz w:val="22"/>
                <w:szCs w:val="22"/>
                <w:highlight w:val="none"/>
              </w:rPr>
            </w:pPr>
          </w:p>
        </w:tc>
      </w:tr>
    </w:tbl>
    <w:p w14:paraId="2F8E7CF5">
      <w:pPr>
        <w:spacing w:line="380" w:lineRule="exact"/>
        <w:rPr>
          <w:rFonts w:hint="eastAsia" w:ascii="宋体" w:hAnsi="宋体" w:eastAsia="宋体" w:cs="宋体"/>
          <w:color w:val="auto"/>
          <w:sz w:val="36"/>
          <w:szCs w:val="36"/>
          <w:highlight w:val="none"/>
        </w:rPr>
      </w:pPr>
    </w:p>
    <w:p w14:paraId="4E0FD033">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0D74FD7">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25733D4">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14:paraId="3B96DF52">
      <w:pPr>
        <w:spacing w:line="380" w:lineRule="exact"/>
        <w:rPr>
          <w:rFonts w:hint="eastAsia" w:ascii="宋体" w:hAnsi="宋体" w:eastAsia="宋体" w:cs="宋体"/>
          <w:b/>
          <w:color w:val="auto"/>
          <w:sz w:val="36"/>
          <w:szCs w:val="36"/>
          <w:highlight w:val="none"/>
        </w:rPr>
      </w:pPr>
    </w:p>
    <w:p w14:paraId="2981BDA9">
      <w:pPr>
        <w:spacing w:line="380" w:lineRule="exact"/>
        <w:rPr>
          <w:rFonts w:hint="eastAsia" w:ascii="宋体" w:hAnsi="宋体" w:eastAsia="宋体" w:cs="宋体"/>
          <w:b/>
          <w:color w:val="auto"/>
          <w:sz w:val="36"/>
          <w:szCs w:val="36"/>
          <w:highlight w:val="none"/>
        </w:rPr>
      </w:pPr>
    </w:p>
    <w:p w14:paraId="3F8D5E2A">
      <w:pPr>
        <w:spacing w:line="380" w:lineRule="exact"/>
        <w:rPr>
          <w:rFonts w:hint="eastAsia" w:ascii="宋体" w:hAnsi="宋体" w:eastAsia="宋体" w:cs="宋体"/>
          <w:b/>
          <w:color w:val="auto"/>
          <w:sz w:val="36"/>
          <w:szCs w:val="36"/>
          <w:highlight w:val="none"/>
        </w:rPr>
      </w:pPr>
    </w:p>
    <w:p w14:paraId="0FF61B2D">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10、履约能力</w:t>
      </w:r>
    </w:p>
    <w:p w14:paraId="2087D9DA">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WZLCZB（W）-2025-07010</w:t>
      </w:r>
    </w:p>
    <w:p w14:paraId="6FB1BA68">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家具采购</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65B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7A257BD">
            <w:pPr>
              <w:spacing w:line="360" w:lineRule="auto"/>
              <w:rPr>
                <w:rFonts w:hint="eastAsia" w:ascii="宋体" w:hAnsi="宋体" w:eastAsia="宋体" w:cs="宋体"/>
                <w:color w:val="auto"/>
                <w:sz w:val="22"/>
                <w:szCs w:val="22"/>
                <w:highlight w:val="none"/>
              </w:rPr>
            </w:pPr>
          </w:p>
        </w:tc>
      </w:tr>
    </w:tbl>
    <w:p w14:paraId="6CD16D94">
      <w:pPr>
        <w:spacing w:line="380" w:lineRule="exact"/>
        <w:rPr>
          <w:rFonts w:hint="eastAsia" w:ascii="宋体" w:hAnsi="宋体" w:eastAsia="宋体" w:cs="宋体"/>
          <w:color w:val="auto"/>
          <w:sz w:val="36"/>
          <w:szCs w:val="36"/>
          <w:highlight w:val="none"/>
        </w:rPr>
      </w:pPr>
    </w:p>
    <w:p w14:paraId="1276DBAD">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954C984">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D2195BC">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color w:val="auto"/>
          <w:sz w:val="22"/>
          <w:szCs w:val="22"/>
          <w:highlight w:val="none"/>
        </w:rPr>
        <w:t>日  期：</w:t>
      </w:r>
    </w:p>
    <w:p w14:paraId="3A0DCA7B">
      <w:pPr>
        <w:rPr>
          <w:rFonts w:hint="eastAsia" w:ascii="宋体" w:hAnsi="宋体" w:eastAsia="宋体" w:cs="宋体"/>
          <w:color w:val="auto"/>
          <w:sz w:val="22"/>
          <w:highlight w:val="none"/>
        </w:rPr>
      </w:pPr>
      <w:r>
        <w:rPr>
          <w:rFonts w:hint="eastAsia" w:ascii="宋体" w:hAnsi="宋体" w:eastAsia="宋体" w:cs="宋体"/>
          <w:b/>
          <w:color w:val="auto"/>
          <w:sz w:val="24"/>
          <w:highlight w:val="none"/>
        </w:rPr>
        <w:br w:type="page"/>
      </w:r>
    </w:p>
    <w:p w14:paraId="2492E27C">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val="en-US" w:eastAsia="zh-CN"/>
        </w:rPr>
        <w:t>、响应方案</w:t>
      </w:r>
    </w:p>
    <w:p w14:paraId="5BE0BCF2">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WZLCZB（W）-2025-07010</w:t>
      </w:r>
    </w:p>
    <w:p w14:paraId="4F0821A2">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家具采购</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8EC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DF7ED82">
            <w:pPr>
              <w:spacing w:line="360" w:lineRule="auto"/>
              <w:rPr>
                <w:rFonts w:hint="eastAsia" w:ascii="宋体" w:hAnsi="宋体" w:eastAsia="宋体" w:cs="宋体"/>
                <w:color w:val="auto"/>
                <w:sz w:val="22"/>
                <w:szCs w:val="22"/>
                <w:highlight w:val="none"/>
              </w:rPr>
            </w:pPr>
          </w:p>
        </w:tc>
      </w:tr>
    </w:tbl>
    <w:p w14:paraId="0CBB9676">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6A60BD2">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6B42D200">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F60F0BA">
      <w:pPr>
        <w:pStyle w:val="30"/>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14:paraId="1F500840">
      <w:pPr>
        <w:spacing w:line="460" w:lineRule="exact"/>
        <w:ind w:firstLine="4400" w:firstLineChars="2000"/>
        <w:rPr>
          <w:rFonts w:hint="eastAsia" w:ascii="宋体" w:hAnsi="宋体" w:eastAsia="宋体" w:cs="宋体"/>
          <w:color w:val="auto"/>
          <w:sz w:val="22"/>
          <w:szCs w:val="22"/>
          <w:highlight w:val="none"/>
        </w:rPr>
      </w:pPr>
    </w:p>
    <w:p w14:paraId="7B6C3E6C">
      <w:pPr>
        <w:spacing w:line="460" w:lineRule="exact"/>
        <w:ind w:firstLine="4400" w:firstLineChars="2000"/>
        <w:rPr>
          <w:rFonts w:hint="eastAsia" w:ascii="宋体" w:hAnsi="宋体" w:eastAsia="宋体" w:cs="宋体"/>
          <w:color w:val="auto"/>
          <w:sz w:val="22"/>
          <w:szCs w:val="22"/>
          <w:highlight w:val="none"/>
        </w:rPr>
      </w:pPr>
    </w:p>
    <w:p w14:paraId="3005E808">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、业绩案列</w:t>
      </w:r>
    </w:p>
    <w:p w14:paraId="4D1E369C">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WZLCZB（W）-2025-07010</w:t>
      </w:r>
    </w:p>
    <w:p w14:paraId="2796056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家具采购</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46FD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9983B7D">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14:paraId="72DE437B">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14:paraId="58FADE8F">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14:paraId="35BCCAED">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14:paraId="14559863">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14:paraId="05722652">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2330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53AAAE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A0C3D6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87E80B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0CEB376">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D81A4F1">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4BFFF6A">
            <w:pPr>
              <w:spacing w:line="380" w:lineRule="exact"/>
              <w:ind w:left="442" w:hanging="442" w:hangingChars="200"/>
              <w:jc w:val="center"/>
              <w:rPr>
                <w:rFonts w:hint="eastAsia" w:ascii="宋体" w:hAnsi="宋体" w:eastAsia="宋体" w:cs="宋体"/>
                <w:b/>
                <w:bCs/>
                <w:color w:val="auto"/>
                <w:sz w:val="22"/>
                <w:szCs w:val="22"/>
                <w:highlight w:val="none"/>
              </w:rPr>
            </w:pPr>
          </w:p>
        </w:tc>
      </w:tr>
      <w:tr w14:paraId="3EC7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811B86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127638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1C2C5856">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993265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7C309A5">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13DBEE1E">
            <w:pPr>
              <w:spacing w:line="380" w:lineRule="exact"/>
              <w:ind w:left="442" w:hanging="442" w:hangingChars="200"/>
              <w:jc w:val="center"/>
              <w:rPr>
                <w:rFonts w:hint="eastAsia" w:ascii="宋体" w:hAnsi="宋体" w:eastAsia="宋体" w:cs="宋体"/>
                <w:b/>
                <w:bCs/>
                <w:color w:val="auto"/>
                <w:sz w:val="22"/>
                <w:szCs w:val="22"/>
                <w:highlight w:val="none"/>
              </w:rPr>
            </w:pPr>
          </w:p>
        </w:tc>
      </w:tr>
      <w:tr w14:paraId="1BEC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FFCE4B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D1B569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1443F7D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41F59A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9D32F1A">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36D5CFA">
            <w:pPr>
              <w:spacing w:line="380" w:lineRule="exact"/>
              <w:ind w:left="442" w:hanging="442" w:hangingChars="200"/>
              <w:jc w:val="center"/>
              <w:rPr>
                <w:rFonts w:hint="eastAsia" w:ascii="宋体" w:hAnsi="宋体" w:eastAsia="宋体" w:cs="宋体"/>
                <w:b/>
                <w:bCs/>
                <w:color w:val="auto"/>
                <w:sz w:val="22"/>
                <w:szCs w:val="22"/>
                <w:highlight w:val="none"/>
              </w:rPr>
            </w:pPr>
          </w:p>
        </w:tc>
      </w:tr>
      <w:tr w14:paraId="36A4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7091897">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5A2B39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92EF50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5C8340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FF06AA7">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98EEB2C">
            <w:pPr>
              <w:spacing w:line="380" w:lineRule="exact"/>
              <w:ind w:left="442" w:hanging="442" w:hangingChars="200"/>
              <w:jc w:val="center"/>
              <w:rPr>
                <w:rFonts w:hint="eastAsia" w:ascii="宋体" w:hAnsi="宋体" w:eastAsia="宋体" w:cs="宋体"/>
                <w:b/>
                <w:bCs/>
                <w:color w:val="auto"/>
                <w:sz w:val="22"/>
                <w:szCs w:val="22"/>
                <w:highlight w:val="none"/>
              </w:rPr>
            </w:pPr>
          </w:p>
        </w:tc>
      </w:tr>
      <w:tr w14:paraId="7CAA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AAC16F8">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367AFF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2FECE5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917B48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BE4611C">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0CDAF81">
            <w:pPr>
              <w:spacing w:line="380" w:lineRule="exact"/>
              <w:ind w:left="442" w:hanging="442" w:hangingChars="200"/>
              <w:jc w:val="center"/>
              <w:rPr>
                <w:rFonts w:hint="eastAsia" w:ascii="宋体" w:hAnsi="宋体" w:eastAsia="宋体" w:cs="宋体"/>
                <w:b/>
                <w:bCs/>
                <w:color w:val="auto"/>
                <w:sz w:val="22"/>
                <w:szCs w:val="22"/>
                <w:highlight w:val="none"/>
              </w:rPr>
            </w:pPr>
          </w:p>
        </w:tc>
      </w:tr>
      <w:tr w14:paraId="0609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1D47EE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2D7FAE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1F96084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CC6D18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0B8B6ED">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193E156F">
            <w:pPr>
              <w:spacing w:line="380" w:lineRule="exact"/>
              <w:ind w:left="442" w:hanging="442" w:hangingChars="200"/>
              <w:jc w:val="center"/>
              <w:rPr>
                <w:rFonts w:hint="eastAsia" w:ascii="宋体" w:hAnsi="宋体" w:eastAsia="宋体" w:cs="宋体"/>
                <w:b/>
                <w:bCs/>
                <w:color w:val="auto"/>
                <w:sz w:val="22"/>
                <w:szCs w:val="22"/>
                <w:highlight w:val="none"/>
              </w:rPr>
            </w:pPr>
          </w:p>
        </w:tc>
      </w:tr>
      <w:tr w14:paraId="6C2C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7ACEEB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8659C5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B2644B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EEE0B9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CB0FADD">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4C33A24">
            <w:pPr>
              <w:spacing w:line="380" w:lineRule="exact"/>
              <w:ind w:left="442" w:hanging="442" w:hangingChars="200"/>
              <w:jc w:val="center"/>
              <w:rPr>
                <w:rFonts w:hint="eastAsia" w:ascii="宋体" w:hAnsi="宋体" w:eastAsia="宋体" w:cs="宋体"/>
                <w:b/>
                <w:bCs/>
                <w:color w:val="auto"/>
                <w:sz w:val="22"/>
                <w:szCs w:val="22"/>
                <w:highlight w:val="none"/>
              </w:rPr>
            </w:pPr>
          </w:p>
        </w:tc>
      </w:tr>
      <w:tr w14:paraId="5E57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5FA63B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FEFC8B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53A3E3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5F3106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393DBC8">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6D78545">
            <w:pPr>
              <w:spacing w:line="380" w:lineRule="exact"/>
              <w:ind w:left="442" w:hanging="442" w:hangingChars="200"/>
              <w:jc w:val="center"/>
              <w:rPr>
                <w:rFonts w:hint="eastAsia" w:ascii="宋体" w:hAnsi="宋体" w:eastAsia="宋体" w:cs="宋体"/>
                <w:b/>
                <w:bCs/>
                <w:color w:val="auto"/>
                <w:sz w:val="22"/>
                <w:szCs w:val="22"/>
                <w:highlight w:val="none"/>
              </w:rPr>
            </w:pPr>
          </w:p>
        </w:tc>
      </w:tr>
      <w:tr w14:paraId="245A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CB24EA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F4CD61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36DFF7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BDE4FC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7070DBC">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BB1F7F6">
            <w:pPr>
              <w:spacing w:line="380" w:lineRule="exact"/>
              <w:ind w:left="442" w:hanging="442" w:hangingChars="200"/>
              <w:jc w:val="center"/>
              <w:rPr>
                <w:rFonts w:hint="eastAsia" w:ascii="宋体" w:hAnsi="宋体" w:eastAsia="宋体" w:cs="宋体"/>
                <w:b/>
                <w:bCs/>
                <w:color w:val="auto"/>
                <w:sz w:val="22"/>
                <w:szCs w:val="22"/>
                <w:highlight w:val="none"/>
              </w:rPr>
            </w:pPr>
          </w:p>
        </w:tc>
      </w:tr>
      <w:tr w14:paraId="416A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56A3768">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DAAF90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FDFBB4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E3B5E7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9F4D318">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30312B6B">
            <w:pPr>
              <w:spacing w:line="380" w:lineRule="exact"/>
              <w:ind w:left="442" w:hanging="442" w:hangingChars="200"/>
              <w:jc w:val="center"/>
              <w:rPr>
                <w:rFonts w:hint="eastAsia" w:ascii="宋体" w:hAnsi="宋体" w:eastAsia="宋体" w:cs="宋体"/>
                <w:b/>
                <w:bCs/>
                <w:color w:val="auto"/>
                <w:sz w:val="22"/>
                <w:szCs w:val="22"/>
                <w:highlight w:val="none"/>
              </w:rPr>
            </w:pPr>
          </w:p>
        </w:tc>
      </w:tr>
      <w:tr w14:paraId="6106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0ADD081">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0783B5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176638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6F066F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B617249">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7104A9A">
            <w:pPr>
              <w:spacing w:line="380" w:lineRule="exact"/>
              <w:ind w:left="442" w:hanging="442" w:hangingChars="200"/>
              <w:jc w:val="center"/>
              <w:rPr>
                <w:rFonts w:hint="eastAsia" w:ascii="宋体" w:hAnsi="宋体" w:eastAsia="宋体" w:cs="宋体"/>
                <w:b/>
                <w:bCs/>
                <w:color w:val="auto"/>
                <w:sz w:val="22"/>
                <w:szCs w:val="22"/>
                <w:highlight w:val="none"/>
              </w:rPr>
            </w:pPr>
          </w:p>
        </w:tc>
      </w:tr>
      <w:tr w14:paraId="7600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9B30841">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091236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1453CAA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F5E1B8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9122B88">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ACFE9CF">
            <w:pPr>
              <w:spacing w:line="380" w:lineRule="exact"/>
              <w:ind w:left="442" w:hanging="442" w:hangingChars="200"/>
              <w:jc w:val="center"/>
              <w:rPr>
                <w:rFonts w:hint="eastAsia" w:ascii="宋体" w:hAnsi="宋体" w:eastAsia="宋体" w:cs="宋体"/>
                <w:b/>
                <w:bCs/>
                <w:color w:val="auto"/>
                <w:sz w:val="22"/>
                <w:szCs w:val="22"/>
                <w:highlight w:val="none"/>
              </w:rPr>
            </w:pPr>
          </w:p>
        </w:tc>
      </w:tr>
      <w:tr w14:paraId="6339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6895CB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FDA38A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CA42EA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C7BBD0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E53D38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AF6ABCC">
            <w:pPr>
              <w:spacing w:line="380" w:lineRule="exact"/>
              <w:ind w:left="442" w:hanging="442" w:hangingChars="200"/>
              <w:jc w:val="center"/>
              <w:rPr>
                <w:rFonts w:hint="eastAsia" w:ascii="宋体" w:hAnsi="宋体" w:eastAsia="宋体" w:cs="宋体"/>
                <w:b/>
                <w:bCs/>
                <w:color w:val="auto"/>
                <w:sz w:val="22"/>
                <w:szCs w:val="22"/>
                <w:highlight w:val="none"/>
              </w:rPr>
            </w:pPr>
          </w:p>
        </w:tc>
      </w:tr>
      <w:tr w14:paraId="1E51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BA5A3C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05BD9CD">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66FF75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687C7C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36F6623">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CD196F3">
            <w:pPr>
              <w:spacing w:line="380" w:lineRule="exact"/>
              <w:ind w:left="442" w:hanging="442" w:hangingChars="200"/>
              <w:jc w:val="center"/>
              <w:rPr>
                <w:rFonts w:hint="eastAsia" w:ascii="宋体" w:hAnsi="宋体" w:eastAsia="宋体" w:cs="宋体"/>
                <w:b/>
                <w:bCs/>
                <w:color w:val="auto"/>
                <w:sz w:val="22"/>
                <w:szCs w:val="22"/>
                <w:highlight w:val="none"/>
              </w:rPr>
            </w:pPr>
          </w:p>
        </w:tc>
      </w:tr>
    </w:tbl>
    <w:p w14:paraId="31B8D4F9">
      <w:pPr>
        <w:spacing w:line="460" w:lineRule="exact"/>
        <w:rPr>
          <w:rFonts w:hint="eastAsia" w:ascii="宋体" w:hAnsi="宋体" w:eastAsia="宋体" w:cs="宋体"/>
          <w:color w:val="auto"/>
          <w:sz w:val="22"/>
          <w:szCs w:val="22"/>
          <w:highlight w:val="none"/>
        </w:rPr>
      </w:pPr>
    </w:p>
    <w:p w14:paraId="2580628F">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57599FB1">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54CA9981">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14:paraId="2F8AA520">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B808434">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、节能环保</w:t>
      </w:r>
    </w:p>
    <w:p w14:paraId="7D31BD68">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WZLCZB（W）-2025-07010</w:t>
      </w:r>
    </w:p>
    <w:p w14:paraId="18C42D85">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家具采购</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539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908F9DF">
            <w:pPr>
              <w:spacing w:line="360" w:lineRule="auto"/>
              <w:rPr>
                <w:rFonts w:hint="eastAsia" w:ascii="宋体" w:hAnsi="宋体" w:eastAsia="宋体" w:cs="宋体"/>
                <w:color w:val="auto"/>
                <w:sz w:val="22"/>
                <w:szCs w:val="22"/>
                <w:highlight w:val="none"/>
              </w:rPr>
            </w:pPr>
          </w:p>
        </w:tc>
      </w:tr>
    </w:tbl>
    <w:p w14:paraId="6786CE1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E23E28A">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1DEF0D27">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3488175">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14:paraId="5B7B47E3">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11BCC4A">
      <w:pPr>
        <w:rPr>
          <w:rFonts w:hint="eastAsia" w:ascii="宋体" w:hAnsi="宋体" w:eastAsia="宋体" w:cs="宋体"/>
          <w:b/>
          <w:color w:val="auto"/>
          <w:sz w:val="24"/>
          <w:highlight w:val="none"/>
        </w:rPr>
      </w:pPr>
    </w:p>
    <w:p w14:paraId="193CD923">
      <w:pPr>
        <w:pStyle w:val="21"/>
        <w:rPr>
          <w:rFonts w:hint="eastAsia"/>
          <w:color w:val="auto"/>
          <w:highlight w:val="none"/>
        </w:rPr>
        <w:sectPr>
          <w:pgSz w:w="11906" w:h="16838"/>
          <w:pgMar w:top="1134" w:right="1134" w:bottom="1134" w:left="1134" w:header="850" w:footer="992" w:gutter="0"/>
          <w:cols w:space="720" w:num="1"/>
          <w:docGrid w:type="lines" w:linePitch="321" w:charSpace="0"/>
        </w:sectPr>
      </w:pPr>
    </w:p>
    <w:p w14:paraId="3475B672">
      <w:pPr>
        <w:pStyle w:val="4"/>
        <w:numPr>
          <w:ilvl w:val="0"/>
          <w:numId w:val="4"/>
        </w:numPr>
        <w:bidi w:val="0"/>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41" w:name="_Toc3381"/>
      <w:bookmarkStart w:id="42" w:name="_Toc10142"/>
      <w:bookmarkStart w:id="43" w:name="_Toc221356895"/>
      <w:bookmarkStart w:id="44" w:name="_Toc221356958"/>
      <w:r>
        <w:rPr>
          <w:rFonts w:hint="eastAsia" w:ascii="宋体" w:hAnsi="宋体" w:eastAsia="宋体" w:cs="宋体"/>
          <w:color w:val="auto"/>
          <w:highlight w:val="none"/>
        </w:rPr>
        <w:t>项目技术规范和服务要求</w:t>
      </w:r>
      <w:bookmarkEnd w:id="41"/>
      <w:bookmarkEnd w:id="42"/>
    </w:p>
    <w:bookmarkEnd w:id="43"/>
    <w:bookmarkEnd w:id="44"/>
    <w:p w14:paraId="18508F44">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eastAsia="宋体"/>
          <w:b/>
          <w:bCs/>
          <w:color w:val="auto"/>
          <w:sz w:val="22"/>
          <w:szCs w:val="22"/>
          <w:highlight w:val="none"/>
        </w:rPr>
      </w:pPr>
      <w:bookmarkStart w:id="45" w:name="_Toc295828964"/>
      <w:bookmarkStart w:id="46" w:name="_Toc157410883"/>
      <w:bookmarkStart w:id="47" w:name="_Toc496101312"/>
      <w:bookmarkStart w:id="48" w:name="_Toc498186719"/>
      <w:bookmarkStart w:id="49" w:name="_Toc23050423"/>
      <w:bookmarkStart w:id="50" w:name="_Toc495651839"/>
      <w:bookmarkStart w:id="51" w:name="_Toc23050833"/>
      <w:bookmarkStart w:id="52" w:name="_Toc497300733"/>
      <w:bookmarkStart w:id="53" w:name="_Toc23050625"/>
      <w:bookmarkStart w:id="54" w:name="_Toc498199476"/>
      <w:bookmarkStart w:id="55" w:name="_Toc496101575"/>
      <w:bookmarkStart w:id="56" w:name="_Toc201920298"/>
      <w:bookmarkStart w:id="57" w:name="_Toc40594931"/>
      <w:bookmarkStart w:id="58" w:name="_Toc282690445"/>
      <w:bookmarkStart w:id="59" w:name="_Toc496256263"/>
      <w:bookmarkStart w:id="60" w:name="_Toc40266002"/>
      <w:bookmarkStart w:id="61" w:name="_Toc23050562"/>
      <w:bookmarkStart w:id="62" w:name="_Toc497300664"/>
      <w:bookmarkStart w:id="63" w:name="_Toc498186820"/>
      <w:bookmarkStart w:id="64" w:name="_Toc51996430"/>
      <w:bookmarkStart w:id="65" w:name="_Toc496257825"/>
      <w:bookmarkStart w:id="66" w:name="_Toc495660084"/>
      <w:bookmarkStart w:id="67" w:name="_Toc497307615"/>
      <w:bookmarkStart w:id="68" w:name="_Toc441051461"/>
      <w:r>
        <w:rPr>
          <w:rFonts w:hint="eastAsia" w:ascii="宋体" w:eastAsia="宋体"/>
          <w:b/>
          <w:bCs/>
          <w:color w:val="auto"/>
          <w:sz w:val="22"/>
          <w:szCs w:val="22"/>
          <w:highlight w:val="none"/>
        </w:rPr>
        <w:t>一、采购总说明</w:t>
      </w:r>
      <w:bookmarkEnd w:id="45"/>
    </w:p>
    <w:p w14:paraId="1736D565">
      <w:pPr>
        <w:keepNext w:val="0"/>
        <w:keepLines w:val="0"/>
        <w:pageBreakBefore w:val="0"/>
        <w:widowControl/>
        <w:kinsoku/>
        <w:wordWrap/>
        <w:overflowPunct/>
        <w:topLinePunct w:val="0"/>
        <w:autoSpaceDE w:val="0"/>
        <w:autoSpaceDN w:val="0"/>
        <w:bidi w:val="0"/>
        <w:adjustRightInd w:val="0"/>
        <w:snapToGrid/>
        <w:spacing w:line="460" w:lineRule="exac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1、本技术规范要求提出的是最低限度的基本技术要求，并未对所有技术细节作出规定，供应商应提供符合本技术要求和国家标准、行业标准的优质产品。</w:t>
      </w:r>
    </w:p>
    <w:p w14:paraId="21712C4E">
      <w:pPr>
        <w:keepNext w:val="0"/>
        <w:keepLines w:val="0"/>
        <w:pageBreakBefore w:val="0"/>
        <w:widowControl/>
        <w:kinsoku/>
        <w:wordWrap/>
        <w:overflowPunct/>
        <w:topLinePunct w:val="0"/>
        <w:autoSpaceDE w:val="0"/>
        <w:autoSpaceDN w:val="0"/>
        <w:bidi w:val="0"/>
        <w:adjustRightInd w:val="0"/>
        <w:snapToGrid/>
        <w:spacing w:line="460" w:lineRule="exac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2、</w:t>
      </w:r>
      <w:r>
        <w:rPr>
          <w:rFonts w:hint="eastAsia" w:ascii="宋体" w:eastAsia="宋体"/>
          <w:b w:val="0"/>
          <w:color w:val="auto"/>
          <w:sz w:val="22"/>
          <w:highlight w:val="none"/>
          <w:lang w:eastAsia="zh-CN"/>
        </w:rPr>
        <w:t>投标人</w:t>
      </w:r>
      <w:r>
        <w:rPr>
          <w:rFonts w:hint="eastAsia" w:ascii="宋体" w:eastAsia="宋体"/>
          <w:b w:val="0"/>
          <w:color w:val="auto"/>
          <w:sz w:val="22"/>
          <w:highlight w:val="none"/>
        </w:rPr>
        <w:t>产品与本技术要求不一致时，</w:t>
      </w:r>
      <w:r>
        <w:rPr>
          <w:rFonts w:hint="eastAsia" w:ascii="宋体" w:eastAsia="宋体"/>
          <w:b w:val="0"/>
          <w:color w:val="auto"/>
          <w:sz w:val="22"/>
          <w:highlight w:val="none"/>
          <w:lang w:eastAsia="zh-CN"/>
        </w:rPr>
        <w:t>投标人</w:t>
      </w:r>
      <w:r>
        <w:rPr>
          <w:rFonts w:hint="eastAsia" w:ascii="宋体" w:eastAsia="宋体"/>
          <w:b w:val="0"/>
          <w:color w:val="auto"/>
          <w:sz w:val="22"/>
          <w:highlight w:val="none"/>
        </w:rPr>
        <w:t>应在投标文件中予以说明，并由评标委员会鉴定</w:t>
      </w:r>
      <w:r>
        <w:rPr>
          <w:rFonts w:hint="eastAsia" w:ascii="宋体" w:eastAsia="宋体"/>
          <w:b w:val="0"/>
          <w:color w:val="auto"/>
          <w:sz w:val="22"/>
          <w:highlight w:val="none"/>
          <w:lang w:eastAsia="zh-CN"/>
        </w:rPr>
        <w:t>投标人</w:t>
      </w:r>
      <w:r>
        <w:rPr>
          <w:rFonts w:hint="eastAsia" w:ascii="宋体" w:eastAsia="宋体"/>
          <w:b w:val="0"/>
          <w:color w:val="auto"/>
          <w:sz w:val="22"/>
          <w:highlight w:val="none"/>
        </w:rPr>
        <w:t>产品能否达到要求。如</w:t>
      </w:r>
      <w:r>
        <w:rPr>
          <w:rFonts w:hint="eastAsia" w:ascii="宋体" w:eastAsia="宋体"/>
          <w:b w:val="0"/>
          <w:color w:val="auto"/>
          <w:sz w:val="22"/>
          <w:highlight w:val="none"/>
          <w:lang w:eastAsia="zh-CN"/>
        </w:rPr>
        <w:t>投标人</w:t>
      </w:r>
      <w:r>
        <w:rPr>
          <w:rFonts w:hint="eastAsia" w:ascii="宋体" w:eastAsia="宋体"/>
          <w:b w:val="0"/>
          <w:color w:val="auto"/>
          <w:sz w:val="22"/>
          <w:highlight w:val="none"/>
        </w:rPr>
        <w:t>没有在投标文件中提出异议，则视为</w:t>
      </w:r>
      <w:r>
        <w:rPr>
          <w:rFonts w:hint="eastAsia" w:ascii="宋体" w:eastAsia="宋体"/>
          <w:b w:val="0"/>
          <w:color w:val="auto"/>
          <w:sz w:val="22"/>
          <w:highlight w:val="none"/>
          <w:lang w:eastAsia="zh-CN"/>
        </w:rPr>
        <w:t>投标人</w:t>
      </w:r>
      <w:r>
        <w:rPr>
          <w:rFonts w:hint="eastAsia" w:ascii="宋体" w:eastAsia="宋体"/>
          <w:b w:val="0"/>
          <w:color w:val="auto"/>
          <w:sz w:val="22"/>
          <w:highlight w:val="none"/>
        </w:rPr>
        <w:t>提供的产品完全按照本招标文件要求。</w:t>
      </w:r>
    </w:p>
    <w:p w14:paraId="79134FA9">
      <w:pPr>
        <w:keepNext w:val="0"/>
        <w:keepLines w:val="0"/>
        <w:pageBreakBefore w:val="0"/>
        <w:widowControl/>
        <w:kinsoku/>
        <w:wordWrap/>
        <w:overflowPunct/>
        <w:topLinePunct w:val="0"/>
        <w:autoSpaceDE w:val="0"/>
        <w:autoSpaceDN w:val="0"/>
        <w:bidi w:val="0"/>
        <w:adjustRightInd w:val="0"/>
        <w:snapToGrid/>
        <w:spacing w:line="460" w:lineRule="exac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lang w:val="en-US" w:eastAsia="zh-CN"/>
        </w:rPr>
        <w:t>3</w:t>
      </w:r>
      <w:r>
        <w:rPr>
          <w:rFonts w:hint="eastAsia" w:ascii="宋体" w:eastAsia="宋体"/>
          <w:b w:val="0"/>
          <w:color w:val="auto"/>
          <w:sz w:val="22"/>
          <w:highlight w:val="none"/>
        </w:rPr>
        <w:t>、技术要求及标准的执行</w:t>
      </w:r>
      <w:r>
        <w:rPr>
          <w:rFonts w:hint="eastAsia" w:ascii="宋体" w:eastAsia="宋体"/>
          <w:b w:val="0"/>
          <w:color w:val="auto"/>
          <w:sz w:val="22"/>
          <w:highlight w:val="none"/>
          <w:lang w:eastAsia="zh-CN"/>
        </w:rPr>
        <w:t>：投标人</w:t>
      </w:r>
      <w:r>
        <w:rPr>
          <w:rFonts w:hint="eastAsia" w:ascii="宋体" w:eastAsia="宋体"/>
          <w:b w:val="0"/>
          <w:color w:val="auto"/>
          <w:sz w:val="22"/>
          <w:highlight w:val="none"/>
        </w:rPr>
        <w:t>提供的产品投标明确所执行的质量标准，若同一标准已颁发新标准，则按最新标准执行。若同一产品同时有几个标准（国际标准、国家标准、行业标准、企业标准等），则按最高层次的标准执行。</w:t>
      </w:r>
    </w:p>
    <w:bookmarkEnd w:id="46"/>
    <w:p w14:paraId="6BF0BCFE">
      <w:pPr>
        <w:keepNext w:val="0"/>
        <w:keepLines w:val="0"/>
        <w:pageBreakBefore w:val="0"/>
        <w:numPr>
          <w:ilvl w:val="0"/>
          <w:numId w:val="0"/>
        </w:numPr>
        <w:kinsoku/>
        <w:wordWrap/>
        <w:overflowPunct/>
        <w:topLinePunct w:val="0"/>
        <w:bidi w:val="0"/>
        <w:snapToGrid/>
        <w:spacing w:line="460" w:lineRule="exact"/>
        <w:ind w:firstLine="440" w:firstLineChars="200"/>
        <w:rPr>
          <w:rFonts w:hint="eastAsia" w:ascii="宋体" w:eastAsia="宋体"/>
          <w:b w:val="0"/>
          <w:bCs w:val="0"/>
          <w:color w:val="auto"/>
          <w:sz w:val="22"/>
          <w:szCs w:val="22"/>
          <w:highlight w:val="none"/>
        </w:rPr>
      </w:pPr>
      <w:r>
        <w:rPr>
          <w:rFonts w:hint="eastAsia" w:ascii="宋体" w:eastAsia="宋体" w:cs="Times New Roman"/>
          <w:b w:val="0"/>
          <w:bCs w:val="0"/>
          <w:color w:val="auto"/>
          <w:kern w:val="2"/>
          <w:sz w:val="22"/>
          <w:szCs w:val="22"/>
          <w:highlight w:val="none"/>
          <w:lang w:val="en-US" w:eastAsia="zh-CN" w:bidi="ar-SA"/>
        </w:rPr>
        <w:t>4</w:t>
      </w:r>
      <w:r>
        <w:rPr>
          <w:rFonts w:hint="eastAsia" w:ascii="宋体" w:hAnsi="Times New Roman" w:eastAsia="宋体" w:cs="Times New Roman"/>
          <w:b w:val="0"/>
          <w:bCs w:val="0"/>
          <w:color w:val="auto"/>
          <w:kern w:val="2"/>
          <w:sz w:val="22"/>
          <w:szCs w:val="22"/>
          <w:highlight w:val="none"/>
          <w:lang w:val="en-US" w:eastAsia="zh-CN" w:bidi="ar-SA"/>
        </w:rPr>
        <w:t>、</w:t>
      </w:r>
      <w:r>
        <w:rPr>
          <w:rFonts w:hint="eastAsia" w:ascii="宋体" w:eastAsia="宋体"/>
          <w:b w:val="0"/>
          <w:color w:val="auto"/>
          <w:sz w:val="22"/>
          <w:szCs w:val="22"/>
          <w:highlight w:val="none"/>
          <w:lang w:eastAsia="zh-CN"/>
        </w:rPr>
        <w:t>投标人</w:t>
      </w:r>
      <w:r>
        <w:rPr>
          <w:rFonts w:hint="eastAsia" w:ascii="宋体" w:eastAsia="宋体"/>
          <w:b w:val="0"/>
          <w:color w:val="auto"/>
          <w:sz w:val="22"/>
          <w:szCs w:val="22"/>
          <w:highlight w:val="none"/>
        </w:rPr>
        <w:t>须按国家有关规定及标准完成本次采购产品的供货、运输、装卸、就位、安装、调试、技术培训、检验、通过有关部门验收、维保期服务、产品终身维修等各项工作，并保证投标产品使用的安全性能与检测结果的可靠性。</w:t>
      </w:r>
      <w:r>
        <w:rPr>
          <w:rFonts w:hint="eastAsia" w:ascii="宋体" w:eastAsia="宋体"/>
          <w:b w:val="0"/>
          <w:bCs w:val="0"/>
          <w:color w:val="auto"/>
          <w:sz w:val="22"/>
          <w:szCs w:val="22"/>
          <w:highlight w:val="none"/>
        </w:rPr>
        <w:t>如中标，中标</w:t>
      </w:r>
      <w:r>
        <w:rPr>
          <w:rFonts w:hint="eastAsia" w:ascii="宋体" w:eastAsia="宋体"/>
          <w:b w:val="0"/>
          <w:bCs w:val="0"/>
          <w:color w:val="auto"/>
          <w:sz w:val="22"/>
          <w:szCs w:val="22"/>
          <w:highlight w:val="none"/>
          <w:lang w:eastAsia="zh-CN"/>
        </w:rPr>
        <w:t>人</w:t>
      </w:r>
      <w:r>
        <w:rPr>
          <w:rFonts w:hint="eastAsia" w:ascii="宋体" w:eastAsia="宋体"/>
          <w:b w:val="0"/>
          <w:bCs w:val="0"/>
          <w:color w:val="auto"/>
          <w:sz w:val="22"/>
          <w:szCs w:val="22"/>
          <w:highlight w:val="none"/>
        </w:rPr>
        <w:t>及制造商对中标产品使用的安全性能与可靠性负全部责任。中标</w:t>
      </w:r>
      <w:r>
        <w:rPr>
          <w:rFonts w:hint="eastAsia" w:ascii="宋体" w:eastAsia="宋体"/>
          <w:b w:val="0"/>
          <w:bCs w:val="0"/>
          <w:color w:val="auto"/>
          <w:sz w:val="22"/>
          <w:szCs w:val="22"/>
          <w:highlight w:val="none"/>
          <w:lang w:eastAsia="zh-CN"/>
        </w:rPr>
        <w:t>人</w:t>
      </w:r>
      <w:r>
        <w:rPr>
          <w:rFonts w:hint="eastAsia" w:ascii="宋体" w:eastAsia="宋体"/>
          <w:b w:val="0"/>
          <w:bCs w:val="0"/>
          <w:color w:val="auto"/>
          <w:sz w:val="22"/>
          <w:szCs w:val="22"/>
          <w:highlight w:val="none"/>
        </w:rPr>
        <w:t>须随产品提供使用说明书与维保卡。</w:t>
      </w:r>
      <w:r>
        <w:rPr>
          <w:rFonts w:hint="eastAsia" w:ascii="宋体" w:eastAsia="宋体"/>
          <w:b w:val="0"/>
          <w:bCs w:val="0"/>
          <w:color w:val="auto"/>
          <w:sz w:val="22"/>
          <w:szCs w:val="22"/>
          <w:highlight w:val="none"/>
          <w:lang w:val="en-US" w:eastAsia="zh-CN"/>
        </w:rPr>
        <w:t>投标</w:t>
      </w:r>
      <w:r>
        <w:rPr>
          <w:rFonts w:hint="eastAsia" w:ascii="宋体" w:eastAsia="宋体"/>
          <w:b w:val="0"/>
          <w:bCs w:val="0"/>
          <w:color w:val="auto"/>
          <w:sz w:val="22"/>
          <w:szCs w:val="22"/>
          <w:highlight w:val="none"/>
          <w:lang w:eastAsia="zh-CN"/>
        </w:rPr>
        <w:t>人</w:t>
      </w:r>
      <w:r>
        <w:rPr>
          <w:rFonts w:hint="eastAsia" w:ascii="宋体" w:eastAsia="宋体"/>
          <w:b w:val="0"/>
          <w:color w:val="auto"/>
          <w:sz w:val="22"/>
          <w:szCs w:val="22"/>
          <w:highlight w:val="none"/>
        </w:rPr>
        <w:t>提供相关数据与说明，</w:t>
      </w:r>
      <w:r>
        <w:rPr>
          <w:rFonts w:hint="eastAsia" w:ascii="宋体" w:eastAsia="宋体"/>
          <w:b w:val="0"/>
          <w:bCs w:val="0"/>
          <w:color w:val="auto"/>
          <w:sz w:val="22"/>
          <w:szCs w:val="22"/>
          <w:highlight w:val="none"/>
        </w:rPr>
        <w:t>投标文件须对下列要求作出实质性回应。</w:t>
      </w:r>
    </w:p>
    <w:p w14:paraId="7CD91736">
      <w:pPr>
        <w:keepNext w:val="0"/>
        <w:keepLines w:val="0"/>
        <w:pageBreakBefore w:val="0"/>
        <w:numPr>
          <w:ilvl w:val="0"/>
          <w:numId w:val="0"/>
        </w:numPr>
        <w:kinsoku/>
        <w:wordWrap/>
        <w:overflowPunct/>
        <w:topLinePunct w:val="0"/>
        <w:bidi w:val="0"/>
        <w:snapToGrid/>
        <w:spacing w:line="460" w:lineRule="exact"/>
        <w:ind w:firstLine="440" w:firstLineChars="200"/>
        <w:rPr>
          <w:rFonts w:hint="eastAsia" w:ascii="宋体" w:eastAsia="宋体"/>
          <w:b w:val="0"/>
          <w:bCs w:val="0"/>
          <w:color w:val="auto"/>
          <w:sz w:val="22"/>
          <w:szCs w:val="22"/>
          <w:highlight w:val="none"/>
          <w:u w:val="single"/>
        </w:rPr>
      </w:pPr>
      <w:r>
        <w:rPr>
          <w:rFonts w:hint="eastAsia" w:ascii="宋体"/>
          <w:b w:val="0"/>
          <w:bCs w:val="0"/>
          <w:color w:val="auto"/>
          <w:sz w:val="22"/>
          <w:szCs w:val="22"/>
          <w:highlight w:val="none"/>
          <w:u w:val="single"/>
          <w:lang w:val="en-US" w:eastAsia="zh-CN"/>
        </w:rPr>
        <w:t>5、</w:t>
      </w:r>
      <w:r>
        <w:rPr>
          <w:rFonts w:hint="eastAsia" w:ascii="宋体" w:eastAsia="宋体"/>
          <w:b w:val="0"/>
          <w:bCs w:val="0"/>
          <w:color w:val="auto"/>
          <w:sz w:val="22"/>
          <w:szCs w:val="22"/>
          <w:highlight w:val="none"/>
          <w:u w:val="single"/>
        </w:rPr>
        <w:t>以</w:t>
      </w:r>
      <w:r>
        <w:rPr>
          <w:rFonts w:hint="eastAsia" w:ascii="宋体"/>
          <w:b w:val="0"/>
          <w:bCs w:val="0"/>
          <w:color w:val="auto"/>
          <w:sz w:val="22"/>
          <w:szCs w:val="22"/>
          <w:highlight w:val="none"/>
          <w:u w:val="single"/>
          <w:lang w:val="en-US" w:eastAsia="zh-CN"/>
        </w:rPr>
        <w:t>下</w:t>
      </w:r>
      <w:r>
        <w:rPr>
          <w:rFonts w:hint="eastAsia" w:ascii="宋体" w:eastAsia="宋体"/>
          <w:b w:val="0"/>
          <w:bCs w:val="0"/>
          <w:color w:val="auto"/>
          <w:sz w:val="22"/>
          <w:szCs w:val="22"/>
          <w:highlight w:val="none"/>
          <w:u w:val="single"/>
        </w:rPr>
        <w:t>设备</w:t>
      </w:r>
      <w:r>
        <w:rPr>
          <w:rFonts w:hint="eastAsia" w:ascii="宋体"/>
          <w:b w:val="0"/>
          <w:bCs w:val="0"/>
          <w:color w:val="auto"/>
          <w:sz w:val="22"/>
          <w:szCs w:val="22"/>
          <w:highlight w:val="none"/>
          <w:u w:val="single"/>
          <w:lang w:val="en-US" w:eastAsia="zh-CN"/>
        </w:rPr>
        <w:t>产品</w:t>
      </w:r>
      <w:r>
        <w:rPr>
          <w:rFonts w:hint="eastAsia" w:ascii="宋体" w:eastAsia="宋体"/>
          <w:b w:val="0"/>
          <w:bCs w:val="0"/>
          <w:color w:val="auto"/>
          <w:sz w:val="22"/>
          <w:szCs w:val="22"/>
          <w:highlight w:val="none"/>
          <w:u w:val="single"/>
        </w:rPr>
        <w:t>如无特别注明的均为制造厂出厂的标准配置。投标人可根据以</w:t>
      </w:r>
      <w:r>
        <w:rPr>
          <w:rFonts w:hint="eastAsia" w:ascii="宋体"/>
          <w:b w:val="0"/>
          <w:bCs w:val="0"/>
          <w:color w:val="auto"/>
          <w:sz w:val="22"/>
          <w:szCs w:val="22"/>
          <w:highlight w:val="none"/>
          <w:u w:val="single"/>
          <w:lang w:val="en-US" w:eastAsia="zh-CN"/>
        </w:rPr>
        <w:t>下</w:t>
      </w:r>
      <w:r>
        <w:rPr>
          <w:rFonts w:hint="eastAsia" w:ascii="宋体" w:eastAsia="宋体"/>
          <w:b w:val="0"/>
          <w:bCs w:val="0"/>
          <w:color w:val="auto"/>
          <w:sz w:val="22"/>
          <w:szCs w:val="22"/>
          <w:highlight w:val="none"/>
          <w:u w:val="single"/>
        </w:rPr>
        <w:t>所列设备</w:t>
      </w:r>
      <w:r>
        <w:rPr>
          <w:rFonts w:hint="eastAsia" w:ascii="宋体"/>
          <w:b w:val="0"/>
          <w:bCs w:val="0"/>
          <w:color w:val="auto"/>
          <w:sz w:val="22"/>
          <w:szCs w:val="22"/>
          <w:highlight w:val="none"/>
          <w:u w:val="single"/>
          <w:lang w:val="en-US" w:eastAsia="zh-CN"/>
        </w:rPr>
        <w:t>产品</w:t>
      </w:r>
      <w:r>
        <w:rPr>
          <w:rFonts w:hint="eastAsia" w:ascii="宋体" w:eastAsia="宋体"/>
          <w:b w:val="0"/>
          <w:bCs w:val="0"/>
          <w:color w:val="auto"/>
          <w:sz w:val="22"/>
          <w:szCs w:val="22"/>
          <w:highlight w:val="none"/>
          <w:u w:val="single"/>
        </w:rPr>
        <w:t>的技术配置及技术性能要求作为参考选用投标产品，但所选投标产品的技术配置及技术性能应相当于或高于招标文件要求，并满足采购需求，否则将可能作出对投标人不利的评定。</w:t>
      </w:r>
    </w:p>
    <w:p w14:paraId="07C2058B">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Style w:val="341"/>
          <w:rFonts w:hint="eastAsia"/>
          <w:b/>
          <w:bCs/>
          <w:color w:val="auto"/>
          <w:sz w:val="24"/>
          <w:highlight w:val="none"/>
        </w:rPr>
      </w:pPr>
      <w:r>
        <w:rPr>
          <w:rFonts w:hint="eastAsia" w:ascii="宋体" w:hAnsi="Times New Roman" w:eastAsia="宋体" w:cs="Times New Roman"/>
          <w:b/>
          <w:bCs/>
          <w:color w:val="auto"/>
          <w:sz w:val="22"/>
          <w:szCs w:val="22"/>
          <w:highlight w:val="none"/>
          <w:lang w:val="en-US" w:eastAsia="zh-CN"/>
        </w:rPr>
        <w:t>二、采购清单</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70E230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宋体" w:hAnsi="Times New Roman" w:eastAsia="宋体" w:cs="Times New Roman"/>
          <w:b w:val="0"/>
          <w:color w:val="auto"/>
          <w:sz w:val="22"/>
          <w:szCs w:val="22"/>
          <w:highlight w:val="none"/>
          <w:lang w:val="en-US" w:eastAsia="zh-CN"/>
        </w:rPr>
      </w:pPr>
      <w:r>
        <w:rPr>
          <w:rFonts w:hint="eastAsia" w:ascii="宋体" w:hAnsi="Times New Roman" w:eastAsia="宋体" w:cs="Times New Roman"/>
          <w:b w:val="0"/>
          <w:color w:val="auto"/>
          <w:sz w:val="22"/>
          <w:szCs w:val="22"/>
          <w:highlight w:val="none"/>
          <w:lang w:val="en-US"/>
        </w:rPr>
        <w:t>详见附件清单</w:t>
      </w:r>
      <w:r>
        <w:rPr>
          <w:rFonts w:hint="eastAsia" w:ascii="宋体" w:hAnsi="Times New Roman" w:eastAsia="宋体" w:cs="Times New Roman"/>
          <w:b w:val="0"/>
          <w:color w:val="auto"/>
          <w:sz w:val="22"/>
          <w:szCs w:val="22"/>
          <w:highlight w:val="none"/>
          <w:lang w:val="en-US" w:eastAsia="zh-CN"/>
        </w:rPr>
        <w:t>。</w:t>
      </w:r>
    </w:p>
    <w:p w14:paraId="5684CB3B">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Times New Roman" w:eastAsia="宋体" w:cs="Times New Roman"/>
          <w:b/>
          <w:bCs/>
          <w:color w:val="auto"/>
          <w:sz w:val="22"/>
          <w:szCs w:val="22"/>
          <w:highlight w:val="none"/>
          <w:lang w:val="en-US" w:eastAsia="zh-CN"/>
        </w:rPr>
      </w:pPr>
      <w:r>
        <w:rPr>
          <w:rFonts w:hint="eastAsia" w:ascii="宋体" w:hAnsi="Times New Roman" w:eastAsia="宋体" w:cs="Times New Roman"/>
          <w:b/>
          <w:bCs/>
          <w:color w:val="auto"/>
          <w:sz w:val="22"/>
          <w:szCs w:val="22"/>
          <w:highlight w:val="none"/>
          <w:lang w:val="en-US" w:eastAsia="zh-CN"/>
        </w:rPr>
        <w:t>三、主要原材料技术参数要求</w:t>
      </w:r>
    </w:p>
    <w:p w14:paraId="1B01C9CF">
      <w:pPr>
        <w:outlineLvl w:val="2"/>
        <w:rPr>
          <w:rStyle w:val="341"/>
          <w:rFonts w:ascii="宋体" w:hAnsi="宋体" w:cs="宋体"/>
          <w:color w:val="auto"/>
          <w:sz w:val="22"/>
          <w:szCs w:val="22"/>
          <w:highlight w:val="none"/>
        </w:rPr>
      </w:pPr>
      <w:r>
        <w:rPr>
          <w:rStyle w:val="341"/>
          <w:rFonts w:hint="eastAsia" w:ascii="宋体" w:hAnsi="宋体" w:cs="宋体"/>
          <w:color w:val="auto"/>
          <w:sz w:val="22"/>
          <w:szCs w:val="22"/>
          <w:highlight w:val="none"/>
        </w:rPr>
        <w:t>1、医用人造石（医用亚克力人造石）</w:t>
      </w:r>
    </w:p>
    <w:tbl>
      <w:tblPr>
        <w:tblStyle w:val="52"/>
        <w:tblW w:w="90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153"/>
        <w:gridCol w:w="7148"/>
      </w:tblGrid>
      <w:tr w14:paraId="4F674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67C6F792">
            <w:pPr>
              <w:pStyle w:val="342"/>
              <w:jc w:val="center"/>
              <w:rPr>
                <w:rStyle w:val="341"/>
                <w:b/>
                <w:color w:val="auto"/>
                <w:highlight w:val="none"/>
                <w:lang w:bidi="ar-SA"/>
              </w:rPr>
            </w:pPr>
            <w:r>
              <w:rPr>
                <w:rStyle w:val="341"/>
                <w:rFonts w:hint="eastAsia"/>
                <w:color w:val="auto"/>
                <w:highlight w:val="none"/>
                <w:lang w:bidi="ar-SA"/>
              </w:rPr>
              <w:t>序号</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410527F">
            <w:pPr>
              <w:pStyle w:val="342"/>
              <w:jc w:val="center"/>
              <w:rPr>
                <w:rStyle w:val="341"/>
                <w:b/>
                <w:color w:val="auto"/>
                <w:highlight w:val="none"/>
                <w:lang w:bidi="ar-SA"/>
              </w:rPr>
            </w:pPr>
            <w:r>
              <w:rPr>
                <w:rStyle w:val="341"/>
                <w:rFonts w:hint="eastAsia"/>
                <w:color w:val="auto"/>
                <w:highlight w:val="none"/>
                <w:lang w:bidi="ar-SA"/>
              </w:rPr>
              <w:t>项目</w:t>
            </w:r>
          </w:p>
        </w:tc>
        <w:tc>
          <w:tcPr>
            <w:tcW w:w="7148" w:type="dxa"/>
            <w:tcBorders>
              <w:top w:val="single" w:color="000000" w:sz="4" w:space="0"/>
              <w:left w:val="single" w:color="000000" w:sz="4" w:space="0"/>
              <w:bottom w:val="single" w:color="000000" w:sz="4" w:space="0"/>
              <w:right w:val="single" w:color="000000" w:sz="4" w:space="0"/>
            </w:tcBorders>
            <w:noWrap/>
            <w:vAlign w:val="center"/>
          </w:tcPr>
          <w:p w14:paraId="3AE6333B">
            <w:pPr>
              <w:pStyle w:val="342"/>
              <w:jc w:val="center"/>
              <w:rPr>
                <w:rStyle w:val="341"/>
                <w:b/>
                <w:color w:val="auto"/>
                <w:highlight w:val="none"/>
                <w:lang w:bidi="ar-SA"/>
              </w:rPr>
            </w:pPr>
            <w:r>
              <w:rPr>
                <w:rStyle w:val="341"/>
                <w:rFonts w:hint="eastAsia"/>
                <w:color w:val="auto"/>
                <w:highlight w:val="none"/>
                <w:lang w:bidi="ar-SA"/>
              </w:rPr>
              <w:t>技术要求</w:t>
            </w:r>
          </w:p>
        </w:tc>
      </w:tr>
      <w:tr w14:paraId="3D05B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3C74CEA7">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1</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BA5836B">
            <w:pPr>
              <w:jc w:val="center"/>
              <w:rPr>
                <w:rStyle w:val="341"/>
                <w:rFonts w:ascii="宋体" w:hAnsi="宋体" w:cs="宋体"/>
                <w:color w:val="auto"/>
                <w:highlight w:val="none"/>
              </w:rPr>
            </w:pPr>
            <w:r>
              <w:rPr>
                <w:rStyle w:val="341"/>
                <w:rFonts w:hint="eastAsia" w:ascii="宋体" w:hAnsi="宋体" w:cs="宋体"/>
                <w:color w:val="auto"/>
                <w:highlight w:val="none"/>
              </w:rPr>
              <w:t>材质要求</w:t>
            </w:r>
          </w:p>
        </w:tc>
        <w:tc>
          <w:tcPr>
            <w:tcW w:w="7148" w:type="dxa"/>
            <w:tcBorders>
              <w:top w:val="single" w:color="000000" w:sz="4" w:space="0"/>
              <w:left w:val="single" w:color="000000" w:sz="4" w:space="0"/>
              <w:bottom w:val="single" w:color="000000" w:sz="4" w:space="0"/>
              <w:right w:val="single" w:color="000000" w:sz="4" w:space="0"/>
            </w:tcBorders>
            <w:noWrap/>
            <w:vAlign w:val="center"/>
          </w:tcPr>
          <w:p w14:paraId="165B3350">
            <w:pPr>
              <w:pStyle w:val="342"/>
              <w:rPr>
                <w:rStyle w:val="341"/>
                <w:color w:val="auto"/>
                <w:highlight w:val="none"/>
                <w:lang w:bidi="ar-SA"/>
              </w:rPr>
            </w:pPr>
            <w:r>
              <w:rPr>
                <w:rStyle w:val="341"/>
                <w:rFonts w:hint="eastAsia"/>
                <w:color w:val="auto"/>
                <w:highlight w:val="none"/>
                <w:lang w:bidi="ar-SA"/>
              </w:rPr>
              <w:t>台面采用医用复合亚克力人造石，材料厚度≥1.2cm。</w:t>
            </w:r>
          </w:p>
        </w:tc>
      </w:tr>
      <w:tr w14:paraId="59C32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51777E0E">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2</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0A486AD">
            <w:pPr>
              <w:pStyle w:val="342"/>
              <w:jc w:val="center"/>
              <w:rPr>
                <w:rStyle w:val="341"/>
                <w:rFonts w:ascii="宋体" w:hAnsi="宋体" w:cs="宋体"/>
                <w:color w:val="auto"/>
                <w:highlight w:val="none"/>
                <w:lang w:bidi="ar-SA"/>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参数要求</w:t>
            </w:r>
          </w:p>
        </w:tc>
        <w:tc>
          <w:tcPr>
            <w:tcW w:w="7148" w:type="dxa"/>
            <w:tcBorders>
              <w:top w:val="single" w:color="000000" w:sz="4" w:space="0"/>
              <w:left w:val="single" w:color="000000" w:sz="4" w:space="0"/>
              <w:bottom w:val="single" w:color="000000" w:sz="4" w:space="0"/>
              <w:right w:val="single" w:color="000000" w:sz="4" w:space="0"/>
            </w:tcBorders>
            <w:noWrap/>
            <w:vAlign w:val="center"/>
          </w:tcPr>
          <w:p w14:paraId="379C0D85">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一、耐污染性：</w:t>
            </w:r>
          </w:p>
          <w:p w14:paraId="42F68D30">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1、耐污值总和：≤64。2、最大污迹深度：≤0.12mm。</w:t>
            </w:r>
          </w:p>
          <w:p w14:paraId="5809E8E5">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二、耐燃烧性能：阻燃性能（氧指数，%）：≥40%。</w:t>
            </w:r>
          </w:p>
          <w:p w14:paraId="5975C087">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三、巴氏硬度（A级）：≥65。</w:t>
            </w:r>
          </w:p>
          <w:p w14:paraId="38C4EC48">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四、耐磨性：≤0.6g。</w:t>
            </w:r>
          </w:p>
          <w:p w14:paraId="0FE94A52">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五、放射性防护分类控制（放射性核素限量）：</w:t>
            </w:r>
          </w:p>
          <w:p w14:paraId="61789441">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1、外照射指数：≤1.3。2、内照射指数：≤1.0。</w:t>
            </w:r>
          </w:p>
          <w:p w14:paraId="1F59E3EF">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六、线性热膨胀系数：≤5.0×10</w:t>
            </w:r>
            <w:r>
              <w:rPr>
                <w:rStyle w:val="341"/>
                <w:rFonts w:hint="eastAsia" w:ascii="宋体" w:hAnsi="宋体" w:cs="宋体"/>
                <w:color w:val="auto"/>
                <w:highlight w:val="none"/>
                <w:vertAlign w:val="superscript"/>
                <w:lang w:bidi="ar-SA"/>
              </w:rPr>
              <w:t>-5</w:t>
            </w:r>
            <w:r>
              <w:rPr>
                <w:rStyle w:val="341"/>
                <w:rFonts w:hint="eastAsia" w:ascii="宋体" w:hAnsi="宋体" w:cs="宋体"/>
                <w:color w:val="auto"/>
                <w:highlight w:val="none"/>
                <w:lang w:bidi="ar-SA"/>
              </w:rPr>
              <w:t xml:space="preserve"> ℃</w:t>
            </w:r>
            <w:r>
              <w:rPr>
                <w:rStyle w:val="341"/>
                <w:rFonts w:hint="eastAsia" w:ascii="宋体" w:hAnsi="宋体" w:cs="宋体"/>
                <w:color w:val="auto"/>
                <w:highlight w:val="none"/>
                <w:vertAlign w:val="superscript"/>
                <w:lang w:bidi="ar-SA"/>
              </w:rPr>
              <w:t>-1</w:t>
            </w:r>
            <w:r>
              <w:rPr>
                <w:rStyle w:val="341"/>
                <w:rFonts w:hint="eastAsia" w:ascii="宋体" w:hAnsi="宋体" w:cs="宋体"/>
                <w:color w:val="auto"/>
                <w:highlight w:val="none"/>
                <w:lang w:bidi="ar-SA"/>
              </w:rPr>
              <w:t>。</w:t>
            </w:r>
          </w:p>
          <w:p w14:paraId="6AD1C007">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七、铅(Pb)：≤3mg/kg。镉(Cd)：≤3mg/kg。汞(Hg)：≤3mg/kg。六价铬(Cr/VI)：≤12mg/kg。</w:t>
            </w:r>
          </w:p>
          <w:p w14:paraId="08F09DF7">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八、抗病毒活性：</w:t>
            </w:r>
          </w:p>
          <w:p w14:paraId="40E82F35">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至少对任意2种病毒抗病毒活性率≥99%。</w:t>
            </w:r>
          </w:p>
          <w:p w14:paraId="17AD0386">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九、抗菌性能：至少对变形链球菌、产气肠杆菌、奇异变形杆菌、藤黄微球菌、肺炎克雷伯氏菌(肺炎杆菌)、大肠埃希氏菌、耐甲氧西林金黄色葡萄球菌、变异库克菌、肺炎链球菌、鼠伤寒沙门氏菌、宋氏志贺氏菌(宋内氏志贺氏菌)、白色念珠菌、铜绿假单胞菌、粘质沙雷氏菌、粪肠球菌(粪链球菌)中的任意12种抑菌率≥99%。</w:t>
            </w:r>
          </w:p>
          <w:p w14:paraId="3AF737AC">
            <w:pPr>
              <w:rPr>
                <w:rStyle w:val="341"/>
                <w:rFonts w:ascii="宋体" w:hAnsi="宋体" w:cs="宋体"/>
                <w:color w:val="auto"/>
                <w:highlight w:val="none"/>
              </w:rPr>
            </w:pPr>
            <w:r>
              <w:rPr>
                <w:rStyle w:val="341"/>
                <w:rFonts w:hint="eastAsia" w:ascii="宋体" w:hAnsi="宋体" w:cs="宋体"/>
                <w:color w:val="auto"/>
                <w:highlight w:val="none"/>
              </w:rPr>
              <w:t>十、防霉测试：</w:t>
            </w:r>
            <w:r>
              <w:rPr>
                <w:rFonts w:hint="eastAsia" w:ascii="宋体" w:hAnsi="宋体" w:cs="宋体"/>
                <w:color w:val="auto"/>
                <w:highlight w:val="none"/>
              </w:rPr>
              <w:t>至少对</w:t>
            </w:r>
            <w:r>
              <w:rPr>
                <w:rStyle w:val="341"/>
                <w:rFonts w:hint="eastAsia" w:ascii="宋体" w:hAnsi="宋体" w:cs="宋体"/>
                <w:color w:val="auto"/>
                <w:highlight w:val="none"/>
              </w:rPr>
              <w:t>桔青霉、出芽短梗霉、绿色木霉、长枝木霉、短柄帚霉、腊叶芽枝霉、链格孢、产黄青霉、赭绿青霉、绿粘帚霉、变幻青霉、黑曲霉、宛氏拟青霉、绳状青霉 、球毛壳霉中的任意12种长霉等级0级。</w:t>
            </w:r>
          </w:p>
        </w:tc>
      </w:tr>
    </w:tbl>
    <w:p w14:paraId="3A31002A">
      <w:pPr>
        <w:outlineLvl w:val="2"/>
        <w:rPr>
          <w:rStyle w:val="341"/>
          <w:rFonts w:hint="eastAsia" w:ascii="宋体" w:hAnsi="宋体" w:cs="宋体"/>
          <w:color w:val="auto"/>
          <w:sz w:val="22"/>
          <w:szCs w:val="22"/>
          <w:highlight w:val="none"/>
        </w:rPr>
      </w:pPr>
      <w:r>
        <w:rPr>
          <w:rStyle w:val="341"/>
          <w:rFonts w:hint="eastAsia" w:ascii="宋体" w:hAnsi="宋体" w:cs="宋体"/>
          <w:color w:val="auto"/>
          <w:sz w:val="22"/>
          <w:szCs w:val="22"/>
          <w:highlight w:val="none"/>
        </w:rPr>
        <w:t>2、环氧聚酯粉末（热固性粉末）</w:t>
      </w:r>
    </w:p>
    <w:tbl>
      <w:tblPr>
        <w:tblStyle w:val="52"/>
        <w:tblW w:w="90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7"/>
        <w:gridCol w:w="1050"/>
        <w:gridCol w:w="7177"/>
      </w:tblGrid>
      <w:tr w14:paraId="1AC03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7" w:type="dxa"/>
            <w:tcBorders>
              <w:top w:val="single" w:color="000000" w:sz="4" w:space="0"/>
              <w:left w:val="single" w:color="000000" w:sz="4" w:space="0"/>
              <w:bottom w:val="single" w:color="000000" w:sz="4" w:space="0"/>
              <w:right w:val="single" w:color="000000" w:sz="4" w:space="0"/>
            </w:tcBorders>
            <w:noWrap/>
            <w:vAlign w:val="center"/>
          </w:tcPr>
          <w:p w14:paraId="4CDB58DC">
            <w:pPr>
              <w:pStyle w:val="342"/>
              <w:jc w:val="center"/>
              <w:rPr>
                <w:rStyle w:val="341"/>
                <w:b/>
                <w:color w:val="auto"/>
                <w:highlight w:val="none"/>
                <w:lang w:bidi="ar-SA"/>
              </w:rPr>
            </w:pPr>
            <w:r>
              <w:rPr>
                <w:rStyle w:val="341"/>
                <w:rFonts w:hint="eastAsia"/>
                <w:color w:val="auto"/>
                <w:highlight w:val="none"/>
                <w:lang w:bidi="ar-SA"/>
              </w:rPr>
              <w:t>序号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6460DAC">
            <w:pPr>
              <w:pStyle w:val="342"/>
              <w:jc w:val="center"/>
              <w:rPr>
                <w:rStyle w:val="341"/>
                <w:b/>
                <w:color w:val="auto"/>
                <w:highlight w:val="none"/>
                <w:lang w:bidi="ar-SA"/>
              </w:rPr>
            </w:pPr>
            <w:r>
              <w:rPr>
                <w:rStyle w:val="341"/>
                <w:rFonts w:hint="eastAsia"/>
                <w:color w:val="auto"/>
                <w:highlight w:val="none"/>
                <w:lang w:bidi="ar-SA"/>
              </w:rPr>
              <w:t>项目</w:t>
            </w:r>
          </w:p>
        </w:tc>
        <w:tc>
          <w:tcPr>
            <w:tcW w:w="7177" w:type="dxa"/>
            <w:tcBorders>
              <w:top w:val="single" w:color="000000" w:sz="4" w:space="0"/>
              <w:left w:val="single" w:color="000000" w:sz="4" w:space="0"/>
              <w:bottom w:val="single" w:color="000000" w:sz="4" w:space="0"/>
              <w:right w:val="single" w:color="000000" w:sz="4" w:space="0"/>
            </w:tcBorders>
            <w:noWrap/>
            <w:vAlign w:val="center"/>
          </w:tcPr>
          <w:p w14:paraId="4265FF56">
            <w:pPr>
              <w:pStyle w:val="342"/>
              <w:jc w:val="center"/>
              <w:rPr>
                <w:rStyle w:val="341"/>
                <w:b/>
                <w:color w:val="auto"/>
                <w:highlight w:val="none"/>
                <w:lang w:bidi="ar-SA"/>
              </w:rPr>
            </w:pPr>
            <w:r>
              <w:rPr>
                <w:rStyle w:val="341"/>
                <w:rFonts w:hint="eastAsia"/>
                <w:color w:val="auto"/>
                <w:highlight w:val="none"/>
                <w:lang w:bidi="ar-SA"/>
              </w:rPr>
              <w:t>技术要求</w:t>
            </w:r>
          </w:p>
        </w:tc>
      </w:tr>
      <w:tr w14:paraId="2260B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 w:type="dxa"/>
            <w:tcBorders>
              <w:top w:val="single" w:color="000000" w:sz="4" w:space="0"/>
              <w:left w:val="single" w:color="000000" w:sz="4" w:space="0"/>
              <w:bottom w:val="single" w:color="000000" w:sz="4" w:space="0"/>
              <w:right w:val="single" w:color="000000" w:sz="4" w:space="0"/>
            </w:tcBorders>
            <w:noWrap/>
            <w:vAlign w:val="center"/>
          </w:tcPr>
          <w:p w14:paraId="6B7C5C3F">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1</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459DB6C">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材质要求</w:t>
            </w:r>
          </w:p>
        </w:tc>
        <w:tc>
          <w:tcPr>
            <w:tcW w:w="7177" w:type="dxa"/>
            <w:tcBorders>
              <w:top w:val="single" w:color="000000" w:sz="4" w:space="0"/>
              <w:left w:val="single" w:color="000000" w:sz="4" w:space="0"/>
              <w:bottom w:val="single" w:color="000000" w:sz="4" w:space="0"/>
              <w:right w:val="single" w:color="000000" w:sz="4" w:space="0"/>
            </w:tcBorders>
            <w:noWrap/>
            <w:vAlign w:val="center"/>
          </w:tcPr>
          <w:p w14:paraId="2493B993">
            <w:pPr>
              <w:pStyle w:val="342"/>
              <w:rPr>
                <w:rStyle w:val="341"/>
                <w:color w:val="auto"/>
                <w:highlight w:val="none"/>
                <w:lang w:bidi="ar-SA"/>
              </w:rPr>
            </w:pPr>
            <w:r>
              <w:rPr>
                <w:rStyle w:val="341"/>
                <w:rFonts w:hint="eastAsia"/>
                <w:color w:val="auto"/>
                <w:highlight w:val="none"/>
                <w:lang w:bidi="ar-SA"/>
              </w:rPr>
              <w:t>表面采用环保型环氧聚酯粉末静电喷涂，喷涂采用流水线喷涂，涂层膜厚度均匀，颜色可根据院方要求定制。</w:t>
            </w:r>
          </w:p>
        </w:tc>
      </w:tr>
      <w:tr w14:paraId="71A58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 w:type="dxa"/>
            <w:tcBorders>
              <w:top w:val="single" w:color="000000" w:sz="4" w:space="0"/>
              <w:left w:val="single" w:color="000000" w:sz="4" w:space="0"/>
              <w:bottom w:val="single" w:color="000000" w:sz="4" w:space="0"/>
              <w:right w:val="single" w:color="000000" w:sz="4" w:space="0"/>
            </w:tcBorders>
            <w:noWrap/>
            <w:vAlign w:val="center"/>
          </w:tcPr>
          <w:p w14:paraId="26104608">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2</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C75FEB0">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喷涂流程要求</w:t>
            </w:r>
          </w:p>
        </w:tc>
        <w:tc>
          <w:tcPr>
            <w:tcW w:w="7177" w:type="dxa"/>
            <w:tcBorders>
              <w:top w:val="single" w:color="000000" w:sz="4" w:space="0"/>
              <w:left w:val="single" w:color="000000" w:sz="4" w:space="0"/>
              <w:bottom w:val="single" w:color="000000" w:sz="4" w:space="0"/>
              <w:right w:val="single" w:color="000000" w:sz="4" w:space="0"/>
            </w:tcBorders>
            <w:noWrap/>
            <w:vAlign w:val="center"/>
          </w:tcPr>
          <w:p w14:paraId="1C1BCD37">
            <w:pPr>
              <w:pStyle w:val="342"/>
              <w:rPr>
                <w:rStyle w:val="341"/>
                <w:color w:val="auto"/>
                <w:highlight w:val="none"/>
                <w:lang w:bidi="ar-SA"/>
              </w:rPr>
            </w:pPr>
            <w:r>
              <w:rPr>
                <w:rStyle w:val="341"/>
                <w:rFonts w:hint="eastAsia"/>
                <w:color w:val="auto"/>
                <w:highlight w:val="none"/>
                <w:lang w:bidi="ar-SA"/>
              </w:rPr>
              <w:t>金属产品喷涂前必须前处理，包括除油，除尘，清洗，纳米陶化或者硅烷镀膜等保障产品喷涂质量的前处理工艺。</w:t>
            </w:r>
          </w:p>
        </w:tc>
      </w:tr>
      <w:tr w14:paraId="63570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 w:type="dxa"/>
            <w:tcBorders>
              <w:top w:val="single" w:color="000000" w:sz="4" w:space="0"/>
              <w:left w:val="single" w:color="000000" w:sz="4" w:space="0"/>
              <w:bottom w:val="single" w:color="000000" w:sz="4" w:space="0"/>
              <w:right w:val="single" w:color="000000" w:sz="4" w:space="0"/>
            </w:tcBorders>
            <w:noWrap/>
            <w:vAlign w:val="center"/>
          </w:tcPr>
          <w:p w14:paraId="627F5FD5">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3</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4C6F7A4">
            <w:pPr>
              <w:pStyle w:val="342"/>
              <w:jc w:val="center"/>
              <w:rPr>
                <w:rStyle w:val="341"/>
                <w:rFonts w:ascii="宋体" w:hAnsi="宋体" w:cs="宋体"/>
                <w:color w:val="auto"/>
                <w:highlight w:val="none"/>
                <w:lang w:bidi="ar-SA"/>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w:t>
            </w:r>
            <w:r>
              <w:rPr>
                <w:rStyle w:val="341"/>
                <w:rFonts w:hint="eastAsia" w:ascii="宋体" w:hAnsi="宋体" w:cs="宋体"/>
                <w:color w:val="auto"/>
                <w:highlight w:val="none"/>
                <w:lang w:bidi="ar-SA"/>
              </w:rPr>
              <w:t>要求</w:t>
            </w:r>
          </w:p>
        </w:tc>
        <w:tc>
          <w:tcPr>
            <w:tcW w:w="7177" w:type="dxa"/>
            <w:tcBorders>
              <w:top w:val="single" w:color="000000" w:sz="4" w:space="0"/>
              <w:left w:val="single" w:color="000000" w:sz="4" w:space="0"/>
              <w:bottom w:val="single" w:color="000000" w:sz="4" w:space="0"/>
              <w:right w:val="single" w:color="000000" w:sz="4" w:space="0"/>
            </w:tcBorders>
            <w:noWrap/>
            <w:vAlign w:val="center"/>
          </w:tcPr>
          <w:p w14:paraId="79208ECA">
            <w:pPr>
              <w:pStyle w:val="342"/>
              <w:rPr>
                <w:rStyle w:val="341"/>
                <w:color w:val="auto"/>
                <w:highlight w:val="none"/>
                <w:lang w:bidi="ar-SA"/>
              </w:rPr>
            </w:pPr>
            <w:r>
              <w:rPr>
                <w:rStyle w:val="341"/>
                <w:rFonts w:hint="eastAsia"/>
                <w:color w:val="auto"/>
                <w:highlight w:val="none"/>
                <w:lang w:bidi="ar-SA"/>
              </w:rPr>
              <w:t>按照检验依</w:t>
            </w:r>
            <w:r>
              <w:rPr>
                <w:rStyle w:val="341"/>
                <w:rFonts w:hint="eastAsia" w:ascii="宋体" w:hAnsi="宋体" w:cs="宋体"/>
                <w:color w:val="auto"/>
                <w:highlight w:val="none"/>
                <w:lang w:bidi="ar-SA"/>
              </w:rPr>
              <w:t>据：HG/T2006-2022</w:t>
            </w:r>
          </w:p>
          <w:p w14:paraId="53299332">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一、筛余物(125μm)：全部通过。</w:t>
            </w:r>
          </w:p>
          <w:p w14:paraId="4DDF3B0A">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二、附着力：≤1级。</w:t>
            </w:r>
          </w:p>
          <w:p w14:paraId="64AAC875">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三、弯曲试验：≤</w:t>
            </w:r>
            <w:r>
              <w:rPr>
                <w:rStyle w:val="341"/>
                <w:rFonts w:hint="eastAsia" w:cs="宋体"/>
                <w:color w:val="auto"/>
                <w:highlight w:val="none"/>
                <w:lang w:bidi="ar-SA"/>
              </w:rPr>
              <w:t>4</w:t>
            </w:r>
            <w:r>
              <w:rPr>
                <w:rStyle w:val="341"/>
                <w:rFonts w:hint="eastAsia" w:ascii="宋体" w:hAnsi="宋体" w:cs="宋体"/>
                <w:color w:val="auto"/>
                <w:highlight w:val="none"/>
                <w:lang w:bidi="ar-SA"/>
              </w:rPr>
              <w:t>mm。</w:t>
            </w:r>
          </w:p>
          <w:p w14:paraId="3A78AA34">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四、耐碱性(5%NaOH)：≥168H无异常。</w:t>
            </w:r>
          </w:p>
          <w:p w14:paraId="4DE5261B">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五、耐酸性(3%HC1)：≥240H无异常。</w:t>
            </w:r>
          </w:p>
          <w:p w14:paraId="2E3D3105">
            <w:pPr>
              <w:pStyle w:val="342"/>
              <w:rPr>
                <w:rStyle w:val="341"/>
                <w:color w:val="auto"/>
                <w:highlight w:val="none"/>
                <w:lang w:bidi="ar-SA"/>
              </w:rPr>
            </w:pPr>
            <w:r>
              <w:rPr>
                <w:rStyle w:val="341"/>
                <w:rFonts w:hint="eastAsia" w:ascii="宋体" w:hAnsi="宋体" w:cs="宋体"/>
                <w:color w:val="auto"/>
                <w:highlight w:val="none"/>
                <w:lang w:bidi="ar-SA"/>
              </w:rPr>
              <w:t>六、耐沸水性：≥360H无异常。</w:t>
            </w:r>
          </w:p>
        </w:tc>
      </w:tr>
    </w:tbl>
    <w:p w14:paraId="70EC3539">
      <w:pPr>
        <w:outlineLvl w:val="2"/>
        <w:rPr>
          <w:rStyle w:val="341"/>
          <w:rFonts w:hint="eastAsia" w:ascii="宋体" w:hAnsi="宋体" w:cs="宋体"/>
          <w:color w:val="auto"/>
          <w:sz w:val="22"/>
          <w:szCs w:val="22"/>
          <w:highlight w:val="none"/>
        </w:rPr>
      </w:pPr>
      <w:r>
        <w:rPr>
          <w:rStyle w:val="341"/>
          <w:rFonts w:hint="eastAsia" w:ascii="宋体" w:hAnsi="宋体" w:cs="宋体"/>
          <w:color w:val="auto"/>
          <w:sz w:val="22"/>
          <w:szCs w:val="22"/>
          <w:highlight w:val="none"/>
        </w:rPr>
        <w:t>3、电解钢板喷涂样块</w:t>
      </w:r>
    </w:p>
    <w:tbl>
      <w:tblPr>
        <w:tblStyle w:val="52"/>
        <w:tblW w:w="92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1140"/>
        <w:gridCol w:w="7185"/>
      </w:tblGrid>
      <w:tr w14:paraId="673E5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5133BDDB">
            <w:pPr>
              <w:pStyle w:val="342"/>
              <w:jc w:val="center"/>
              <w:rPr>
                <w:rStyle w:val="341"/>
                <w:b/>
                <w:color w:val="auto"/>
                <w:highlight w:val="none"/>
                <w:lang w:bidi="ar-SA"/>
              </w:rPr>
            </w:pPr>
            <w:r>
              <w:rPr>
                <w:rStyle w:val="341"/>
                <w:rFonts w:hint="eastAsia"/>
                <w:color w:val="auto"/>
                <w:highlight w:val="none"/>
                <w:lang w:bidi="ar-SA"/>
              </w:rPr>
              <w:t>序号</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F356832">
            <w:pPr>
              <w:pStyle w:val="342"/>
              <w:jc w:val="center"/>
              <w:rPr>
                <w:rStyle w:val="341"/>
                <w:b/>
                <w:color w:val="auto"/>
                <w:highlight w:val="none"/>
                <w:lang w:bidi="ar-SA"/>
              </w:rPr>
            </w:pPr>
            <w:r>
              <w:rPr>
                <w:rStyle w:val="341"/>
                <w:rFonts w:hint="eastAsia"/>
                <w:color w:val="auto"/>
                <w:highlight w:val="none"/>
                <w:lang w:bidi="ar-SA"/>
              </w:rPr>
              <w:t>项目</w:t>
            </w:r>
          </w:p>
        </w:tc>
        <w:tc>
          <w:tcPr>
            <w:tcW w:w="7185" w:type="dxa"/>
            <w:tcBorders>
              <w:top w:val="single" w:color="000000" w:sz="4" w:space="0"/>
              <w:left w:val="single" w:color="000000" w:sz="4" w:space="0"/>
              <w:bottom w:val="single" w:color="000000" w:sz="4" w:space="0"/>
              <w:right w:val="single" w:color="000000" w:sz="4" w:space="0"/>
            </w:tcBorders>
            <w:noWrap/>
            <w:vAlign w:val="center"/>
          </w:tcPr>
          <w:p w14:paraId="15234E82">
            <w:pPr>
              <w:pStyle w:val="342"/>
              <w:jc w:val="center"/>
              <w:rPr>
                <w:rStyle w:val="341"/>
                <w:b/>
                <w:color w:val="auto"/>
                <w:highlight w:val="none"/>
                <w:lang w:bidi="ar-SA"/>
              </w:rPr>
            </w:pPr>
            <w:r>
              <w:rPr>
                <w:rStyle w:val="341"/>
                <w:rFonts w:hint="eastAsia"/>
                <w:color w:val="auto"/>
                <w:highlight w:val="none"/>
                <w:lang w:bidi="ar-SA"/>
              </w:rPr>
              <w:t>技术要求</w:t>
            </w:r>
          </w:p>
        </w:tc>
      </w:tr>
      <w:tr w14:paraId="190B7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33AA8FC3">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E35D8C9">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材质要求</w:t>
            </w:r>
          </w:p>
        </w:tc>
        <w:tc>
          <w:tcPr>
            <w:tcW w:w="7185" w:type="dxa"/>
            <w:tcBorders>
              <w:top w:val="single" w:color="000000" w:sz="4" w:space="0"/>
              <w:left w:val="single" w:color="000000" w:sz="4" w:space="0"/>
              <w:bottom w:val="single" w:color="000000" w:sz="4" w:space="0"/>
              <w:right w:val="single" w:color="000000" w:sz="4" w:space="0"/>
            </w:tcBorders>
            <w:noWrap/>
            <w:vAlign w:val="center"/>
          </w:tcPr>
          <w:p w14:paraId="0E18D9AF">
            <w:pPr>
              <w:pStyle w:val="342"/>
              <w:rPr>
                <w:rStyle w:val="341"/>
                <w:color w:val="auto"/>
                <w:highlight w:val="none"/>
                <w:lang w:bidi="ar-SA"/>
              </w:rPr>
            </w:pPr>
            <w:r>
              <w:rPr>
                <w:rStyle w:val="341"/>
                <w:rFonts w:hint="eastAsia"/>
                <w:color w:val="auto"/>
                <w:highlight w:val="none"/>
                <w:lang w:bidi="ar-SA"/>
              </w:rPr>
              <w:t>采用电解钢板制作，表面采用环保型环氧聚酯粉末静电喷涂，喷涂采用流水线喷涂，涂层膜厚度均匀，颜色可根据院方要求定制。</w:t>
            </w:r>
          </w:p>
        </w:tc>
      </w:tr>
      <w:tr w14:paraId="7EA3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28030492">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2</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7D83797">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喷涂流程</w:t>
            </w:r>
          </w:p>
          <w:p w14:paraId="09A1BF11">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要求</w:t>
            </w:r>
          </w:p>
        </w:tc>
        <w:tc>
          <w:tcPr>
            <w:tcW w:w="7185" w:type="dxa"/>
            <w:tcBorders>
              <w:top w:val="single" w:color="000000" w:sz="4" w:space="0"/>
              <w:left w:val="single" w:color="000000" w:sz="4" w:space="0"/>
              <w:bottom w:val="single" w:color="000000" w:sz="4" w:space="0"/>
              <w:right w:val="single" w:color="000000" w:sz="4" w:space="0"/>
            </w:tcBorders>
            <w:noWrap/>
            <w:vAlign w:val="center"/>
          </w:tcPr>
          <w:p w14:paraId="563C8716">
            <w:pPr>
              <w:pStyle w:val="342"/>
              <w:rPr>
                <w:rStyle w:val="341"/>
                <w:color w:val="auto"/>
                <w:highlight w:val="none"/>
                <w:lang w:bidi="ar-SA"/>
              </w:rPr>
            </w:pPr>
            <w:r>
              <w:rPr>
                <w:rStyle w:val="341"/>
                <w:rFonts w:hint="eastAsia"/>
                <w:color w:val="auto"/>
                <w:highlight w:val="none"/>
                <w:lang w:bidi="ar-SA"/>
              </w:rPr>
              <w:t>金属产品喷涂前必须前处理，包括除油，除尘，清洗，纳米陶化或者硅烷镀膜等保障产品喷涂质量的前处理工艺</w:t>
            </w:r>
          </w:p>
        </w:tc>
      </w:tr>
      <w:tr w14:paraId="76443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759972A5">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3</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4FF8646">
            <w:pPr>
              <w:pStyle w:val="342"/>
              <w:jc w:val="center"/>
              <w:rPr>
                <w:rStyle w:val="341"/>
                <w:rFonts w:ascii="宋体" w:hAnsi="宋体" w:cs="宋体"/>
                <w:color w:val="auto"/>
                <w:highlight w:val="none"/>
                <w:lang w:bidi="ar-SA"/>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w:t>
            </w:r>
            <w:r>
              <w:rPr>
                <w:rStyle w:val="341"/>
                <w:rFonts w:hint="eastAsia" w:ascii="宋体" w:hAnsi="宋体" w:cs="宋体"/>
                <w:color w:val="auto"/>
                <w:highlight w:val="none"/>
                <w:lang w:bidi="ar-SA"/>
              </w:rPr>
              <w:t>要求</w:t>
            </w:r>
          </w:p>
        </w:tc>
        <w:tc>
          <w:tcPr>
            <w:tcW w:w="7185" w:type="dxa"/>
            <w:tcBorders>
              <w:top w:val="single" w:color="000000" w:sz="4" w:space="0"/>
              <w:left w:val="single" w:color="000000" w:sz="4" w:space="0"/>
              <w:bottom w:val="single" w:color="000000" w:sz="4" w:space="0"/>
              <w:right w:val="single" w:color="000000" w:sz="4" w:space="0"/>
            </w:tcBorders>
            <w:noWrap/>
            <w:vAlign w:val="center"/>
          </w:tcPr>
          <w:p w14:paraId="6F873900">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一、金属喷漆 (塑)涂层：</w:t>
            </w:r>
          </w:p>
          <w:p w14:paraId="11F4A2F7">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1、冲击强度：冲击高度400mm,应无剥落、裂纹、 皱纹。</w:t>
            </w:r>
          </w:p>
          <w:p w14:paraId="68EFACFB">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2、附着力：应不低于2级。</w:t>
            </w:r>
          </w:p>
          <w:p w14:paraId="2922829E">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二、耐腐蚀性能：</w:t>
            </w:r>
          </w:p>
          <w:p w14:paraId="55464ED2">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1、</w:t>
            </w:r>
            <w:r>
              <w:rPr>
                <w:rFonts w:hint="eastAsia" w:ascii="宋体" w:hAnsi="宋体" w:cs="宋体"/>
                <w:color w:val="auto"/>
                <w:spacing w:val="-41"/>
                <w:highlight w:val="none"/>
              </w:rPr>
              <w:t xml:space="preserve"> </w:t>
            </w:r>
            <w:r>
              <w:rPr>
                <w:rStyle w:val="341"/>
                <w:rFonts w:hint="eastAsia" w:ascii="宋体" w:hAnsi="宋体" w:cs="宋体"/>
                <w:color w:val="auto"/>
                <w:highlight w:val="none"/>
                <w:lang w:bidi="ar-SA"/>
              </w:rPr>
              <w:t>满足GB/T10125-2021《人造气氛腐蚀试验、盐雾试验》、GB/T6461-2002《金属基体上金属和其它无机覆盖层经腐蚀试验后的试样和试件的评级》标准要求：中性</w:t>
            </w:r>
            <w:r>
              <w:rPr>
                <w:rStyle w:val="341"/>
                <w:rFonts w:hint="eastAsia" w:ascii="宋体" w:hAnsi="宋体" w:cs="宋体"/>
                <w:color w:val="auto"/>
                <w:szCs w:val="21"/>
                <w:highlight w:val="none"/>
                <w:lang w:bidi="ar-SA"/>
              </w:rPr>
              <w:t>盐雾试验</w:t>
            </w:r>
            <w:r>
              <w:rPr>
                <w:rStyle w:val="341"/>
                <w:rFonts w:hint="eastAsia" w:ascii="宋体" w:hAnsi="宋体" w:cs="宋体"/>
                <w:color w:val="auto"/>
                <w:highlight w:val="none"/>
                <w:lang w:bidi="ar-SA"/>
              </w:rPr>
              <w:t>(≥360h)：①涂镀层对基体的保护评级达到10级。②涂镀层本身的耐腐蚀等级（外观评级）达到10级。</w:t>
            </w:r>
          </w:p>
          <w:p w14:paraId="396C3BF8">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三、耐湿热性能(≥360h)：合格。</w:t>
            </w:r>
          </w:p>
          <w:p w14:paraId="3DB33628">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 xml:space="preserve">四、光泽度：≥80。 </w:t>
            </w:r>
          </w:p>
          <w:p w14:paraId="1BC7D360">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五、产品有害物质：（家具涂层可迁移元素）</w:t>
            </w:r>
          </w:p>
          <w:p w14:paraId="541F1CFF">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铅Pb：≤90mg/kg、镉Cd≤50mg/kg、铬Cr≤25mg/kg、汞Hg≤25mg/kg、锑Sb≤60mg/kg、钡Ba≤1000mg/kg、硒Se≤500mg/kg、砷As≤25mg/kg。</w:t>
            </w:r>
          </w:p>
          <w:p w14:paraId="41716B43">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六、维氏硬度：≥80。</w:t>
            </w:r>
          </w:p>
          <w:p w14:paraId="63F27F3A">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七、化学成分(%)：</w:t>
            </w:r>
          </w:p>
          <w:p w14:paraId="565198AB">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碳(C)：≤0.12、锰(Mn)：≤0.60、磷(P)：≤0.030、硫(S)：≤0.030、总铝(Alt)：≥0.020。</w:t>
            </w:r>
          </w:p>
          <w:p w14:paraId="19571A58">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八、力学性能(室温拉伸)：</w:t>
            </w:r>
          </w:p>
          <w:p w14:paraId="31DE4E54">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1、断后伸长率：≥28%、抗拉强度： 270～410MPa、规定塑性延伸强度</w:t>
            </w:r>
            <w:r>
              <w:rPr>
                <w:rStyle w:val="341"/>
                <w:rFonts w:hint="eastAsia" w:ascii="宋体" w:hAnsi="宋体" w:cs="宋体"/>
                <w:color w:val="auto"/>
                <w:highlight w:val="none"/>
                <w:vertAlign w:val="subscript"/>
                <w:lang w:bidi="ar-SA"/>
              </w:rPr>
              <w:t>：</w:t>
            </w:r>
            <w:r>
              <w:rPr>
                <w:rStyle w:val="341"/>
                <w:rFonts w:hint="eastAsia" w:ascii="宋体" w:hAnsi="宋体" w:cs="宋体"/>
                <w:color w:val="auto"/>
                <w:highlight w:val="none"/>
                <w:lang w:bidi="ar-SA"/>
              </w:rPr>
              <w:t>≤280MPa。</w:t>
            </w:r>
          </w:p>
          <w:p w14:paraId="4D33ACBA">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九、金相组织（晶粒度）：≥6级。</w:t>
            </w:r>
          </w:p>
          <w:p w14:paraId="4AB4F22F">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十、涂层厚度：≥60μm。</w:t>
            </w:r>
          </w:p>
          <w:p w14:paraId="5DF2C59C">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十一、抗病毒活性：至少对任意2种病毒抗病毒活性率≥99%。</w:t>
            </w:r>
          </w:p>
          <w:p w14:paraId="36844054">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十二、抗菌性能：按照GB/T21866-2008《抗菌 涂料(漆膜)抗菌性测定法和抗菌效果》：</w:t>
            </w:r>
          </w:p>
          <w:p w14:paraId="1A098A14">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至少对变形链球菌、产气肠杆菌、奇异变形杆菌、藤黄微球菌、肺炎克雷伯氏菌(肺炎杆菌)、大肠埃希氏菌、耐甲氧西林金黄色葡萄球菌、变异库克菌、肺炎链球菌、鼠伤寒沙门氏菌、宋氏志贺氏菌(宋内氏志贺氏菌)、白色念珠菌、铜绿假单胞菌、粘质沙雷氏菌、粪肠球菌(粪链球菌)中的任意12种抑菌率≥99%。</w:t>
            </w:r>
          </w:p>
          <w:p w14:paraId="1E36B68D">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十三、耐霉菌性：按照GB/T 1741-2020《漆膜耐霉菌性测定法》：</w:t>
            </w:r>
          </w:p>
          <w:p w14:paraId="09636551">
            <w:pPr>
              <w:rPr>
                <w:rStyle w:val="341"/>
                <w:rFonts w:ascii="宋体" w:hAnsi="宋体" w:cs="宋体"/>
                <w:color w:val="auto"/>
                <w:highlight w:val="none"/>
              </w:rPr>
            </w:pPr>
            <w:r>
              <w:rPr>
                <w:rFonts w:hint="eastAsia" w:ascii="宋体" w:hAnsi="宋体" w:cs="宋体"/>
                <w:color w:val="auto"/>
                <w:highlight w:val="none"/>
              </w:rPr>
              <w:t>至少对</w:t>
            </w:r>
            <w:r>
              <w:rPr>
                <w:rStyle w:val="341"/>
                <w:rFonts w:hint="eastAsia" w:ascii="宋体" w:hAnsi="宋体" w:cs="宋体"/>
                <w:color w:val="auto"/>
                <w:highlight w:val="none"/>
              </w:rPr>
              <w:t>桔青霉、出芽短梗霉、绿色木霉、长枝木霉、短柄帚霉、腊叶芽枝霉、链格孢、产黄青霉、赭绿青霉、绿粘帚霉、变幻青霉、黑曲霉、宛氏拟青霉、绳状青霉 、球毛壳霉中的任意12种长霉等级0级。</w:t>
            </w:r>
          </w:p>
        </w:tc>
      </w:tr>
    </w:tbl>
    <w:p w14:paraId="7E65DDF0">
      <w:pPr>
        <w:outlineLvl w:val="2"/>
        <w:rPr>
          <w:rStyle w:val="341"/>
          <w:rFonts w:hint="eastAsia" w:ascii="宋体" w:hAnsi="宋体" w:cs="宋体"/>
          <w:color w:val="auto"/>
          <w:sz w:val="22"/>
          <w:szCs w:val="22"/>
          <w:highlight w:val="none"/>
        </w:rPr>
      </w:pPr>
      <w:r>
        <w:rPr>
          <w:rStyle w:val="341"/>
          <w:rFonts w:hint="eastAsia" w:ascii="宋体" w:hAnsi="宋体" w:cs="宋体"/>
          <w:color w:val="auto"/>
          <w:sz w:val="22"/>
          <w:szCs w:val="22"/>
          <w:highlight w:val="none"/>
        </w:rPr>
        <w:t>4、304不锈钢</w:t>
      </w:r>
    </w:p>
    <w:tbl>
      <w:tblPr>
        <w:tblStyle w:val="52"/>
        <w:tblW w:w="94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1"/>
        <w:gridCol w:w="1187"/>
        <w:gridCol w:w="7243"/>
      </w:tblGrid>
      <w:tr w14:paraId="44ABF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001" w:type="dxa"/>
            <w:tcBorders>
              <w:top w:val="single" w:color="000000" w:sz="4" w:space="0"/>
              <w:left w:val="single" w:color="000000" w:sz="4" w:space="0"/>
              <w:bottom w:val="single" w:color="000000" w:sz="4" w:space="0"/>
              <w:right w:val="single" w:color="000000" w:sz="4" w:space="0"/>
            </w:tcBorders>
            <w:noWrap/>
            <w:vAlign w:val="center"/>
          </w:tcPr>
          <w:p w14:paraId="0898C90C">
            <w:pPr>
              <w:pStyle w:val="342"/>
              <w:jc w:val="center"/>
              <w:rPr>
                <w:rStyle w:val="341"/>
                <w:b/>
                <w:color w:val="auto"/>
                <w:highlight w:val="none"/>
              </w:rPr>
            </w:pPr>
            <w:r>
              <w:rPr>
                <w:rStyle w:val="341"/>
                <w:rFonts w:hint="eastAsia"/>
                <w:color w:val="auto"/>
                <w:highlight w:val="none"/>
              </w:rPr>
              <w:t>序号</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8233EEC">
            <w:pPr>
              <w:pStyle w:val="342"/>
              <w:jc w:val="center"/>
              <w:rPr>
                <w:rStyle w:val="341"/>
                <w:b/>
                <w:color w:val="auto"/>
                <w:highlight w:val="none"/>
              </w:rPr>
            </w:pPr>
            <w:r>
              <w:rPr>
                <w:rStyle w:val="341"/>
                <w:rFonts w:hint="eastAsia"/>
                <w:color w:val="auto"/>
                <w:highlight w:val="none"/>
              </w:rPr>
              <w:t>项目</w:t>
            </w:r>
          </w:p>
        </w:tc>
        <w:tc>
          <w:tcPr>
            <w:tcW w:w="7243" w:type="dxa"/>
            <w:tcBorders>
              <w:top w:val="single" w:color="000000" w:sz="4" w:space="0"/>
              <w:left w:val="single" w:color="000000" w:sz="4" w:space="0"/>
              <w:bottom w:val="single" w:color="000000" w:sz="4" w:space="0"/>
              <w:right w:val="single" w:color="000000" w:sz="4" w:space="0"/>
            </w:tcBorders>
            <w:noWrap/>
            <w:vAlign w:val="center"/>
          </w:tcPr>
          <w:p w14:paraId="7071D201">
            <w:pPr>
              <w:pStyle w:val="342"/>
              <w:jc w:val="center"/>
              <w:rPr>
                <w:rStyle w:val="341"/>
                <w:b/>
                <w:color w:val="auto"/>
                <w:highlight w:val="none"/>
              </w:rPr>
            </w:pPr>
            <w:r>
              <w:rPr>
                <w:rStyle w:val="341"/>
                <w:rFonts w:hint="eastAsia"/>
                <w:color w:val="auto"/>
                <w:highlight w:val="none"/>
              </w:rPr>
              <w:t>技术要求</w:t>
            </w:r>
          </w:p>
        </w:tc>
      </w:tr>
      <w:tr w14:paraId="7739E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001" w:type="dxa"/>
            <w:tcBorders>
              <w:top w:val="single" w:color="000000" w:sz="4" w:space="0"/>
              <w:left w:val="single" w:color="000000" w:sz="4" w:space="0"/>
              <w:bottom w:val="single" w:color="000000" w:sz="4" w:space="0"/>
              <w:right w:val="single" w:color="000000" w:sz="4" w:space="0"/>
            </w:tcBorders>
            <w:noWrap/>
            <w:vAlign w:val="center"/>
          </w:tcPr>
          <w:p w14:paraId="721C0755">
            <w:pPr>
              <w:pStyle w:val="342"/>
              <w:jc w:val="center"/>
              <w:rPr>
                <w:rStyle w:val="341"/>
                <w:color w:val="auto"/>
                <w:highlight w:val="none"/>
              </w:rPr>
            </w:pPr>
            <w:r>
              <w:rPr>
                <w:rStyle w:val="341"/>
                <w:rFonts w:hint="eastAsia"/>
                <w:color w:val="auto"/>
                <w:highlight w:val="none"/>
              </w:rPr>
              <w:t>1</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05706E27">
            <w:pPr>
              <w:pStyle w:val="342"/>
              <w:jc w:val="center"/>
              <w:rPr>
                <w:rStyle w:val="341"/>
                <w:color w:val="auto"/>
                <w:highlight w:val="none"/>
              </w:rPr>
            </w:pPr>
            <w:r>
              <w:rPr>
                <w:rStyle w:val="341"/>
                <w:rFonts w:hint="eastAsia"/>
                <w:color w:val="auto"/>
                <w:highlight w:val="none"/>
              </w:rPr>
              <w:t>材质要求</w:t>
            </w:r>
          </w:p>
        </w:tc>
        <w:tc>
          <w:tcPr>
            <w:tcW w:w="7243" w:type="dxa"/>
            <w:tcBorders>
              <w:top w:val="single" w:color="000000" w:sz="4" w:space="0"/>
              <w:left w:val="single" w:color="000000" w:sz="4" w:space="0"/>
              <w:bottom w:val="single" w:color="000000" w:sz="4" w:space="0"/>
              <w:right w:val="single" w:color="000000" w:sz="4" w:space="0"/>
            </w:tcBorders>
            <w:noWrap/>
            <w:vAlign w:val="center"/>
          </w:tcPr>
          <w:p w14:paraId="1E3C0E7D">
            <w:pPr>
              <w:pStyle w:val="342"/>
              <w:rPr>
                <w:rStyle w:val="341"/>
                <w:color w:val="auto"/>
                <w:highlight w:val="none"/>
              </w:rPr>
            </w:pPr>
            <w:r>
              <w:rPr>
                <w:rStyle w:val="341"/>
                <w:rFonts w:hint="eastAsia"/>
                <w:color w:val="auto"/>
                <w:highlight w:val="none"/>
              </w:rPr>
              <w:t>不锈钢产品统一采用SUS304不锈钢，具有耐蚀、耐高温等性能，可在苛酷的条件下使用。</w:t>
            </w:r>
          </w:p>
        </w:tc>
      </w:tr>
      <w:tr w14:paraId="68768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001" w:type="dxa"/>
            <w:tcBorders>
              <w:top w:val="single" w:color="000000" w:sz="4" w:space="0"/>
              <w:left w:val="single" w:color="000000" w:sz="4" w:space="0"/>
              <w:bottom w:val="single" w:color="000000" w:sz="4" w:space="0"/>
              <w:right w:val="single" w:color="000000" w:sz="4" w:space="0"/>
            </w:tcBorders>
            <w:noWrap/>
            <w:vAlign w:val="center"/>
          </w:tcPr>
          <w:p w14:paraId="30D01EF5">
            <w:pPr>
              <w:pStyle w:val="342"/>
              <w:jc w:val="center"/>
              <w:rPr>
                <w:rStyle w:val="341"/>
                <w:color w:val="auto"/>
                <w:highlight w:val="none"/>
              </w:rPr>
            </w:pPr>
            <w:r>
              <w:rPr>
                <w:rStyle w:val="341"/>
                <w:rFonts w:hint="eastAsia"/>
                <w:color w:val="auto"/>
                <w:highlight w:val="none"/>
              </w:rPr>
              <w:t>2</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29532DAB">
            <w:pPr>
              <w:pStyle w:val="342"/>
              <w:jc w:val="center"/>
              <w:rPr>
                <w:rStyle w:val="341"/>
                <w:rFonts w:ascii="宋体" w:hAnsi="宋体" w:cs="宋体"/>
                <w:color w:val="auto"/>
                <w:highlight w:val="none"/>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w:t>
            </w:r>
            <w:r>
              <w:rPr>
                <w:rStyle w:val="341"/>
                <w:rFonts w:hint="eastAsia" w:ascii="宋体" w:hAnsi="宋体" w:cs="宋体"/>
                <w:color w:val="auto"/>
                <w:highlight w:val="none"/>
                <w:lang w:bidi="ar-SA"/>
              </w:rPr>
              <w:t>要求</w:t>
            </w:r>
          </w:p>
        </w:tc>
        <w:tc>
          <w:tcPr>
            <w:tcW w:w="7243" w:type="dxa"/>
            <w:tcBorders>
              <w:top w:val="single" w:color="000000" w:sz="4" w:space="0"/>
              <w:left w:val="single" w:color="000000" w:sz="4" w:space="0"/>
              <w:bottom w:val="single" w:color="000000" w:sz="4" w:space="0"/>
              <w:right w:val="single" w:color="000000" w:sz="4" w:space="0"/>
            </w:tcBorders>
            <w:noWrap/>
            <w:vAlign w:val="center"/>
          </w:tcPr>
          <w:p w14:paraId="5610EC70">
            <w:pPr>
              <w:pStyle w:val="342"/>
              <w:rPr>
                <w:rStyle w:val="341"/>
                <w:rFonts w:ascii="宋体" w:hAnsi="宋体" w:cs="宋体"/>
                <w:color w:val="auto"/>
                <w:highlight w:val="none"/>
                <w:lang w:bidi="ar-SA"/>
              </w:rPr>
            </w:pPr>
            <w:r>
              <w:rPr>
                <w:rStyle w:val="341"/>
                <w:rFonts w:hint="eastAsia" w:ascii="宋体" w:hAnsi="宋体" w:cs="宋体"/>
                <w:color w:val="auto"/>
                <w:highlight w:val="none"/>
              </w:rPr>
              <w:t>一、耐腐蚀性能：</w:t>
            </w:r>
            <w:r>
              <w:rPr>
                <w:rStyle w:val="341"/>
                <w:rFonts w:hint="eastAsia" w:ascii="宋体" w:hAnsi="宋体" w:cs="宋体"/>
                <w:color w:val="auto"/>
                <w:highlight w:val="none"/>
                <w:lang w:bidi="ar-SA"/>
              </w:rPr>
              <w:t>满足GB/T10125-2021《人造气氛腐蚀试验、盐雾试验》、GB/T6461-2002《金属基体上金属和其它无机覆盖层经腐蚀试验后的试样和试件的评级》标准要求：中性</w:t>
            </w:r>
            <w:r>
              <w:rPr>
                <w:rStyle w:val="341"/>
                <w:rFonts w:hint="eastAsia" w:ascii="宋体" w:hAnsi="宋体" w:cs="宋体"/>
                <w:color w:val="auto"/>
                <w:szCs w:val="21"/>
                <w:highlight w:val="none"/>
                <w:lang w:bidi="ar-SA"/>
              </w:rPr>
              <w:t>盐雾试验</w:t>
            </w:r>
            <w:r>
              <w:rPr>
                <w:rStyle w:val="341"/>
                <w:rFonts w:hint="eastAsia" w:ascii="宋体" w:hAnsi="宋体" w:cs="宋体"/>
                <w:color w:val="auto"/>
                <w:highlight w:val="none"/>
                <w:lang w:bidi="ar-SA"/>
              </w:rPr>
              <w:t>(≥360h)：①涂镀层对基体的保护评级达到10级。②涂镀层本身的耐腐蚀等级（外观评级）达到10级。</w:t>
            </w:r>
          </w:p>
          <w:p w14:paraId="1EF6843F">
            <w:pPr>
              <w:pStyle w:val="342"/>
              <w:rPr>
                <w:rStyle w:val="341"/>
                <w:rFonts w:ascii="宋体" w:hAnsi="宋体" w:cs="宋体"/>
                <w:color w:val="auto"/>
                <w:highlight w:val="none"/>
              </w:rPr>
            </w:pPr>
            <w:r>
              <w:rPr>
                <w:rStyle w:val="341"/>
                <w:rFonts w:hint="eastAsia" w:ascii="宋体" w:hAnsi="宋体" w:cs="宋体"/>
                <w:color w:val="auto"/>
                <w:highlight w:val="none"/>
              </w:rPr>
              <w:t>二、耐湿热：时间：</w:t>
            </w:r>
            <w:r>
              <w:rPr>
                <w:rStyle w:val="341"/>
                <w:rFonts w:hint="eastAsia" w:ascii="宋体" w:hAnsi="宋体" w:cs="宋体"/>
                <w:color w:val="auto"/>
                <w:highlight w:val="none"/>
                <w:lang w:bidi="ar-SA"/>
              </w:rPr>
              <w:t>≥360h</w:t>
            </w:r>
            <w:r>
              <w:rPr>
                <w:rStyle w:val="341"/>
                <w:rFonts w:hint="eastAsia" w:ascii="宋体" w:hAnsi="宋体" w:cs="宋体"/>
                <w:color w:val="auto"/>
                <w:highlight w:val="none"/>
              </w:rPr>
              <w:t>：</w:t>
            </w:r>
            <w:r>
              <w:rPr>
                <w:rStyle w:val="341"/>
                <w:rFonts w:hint="eastAsia" w:ascii="宋体" w:hAnsi="宋体" w:cs="宋体"/>
                <w:color w:val="auto"/>
                <w:highlight w:val="none"/>
                <w:lang w:bidi="ar-SA"/>
              </w:rPr>
              <w:t>合格</w:t>
            </w:r>
            <w:r>
              <w:rPr>
                <w:rStyle w:val="341"/>
                <w:rFonts w:hint="eastAsia" w:ascii="宋体" w:hAnsi="宋体" w:cs="宋体"/>
                <w:color w:val="auto"/>
                <w:highlight w:val="none"/>
              </w:rPr>
              <w:t>。</w:t>
            </w:r>
          </w:p>
          <w:p w14:paraId="065EEB7F">
            <w:pPr>
              <w:pStyle w:val="342"/>
              <w:rPr>
                <w:rStyle w:val="341"/>
                <w:rFonts w:ascii="宋体" w:hAnsi="宋体" w:cs="宋体"/>
                <w:color w:val="auto"/>
                <w:highlight w:val="none"/>
              </w:rPr>
            </w:pPr>
            <w:r>
              <w:rPr>
                <w:rStyle w:val="341"/>
                <w:rFonts w:hint="eastAsia" w:ascii="宋体" w:hAnsi="宋体" w:cs="宋体"/>
                <w:color w:val="auto"/>
                <w:highlight w:val="none"/>
              </w:rPr>
              <w:t>三、维氏硬度：≤210。</w:t>
            </w:r>
          </w:p>
          <w:p w14:paraId="27446310">
            <w:pPr>
              <w:pStyle w:val="342"/>
              <w:rPr>
                <w:rStyle w:val="341"/>
                <w:rFonts w:ascii="宋体" w:hAnsi="宋体" w:cs="宋体"/>
                <w:color w:val="auto"/>
                <w:highlight w:val="none"/>
              </w:rPr>
            </w:pPr>
            <w:r>
              <w:rPr>
                <w:rStyle w:val="341"/>
                <w:rFonts w:hint="eastAsia" w:ascii="宋体" w:hAnsi="宋体" w:cs="宋体"/>
                <w:color w:val="auto"/>
                <w:highlight w:val="none"/>
              </w:rPr>
              <w:t>四、弯曲性能：弯心直径：5mm,弯曲角度：180°, 试验后样品无裂纹。</w:t>
            </w:r>
          </w:p>
          <w:p w14:paraId="35565FC0">
            <w:pPr>
              <w:pStyle w:val="342"/>
              <w:rPr>
                <w:rStyle w:val="341"/>
                <w:rFonts w:ascii="宋体" w:hAnsi="宋体" w:cs="宋体"/>
                <w:color w:val="auto"/>
                <w:highlight w:val="none"/>
              </w:rPr>
            </w:pPr>
            <w:r>
              <w:rPr>
                <w:rStyle w:val="341"/>
                <w:rFonts w:hint="eastAsia" w:ascii="宋体" w:hAnsi="宋体" w:cs="宋体"/>
                <w:color w:val="auto"/>
                <w:highlight w:val="none"/>
              </w:rPr>
              <w:t>五、力学性能(室温拉伸)：</w:t>
            </w:r>
          </w:p>
          <w:p w14:paraId="42DD77EB">
            <w:pPr>
              <w:pStyle w:val="342"/>
              <w:rPr>
                <w:rStyle w:val="341"/>
                <w:rFonts w:ascii="宋体" w:hAnsi="宋体" w:cs="宋体"/>
                <w:color w:val="auto"/>
                <w:highlight w:val="none"/>
              </w:rPr>
            </w:pPr>
            <w:r>
              <w:rPr>
                <w:rStyle w:val="341"/>
                <w:rFonts w:hint="eastAsia" w:ascii="宋体" w:hAnsi="宋体" w:cs="宋体"/>
                <w:color w:val="auto"/>
                <w:highlight w:val="none"/>
              </w:rPr>
              <w:t>抗拉强度：≥700MPa、规定塑性延伸强度：≥310MPa、断后伸长率：≥45%。</w:t>
            </w:r>
          </w:p>
          <w:p w14:paraId="0E1FF0A6">
            <w:pPr>
              <w:pStyle w:val="342"/>
              <w:rPr>
                <w:rStyle w:val="341"/>
                <w:rFonts w:ascii="宋体" w:hAnsi="宋体" w:cs="宋体"/>
                <w:color w:val="auto"/>
                <w:highlight w:val="none"/>
              </w:rPr>
            </w:pPr>
            <w:r>
              <w:rPr>
                <w:rStyle w:val="341"/>
                <w:rFonts w:hint="eastAsia" w:ascii="宋体" w:hAnsi="宋体" w:cs="宋体"/>
                <w:color w:val="auto"/>
                <w:highlight w:val="none"/>
              </w:rPr>
              <w:t>六、化学成分(%):</w:t>
            </w:r>
          </w:p>
          <w:p w14:paraId="100B255C">
            <w:pPr>
              <w:pStyle w:val="342"/>
              <w:rPr>
                <w:rStyle w:val="341"/>
                <w:rFonts w:ascii="宋体" w:hAnsi="宋体" w:cs="宋体"/>
                <w:color w:val="auto"/>
                <w:highlight w:val="none"/>
              </w:rPr>
            </w:pPr>
            <w:r>
              <w:rPr>
                <w:rStyle w:val="341"/>
                <w:rFonts w:hint="eastAsia" w:ascii="宋体" w:hAnsi="宋体" w:cs="宋体"/>
                <w:color w:val="auto"/>
                <w:highlight w:val="none"/>
              </w:rPr>
              <w:t>碳(C)≤0.05、硅(Si)≤0.50、锰(Mn)≤1.20、磷(P)≤0.040、硫(S)≤0.010、铬(Cr)17.50～19.50、镍(Ni)8.00～10.00、铜(Cu)0.30～0.50、氮(N)≤0.03。</w:t>
            </w:r>
          </w:p>
          <w:p w14:paraId="5582D4A7">
            <w:pPr>
              <w:pStyle w:val="342"/>
              <w:rPr>
                <w:rStyle w:val="341"/>
                <w:rFonts w:ascii="宋体" w:hAnsi="宋体" w:cs="宋体"/>
                <w:color w:val="auto"/>
                <w:highlight w:val="none"/>
              </w:rPr>
            </w:pPr>
            <w:r>
              <w:rPr>
                <w:rStyle w:val="341"/>
                <w:rFonts w:hint="eastAsia" w:ascii="宋体" w:hAnsi="宋体" w:cs="宋体"/>
                <w:color w:val="auto"/>
                <w:highlight w:val="none"/>
              </w:rPr>
              <w:t>七、理化指标(不锈钢的迁移物指标)：</w:t>
            </w:r>
          </w:p>
          <w:p w14:paraId="49615777">
            <w:pPr>
              <w:pStyle w:val="342"/>
              <w:rPr>
                <w:rStyle w:val="341"/>
                <w:rFonts w:ascii="宋体" w:hAnsi="宋体" w:cs="宋体"/>
                <w:color w:val="auto"/>
                <w:highlight w:val="none"/>
              </w:rPr>
            </w:pPr>
            <w:r>
              <w:rPr>
                <w:rStyle w:val="341"/>
                <w:rFonts w:hint="eastAsia" w:ascii="宋体" w:hAnsi="宋体" w:cs="宋体"/>
                <w:color w:val="auto"/>
                <w:highlight w:val="none"/>
              </w:rPr>
              <w:t>砷(As)≤0.04mg/kg、镉(Cd)≤0.02mg/kg、铅(Pb)≤0.05mg/kg、铬(Cr)≤2.0mg/kg、镍(Ni)≤0.5mg/kg。</w:t>
            </w:r>
          </w:p>
          <w:p w14:paraId="5E090A5B">
            <w:pPr>
              <w:pStyle w:val="342"/>
              <w:rPr>
                <w:rStyle w:val="341"/>
                <w:rFonts w:ascii="宋体" w:hAnsi="宋体" w:cs="宋体"/>
                <w:color w:val="auto"/>
                <w:highlight w:val="none"/>
              </w:rPr>
            </w:pPr>
            <w:r>
              <w:rPr>
                <w:rFonts w:hint="eastAsia" w:ascii="宋体" w:hAnsi="宋体" w:cs="宋体"/>
                <w:color w:val="auto"/>
                <w:highlight w:val="none"/>
              </w:rPr>
              <w:t>八、</w:t>
            </w:r>
            <w:r>
              <w:rPr>
                <w:rStyle w:val="341"/>
                <w:rFonts w:hint="eastAsia" w:ascii="宋体" w:hAnsi="宋体" w:cs="宋体"/>
                <w:color w:val="auto"/>
                <w:highlight w:val="none"/>
              </w:rPr>
              <w:t>抗菌性能：按照GB/T21866-2008《抗菌 涂料(漆膜)抗菌性测定法和抗菌效果》：</w:t>
            </w:r>
          </w:p>
          <w:p w14:paraId="7D63B6DC">
            <w:pPr>
              <w:pStyle w:val="342"/>
              <w:rPr>
                <w:rFonts w:ascii="宋体" w:hAnsi="宋体" w:cs="宋体"/>
                <w:color w:val="auto"/>
                <w:highlight w:val="none"/>
              </w:rPr>
            </w:pPr>
            <w:r>
              <w:rPr>
                <w:rStyle w:val="341"/>
                <w:rFonts w:hint="eastAsia" w:ascii="宋体" w:hAnsi="宋体" w:cs="宋体"/>
                <w:color w:val="auto"/>
                <w:highlight w:val="none"/>
                <w:lang w:bidi="ar-SA"/>
              </w:rPr>
              <w:t>至少对变形链球菌、产气肠杆菌、奇异变形杆菌、藤黄微球菌、肺炎克雷伯氏菌(肺炎杆菌)、大肠埃希氏菌、耐甲氧西林金黄色葡萄球菌、变异库克菌、肺炎链球菌、鼠伤寒沙门氏菌、宋氏志贺氏菌(宋内氏志贺氏菌)、白色念珠菌、铜绿假单胞菌、粘质沙雷氏菌、粪肠球菌(粪链球菌)中的任意12种抑菌率≥99%。</w:t>
            </w:r>
          </w:p>
          <w:p w14:paraId="3E332FCC">
            <w:pPr>
              <w:pStyle w:val="342"/>
              <w:rPr>
                <w:rStyle w:val="341"/>
                <w:rFonts w:ascii="宋体" w:hAnsi="宋体" w:cs="宋体"/>
                <w:color w:val="auto"/>
                <w:highlight w:val="none"/>
              </w:rPr>
            </w:pPr>
            <w:r>
              <w:rPr>
                <w:rFonts w:hint="eastAsia" w:ascii="宋体" w:hAnsi="宋体" w:cs="宋体"/>
                <w:color w:val="auto"/>
                <w:highlight w:val="none"/>
              </w:rPr>
              <w:t>九、</w:t>
            </w:r>
            <w:r>
              <w:rPr>
                <w:rStyle w:val="341"/>
                <w:rFonts w:hint="eastAsia" w:ascii="宋体" w:hAnsi="宋体" w:cs="宋体"/>
                <w:color w:val="auto"/>
                <w:highlight w:val="none"/>
              </w:rPr>
              <w:t>耐霉菌性：按照GB/T 1741-2020《漆膜耐霉菌性测定法》：</w:t>
            </w:r>
          </w:p>
          <w:p w14:paraId="0C686DC3">
            <w:pPr>
              <w:rPr>
                <w:rStyle w:val="341"/>
                <w:rFonts w:ascii="宋体" w:hAnsi="宋体" w:cs="宋体"/>
                <w:color w:val="auto"/>
                <w:highlight w:val="none"/>
              </w:rPr>
            </w:pPr>
            <w:r>
              <w:rPr>
                <w:rFonts w:hint="eastAsia" w:ascii="宋体" w:hAnsi="宋体" w:cs="宋体"/>
                <w:color w:val="auto"/>
                <w:highlight w:val="none"/>
              </w:rPr>
              <w:t>至少对</w:t>
            </w:r>
            <w:r>
              <w:rPr>
                <w:rStyle w:val="341"/>
                <w:rFonts w:hint="eastAsia" w:ascii="宋体" w:hAnsi="宋体" w:cs="宋体"/>
                <w:color w:val="auto"/>
                <w:highlight w:val="none"/>
              </w:rPr>
              <w:t>桔青霉、出芽短梗霉、绿色木霉、长枝木霉、短柄帚霉、腊叶芽枝霉、链格孢、产黄青霉、赭绿青霉、绿粘帚霉、变幻青霉、黑曲霉、宛氏拟青霉、绳状青霉 、球毛壳霉中的任意12种长霉等级0级。</w:t>
            </w:r>
          </w:p>
        </w:tc>
      </w:tr>
    </w:tbl>
    <w:p w14:paraId="154919D8">
      <w:pPr>
        <w:outlineLvl w:val="2"/>
        <w:rPr>
          <w:rStyle w:val="341"/>
          <w:rFonts w:hint="eastAsia" w:ascii="宋体" w:hAnsi="宋体" w:cs="宋体"/>
          <w:color w:val="auto"/>
          <w:sz w:val="22"/>
          <w:szCs w:val="22"/>
          <w:highlight w:val="none"/>
        </w:rPr>
      </w:pPr>
      <w:r>
        <w:rPr>
          <w:rStyle w:val="341"/>
          <w:rFonts w:hint="eastAsia" w:ascii="宋体" w:hAnsi="宋体" w:cs="宋体"/>
          <w:color w:val="auto"/>
          <w:sz w:val="22"/>
          <w:szCs w:val="22"/>
          <w:highlight w:val="none"/>
        </w:rPr>
        <w:t>5、导轨</w:t>
      </w:r>
    </w:p>
    <w:tbl>
      <w:tblPr>
        <w:tblStyle w:val="52"/>
        <w:tblW w:w="94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1"/>
        <w:gridCol w:w="1104"/>
        <w:gridCol w:w="7316"/>
      </w:tblGrid>
      <w:tr w14:paraId="3B22F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1041" w:type="dxa"/>
            <w:tcBorders>
              <w:top w:val="single" w:color="000000" w:sz="4" w:space="0"/>
              <w:left w:val="single" w:color="000000" w:sz="4" w:space="0"/>
              <w:bottom w:val="single" w:color="000000" w:sz="4" w:space="0"/>
              <w:right w:val="single" w:color="000000" w:sz="4" w:space="0"/>
            </w:tcBorders>
            <w:noWrap/>
            <w:vAlign w:val="center"/>
          </w:tcPr>
          <w:p w14:paraId="59638AC5">
            <w:pPr>
              <w:pStyle w:val="342"/>
              <w:jc w:val="center"/>
              <w:rPr>
                <w:rStyle w:val="341"/>
                <w:b/>
                <w:color w:val="auto"/>
                <w:highlight w:val="none"/>
                <w:lang w:bidi="ar-SA"/>
              </w:rPr>
            </w:pPr>
            <w:r>
              <w:rPr>
                <w:rStyle w:val="341"/>
                <w:rFonts w:hint="eastAsia"/>
                <w:color w:val="auto"/>
                <w:highlight w:val="none"/>
                <w:lang w:bidi="ar-SA"/>
              </w:rPr>
              <w:t>序号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E3BF990">
            <w:pPr>
              <w:pStyle w:val="342"/>
              <w:jc w:val="center"/>
              <w:rPr>
                <w:rStyle w:val="341"/>
                <w:b/>
                <w:color w:val="auto"/>
                <w:highlight w:val="none"/>
                <w:lang w:bidi="ar-SA"/>
              </w:rPr>
            </w:pPr>
            <w:r>
              <w:rPr>
                <w:rStyle w:val="341"/>
                <w:rFonts w:hint="eastAsia"/>
                <w:color w:val="auto"/>
                <w:highlight w:val="none"/>
                <w:lang w:bidi="ar-SA"/>
              </w:rPr>
              <w:t>项目</w:t>
            </w:r>
          </w:p>
        </w:tc>
        <w:tc>
          <w:tcPr>
            <w:tcW w:w="7316" w:type="dxa"/>
            <w:tcBorders>
              <w:top w:val="single" w:color="000000" w:sz="4" w:space="0"/>
              <w:left w:val="single" w:color="000000" w:sz="4" w:space="0"/>
              <w:bottom w:val="single" w:color="000000" w:sz="4" w:space="0"/>
              <w:right w:val="single" w:color="000000" w:sz="4" w:space="0"/>
            </w:tcBorders>
            <w:noWrap/>
            <w:vAlign w:val="center"/>
          </w:tcPr>
          <w:p w14:paraId="7ACA2398">
            <w:pPr>
              <w:pStyle w:val="342"/>
              <w:jc w:val="center"/>
              <w:rPr>
                <w:rStyle w:val="341"/>
                <w:b/>
                <w:color w:val="auto"/>
                <w:highlight w:val="none"/>
                <w:lang w:bidi="ar-SA"/>
              </w:rPr>
            </w:pPr>
            <w:r>
              <w:rPr>
                <w:rStyle w:val="341"/>
                <w:rFonts w:hint="eastAsia"/>
                <w:color w:val="auto"/>
                <w:highlight w:val="none"/>
                <w:lang w:bidi="ar-SA"/>
              </w:rPr>
              <w:t>技术要求</w:t>
            </w:r>
          </w:p>
        </w:tc>
      </w:tr>
      <w:tr w14:paraId="48DF7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 w:hRule="atLeast"/>
          <w:jc w:val="center"/>
        </w:trPr>
        <w:tc>
          <w:tcPr>
            <w:tcW w:w="1041" w:type="dxa"/>
            <w:tcBorders>
              <w:top w:val="single" w:color="000000" w:sz="4" w:space="0"/>
              <w:left w:val="single" w:color="000000" w:sz="4" w:space="0"/>
              <w:bottom w:val="single" w:color="000000" w:sz="4" w:space="0"/>
              <w:right w:val="single" w:color="000000" w:sz="4" w:space="0"/>
            </w:tcBorders>
            <w:noWrap/>
            <w:vAlign w:val="center"/>
          </w:tcPr>
          <w:p w14:paraId="6656C51C">
            <w:pPr>
              <w:pStyle w:val="342"/>
              <w:jc w:val="center"/>
              <w:rPr>
                <w:rStyle w:val="341"/>
                <w:color w:val="auto"/>
                <w:highlight w:val="none"/>
                <w:lang w:bidi="ar-SA"/>
              </w:rPr>
            </w:pPr>
            <w:r>
              <w:rPr>
                <w:rStyle w:val="341"/>
                <w:rFonts w:hint="eastAsia"/>
                <w:color w:val="auto"/>
                <w:highlight w:val="none"/>
                <w:lang w:bidi="ar-SA"/>
              </w:rPr>
              <w:t>1</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8011463">
            <w:pPr>
              <w:pStyle w:val="342"/>
              <w:jc w:val="center"/>
              <w:rPr>
                <w:rStyle w:val="341"/>
                <w:rFonts w:ascii="宋体" w:hAnsi="宋体" w:cs="宋体"/>
                <w:color w:val="auto"/>
                <w:highlight w:val="none"/>
                <w:lang w:bidi="ar-SA"/>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w:t>
            </w:r>
            <w:r>
              <w:rPr>
                <w:rStyle w:val="341"/>
                <w:rFonts w:hint="eastAsia" w:ascii="宋体" w:hAnsi="宋体" w:cs="宋体"/>
                <w:color w:val="auto"/>
                <w:highlight w:val="none"/>
                <w:lang w:bidi="ar-SA"/>
              </w:rPr>
              <w:t>要求</w:t>
            </w:r>
          </w:p>
        </w:tc>
        <w:tc>
          <w:tcPr>
            <w:tcW w:w="7316" w:type="dxa"/>
            <w:tcBorders>
              <w:top w:val="single" w:color="000000" w:sz="4" w:space="0"/>
              <w:left w:val="single" w:color="000000" w:sz="4" w:space="0"/>
              <w:bottom w:val="single" w:color="000000" w:sz="4" w:space="0"/>
              <w:right w:val="single" w:color="000000" w:sz="4" w:space="0"/>
            </w:tcBorders>
            <w:noWrap/>
            <w:vAlign w:val="center"/>
          </w:tcPr>
          <w:p w14:paraId="1A8E9F45">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一、过载:</w:t>
            </w:r>
          </w:p>
          <w:p w14:paraId="3877AB58">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垂直向下静载荷(300N）、水平侧向静载荷(150N) 、猛关(10kg） 、猛开(10kg)：合格。</w:t>
            </w:r>
          </w:p>
          <w:p w14:paraId="61F4BE80">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二、功能：</w:t>
            </w:r>
          </w:p>
          <w:p w14:paraId="64B2037B">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1、操作力：①拉力（耐久性试验前）:当M&lt;40Kg时，拉力≤50N②拉力(耐久性试验后):当M&lt;40Kg时，拉力≤50N③推力）耐久性试验前):当M&lt;40Kg时，推力≤50N④推力(耐久性试验后):当M&lt;40Kg时，推力≤50N。</w:t>
            </w:r>
          </w:p>
          <w:p w14:paraId="7F092794">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2、抽屉导轨组件底部变形：变形量不应超过内部尺寸(宽度和深度)最窄部分的1/75。</w:t>
            </w:r>
          </w:p>
          <w:p w14:paraId="5AAEDE7F">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3、抽屉导轨组件结构强度(200N)、耐久性(80000次)、垂直向下静载荷(320N)、水平侧向静载荷(200N)、拉出安全性：合格。</w:t>
            </w:r>
          </w:p>
          <w:p w14:paraId="738AC0AE">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4、下沉量：下沉量不应超过抽屉导轨拉出长度的4%。</w:t>
            </w:r>
          </w:p>
          <w:p w14:paraId="57D1E370">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三、耐腐蚀性能：满足GB/T10125-2021《人造气氛腐蚀试验、盐雾试验》、GB/T6461-2002《金属基体上金属和其它无机覆盖层经腐蚀试验后的试样和试件的评级》标准要求：</w:t>
            </w:r>
            <w:r>
              <w:rPr>
                <w:rStyle w:val="341"/>
                <w:rFonts w:hint="eastAsia" w:ascii="宋体" w:hAnsi="宋体" w:cs="宋体"/>
                <w:color w:val="auto"/>
                <w:szCs w:val="21"/>
                <w:highlight w:val="none"/>
              </w:rPr>
              <w:t>中性</w:t>
            </w:r>
            <w:r>
              <w:rPr>
                <w:rStyle w:val="341"/>
                <w:rFonts w:hint="eastAsia" w:ascii="宋体" w:hAnsi="宋体" w:cs="宋体"/>
                <w:color w:val="auto"/>
                <w:szCs w:val="21"/>
                <w:highlight w:val="none"/>
                <w:lang w:bidi="ar-SA"/>
              </w:rPr>
              <w:t>盐雾试验</w:t>
            </w:r>
            <w:r>
              <w:rPr>
                <w:rStyle w:val="341"/>
                <w:rFonts w:hint="eastAsia" w:ascii="宋体" w:hAnsi="宋体" w:cs="宋体"/>
                <w:color w:val="auto"/>
                <w:highlight w:val="none"/>
                <w:lang w:bidi="ar-SA"/>
              </w:rPr>
              <w:t>(≥360h)：①涂镀层对基体的保护评级达到10级。②涂镀层本身的耐腐蚀等级（外观评级）达到10级。</w:t>
            </w:r>
          </w:p>
          <w:p w14:paraId="531C14B0">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四、耐湿热性能(≥360h)：合格。</w:t>
            </w:r>
          </w:p>
        </w:tc>
      </w:tr>
    </w:tbl>
    <w:p w14:paraId="7175015A">
      <w:pPr>
        <w:rPr>
          <w:rStyle w:val="341"/>
          <w:color w:val="auto"/>
          <w:sz w:val="24"/>
          <w:highlight w:val="none"/>
        </w:rPr>
      </w:pPr>
    </w:p>
    <w:p w14:paraId="0BD6C08C">
      <w:pPr>
        <w:outlineLvl w:val="2"/>
        <w:rPr>
          <w:rStyle w:val="341"/>
          <w:rFonts w:hint="eastAsia" w:ascii="宋体" w:hAnsi="宋体" w:cs="宋体"/>
          <w:color w:val="auto"/>
          <w:sz w:val="22"/>
          <w:szCs w:val="22"/>
          <w:highlight w:val="none"/>
        </w:rPr>
      </w:pPr>
      <w:r>
        <w:rPr>
          <w:rStyle w:val="341"/>
          <w:rFonts w:hint="eastAsia" w:ascii="宋体" w:hAnsi="宋体" w:cs="宋体"/>
          <w:color w:val="auto"/>
          <w:sz w:val="22"/>
          <w:szCs w:val="22"/>
          <w:highlight w:val="none"/>
        </w:rPr>
        <w:t>6、铰链</w:t>
      </w:r>
    </w:p>
    <w:tbl>
      <w:tblPr>
        <w:tblStyle w:val="52"/>
        <w:tblW w:w="95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1170"/>
        <w:gridCol w:w="7377"/>
      </w:tblGrid>
      <w:tr w14:paraId="49CD8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1017" w:type="dxa"/>
            <w:tcBorders>
              <w:top w:val="single" w:color="000000" w:sz="4" w:space="0"/>
              <w:left w:val="single" w:color="000000" w:sz="4" w:space="0"/>
              <w:bottom w:val="single" w:color="000000" w:sz="4" w:space="0"/>
              <w:right w:val="single" w:color="000000" w:sz="4" w:space="0"/>
            </w:tcBorders>
            <w:noWrap/>
            <w:vAlign w:val="center"/>
          </w:tcPr>
          <w:p w14:paraId="2AC4AFED">
            <w:pPr>
              <w:pStyle w:val="342"/>
              <w:jc w:val="center"/>
              <w:rPr>
                <w:rStyle w:val="341"/>
                <w:b/>
                <w:color w:val="auto"/>
                <w:highlight w:val="none"/>
                <w:lang w:bidi="ar-SA"/>
              </w:rPr>
            </w:pPr>
            <w:r>
              <w:rPr>
                <w:rStyle w:val="341"/>
                <w:rFonts w:hint="eastAsia"/>
                <w:color w:val="auto"/>
                <w:highlight w:val="none"/>
                <w:lang w:bidi="ar-SA"/>
              </w:rPr>
              <w:t>序号</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2C5D9506">
            <w:pPr>
              <w:pStyle w:val="342"/>
              <w:jc w:val="center"/>
              <w:rPr>
                <w:rStyle w:val="341"/>
                <w:b/>
                <w:color w:val="auto"/>
                <w:highlight w:val="none"/>
                <w:lang w:bidi="ar-SA"/>
              </w:rPr>
            </w:pPr>
            <w:r>
              <w:rPr>
                <w:rStyle w:val="341"/>
                <w:rFonts w:hint="eastAsia"/>
                <w:color w:val="auto"/>
                <w:highlight w:val="none"/>
                <w:lang w:bidi="ar-SA"/>
              </w:rPr>
              <w:t>项目</w:t>
            </w:r>
          </w:p>
        </w:tc>
        <w:tc>
          <w:tcPr>
            <w:tcW w:w="7377" w:type="dxa"/>
            <w:tcBorders>
              <w:top w:val="single" w:color="000000" w:sz="4" w:space="0"/>
              <w:left w:val="single" w:color="000000" w:sz="4" w:space="0"/>
              <w:bottom w:val="single" w:color="000000" w:sz="4" w:space="0"/>
              <w:right w:val="single" w:color="000000" w:sz="4" w:space="0"/>
            </w:tcBorders>
            <w:noWrap/>
            <w:vAlign w:val="center"/>
          </w:tcPr>
          <w:p w14:paraId="61E4EC7F">
            <w:pPr>
              <w:pStyle w:val="342"/>
              <w:jc w:val="center"/>
              <w:rPr>
                <w:rStyle w:val="341"/>
                <w:b/>
                <w:color w:val="auto"/>
                <w:highlight w:val="none"/>
                <w:lang w:bidi="ar-SA"/>
              </w:rPr>
            </w:pPr>
            <w:r>
              <w:rPr>
                <w:rStyle w:val="341"/>
                <w:rFonts w:hint="eastAsia"/>
                <w:color w:val="auto"/>
                <w:highlight w:val="none"/>
                <w:lang w:bidi="ar-SA"/>
              </w:rPr>
              <w:t>技术要求</w:t>
            </w:r>
          </w:p>
        </w:tc>
      </w:tr>
      <w:tr w14:paraId="02AC8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 w:hRule="atLeast"/>
          <w:jc w:val="center"/>
        </w:trPr>
        <w:tc>
          <w:tcPr>
            <w:tcW w:w="1017" w:type="dxa"/>
            <w:tcBorders>
              <w:top w:val="single" w:color="000000" w:sz="4" w:space="0"/>
              <w:left w:val="single" w:color="000000" w:sz="4" w:space="0"/>
              <w:bottom w:val="single" w:color="000000" w:sz="4" w:space="0"/>
              <w:right w:val="single" w:color="000000" w:sz="4" w:space="0"/>
            </w:tcBorders>
            <w:noWrap/>
            <w:vAlign w:val="center"/>
          </w:tcPr>
          <w:p w14:paraId="6E5F6F48">
            <w:pPr>
              <w:pStyle w:val="342"/>
              <w:jc w:val="center"/>
              <w:rPr>
                <w:rStyle w:val="341"/>
                <w:color w:val="auto"/>
                <w:highlight w:val="none"/>
                <w:lang w:bidi="ar-SA"/>
              </w:rPr>
            </w:pPr>
            <w:r>
              <w:rPr>
                <w:rStyle w:val="341"/>
                <w:rFonts w:hint="eastAsia"/>
                <w:color w:val="auto"/>
                <w:highlight w:val="none"/>
                <w:lang w:bidi="ar-SA"/>
              </w:rPr>
              <w:t>1</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0EC57861">
            <w:pPr>
              <w:pStyle w:val="342"/>
              <w:jc w:val="center"/>
              <w:rPr>
                <w:rStyle w:val="341"/>
                <w:rFonts w:ascii="宋体" w:hAnsi="宋体" w:cs="宋体"/>
                <w:color w:val="auto"/>
                <w:highlight w:val="none"/>
                <w:lang w:bidi="ar-SA"/>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w:t>
            </w:r>
            <w:r>
              <w:rPr>
                <w:rStyle w:val="341"/>
                <w:rFonts w:hint="eastAsia" w:ascii="宋体" w:hAnsi="宋体" w:cs="宋体"/>
                <w:color w:val="auto"/>
                <w:highlight w:val="none"/>
                <w:lang w:bidi="ar-SA"/>
              </w:rPr>
              <w:t>要求</w:t>
            </w:r>
          </w:p>
        </w:tc>
        <w:tc>
          <w:tcPr>
            <w:tcW w:w="7377" w:type="dxa"/>
            <w:tcBorders>
              <w:top w:val="single" w:color="000000" w:sz="4" w:space="0"/>
              <w:left w:val="single" w:color="000000" w:sz="4" w:space="0"/>
              <w:bottom w:val="single" w:color="000000" w:sz="4" w:space="0"/>
              <w:right w:val="single" w:color="000000" w:sz="4" w:space="0"/>
            </w:tcBorders>
            <w:noWrap/>
            <w:vAlign w:val="center"/>
          </w:tcPr>
          <w:p w14:paraId="10AF9E11">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一、过载：</w:t>
            </w:r>
          </w:p>
          <w:p w14:paraId="47AA0A21">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垂直静载荷、水平静载荷：合格。</w:t>
            </w:r>
          </w:p>
          <w:p w14:paraId="1F459599">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二、功能：</w:t>
            </w:r>
          </w:p>
          <w:p w14:paraId="025B6A76">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1、操作力：①具有自动关闭装置的杯状暗铰链的关闭力(耐久性试验前、耐久性试验前后)：具有自动关闭装置的杯状暗铰链的关闭力应大于0.5N。</w:t>
            </w:r>
          </w:p>
          <w:p w14:paraId="3CA73939">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2、垂直静载荷、水平静载荷、耐久性(80000次)：合格。</w:t>
            </w:r>
          </w:p>
          <w:p w14:paraId="217D8992">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3、下沉量（A型门）：下沉量不应大于2.0mm。</w:t>
            </w:r>
          </w:p>
          <w:p w14:paraId="08D676B2">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三、耐腐蚀性能：满足GB/T10125-2021《人造气氛腐蚀试验、盐雾试验》、GB/T6461-2002《金属基体上金属和其它无机覆盖层经腐蚀试验后的试样和试件的评级》标准要求：</w:t>
            </w:r>
            <w:r>
              <w:rPr>
                <w:rStyle w:val="341"/>
                <w:rFonts w:hint="eastAsia" w:ascii="宋体" w:hAnsi="宋体" w:cs="宋体"/>
                <w:color w:val="auto"/>
                <w:szCs w:val="21"/>
                <w:highlight w:val="none"/>
              </w:rPr>
              <w:t>中性</w:t>
            </w:r>
            <w:r>
              <w:rPr>
                <w:rStyle w:val="341"/>
                <w:rFonts w:hint="eastAsia" w:ascii="宋体" w:hAnsi="宋体" w:cs="宋体"/>
                <w:color w:val="auto"/>
                <w:szCs w:val="21"/>
                <w:highlight w:val="none"/>
                <w:lang w:bidi="ar-SA"/>
              </w:rPr>
              <w:t>盐雾试验</w:t>
            </w:r>
            <w:r>
              <w:rPr>
                <w:rStyle w:val="341"/>
                <w:rFonts w:hint="eastAsia" w:ascii="宋体" w:hAnsi="宋体" w:cs="宋体"/>
                <w:color w:val="auto"/>
                <w:highlight w:val="none"/>
                <w:lang w:bidi="ar-SA"/>
              </w:rPr>
              <w:t>(≥360h)：①涂镀层对基体的保护评级达到10级。②涂镀层本身的耐腐蚀等级（外观评级）达到10级。</w:t>
            </w:r>
          </w:p>
        </w:tc>
      </w:tr>
    </w:tbl>
    <w:p w14:paraId="0489C304">
      <w:pPr>
        <w:outlineLvl w:val="2"/>
        <w:rPr>
          <w:rStyle w:val="341"/>
          <w:rFonts w:hint="eastAsia" w:ascii="宋体" w:hAnsi="宋体" w:cs="宋体"/>
          <w:color w:val="auto"/>
          <w:sz w:val="22"/>
          <w:szCs w:val="22"/>
          <w:highlight w:val="none"/>
        </w:rPr>
      </w:pPr>
      <w:r>
        <w:rPr>
          <w:rStyle w:val="341"/>
          <w:rFonts w:hint="eastAsia" w:ascii="宋体" w:hAnsi="宋体" w:cs="宋体"/>
          <w:color w:val="auto"/>
          <w:sz w:val="22"/>
          <w:szCs w:val="22"/>
          <w:highlight w:val="none"/>
        </w:rPr>
        <w:t>7、锁具</w:t>
      </w:r>
    </w:p>
    <w:tbl>
      <w:tblPr>
        <w:tblStyle w:val="52"/>
        <w:tblW w:w="9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1167"/>
        <w:gridCol w:w="7740"/>
      </w:tblGrid>
      <w:tr w14:paraId="476A4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0864027A">
            <w:pPr>
              <w:pStyle w:val="342"/>
              <w:spacing w:after="0" w:line="360" w:lineRule="auto"/>
              <w:jc w:val="center"/>
              <w:rPr>
                <w:rStyle w:val="341"/>
                <w:b/>
                <w:color w:val="auto"/>
                <w:highlight w:val="none"/>
              </w:rPr>
            </w:pPr>
            <w:r>
              <w:rPr>
                <w:rStyle w:val="341"/>
                <w:rFonts w:hint="eastAsia"/>
                <w:color w:val="auto"/>
                <w:highlight w:val="none"/>
              </w:rPr>
              <w:t>序号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2CF7C547">
            <w:pPr>
              <w:pStyle w:val="342"/>
              <w:spacing w:after="0" w:line="360" w:lineRule="auto"/>
              <w:jc w:val="center"/>
              <w:rPr>
                <w:rStyle w:val="341"/>
                <w:b/>
                <w:color w:val="auto"/>
                <w:highlight w:val="none"/>
              </w:rPr>
            </w:pPr>
            <w:r>
              <w:rPr>
                <w:rStyle w:val="341"/>
                <w:rFonts w:hint="eastAsia"/>
                <w:color w:val="auto"/>
                <w:highlight w:val="none"/>
              </w:rPr>
              <w:t>项目</w:t>
            </w:r>
          </w:p>
        </w:tc>
        <w:tc>
          <w:tcPr>
            <w:tcW w:w="7740" w:type="dxa"/>
            <w:tcBorders>
              <w:top w:val="single" w:color="000000" w:sz="4" w:space="0"/>
              <w:left w:val="single" w:color="000000" w:sz="4" w:space="0"/>
              <w:bottom w:val="single" w:color="000000" w:sz="4" w:space="0"/>
              <w:right w:val="single" w:color="000000" w:sz="4" w:space="0"/>
            </w:tcBorders>
            <w:noWrap/>
            <w:vAlign w:val="center"/>
          </w:tcPr>
          <w:p w14:paraId="52D2EDB0">
            <w:pPr>
              <w:pStyle w:val="342"/>
              <w:spacing w:after="0" w:line="360" w:lineRule="auto"/>
              <w:jc w:val="center"/>
              <w:rPr>
                <w:rStyle w:val="341"/>
                <w:b/>
                <w:color w:val="auto"/>
                <w:highlight w:val="none"/>
              </w:rPr>
            </w:pPr>
            <w:r>
              <w:rPr>
                <w:rStyle w:val="341"/>
                <w:rFonts w:hint="eastAsia"/>
                <w:color w:val="auto"/>
                <w:highlight w:val="none"/>
              </w:rPr>
              <w:t>技术要求</w:t>
            </w:r>
          </w:p>
        </w:tc>
      </w:tr>
      <w:tr w14:paraId="40BD6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4BE66C59">
            <w:pPr>
              <w:pStyle w:val="342"/>
              <w:spacing w:after="0" w:line="360" w:lineRule="auto"/>
              <w:jc w:val="center"/>
              <w:rPr>
                <w:rStyle w:val="341"/>
                <w:color w:val="auto"/>
                <w:highlight w:val="none"/>
              </w:rPr>
            </w:pPr>
            <w:r>
              <w:rPr>
                <w:rStyle w:val="341"/>
                <w:rFonts w:hint="eastAsia"/>
                <w:color w:val="auto"/>
                <w:highlight w:val="none"/>
              </w:rPr>
              <w:t>1</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608C1C33">
            <w:pPr>
              <w:pStyle w:val="342"/>
              <w:spacing w:after="0" w:line="360" w:lineRule="auto"/>
              <w:jc w:val="center"/>
              <w:rPr>
                <w:rStyle w:val="341"/>
                <w:color w:val="auto"/>
                <w:highlight w:val="none"/>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w:t>
            </w:r>
            <w:r>
              <w:rPr>
                <w:rStyle w:val="341"/>
                <w:rFonts w:hint="eastAsia" w:ascii="宋体" w:hAnsi="宋体" w:cs="宋体"/>
                <w:color w:val="auto"/>
                <w:highlight w:val="none"/>
                <w:lang w:bidi="ar-SA"/>
              </w:rPr>
              <w:t>要求</w:t>
            </w:r>
          </w:p>
        </w:tc>
        <w:tc>
          <w:tcPr>
            <w:tcW w:w="7740" w:type="dxa"/>
            <w:tcBorders>
              <w:top w:val="single" w:color="000000" w:sz="4" w:space="0"/>
              <w:left w:val="single" w:color="000000" w:sz="4" w:space="0"/>
              <w:bottom w:val="single" w:color="000000" w:sz="4" w:space="0"/>
              <w:right w:val="single" w:color="000000" w:sz="4" w:space="0"/>
            </w:tcBorders>
            <w:noWrap/>
            <w:vAlign w:val="center"/>
          </w:tcPr>
          <w:p w14:paraId="609A9747">
            <w:pPr>
              <w:pStyle w:val="342"/>
              <w:rPr>
                <w:rStyle w:val="341"/>
                <w:rFonts w:ascii="宋体" w:hAnsi="宋体"/>
                <w:color w:val="auto"/>
                <w:szCs w:val="21"/>
                <w:highlight w:val="none"/>
              </w:rPr>
            </w:pPr>
            <w:r>
              <w:rPr>
                <w:rStyle w:val="341"/>
                <w:rFonts w:hint="eastAsia"/>
                <w:color w:val="auto"/>
                <w:szCs w:val="21"/>
                <w:highlight w:val="none"/>
              </w:rPr>
              <w:t>一</w:t>
            </w:r>
            <w:r>
              <w:rPr>
                <w:rStyle w:val="341"/>
                <w:rFonts w:hint="eastAsia" w:ascii="宋体" w:hAnsi="宋体"/>
                <w:color w:val="auto"/>
                <w:szCs w:val="21"/>
                <w:highlight w:val="none"/>
              </w:rPr>
              <w:t>、互开率(%)：叶片锁5个钥匙牙花≤1.379。</w:t>
            </w:r>
          </w:p>
          <w:p w14:paraId="072AED51">
            <w:pPr>
              <w:pStyle w:val="342"/>
              <w:rPr>
                <w:rStyle w:val="341"/>
                <w:rFonts w:ascii="宋体" w:hAnsi="宋体"/>
                <w:color w:val="auto"/>
                <w:szCs w:val="21"/>
                <w:highlight w:val="none"/>
              </w:rPr>
            </w:pPr>
            <w:r>
              <w:rPr>
                <w:rStyle w:val="341"/>
                <w:rFonts w:hint="eastAsia"/>
                <w:color w:val="auto"/>
                <w:szCs w:val="21"/>
                <w:highlight w:val="none"/>
              </w:rPr>
              <w:t>二</w:t>
            </w:r>
            <w:r>
              <w:rPr>
                <w:rStyle w:val="341"/>
                <w:rFonts w:hint="eastAsia" w:ascii="宋体" w:hAnsi="宋体"/>
                <w:color w:val="auto"/>
                <w:szCs w:val="21"/>
                <w:highlight w:val="none"/>
              </w:rPr>
              <w:t>、锁头固定连接静拉力：锁头直径小于20mm的，在承受 140N静拉力后，应无松动。</w:t>
            </w:r>
          </w:p>
          <w:p w14:paraId="14CF0918">
            <w:pPr>
              <w:pStyle w:val="342"/>
              <w:rPr>
                <w:rStyle w:val="341"/>
                <w:rFonts w:ascii="宋体" w:hAnsi="宋体"/>
                <w:color w:val="auto"/>
                <w:szCs w:val="21"/>
                <w:highlight w:val="none"/>
              </w:rPr>
            </w:pPr>
            <w:r>
              <w:rPr>
                <w:rStyle w:val="341"/>
                <w:rFonts w:hint="eastAsia"/>
                <w:color w:val="auto"/>
                <w:szCs w:val="21"/>
                <w:highlight w:val="none"/>
              </w:rPr>
              <w:t>三</w:t>
            </w:r>
            <w:r>
              <w:rPr>
                <w:rStyle w:val="341"/>
                <w:rFonts w:hint="eastAsia" w:ascii="宋体" w:hAnsi="宋体"/>
                <w:color w:val="auto"/>
                <w:szCs w:val="21"/>
                <w:highlight w:val="none"/>
              </w:rPr>
              <w:t>、锁头固定连接扭矩：锁头直径小于20mm的，在承受1.80N •m扭矩后，应无松动。</w:t>
            </w:r>
          </w:p>
          <w:p w14:paraId="37C3D23A">
            <w:pPr>
              <w:pStyle w:val="342"/>
              <w:rPr>
                <w:rStyle w:val="341"/>
                <w:rFonts w:ascii="宋体" w:hAnsi="宋体"/>
                <w:color w:val="auto"/>
                <w:szCs w:val="21"/>
                <w:highlight w:val="none"/>
              </w:rPr>
            </w:pPr>
            <w:r>
              <w:rPr>
                <w:rStyle w:val="341"/>
                <w:rFonts w:hint="eastAsia"/>
                <w:color w:val="auto"/>
                <w:szCs w:val="21"/>
                <w:highlight w:val="none"/>
              </w:rPr>
              <w:t>四</w:t>
            </w:r>
            <w:r>
              <w:rPr>
                <w:rStyle w:val="341"/>
                <w:rFonts w:hint="eastAsia" w:ascii="宋体" w:hAnsi="宋体"/>
                <w:color w:val="auto"/>
                <w:szCs w:val="21"/>
                <w:highlight w:val="none"/>
              </w:rPr>
              <w:t>、锁芯拨动件扭矩：在承受0.70N •m扭矩后，应能正常使用。</w:t>
            </w:r>
          </w:p>
          <w:p w14:paraId="58046B57">
            <w:pPr>
              <w:pStyle w:val="342"/>
              <w:rPr>
                <w:rStyle w:val="341"/>
                <w:rFonts w:ascii="宋体" w:hAnsi="宋体"/>
                <w:color w:val="auto"/>
                <w:szCs w:val="21"/>
                <w:highlight w:val="none"/>
              </w:rPr>
            </w:pPr>
            <w:r>
              <w:rPr>
                <w:rStyle w:val="341"/>
                <w:rFonts w:hint="eastAsia"/>
                <w:color w:val="auto"/>
                <w:szCs w:val="21"/>
                <w:highlight w:val="none"/>
              </w:rPr>
              <w:t>五</w:t>
            </w:r>
            <w:r>
              <w:rPr>
                <w:rStyle w:val="341"/>
                <w:rFonts w:hint="eastAsia" w:ascii="宋体" w:hAnsi="宋体"/>
                <w:color w:val="auto"/>
                <w:szCs w:val="21"/>
                <w:highlight w:val="none"/>
              </w:rPr>
              <w:t>、锁舌侧向静载荷：在承受200N侧向静载荷后，应能正常使用。</w:t>
            </w:r>
          </w:p>
          <w:p w14:paraId="12A10099">
            <w:pPr>
              <w:pStyle w:val="342"/>
              <w:rPr>
                <w:rStyle w:val="341"/>
                <w:rFonts w:ascii="宋体" w:hAnsi="宋体"/>
                <w:color w:val="auto"/>
                <w:szCs w:val="21"/>
                <w:highlight w:val="none"/>
              </w:rPr>
            </w:pPr>
            <w:r>
              <w:rPr>
                <w:rStyle w:val="341"/>
                <w:rFonts w:hint="eastAsia"/>
                <w:color w:val="auto"/>
                <w:szCs w:val="21"/>
                <w:highlight w:val="none"/>
              </w:rPr>
              <w:t>六</w:t>
            </w:r>
            <w:r>
              <w:rPr>
                <w:rStyle w:val="341"/>
                <w:rFonts w:hint="eastAsia" w:ascii="宋体" w:hAnsi="宋体"/>
                <w:color w:val="auto"/>
                <w:szCs w:val="21"/>
                <w:highlight w:val="none"/>
              </w:rPr>
              <w:t>、钥匙插拔、旋转：钥匙插拔应灵活、无卡滞现象； 钥匙插入锁芯旋转灵活，锁开、关无卡阻现象。</w:t>
            </w:r>
          </w:p>
          <w:p w14:paraId="4BE78BD9">
            <w:pPr>
              <w:pStyle w:val="342"/>
              <w:rPr>
                <w:rStyle w:val="341"/>
                <w:rFonts w:ascii="宋体" w:hAnsi="宋体"/>
                <w:color w:val="auto"/>
                <w:szCs w:val="21"/>
                <w:highlight w:val="none"/>
              </w:rPr>
            </w:pPr>
            <w:r>
              <w:rPr>
                <w:rStyle w:val="341"/>
                <w:rFonts w:hint="eastAsia"/>
                <w:color w:val="auto"/>
                <w:szCs w:val="21"/>
                <w:highlight w:val="none"/>
              </w:rPr>
              <w:t>七</w:t>
            </w:r>
            <w:r>
              <w:rPr>
                <w:rStyle w:val="341"/>
                <w:rFonts w:hint="eastAsia" w:ascii="宋体" w:hAnsi="宋体"/>
                <w:color w:val="auto"/>
                <w:szCs w:val="21"/>
                <w:highlight w:val="none"/>
              </w:rPr>
              <w:t>、钥匙拔出静拉力(N)：叶片锁不应大于9N。</w:t>
            </w:r>
          </w:p>
          <w:p w14:paraId="716F98FB">
            <w:pPr>
              <w:pStyle w:val="342"/>
              <w:rPr>
                <w:rStyle w:val="341"/>
                <w:rFonts w:ascii="宋体" w:hAnsi="宋体"/>
                <w:color w:val="auto"/>
                <w:szCs w:val="21"/>
                <w:highlight w:val="none"/>
              </w:rPr>
            </w:pPr>
            <w:r>
              <w:rPr>
                <w:rStyle w:val="341"/>
                <w:rFonts w:hint="eastAsia"/>
                <w:color w:val="auto"/>
                <w:szCs w:val="21"/>
                <w:highlight w:val="none"/>
              </w:rPr>
              <w:t>八</w:t>
            </w:r>
            <w:r>
              <w:rPr>
                <w:rStyle w:val="341"/>
                <w:rFonts w:hint="eastAsia" w:ascii="宋体" w:hAnsi="宋体"/>
                <w:color w:val="auto"/>
                <w:szCs w:val="21"/>
                <w:highlight w:val="none"/>
              </w:rPr>
              <w:t>、钥匙开启扭矩(N•m)：不应大于0.65N•m。</w:t>
            </w:r>
          </w:p>
          <w:p w14:paraId="6464B122">
            <w:pPr>
              <w:pStyle w:val="342"/>
              <w:rPr>
                <w:rStyle w:val="341"/>
                <w:rFonts w:ascii="宋体" w:hAnsi="宋体"/>
                <w:color w:val="auto"/>
                <w:szCs w:val="21"/>
                <w:highlight w:val="none"/>
              </w:rPr>
            </w:pPr>
            <w:r>
              <w:rPr>
                <w:rStyle w:val="341"/>
                <w:rFonts w:hint="eastAsia"/>
                <w:color w:val="auto"/>
                <w:szCs w:val="21"/>
                <w:highlight w:val="none"/>
              </w:rPr>
              <w:t>九</w:t>
            </w:r>
            <w:r>
              <w:rPr>
                <w:rStyle w:val="341"/>
                <w:rFonts w:hint="eastAsia" w:ascii="宋体" w:hAnsi="宋体"/>
                <w:color w:val="auto"/>
                <w:szCs w:val="21"/>
                <w:highlight w:val="none"/>
              </w:rPr>
              <w:t>、锁头、钥匙：锁头、钥匙表面应平整光洁，商标字迹应清晰、端正。</w:t>
            </w:r>
          </w:p>
          <w:p w14:paraId="7B07D626">
            <w:pPr>
              <w:pStyle w:val="342"/>
              <w:rPr>
                <w:rStyle w:val="341"/>
                <w:rFonts w:ascii="宋体" w:hAnsi="宋体"/>
                <w:color w:val="auto"/>
                <w:szCs w:val="21"/>
                <w:highlight w:val="none"/>
              </w:rPr>
            </w:pPr>
            <w:r>
              <w:rPr>
                <w:rStyle w:val="341"/>
                <w:rFonts w:hint="eastAsia" w:ascii="宋体" w:hAnsi="宋体"/>
                <w:color w:val="auto"/>
                <w:szCs w:val="21"/>
                <w:highlight w:val="none"/>
              </w:rPr>
              <w:t>十、电镀件：电镀件外露表面应色泽均匀，不应有起泡、起层、露底等明显瑕疵。</w:t>
            </w:r>
          </w:p>
          <w:p w14:paraId="6049DEB5">
            <w:pPr>
              <w:pStyle w:val="342"/>
              <w:rPr>
                <w:rStyle w:val="341"/>
                <w:rFonts w:ascii="宋体" w:hAnsi="宋体"/>
                <w:color w:val="auto"/>
                <w:szCs w:val="21"/>
                <w:highlight w:val="none"/>
              </w:rPr>
            </w:pPr>
            <w:r>
              <w:rPr>
                <w:rStyle w:val="341"/>
                <w:rFonts w:hint="eastAsia" w:ascii="宋体" w:hAnsi="宋体"/>
                <w:color w:val="auto"/>
                <w:szCs w:val="21"/>
                <w:highlight w:val="none"/>
              </w:rPr>
              <w:t>十</w:t>
            </w:r>
            <w:r>
              <w:rPr>
                <w:rStyle w:val="341"/>
                <w:rFonts w:hint="eastAsia"/>
                <w:color w:val="auto"/>
                <w:szCs w:val="21"/>
                <w:highlight w:val="none"/>
              </w:rPr>
              <w:t>一</w:t>
            </w:r>
            <w:r>
              <w:rPr>
                <w:rStyle w:val="341"/>
                <w:rFonts w:hint="eastAsia" w:ascii="宋体" w:hAnsi="宋体"/>
                <w:color w:val="auto"/>
                <w:szCs w:val="21"/>
                <w:highlight w:val="none"/>
              </w:rPr>
              <w:t>、电镀件耐腐蚀：电镀件外露表面经12h的中性盐雾试验后，应达到外观评级R</w:t>
            </w:r>
            <w:r>
              <w:rPr>
                <w:rStyle w:val="341"/>
                <w:rFonts w:hint="eastAsia" w:ascii="宋体" w:hAnsi="宋体"/>
                <w:color w:val="auto"/>
                <w:szCs w:val="21"/>
                <w:highlight w:val="none"/>
                <w:vertAlign w:val="subscript"/>
              </w:rPr>
              <w:t>A</w:t>
            </w:r>
            <w:r>
              <w:rPr>
                <w:rStyle w:val="341"/>
                <w:rFonts w:hint="eastAsia" w:ascii="宋体" w:hAnsi="宋体"/>
                <w:color w:val="auto"/>
                <w:szCs w:val="21"/>
                <w:highlight w:val="none"/>
              </w:rPr>
              <w:t xml:space="preserve"> 6级的规定。</w:t>
            </w:r>
          </w:p>
          <w:p w14:paraId="47F1C74E">
            <w:pPr>
              <w:pStyle w:val="342"/>
              <w:rPr>
                <w:rStyle w:val="341"/>
                <w:rFonts w:ascii="宋体" w:hAnsi="宋体"/>
                <w:color w:val="auto"/>
                <w:szCs w:val="21"/>
                <w:highlight w:val="none"/>
              </w:rPr>
            </w:pPr>
            <w:r>
              <w:rPr>
                <w:rStyle w:val="341"/>
                <w:rFonts w:hint="eastAsia" w:ascii="宋体" w:hAnsi="宋体"/>
                <w:color w:val="auto"/>
                <w:szCs w:val="21"/>
                <w:highlight w:val="none"/>
              </w:rPr>
              <w:t>十</w:t>
            </w:r>
            <w:r>
              <w:rPr>
                <w:rStyle w:val="341"/>
                <w:rFonts w:hint="eastAsia"/>
                <w:color w:val="auto"/>
                <w:szCs w:val="21"/>
                <w:highlight w:val="none"/>
              </w:rPr>
              <w:t>二</w:t>
            </w:r>
            <w:r>
              <w:rPr>
                <w:rStyle w:val="341"/>
                <w:rFonts w:hint="eastAsia" w:ascii="宋体" w:hAnsi="宋体"/>
                <w:color w:val="auto"/>
                <w:szCs w:val="21"/>
                <w:highlight w:val="none"/>
              </w:rPr>
              <w:t>、主锁舌伸出长度(mm)：</w:t>
            </w:r>
          </w:p>
          <w:p w14:paraId="47AAD479">
            <w:pPr>
              <w:pStyle w:val="342"/>
              <w:rPr>
                <w:rStyle w:val="341"/>
                <w:rFonts w:ascii="宋体" w:hAnsi="宋体"/>
                <w:color w:val="auto"/>
                <w:szCs w:val="21"/>
                <w:highlight w:val="none"/>
              </w:rPr>
            </w:pPr>
            <w:r>
              <w:rPr>
                <w:rStyle w:val="341"/>
                <w:rFonts w:hint="eastAsia" w:ascii="宋体" w:hAnsi="宋体"/>
                <w:color w:val="auto"/>
                <w:szCs w:val="21"/>
                <w:highlight w:val="none"/>
              </w:rPr>
              <w:t>除钩舌/爪舌以外的锁舌作为主锁舌时，锁舌伸出长度A级应不小于14mm。</w:t>
            </w:r>
          </w:p>
          <w:p w14:paraId="4545D893">
            <w:pPr>
              <w:pStyle w:val="342"/>
              <w:rPr>
                <w:rStyle w:val="341"/>
                <w:rFonts w:ascii="宋体" w:hAnsi="宋体"/>
                <w:color w:val="auto"/>
                <w:szCs w:val="21"/>
                <w:highlight w:val="none"/>
              </w:rPr>
            </w:pPr>
            <w:r>
              <w:rPr>
                <w:rStyle w:val="341"/>
                <w:rFonts w:hint="eastAsia" w:ascii="宋体" w:hAnsi="宋体"/>
                <w:color w:val="auto"/>
                <w:szCs w:val="21"/>
                <w:highlight w:val="none"/>
              </w:rPr>
              <w:t>十</w:t>
            </w:r>
            <w:r>
              <w:rPr>
                <w:rStyle w:val="341"/>
                <w:rFonts w:hint="eastAsia"/>
                <w:color w:val="auto"/>
                <w:szCs w:val="21"/>
                <w:highlight w:val="none"/>
              </w:rPr>
              <w:t>三</w:t>
            </w:r>
            <w:r>
              <w:rPr>
                <w:rStyle w:val="341"/>
                <w:rFonts w:hint="eastAsia" w:ascii="宋体" w:hAnsi="宋体"/>
                <w:color w:val="auto"/>
                <w:szCs w:val="21"/>
                <w:highlight w:val="none"/>
              </w:rPr>
              <w:t>、主锁舌灵活度：</w:t>
            </w:r>
          </w:p>
          <w:p w14:paraId="77DC6AC4">
            <w:pPr>
              <w:pStyle w:val="342"/>
              <w:rPr>
                <w:rStyle w:val="341"/>
                <w:color w:val="auto"/>
                <w:highlight w:val="none"/>
              </w:rPr>
            </w:pPr>
            <w:r>
              <w:rPr>
                <w:rStyle w:val="341"/>
                <w:rFonts w:hint="eastAsia" w:ascii="宋体" w:hAnsi="宋体"/>
                <w:color w:val="auto"/>
                <w:szCs w:val="21"/>
                <w:highlight w:val="none"/>
              </w:rPr>
              <w:t>用手动部件操作主锁舌的转动扭矩应不大于3N•m,主锁舌启、闭应无阻滞现象。</w:t>
            </w:r>
          </w:p>
          <w:p w14:paraId="7E4D403A">
            <w:pPr>
              <w:pStyle w:val="342"/>
              <w:spacing w:after="0" w:line="360" w:lineRule="auto"/>
              <w:rPr>
                <w:rStyle w:val="341"/>
                <w:color w:val="auto"/>
                <w:highlight w:val="none"/>
              </w:rPr>
            </w:pPr>
            <w:r>
              <w:rPr>
                <w:rStyle w:val="341"/>
                <w:rFonts w:hint="eastAsia"/>
                <w:color w:val="auto"/>
                <w:highlight w:val="none"/>
              </w:rPr>
              <w:t>十四、金属表面耐腐蚀：</w:t>
            </w:r>
          </w:p>
          <w:p w14:paraId="4B21D1B2">
            <w:pPr>
              <w:pStyle w:val="342"/>
              <w:spacing w:after="0" w:line="360" w:lineRule="auto"/>
              <w:rPr>
                <w:rStyle w:val="341"/>
                <w:color w:val="auto"/>
                <w:highlight w:val="none"/>
              </w:rPr>
            </w:pPr>
            <w:r>
              <w:rPr>
                <w:rStyle w:val="341"/>
                <w:rFonts w:hint="eastAsia"/>
                <w:color w:val="auto"/>
                <w:highlight w:val="none"/>
                <w:lang w:bidi="ar-SA"/>
              </w:rPr>
              <w:t>满足GB/T10125-2021《人造气氛腐蚀试验、盐雾试验》、GB/T6461-2002《金属基体上金属和其它无机覆盖层经腐蚀试验后的试样和试件的评级》标准要求：</w:t>
            </w:r>
            <w:r>
              <w:rPr>
                <w:rStyle w:val="341"/>
                <w:rFonts w:hint="eastAsia"/>
                <w:color w:val="auto"/>
                <w:highlight w:val="none"/>
              </w:rPr>
              <w:t>乙酸盐雾试验(连续喷雾≥360小时)，R</w:t>
            </w:r>
            <w:r>
              <w:rPr>
                <w:rStyle w:val="341"/>
                <w:rFonts w:hint="eastAsia"/>
                <w:color w:val="auto"/>
                <w:highlight w:val="none"/>
                <w:vertAlign w:val="subscript"/>
              </w:rPr>
              <w:t>A</w:t>
            </w:r>
            <w:r>
              <w:rPr>
                <w:rStyle w:val="341"/>
                <w:rFonts w:hint="eastAsia"/>
                <w:color w:val="auto"/>
                <w:highlight w:val="none"/>
              </w:rPr>
              <w:t>10级，R</w:t>
            </w:r>
            <w:r>
              <w:rPr>
                <w:rStyle w:val="341"/>
                <w:rFonts w:hint="eastAsia"/>
                <w:color w:val="auto"/>
                <w:highlight w:val="none"/>
                <w:vertAlign w:val="subscript"/>
              </w:rPr>
              <w:t>p</w:t>
            </w:r>
            <w:r>
              <w:rPr>
                <w:rStyle w:val="341"/>
                <w:rFonts w:hint="eastAsia"/>
                <w:color w:val="auto"/>
                <w:highlight w:val="none"/>
              </w:rPr>
              <w:t>10级。</w:t>
            </w:r>
          </w:p>
        </w:tc>
      </w:tr>
    </w:tbl>
    <w:p w14:paraId="663B9FD2">
      <w:pPr>
        <w:outlineLvl w:val="2"/>
        <w:rPr>
          <w:rStyle w:val="341"/>
          <w:rFonts w:hint="eastAsia" w:ascii="宋体" w:hAnsi="宋体" w:cs="宋体"/>
          <w:color w:val="auto"/>
          <w:sz w:val="22"/>
          <w:szCs w:val="22"/>
          <w:highlight w:val="none"/>
        </w:rPr>
      </w:pPr>
      <w:r>
        <w:rPr>
          <w:rStyle w:val="341"/>
          <w:rFonts w:hint="eastAsia" w:ascii="宋体" w:hAnsi="宋体" w:cs="宋体"/>
          <w:color w:val="auto"/>
          <w:sz w:val="22"/>
          <w:szCs w:val="22"/>
          <w:highlight w:val="none"/>
        </w:rPr>
        <w:t>8、网布（家具用）</w:t>
      </w:r>
    </w:p>
    <w:tbl>
      <w:tblPr>
        <w:tblStyle w:val="52"/>
        <w:tblW w:w="9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1167"/>
        <w:gridCol w:w="7740"/>
      </w:tblGrid>
      <w:tr w14:paraId="58AB8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7822C871">
            <w:pPr>
              <w:pStyle w:val="342"/>
              <w:spacing w:after="0" w:line="360" w:lineRule="auto"/>
              <w:jc w:val="center"/>
              <w:rPr>
                <w:rStyle w:val="341"/>
                <w:b/>
                <w:color w:val="auto"/>
                <w:highlight w:val="none"/>
              </w:rPr>
            </w:pPr>
            <w:r>
              <w:rPr>
                <w:rStyle w:val="341"/>
                <w:rFonts w:hint="eastAsia"/>
                <w:color w:val="auto"/>
                <w:highlight w:val="none"/>
              </w:rPr>
              <w:t>序号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7F86582E">
            <w:pPr>
              <w:pStyle w:val="342"/>
              <w:spacing w:after="0" w:line="360" w:lineRule="auto"/>
              <w:jc w:val="center"/>
              <w:rPr>
                <w:rStyle w:val="341"/>
                <w:b/>
                <w:color w:val="auto"/>
                <w:highlight w:val="none"/>
              </w:rPr>
            </w:pPr>
            <w:r>
              <w:rPr>
                <w:rStyle w:val="341"/>
                <w:rFonts w:hint="eastAsia"/>
                <w:color w:val="auto"/>
                <w:highlight w:val="none"/>
              </w:rPr>
              <w:t>项目</w:t>
            </w:r>
          </w:p>
        </w:tc>
        <w:tc>
          <w:tcPr>
            <w:tcW w:w="7740" w:type="dxa"/>
            <w:tcBorders>
              <w:top w:val="single" w:color="000000" w:sz="4" w:space="0"/>
              <w:left w:val="single" w:color="000000" w:sz="4" w:space="0"/>
              <w:bottom w:val="single" w:color="000000" w:sz="4" w:space="0"/>
              <w:right w:val="single" w:color="000000" w:sz="4" w:space="0"/>
            </w:tcBorders>
            <w:noWrap/>
            <w:vAlign w:val="center"/>
          </w:tcPr>
          <w:p w14:paraId="6E1F6AC1">
            <w:pPr>
              <w:pStyle w:val="342"/>
              <w:spacing w:after="0" w:line="360" w:lineRule="auto"/>
              <w:jc w:val="center"/>
              <w:rPr>
                <w:rStyle w:val="341"/>
                <w:b/>
                <w:color w:val="auto"/>
                <w:highlight w:val="none"/>
              </w:rPr>
            </w:pPr>
            <w:r>
              <w:rPr>
                <w:rStyle w:val="341"/>
                <w:rFonts w:hint="eastAsia"/>
                <w:color w:val="auto"/>
                <w:highlight w:val="none"/>
              </w:rPr>
              <w:t>技术要求</w:t>
            </w:r>
          </w:p>
        </w:tc>
      </w:tr>
      <w:tr w14:paraId="5C27C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55F8FF96">
            <w:pPr>
              <w:pStyle w:val="342"/>
              <w:spacing w:after="0" w:line="360" w:lineRule="auto"/>
              <w:jc w:val="center"/>
              <w:rPr>
                <w:rStyle w:val="341"/>
                <w:color w:val="auto"/>
                <w:highlight w:val="none"/>
              </w:rPr>
            </w:pPr>
            <w:r>
              <w:rPr>
                <w:rStyle w:val="341"/>
                <w:rFonts w:hint="eastAsia"/>
                <w:color w:val="auto"/>
                <w:highlight w:val="none"/>
              </w:rPr>
              <w:t>1</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08008B3">
            <w:pPr>
              <w:pStyle w:val="342"/>
              <w:spacing w:after="0" w:line="360" w:lineRule="auto"/>
              <w:jc w:val="center"/>
              <w:rPr>
                <w:rStyle w:val="341"/>
                <w:color w:val="auto"/>
                <w:highlight w:val="none"/>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w:t>
            </w:r>
            <w:r>
              <w:rPr>
                <w:rStyle w:val="341"/>
                <w:rFonts w:hint="eastAsia" w:ascii="宋体" w:hAnsi="宋体" w:cs="宋体"/>
                <w:color w:val="auto"/>
                <w:highlight w:val="none"/>
                <w:lang w:bidi="ar-SA"/>
              </w:rPr>
              <w:t>要求</w:t>
            </w:r>
          </w:p>
        </w:tc>
        <w:tc>
          <w:tcPr>
            <w:tcW w:w="7740" w:type="dxa"/>
            <w:tcBorders>
              <w:top w:val="single" w:color="000000" w:sz="4" w:space="0"/>
              <w:left w:val="single" w:color="000000" w:sz="4" w:space="0"/>
              <w:bottom w:val="single" w:color="000000" w:sz="4" w:space="0"/>
              <w:right w:val="single" w:color="000000" w:sz="4" w:space="0"/>
            </w:tcBorders>
            <w:noWrap/>
            <w:vAlign w:val="center"/>
          </w:tcPr>
          <w:p w14:paraId="2906C442">
            <w:pPr>
              <w:pStyle w:val="342"/>
              <w:spacing w:after="0" w:line="360" w:lineRule="auto"/>
              <w:rPr>
                <w:rStyle w:val="341"/>
                <w:color w:val="auto"/>
                <w:szCs w:val="21"/>
                <w:highlight w:val="none"/>
              </w:rPr>
            </w:pPr>
            <w:r>
              <w:rPr>
                <w:rStyle w:val="341"/>
                <w:rFonts w:hint="eastAsia"/>
                <w:color w:val="auto"/>
                <w:szCs w:val="21"/>
                <w:highlight w:val="none"/>
              </w:rPr>
              <w:t>1、幅宽：全幅宽: 平均值 ≥1.2m</w:t>
            </w:r>
          </w:p>
          <w:p w14:paraId="2130B8A3">
            <w:pPr>
              <w:pStyle w:val="342"/>
              <w:spacing w:after="0" w:line="360" w:lineRule="auto"/>
              <w:rPr>
                <w:rStyle w:val="341"/>
                <w:color w:val="auto"/>
                <w:szCs w:val="21"/>
                <w:highlight w:val="none"/>
              </w:rPr>
            </w:pPr>
            <w:r>
              <w:rPr>
                <w:rStyle w:val="341"/>
                <w:rFonts w:hint="eastAsia"/>
                <w:color w:val="auto"/>
                <w:szCs w:val="21"/>
                <w:highlight w:val="none"/>
              </w:rPr>
              <w:t>2、水洗尺寸变化率 (%) ：经向 -4.0～+3.0；纬向 -4.0～+3.0</w:t>
            </w:r>
          </w:p>
          <w:p w14:paraId="30151DDF">
            <w:pPr>
              <w:pStyle w:val="342"/>
              <w:spacing w:after="0" w:line="360" w:lineRule="auto"/>
              <w:rPr>
                <w:rStyle w:val="341"/>
                <w:color w:val="auto"/>
                <w:szCs w:val="21"/>
                <w:highlight w:val="none"/>
              </w:rPr>
            </w:pPr>
            <w:r>
              <w:rPr>
                <w:rStyle w:val="341"/>
                <w:rFonts w:hint="eastAsia"/>
                <w:color w:val="auto"/>
                <w:szCs w:val="21"/>
                <w:highlight w:val="none"/>
              </w:rPr>
              <w:t>3、平方米质量 (g/m2 )：≥160</w:t>
            </w:r>
          </w:p>
          <w:p w14:paraId="53FB5F52">
            <w:pPr>
              <w:pStyle w:val="342"/>
              <w:spacing w:after="0" w:line="360" w:lineRule="auto"/>
              <w:rPr>
                <w:rStyle w:val="341"/>
                <w:color w:val="auto"/>
                <w:szCs w:val="21"/>
                <w:highlight w:val="none"/>
              </w:rPr>
            </w:pPr>
            <w:r>
              <w:rPr>
                <w:rStyle w:val="341"/>
                <w:rFonts w:hint="eastAsia"/>
                <w:color w:val="auto"/>
                <w:szCs w:val="21"/>
                <w:highlight w:val="none"/>
              </w:rPr>
              <w:t>4、断裂强力(N)：经向 ≥100；纬向 ≥100</w:t>
            </w:r>
          </w:p>
          <w:p w14:paraId="2D1FFE1F">
            <w:pPr>
              <w:pStyle w:val="342"/>
              <w:spacing w:after="0" w:line="360" w:lineRule="auto"/>
              <w:rPr>
                <w:rStyle w:val="341"/>
                <w:color w:val="auto"/>
                <w:szCs w:val="21"/>
                <w:highlight w:val="none"/>
              </w:rPr>
            </w:pPr>
            <w:r>
              <w:rPr>
                <w:rStyle w:val="341"/>
                <w:rFonts w:hint="eastAsia"/>
                <w:color w:val="auto"/>
                <w:szCs w:val="21"/>
                <w:highlight w:val="none"/>
              </w:rPr>
              <w:t>5、胀破强度(kPa)：≥200</w:t>
            </w:r>
          </w:p>
          <w:p w14:paraId="49813304">
            <w:pPr>
              <w:pStyle w:val="342"/>
              <w:spacing w:after="0" w:line="360" w:lineRule="auto"/>
              <w:rPr>
                <w:rStyle w:val="341"/>
                <w:color w:val="auto"/>
                <w:szCs w:val="21"/>
                <w:highlight w:val="none"/>
              </w:rPr>
            </w:pPr>
            <w:r>
              <w:rPr>
                <w:rStyle w:val="341"/>
                <w:rFonts w:hint="eastAsia"/>
                <w:color w:val="auto"/>
                <w:szCs w:val="21"/>
                <w:highlight w:val="none"/>
              </w:rPr>
              <w:t>6、透气率(mm/s)：≥140</w:t>
            </w:r>
          </w:p>
          <w:p w14:paraId="0D58FB14">
            <w:pPr>
              <w:pStyle w:val="342"/>
              <w:spacing w:after="0" w:line="360" w:lineRule="auto"/>
              <w:rPr>
                <w:rStyle w:val="341"/>
                <w:color w:val="auto"/>
                <w:szCs w:val="21"/>
                <w:highlight w:val="none"/>
              </w:rPr>
            </w:pPr>
            <w:r>
              <w:rPr>
                <w:rStyle w:val="341"/>
                <w:rFonts w:hint="eastAsia"/>
                <w:color w:val="auto"/>
                <w:szCs w:val="21"/>
                <w:highlight w:val="none"/>
              </w:rPr>
              <w:t>7、易去污性（擦拭 法）(级)：擦拭后色差 ≥3</w:t>
            </w:r>
          </w:p>
          <w:p w14:paraId="27841648">
            <w:pPr>
              <w:pStyle w:val="342"/>
              <w:spacing w:after="0" w:line="360" w:lineRule="auto"/>
              <w:rPr>
                <w:rStyle w:val="341"/>
                <w:color w:val="auto"/>
                <w:szCs w:val="21"/>
                <w:highlight w:val="none"/>
              </w:rPr>
            </w:pPr>
            <w:r>
              <w:rPr>
                <w:rStyle w:val="341"/>
                <w:rFonts w:hint="eastAsia"/>
                <w:color w:val="auto"/>
                <w:szCs w:val="21"/>
                <w:highlight w:val="none"/>
              </w:rPr>
              <w:t>8、纤维含量(%)：聚酯纤维 100</w:t>
            </w:r>
          </w:p>
          <w:p w14:paraId="20A6F5B1">
            <w:pPr>
              <w:pStyle w:val="342"/>
              <w:spacing w:after="0" w:line="360" w:lineRule="auto"/>
              <w:rPr>
                <w:rStyle w:val="341"/>
                <w:color w:val="auto"/>
                <w:szCs w:val="21"/>
                <w:highlight w:val="none"/>
              </w:rPr>
            </w:pPr>
            <w:r>
              <w:rPr>
                <w:rStyle w:val="341"/>
                <w:rFonts w:hint="eastAsia"/>
                <w:color w:val="auto"/>
                <w:szCs w:val="21"/>
                <w:highlight w:val="none"/>
              </w:rPr>
              <w:t>9、pH值：4.0～9.0(C类)</w:t>
            </w:r>
          </w:p>
          <w:p w14:paraId="4165BFEA">
            <w:pPr>
              <w:pStyle w:val="342"/>
              <w:spacing w:after="0" w:line="360" w:lineRule="auto"/>
              <w:rPr>
                <w:rStyle w:val="341"/>
                <w:color w:val="auto"/>
                <w:szCs w:val="21"/>
                <w:highlight w:val="none"/>
              </w:rPr>
            </w:pPr>
            <w:r>
              <w:rPr>
                <w:rStyle w:val="341"/>
                <w:rFonts w:hint="eastAsia"/>
                <w:color w:val="auto"/>
                <w:szCs w:val="21"/>
                <w:highlight w:val="none"/>
              </w:rPr>
              <w:t>10、甲醛含量 (mg/kg)：≤300(C类)</w:t>
            </w:r>
          </w:p>
          <w:p w14:paraId="753DF88A">
            <w:pPr>
              <w:pStyle w:val="342"/>
              <w:spacing w:after="0" w:line="360" w:lineRule="auto"/>
              <w:rPr>
                <w:rStyle w:val="341"/>
                <w:color w:val="auto"/>
                <w:szCs w:val="21"/>
                <w:highlight w:val="none"/>
              </w:rPr>
            </w:pPr>
            <w:r>
              <w:rPr>
                <w:rStyle w:val="341"/>
                <w:rFonts w:hint="eastAsia"/>
                <w:color w:val="auto"/>
                <w:szCs w:val="21"/>
                <w:highlight w:val="none"/>
              </w:rPr>
              <w:t>11、异味：无异味</w:t>
            </w:r>
          </w:p>
          <w:p w14:paraId="2F6B7E0A">
            <w:pPr>
              <w:pStyle w:val="342"/>
              <w:spacing w:after="0" w:line="360" w:lineRule="auto"/>
              <w:rPr>
                <w:rStyle w:val="341"/>
                <w:color w:val="auto"/>
                <w:szCs w:val="21"/>
                <w:highlight w:val="none"/>
              </w:rPr>
            </w:pPr>
            <w:r>
              <w:rPr>
                <w:rStyle w:val="341"/>
                <w:rFonts w:hint="eastAsia"/>
                <w:color w:val="auto"/>
                <w:szCs w:val="21"/>
                <w:highlight w:val="none"/>
              </w:rPr>
              <w:t>12、磷系阻燃剂： 未检出</w:t>
            </w:r>
          </w:p>
          <w:p w14:paraId="0123D512">
            <w:pPr>
              <w:pStyle w:val="342"/>
              <w:spacing w:after="0" w:line="360" w:lineRule="auto"/>
              <w:rPr>
                <w:rStyle w:val="341"/>
                <w:color w:val="auto"/>
                <w:szCs w:val="21"/>
                <w:highlight w:val="none"/>
              </w:rPr>
            </w:pPr>
            <w:r>
              <w:rPr>
                <w:rStyle w:val="341"/>
                <w:rFonts w:hint="eastAsia"/>
                <w:color w:val="auto"/>
                <w:szCs w:val="21"/>
                <w:highlight w:val="none"/>
              </w:rPr>
              <w:t>13、防蚊性能：按照GB/T 30126-2013</w:t>
            </w:r>
          </w:p>
          <w:p w14:paraId="40B3B88F">
            <w:pPr>
              <w:pStyle w:val="342"/>
              <w:spacing w:after="0" w:line="360" w:lineRule="auto"/>
              <w:rPr>
                <w:rStyle w:val="341"/>
                <w:color w:val="auto"/>
                <w:szCs w:val="21"/>
                <w:highlight w:val="none"/>
              </w:rPr>
            </w:pPr>
            <w:r>
              <w:rPr>
                <w:rStyle w:val="341"/>
                <w:rFonts w:hint="eastAsia"/>
                <w:color w:val="auto"/>
                <w:szCs w:val="21"/>
                <w:highlight w:val="none"/>
              </w:rPr>
              <w:t>至少达到B级（驱避率70%-50%），样品具有良好的驱避效果。</w:t>
            </w:r>
          </w:p>
          <w:p w14:paraId="15AE43EC">
            <w:pPr>
              <w:pStyle w:val="342"/>
              <w:spacing w:after="0" w:line="360" w:lineRule="auto"/>
              <w:rPr>
                <w:rStyle w:val="341"/>
                <w:color w:val="auto"/>
                <w:szCs w:val="21"/>
                <w:highlight w:val="none"/>
              </w:rPr>
            </w:pPr>
            <w:r>
              <w:rPr>
                <w:rStyle w:val="341"/>
                <w:rFonts w:hint="eastAsia"/>
                <w:color w:val="auto"/>
                <w:szCs w:val="21"/>
                <w:highlight w:val="none"/>
              </w:rPr>
              <w:t>14、抗菌性能：按照GB/T 20944.3-2008</w:t>
            </w:r>
          </w:p>
          <w:p w14:paraId="465F364E">
            <w:pPr>
              <w:pStyle w:val="342"/>
              <w:spacing w:after="0" w:line="360" w:lineRule="auto"/>
              <w:rPr>
                <w:rStyle w:val="341"/>
                <w:color w:val="auto"/>
                <w:highlight w:val="none"/>
              </w:rPr>
            </w:pPr>
            <w:r>
              <w:rPr>
                <w:rStyle w:val="341"/>
                <w:rFonts w:hint="eastAsia"/>
                <w:color w:val="auto"/>
                <w:szCs w:val="21"/>
                <w:highlight w:val="none"/>
              </w:rPr>
              <w:t>至少对金黄色葡萄球菌、大肠杆菌、白色念珠菌、单增李斯特氏菌、类白喉杆菌（无枝菌酸棒杆菌）、藤黄微球菌、变异库克菌中的任意5种抑菌率≥99%</w:t>
            </w:r>
          </w:p>
        </w:tc>
      </w:tr>
    </w:tbl>
    <w:p w14:paraId="7C14FC2A">
      <w:pPr>
        <w:outlineLvl w:val="2"/>
        <w:rPr>
          <w:rStyle w:val="341"/>
          <w:rFonts w:hint="eastAsia" w:ascii="宋体" w:hAnsi="宋体" w:cs="宋体"/>
          <w:color w:val="auto"/>
          <w:sz w:val="22"/>
          <w:szCs w:val="22"/>
          <w:highlight w:val="none"/>
          <w:lang w:val="en-US"/>
        </w:rPr>
      </w:pPr>
      <w:r>
        <w:rPr>
          <w:rStyle w:val="341"/>
          <w:rFonts w:hint="eastAsia" w:ascii="宋体" w:hAnsi="宋体" w:cs="宋体"/>
          <w:color w:val="auto"/>
          <w:sz w:val="22"/>
          <w:szCs w:val="22"/>
          <w:highlight w:val="none"/>
          <w:lang w:val="en-US" w:eastAsia="zh-CN"/>
        </w:rPr>
        <w:t>9</w:t>
      </w:r>
      <w:r>
        <w:rPr>
          <w:rStyle w:val="341"/>
          <w:rFonts w:hint="eastAsia" w:ascii="宋体" w:hAnsi="宋体" w:cs="宋体"/>
          <w:color w:val="auto"/>
          <w:sz w:val="22"/>
          <w:szCs w:val="22"/>
          <w:highlight w:val="none"/>
          <w:lang w:val="en-US"/>
        </w:rPr>
        <w:t>、理化板</w:t>
      </w:r>
    </w:p>
    <w:tbl>
      <w:tblPr>
        <w:tblStyle w:val="52"/>
        <w:tblW w:w="9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1167"/>
        <w:gridCol w:w="7740"/>
      </w:tblGrid>
      <w:tr w14:paraId="27F83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157470F8">
            <w:pPr>
              <w:pStyle w:val="342"/>
              <w:spacing w:after="0" w:line="360" w:lineRule="auto"/>
              <w:jc w:val="center"/>
              <w:rPr>
                <w:rStyle w:val="341"/>
                <w:b/>
                <w:color w:val="auto"/>
                <w:highlight w:val="none"/>
              </w:rPr>
            </w:pPr>
            <w:r>
              <w:rPr>
                <w:rStyle w:val="341"/>
                <w:rFonts w:hint="eastAsia"/>
                <w:color w:val="auto"/>
                <w:highlight w:val="none"/>
              </w:rPr>
              <w:t>序号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E73DF85">
            <w:pPr>
              <w:pStyle w:val="342"/>
              <w:spacing w:after="0" w:line="360" w:lineRule="auto"/>
              <w:jc w:val="center"/>
              <w:rPr>
                <w:rStyle w:val="341"/>
                <w:b/>
                <w:color w:val="auto"/>
                <w:highlight w:val="none"/>
              </w:rPr>
            </w:pPr>
            <w:r>
              <w:rPr>
                <w:rStyle w:val="341"/>
                <w:rFonts w:hint="eastAsia"/>
                <w:color w:val="auto"/>
                <w:highlight w:val="none"/>
              </w:rPr>
              <w:t>项目</w:t>
            </w:r>
          </w:p>
        </w:tc>
        <w:tc>
          <w:tcPr>
            <w:tcW w:w="7740" w:type="dxa"/>
            <w:tcBorders>
              <w:top w:val="single" w:color="000000" w:sz="4" w:space="0"/>
              <w:left w:val="single" w:color="000000" w:sz="4" w:space="0"/>
              <w:bottom w:val="single" w:color="000000" w:sz="4" w:space="0"/>
              <w:right w:val="single" w:color="000000" w:sz="4" w:space="0"/>
            </w:tcBorders>
            <w:noWrap/>
            <w:vAlign w:val="center"/>
          </w:tcPr>
          <w:p w14:paraId="610AD1C3">
            <w:pPr>
              <w:pStyle w:val="342"/>
              <w:spacing w:after="0" w:line="360" w:lineRule="auto"/>
              <w:jc w:val="center"/>
              <w:rPr>
                <w:rStyle w:val="341"/>
                <w:b/>
                <w:color w:val="auto"/>
                <w:highlight w:val="none"/>
              </w:rPr>
            </w:pPr>
            <w:r>
              <w:rPr>
                <w:rStyle w:val="341"/>
                <w:rFonts w:hint="eastAsia"/>
                <w:color w:val="auto"/>
                <w:highlight w:val="none"/>
              </w:rPr>
              <w:t>技术要求</w:t>
            </w:r>
          </w:p>
        </w:tc>
      </w:tr>
      <w:tr w14:paraId="7E7CD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108B0A8D">
            <w:pPr>
              <w:pStyle w:val="342"/>
              <w:spacing w:after="0" w:line="360" w:lineRule="auto"/>
              <w:jc w:val="center"/>
              <w:rPr>
                <w:rStyle w:val="341"/>
                <w:rFonts w:ascii="宋体" w:hAnsi="宋体" w:cs="宋体"/>
                <w:color w:val="auto"/>
                <w:highlight w:val="none"/>
              </w:rPr>
            </w:pPr>
            <w:r>
              <w:rPr>
                <w:rStyle w:val="341"/>
                <w:rFonts w:hint="eastAsia" w:ascii="宋体" w:hAnsi="宋体" w:cs="宋体"/>
                <w:color w:val="auto"/>
                <w:highlight w:val="none"/>
              </w:rPr>
              <w:t>1</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65ED5535">
            <w:pPr>
              <w:pStyle w:val="342"/>
              <w:spacing w:after="0" w:line="360" w:lineRule="auto"/>
              <w:jc w:val="center"/>
              <w:rPr>
                <w:rStyle w:val="341"/>
                <w:rFonts w:ascii="宋体" w:hAnsi="宋体" w:cs="宋体"/>
                <w:color w:val="auto"/>
                <w:highlight w:val="none"/>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w:t>
            </w:r>
            <w:r>
              <w:rPr>
                <w:rStyle w:val="341"/>
                <w:rFonts w:hint="eastAsia" w:ascii="宋体" w:hAnsi="宋体" w:cs="宋体"/>
                <w:color w:val="auto"/>
                <w:highlight w:val="none"/>
                <w:lang w:bidi="ar-SA"/>
              </w:rPr>
              <w:t>要求</w:t>
            </w:r>
          </w:p>
        </w:tc>
        <w:tc>
          <w:tcPr>
            <w:tcW w:w="7740" w:type="dxa"/>
            <w:tcBorders>
              <w:top w:val="single" w:color="000000" w:sz="4" w:space="0"/>
              <w:left w:val="single" w:color="000000" w:sz="4" w:space="0"/>
              <w:bottom w:val="single" w:color="000000" w:sz="4" w:space="0"/>
              <w:right w:val="single" w:color="000000" w:sz="4" w:space="0"/>
            </w:tcBorders>
            <w:noWrap/>
            <w:vAlign w:val="center"/>
          </w:tcPr>
          <w:p w14:paraId="190FCFCD">
            <w:pPr>
              <w:pStyle w:val="342"/>
              <w:rPr>
                <w:rStyle w:val="341"/>
                <w:rFonts w:ascii="宋体" w:hAnsi="宋体"/>
                <w:color w:val="auto"/>
                <w:szCs w:val="21"/>
                <w:highlight w:val="none"/>
              </w:rPr>
            </w:pPr>
            <w:r>
              <w:rPr>
                <w:rStyle w:val="341"/>
                <w:rFonts w:hint="eastAsia" w:ascii="宋体" w:hAnsi="宋体"/>
                <w:color w:val="auto"/>
                <w:szCs w:val="21"/>
                <w:highlight w:val="none"/>
              </w:rPr>
              <w:t>一、理化性能：1、耐酸碱：≥1级。2、耐高温：≥1级。3、表面耐干热：≥1级。</w:t>
            </w:r>
          </w:p>
          <w:p w14:paraId="3D45FA46">
            <w:pPr>
              <w:pStyle w:val="342"/>
              <w:rPr>
                <w:rStyle w:val="341"/>
                <w:rFonts w:ascii="宋体" w:hAnsi="宋体"/>
                <w:color w:val="auto"/>
                <w:szCs w:val="21"/>
                <w:highlight w:val="none"/>
              </w:rPr>
            </w:pPr>
            <w:r>
              <w:rPr>
                <w:rStyle w:val="341"/>
                <w:rFonts w:hint="eastAsia" w:ascii="宋体" w:hAnsi="宋体"/>
                <w:color w:val="auto"/>
                <w:szCs w:val="21"/>
                <w:highlight w:val="none"/>
              </w:rPr>
              <w:t>4、吸水率：≤0.5%。5、耐污染：≥1级。6、洛氏硬度：≥80。</w:t>
            </w:r>
          </w:p>
          <w:p w14:paraId="4F01B4A2">
            <w:pPr>
              <w:pStyle w:val="342"/>
              <w:rPr>
                <w:rStyle w:val="341"/>
                <w:rFonts w:ascii="宋体" w:hAnsi="宋体"/>
                <w:color w:val="auto"/>
                <w:szCs w:val="21"/>
                <w:highlight w:val="none"/>
              </w:rPr>
            </w:pPr>
            <w:r>
              <w:rPr>
                <w:rStyle w:val="341"/>
                <w:rFonts w:hint="eastAsia" w:ascii="宋体" w:hAnsi="宋体"/>
                <w:color w:val="auto"/>
                <w:szCs w:val="21"/>
                <w:highlight w:val="none"/>
              </w:rPr>
              <w:t>二、氙灯老化(≥360h)：外观颜色变色等级≥3级。</w:t>
            </w:r>
          </w:p>
          <w:p w14:paraId="09E8CE79">
            <w:pPr>
              <w:pStyle w:val="342"/>
              <w:rPr>
                <w:rStyle w:val="341"/>
                <w:rFonts w:ascii="宋体" w:hAnsi="宋体"/>
                <w:color w:val="auto"/>
                <w:szCs w:val="21"/>
                <w:highlight w:val="none"/>
              </w:rPr>
            </w:pPr>
            <w:r>
              <w:rPr>
                <w:rStyle w:val="341"/>
                <w:rFonts w:hint="eastAsia" w:ascii="宋体" w:hAnsi="宋体"/>
                <w:color w:val="auto"/>
                <w:szCs w:val="21"/>
                <w:highlight w:val="none"/>
              </w:rPr>
              <w:t>三、燃烧性能B</w:t>
            </w:r>
            <w:r>
              <w:rPr>
                <w:rStyle w:val="341"/>
                <w:rFonts w:hint="eastAsia" w:ascii="宋体" w:hAnsi="宋体"/>
                <w:color w:val="auto"/>
                <w:szCs w:val="21"/>
                <w:highlight w:val="none"/>
                <w:vertAlign w:val="subscript"/>
              </w:rPr>
              <w:t>1</w:t>
            </w:r>
            <w:r>
              <w:rPr>
                <w:rStyle w:val="341"/>
                <w:rFonts w:hint="eastAsia" w:ascii="宋体" w:hAnsi="宋体"/>
                <w:color w:val="auto"/>
                <w:szCs w:val="21"/>
                <w:highlight w:val="none"/>
              </w:rPr>
              <w:t>级：平板状建筑材料：①火焰横向蔓延LFS未达到试样长翼边缘。②600s内无燃烧滴落物/微粒。③60s内焰尖高度Fs≤150mm。④60s内无燃烧滴落物引燃滤纸现象。</w:t>
            </w:r>
          </w:p>
          <w:p w14:paraId="0D82433A">
            <w:pPr>
              <w:pStyle w:val="342"/>
              <w:rPr>
                <w:rStyle w:val="341"/>
                <w:rFonts w:ascii="宋体" w:hAnsi="宋体"/>
                <w:color w:val="auto"/>
                <w:szCs w:val="21"/>
                <w:highlight w:val="none"/>
              </w:rPr>
            </w:pPr>
            <w:r>
              <w:rPr>
                <w:rStyle w:val="341"/>
                <w:rFonts w:hint="eastAsia" w:ascii="宋体" w:hAnsi="宋体"/>
                <w:color w:val="auto"/>
                <w:szCs w:val="21"/>
                <w:highlight w:val="none"/>
              </w:rPr>
              <w:t>四、耐磨性（500g/1000转）、压缩强度：</w:t>
            </w:r>
          </w:p>
          <w:p w14:paraId="1F13362B">
            <w:pPr>
              <w:pStyle w:val="342"/>
              <w:rPr>
                <w:rStyle w:val="341"/>
                <w:rFonts w:ascii="宋体" w:hAnsi="宋体"/>
                <w:color w:val="auto"/>
                <w:szCs w:val="21"/>
                <w:highlight w:val="none"/>
              </w:rPr>
            </w:pPr>
            <w:r>
              <w:rPr>
                <w:rStyle w:val="341"/>
                <w:rFonts w:hint="eastAsia" w:ascii="宋体" w:hAnsi="宋体"/>
                <w:color w:val="auto"/>
                <w:szCs w:val="21"/>
                <w:highlight w:val="none"/>
              </w:rPr>
              <w:t>1、耐磨性(500g/1000转)：≤0.14g。2、压缩强度≥32MPa。</w:t>
            </w:r>
          </w:p>
          <w:p w14:paraId="01934339">
            <w:pPr>
              <w:pStyle w:val="342"/>
              <w:rPr>
                <w:rStyle w:val="341"/>
                <w:rFonts w:ascii="宋体" w:hAnsi="宋体"/>
                <w:color w:val="auto"/>
                <w:szCs w:val="21"/>
                <w:highlight w:val="none"/>
              </w:rPr>
            </w:pPr>
            <w:r>
              <w:rPr>
                <w:rStyle w:val="341"/>
                <w:rFonts w:hint="eastAsia" w:ascii="宋体" w:hAnsi="宋体"/>
                <w:color w:val="auto"/>
                <w:szCs w:val="21"/>
                <w:highlight w:val="none"/>
              </w:rPr>
              <w:t>五、抗菌性能：</w:t>
            </w:r>
          </w:p>
          <w:p w14:paraId="61A3E752">
            <w:pPr>
              <w:pStyle w:val="342"/>
              <w:rPr>
                <w:rStyle w:val="341"/>
                <w:rFonts w:ascii="宋体" w:hAnsi="宋体"/>
                <w:color w:val="auto"/>
                <w:szCs w:val="21"/>
                <w:highlight w:val="none"/>
              </w:rPr>
            </w:pPr>
            <w:r>
              <w:rPr>
                <w:rStyle w:val="341"/>
                <w:rFonts w:hint="eastAsia" w:ascii="宋体" w:hAnsi="宋体" w:cs="宋体"/>
                <w:color w:val="auto"/>
                <w:highlight w:val="none"/>
                <w:lang w:bidi="ar-SA"/>
              </w:rPr>
              <w:t>至少对变形链球菌、产气肠杆菌、奇异变形杆菌、藤黄微球菌、肺炎克雷伯氏菌(肺炎杆菌)、大肠埃希氏菌、耐甲氧西林金黄色葡萄球菌、变异库克菌、肺炎链球菌、鼠伤寒沙门氏菌、宋氏志贺氏菌(宋内氏志贺氏菌)、白色念珠菌、铜绿假单胞菌、粘质沙雷氏菌、粪肠球菌(粪链球菌)中的任意12种抑菌率≥99%。</w:t>
            </w:r>
          </w:p>
          <w:p w14:paraId="706DE7A3">
            <w:pPr>
              <w:pStyle w:val="342"/>
              <w:rPr>
                <w:rStyle w:val="341"/>
                <w:rFonts w:ascii="宋体" w:hAnsi="宋体" w:eastAsiaTheme="minorEastAsia" w:cstheme="minorBidi"/>
                <w:color w:val="auto"/>
                <w:szCs w:val="21"/>
                <w:highlight w:val="none"/>
              </w:rPr>
            </w:pPr>
            <w:r>
              <w:rPr>
                <w:rStyle w:val="341"/>
                <w:rFonts w:hint="eastAsia" w:ascii="宋体" w:hAnsi="宋体" w:eastAsiaTheme="minorEastAsia" w:cstheme="minorBidi"/>
                <w:color w:val="auto"/>
                <w:szCs w:val="21"/>
                <w:highlight w:val="none"/>
              </w:rPr>
              <w:t>六、耐霉菌性：</w:t>
            </w:r>
          </w:p>
          <w:p w14:paraId="6625DFAC">
            <w:pPr>
              <w:pStyle w:val="342"/>
              <w:rPr>
                <w:rStyle w:val="341"/>
                <w:color w:val="auto"/>
                <w:highlight w:val="none"/>
              </w:rPr>
            </w:pPr>
            <w:r>
              <w:rPr>
                <w:rStyle w:val="341"/>
                <w:rFonts w:hint="eastAsia" w:ascii="宋体" w:hAnsi="宋体" w:eastAsiaTheme="minorEastAsia" w:cstheme="minorBidi"/>
                <w:color w:val="auto"/>
                <w:szCs w:val="21"/>
                <w:highlight w:val="none"/>
              </w:rPr>
              <w:t>至少对桔青霉、出芽短梗霉、绿色木霉、长枝木霉、短柄帚霉、腊叶芽枝霉、链格孢、产黄青霉、赭绿青霉、绿粘帚霉、变幻青霉、黑曲霉、宛氏拟青霉、绳状青霉 、球毛壳霉中的任意12种长霉等级0级。</w:t>
            </w:r>
          </w:p>
        </w:tc>
      </w:tr>
    </w:tbl>
    <w:p w14:paraId="550834F8">
      <w:pPr>
        <w:outlineLvl w:val="2"/>
        <w:rPr>
          <w:rStyle w:val="341"/>
          <w:rFonts w:hint="eastAsia" w:ascii="宋体" w:hAnsi="宋体" w:cs="宋体"/>
          <w:color w:val="auto"/>
          <w:sz w:val="22"/>
          <w:szCs w:val="22"/>
          <w:highlight w:val="none"/>
          <w:lang w:val="en-US" w:eastAsia="zh-CN"/>
        </w:rPr>
      </w:pPr>
      <w:r>
        <w:rPr>
          <w:rStyle w:val="341"/>
          <w:rFonts w:hint="eastAsia" w:ascii="宋体" w:hAnsi="宋体" w:cs="宋体"/>
          <w:color w:val="auto"/>
          <w:sz w:val="22"/>
          <w:szCs w:val="22"/>
          <w:highlight w:val="none"/>
          <w:lang w:val="en-US" w:eastAsia="zh-CN"/>
        </w:rPr>
        <w:t>10、铝合金（家具用）</w:t>
      </w:r>
    </w:p>
    <w:tbl>
      <w:tblPr>
        <w:tblStyle w:val="52"/>
        <w:tblW w:w="9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1167"/>
        <w:gridCol w:w="7740"/>
      </w:tblGrid>
      <w:tr w14:paraId="75A98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29F1BAB0">
            <w:pPr>
              <w:pStyle w:val="342"/>
              <w:spacing w:after="0" w:line="360" w:lineRule="auto"/>
              <w:jc w:val="center"/>
              <w:rPr>
                <w:rStyle w:val="341"/>
                <w:b/>
                <w:color w:val="auto"/>
                <w:highlight w:val="none"/>
              </w:rPr>
            </w:pPr>
            <w:r>
              <w:rPr>
                <w:rStyle w:val="341"/>
                <w:rFonts w:hint="eastAsia"/>
                <w:color w:val="auto"/>
                <w:highlight w:val="none"/>
              </w:rPr>
              <w:t>序号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45E5D309">
            <w:pPr>
              <w:pStyle w:val="342"/>
              <w:spacing w:after="0" w:line="360" w:lineRule="auto"/>
              <w:jc w:val="center"/>
              <w:rPr>
                <w:rStyle w:val="341"/>
                <w:b/>
                <w:color w:val="auto"/>
                <w:highlight w:val="none"/>
              </w:rPr>
            </w:pPr>
            <w:r>
              <w:rPr>
                <w:rStyle w:val="341"/>
                <w:rFonts w:hint="eastAsia"/>
                <w:color w:val="auto"/>
                <w:highlight w:val="none"/>
              </w:rPr>
              <w:t>项目</w:t>
            </w:r>
          </w:p>
        </w:tc>
        <w:tc>
          <w:tcPr>
            <w:tcW w:w="7740" w:type="dxa"/>
            <w:tcBorders>
              <w:top w:val="single" w:color="000000" w:sz="4" w:space="0"/>
              <w:left w:val="single" w:color="000000" w:sz="4" w:space="0"/>
              <w:bottom w:val="single" w:color="000000" w:sz="4" w:space="0"/>
              <w:right w:val="single" w:color="000000" w:sz="4" w:space="0"/>
            </w:tcBorders>
            <w:noWrap/>
            <w:vAlign w:val="center"/>
          </w:tcPr>
          <w:p w14:paraId="1892C2CB">
            <w:pPr>
              <w:pStyle w:val="342"/>
              <w:spacing w:after="0" w:line="360" w:lineRule="auto"/>
              <w:jc w:val="center"/>
              <w:rPr>
                <w:rStyle w:val="341"/>
                <w:b/>
                <w:color w:val="auto"/>
                <w:highlight w:val="none"/>
              </w:rPr>
            </w:pPr>
            <w:r>
              <w:rPr>
                <w:rStyle w:val="341"/>
                <w:rFonts w:hint="eastAsia"/>
                <w:color w:val="auto"/>
                <w:highlight w:val="none"/>
              </w:rPr>
              <w:t>技术要求</w:t>
            </w:r>
          </w:p>
        </w:tc>
      </w:tr>
      <w:tr w14:paraId="5E0D3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5261AE3B">
            <w:pPr>
              <w:pStyle w:val="342"/>
              <w:spacing w:after="0" w:line="360" w:lineRule="auto"/>
              <w:jc w:val="center"/>
              <w:rPr>
                <w:rStyle w:val="341"/>
                <w:rFonts w:ascii="宋体" w:hAnsi="宋体" w:cs="宋体"/>
                <w:color w:val="auto"/>
                <w:highlight w:val="none"/>
              </w:rPr>
            </w:pPr>
            <w:r>
              <w:rPr>
                <w:rStyle w:val="341"/>
                <w:rFonts w:hint="eastAsia" w:ascii="宋体" w:hAnsi="宋体" w:cs="宋体"/>
                <w:color w:val="auto"/>
                <w:highlight w:val="none"/>
              </w:rPr>
              <w:t>1</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0D760F9D">
            <w:pPr>
              <w:pStyle w:val="342"/>
              <w:spacing w:after="0" w:line="360" w:lineRule="auto"/>
              <w:jc w:val="center"/>
              <w:rPr>
                <w:rStyle w:val="341"/>
                <w:rFonts w:ascii="宋体" w:hAnsi="宋体" w:cs="宋体"/>
                <w:color w:val="auto"/>
                <w:highlight w:val="none"/>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参数要求</w:t>
            </w:r>
          </w:p>
        </w:tc>
        <w:tc>
          <w:tcPr>
            <w:tcW w:w="7740" w:type="dxa"/>
            <w:tcBorders>
              <w:top w:val="single" w:color="000000" w:sz="4" w:space="0"/>
              <w:left w:val="single" w:color="000000" w:sz="4" w:space="0"/>
              <w:bottom w:val="single" w:color="000000" w:sz="4" w:space="0"/>
              <w:right w:val="single" w:color="000000" w:sz="4" w:space="0"/>
            </w:tcBorders>
            <w:noWrap/>
            <w:vAlign w:val="center"/>
          </w:tcPr>
          <w:p w14:paraId="5F6C2A34">
            <w:pPr>
              <w:pStyle w:val="342"/>
              <w:rPr>
                <w:rStyle w:val="341"/>
                <w:rFonts w:ascii="宋体" w:hAnsi="宋体" w:cs="宋体"/>
                <w:color w:val="auto"/>
                <w:highlight w:val="none"/>
              </w:rPr>
            </w:pPr>
            <w:r>
              <w:rPr>
                <w:rStyle w:val="341"/>
                <w:rFonts w:hint="eastAsia" w:ascii="宋体" w:hAnsi="宋体" w:cs="宋体"/>
                <w:color w:val="auto"/>
                <w:highlight w:val="none"/>
              </w:rPr>
              <w:t>一．化学成分：Si（0.20～0.6）％、Fe≤0.35%、Cu≤0.10%、Mn≤0.10 %、Mg(0.45～0.9)％、Cr≤0.10%、Zn≤0.10%、Ti≤0.10%</w:t>
            </w:r>
          </w:p>
          <w:p w14:paraId="4743BF64">
            <w:pPr>
              <w:pStyle w:val="342"/>
              <w:rPr>
                <w:rStyle w:val="341"/>
                <w:rFonts w:ascii="宋体" w:hAnsi="宋体" w:cs="宋体"/>
                <w:color w:val="auto"/>
                <w:highlight w:val="none"/>
              </w:rPr>
            </w:pPr>
            <w:r>
              <w:rPr>
                <w:rStyle w:val="341"/>
                <w:rFonts w:hint="eastAsia" w:ascii="宋体" w:hAnsi="宋体" w:cs="宋体"/>
                <w:color w:val="auto"/>
                <w:highlight w:val="none"/>
              </w:rPr>
              <w:t>二．力学性能：</w:t>
            </w:r>
          </w:p>
          <w:p w14:paraId="4FE2AEF7">
            <w:pPr>
              <w:pStyle w:val="342"/>
              <w:rPr>
                <w:rStyle w:val="341"/>
                <w:rFonts w:ascii="宋体" w:hAnsi="宋体" w:cs="宋体"/>
                <w:color w:val="auto"/>
                <w:highlight w:val="none"/>
              </w:rPr>
            </w:pPr>
            <w:r>
              <w:rPr>
                <w:rStyle w:val="341"/>
                <w:rFonts w:hint="eastAsia" w:ascii="宋体" w:hAnsi="宋体" w:cs="宋体"/>
                <w:color w:val="auto"/>
                <w:highlight w:val="none"/>
              </w:rPr>
              <w:t>（1）抗拉强度：≥160 N/mm 2  （2）规定非比例延伸强度≥110 N/mm 2（3）断后伸长率≥8%（4）韦氏硬度≥8HW（5）维氏硬度≥58HV</w:t>
            </w:r>
          </w:p>
          <w:p w14:paraId="24E25636">
            <w:pPr>
              <w:pStyle w:val="342"/>
              <w:rPr>
                <w:rStyle w:val="341"/>
                <w:rFonts w:ascii="宋体" w:hAnsi="宋体" w:cs="宋体"/>
                <w:color w:val="auto"/>
                <w:highlight w:val="none"/>
              </w:rPr>
            </w:pPr>
            <w:r>
              <w:rPr>
                <w:rStyle w:val="341"/>
                <w:rFonts w:hint="eastAsia" w:ascii="宋体" w:hAnsi="宋体" w:cs="宋体"/>
                <w:color w:val="auto"/>
                <w:highlight w:val="none"/>
              </w:rPr>
              <w:t>三、膜层性能：符合 GB/T 5237.3-2017《铝合金建筑型材 第3部分：电泳涂漆型材》</w:t>
            </w:r>
          </w:p>
          <w:p w14:paraId="6DE99CC0">
            <w:pPr>
              <w:pStyle w:val="342"/>
              <w:rPr>
                <w:rStyle w:val="341"/>
                <w:rFonts w:ascii="宋体" w:hAnsi="宋体" w:cs="宋体"/>
                <w:color w:val="auto"/>
                <w:highlight w:val="none"/>
              </w:rPr>
            </w:pPr>
            <w:r>
              <w:rPr>
                <w:rStyle w:val="341"/>
                <w:rFonts w:hint="eastAsia" w:ascii="宋体" w:hAnsi="宋体" w:cs="宋体"/>
                <w:color w:val="auto"/>
                <w:highlight w:val="none"/>
              </w:rPr>
              <w:t>（1）漆膜硬度：经铅笔划痕试验，漆膜硬度应不小于 3 H</w:t>
            </w:r>
          </w:p>
          <w:p w14:paraId="311191AD">
            <w:pPr>
              <w:pStyle w:val="342"/>
              <w:rPr>
                <w:rStyle w:val="341"/>
                <w:rFonts w:ascii="宋体" w:hAnsi="宋体" w:cs="宋体"/>
                <w:color w:val="auto"/>
                <w:highlight w:val="none"/>
              </w:rPr>
            </w:pPr>
            <w:r>
              <w:rPr>
                <w:rStyle w:val="341"/>
                <w:rFonts w:hint="eastAsia" w:ascii="宋体" w:hAnsi="宋体" w:cs="宋体"/>
                <w:color w:val="auto"/>
                <w:highlight w:val="none"/>
              </w:rPr>
              <w:t>（2）漆膜干附着性：0级</w:t>
            </w:r>
          </w:p>
          <w:p w14:paraId="4E682B2D">
            <w:pPr>
              <w:pStyle w:val="342"/>
              <w:rPr>
                <w:rStyle w:val="341"/>
                <w:rFonts w:ascii="宋体" w:hAnsi="宋体" w:cs="宋体"/>
                <w:color w:val="auto"/>
                <w:highlight w:val="none"/>
              </w:rPr>
            </w:pPr>
            <w:r>
              <w:rPr>
                <w:rStyle w:val="341"/>
                <w:rFonts w:hint="eastAsia" w:ascii="宋体" w:hAnsi="宋体" w:cs="宋体"/>
                <w:color w:val="auto"/>
                <w:highlight w:val="none"/>
              </w:rPr>
              <w:t>（3）漆膜湿附着性：0级</w:t>
            </w:r>
          </w:p>
          <w:p w14:paraId="5CB9AEA1">
            <w:pPr>
              <w:pStyle w:val="342"/>
              <w:rPr>
                <w:rStyle w:val="341"/>
                <w:rFonts w:ascii="宋体" w:hAnsi="宋体" w:cs="宋体"/>
                <w:color w:val="auto"/>
                <w:highlight w:val="none"/>
              </w:rPr>
            </w:pPr>
            <w:r>
              <w:rPr>
                <w:rStyle w:val="341"/>
                <w:rFonts w:hint="eastAsia" w:ascii="宋体" w:hAnsi="宋体" w:cs="宋体"/>
                <w:color w:val="auto"/>
                <w:highlight w:val="none"/>
              </w:rPr>
              <w:t>（4）耐沸水性：经耐沸水性试验后，漆膜表面应无皱纹、裂纹、气泡， 并无脱落或变色现象，附着性应达0级</w:t>
            </w:r>
          </w:p>
          <w:p w14:paraId="6CA540B3">
            <w:pPr>
              <w:pStyle w:val="342"/>
              <w:rPr>
                <w:rStyle w:val="341"/>
                <w:rFonts w:ascii="宋体" w:hAnsi="宋体" w:cs="宋体"/>
                <w:color w:val="auto"/>
                <w:highlight w:val="none"/>
              </w:rPr>
            </w:pPr>
            <w:r>
              <w:rPr>
                <w:rStyle w:val="341"/>
                <w:rFonts w:hint="eastAsia" w:ascii="宋体" w:hAnsi="宋体" w:cs="宋体"/>
                <w:color w:val="auto"/>
                <w:highlight w:val="none"/>
              </w:rPr>
              <w:t>（5）耐盐酸性：经耐盐酸性试验后，复合膜表面应无气泡或其他明显变化</w:t>
            </w:r>
          </w:p>
          <w:p w14:paraId="286C2AD9">
            <w:pPr>
              <w:pStyle w:val="342"/>
              <w:rPr>
                <w:rStyle w:val="341"/>
                <w:rFonts w:ascii="宋体" w:hAnsi="宋体" w:cs="宋体"/>
                <w:color w:val="auto"/>
                <w:highlight w:val="none"/>
              </w:rPr>
            </w:pPr>
            <w:r>
              <w:rPr>
                <w:rStyle w:val="341"/>
                <w:rFonts w:hint="eastAsia" w:ascii="宋体" w:hAnsi="宋体" w:cs="宋体"/>
                <w:color w:val="auto"/>
                <w:highlight w:val="none"/>
              </w:rPr>
              <w:t>（6）耐砂浆性：经耐砂浆性试验后，复合膜表面应无脱落或其他明显变化</w:t>
            </w:r>
          </w:p>
          <w:p w14:paraId="79864701">
            <w:pPr>
              <w:pStyle w:val="342"/>
              <w:rPr>
                <w:rStyle w:val="341"/>
                <w:rFonts w:ascii="宋体" w:hAnsi="宋体" w:cs="宋体"/>
                <w:color w:val="auto"/>
                <w:highlight w:val="none"/>
              </w:rPr>
            </w:pPr>
            <w:r>
              <w:rPr>
                <w:rStyle w:val="341"/>
                <w:rFonts w:hint="eastAsia" w:ascii="宋体" w:hAnsi="宋体" w:cs="宋体"/>
                <w:color w:val="auto"/>
                <w:highlight w:val="none"/>
              </w:rPr>
              <w:t>（7）耐盐雾腐蚀性能（CASS试验120h）：保护等级≥9.5级</w:t>
            </w:r>
          </w:p>
          <w:p w14:paraId="6651C86E">
            <w:pPr>
              <w:pStyle w:val="342"/>
              <w:rPr>
                <w:rStyle w:val="341"/>
                <w:rFonts w:ascii="宋体" w:hAnsi="宋体" w:cs="宋体"/>
                <w:color w:val="auto"/>
                <w:highlight w:val="none"/>
              </w:rPr>
            </w:pPr>
            <w:r>
              <w:rPr>
                <w:rStyle w:val="341"/>
                <w:rFonts w:hint="eastAsia" w:ascii="宋体" w:hAnsi="宋体" w:cs="宋体"/>
                <w:color w:val="auto"/>
                <w:highlight w:val="none"/>
              </w:rPr>
              <w:t>（8）耐碱性：保护等级≥9.5级</w:t>
            </w:r>
          </w:p>
          <w:p w14:paraId="195C4230">
            <w:pPr>
              <w:pStyle w:val="342"/>
              <w:rPr>
                <w:rStyle w:val="341"/>
                <w:rFonts w:ascii="宋体" w:hAnsi="宋体" w:cs="宋体"/>
                <w:color w:val="auto"/>
                <w:highlight w:val="none"/>
              </w:rPr>
            </w:pPr>
            <w:r>
              <w:rPr>
                <w:rStyle w:val="341"/>
                <w:rFonts w:hint="eastAsia" w:ascii="宋体" w:hAnsi="宋体" w:cs="宋体"/>
                <w:color w:val="auto"/>
                <w:highlight w:val="none"/>
              </w:rPr>
              <w:t>（9）耐溶剂性：经耐溶剂性试验后，型材表面不露出阳极氧化膜</w:t>
            </w:r>
          </w:p>
          <w:p w14:paraId="58FB19A1">
            <w:pPr>
              <w:pStyle w:val="342"/>
              <w:rPr>
                <w:rStyle w:val="341"/>
                <w:rFonts w:ascii="宋体" w:hAnsi="宋体" w:cs="宋体"/>
                <w:color w:val="auto"/>
                <w:highlight w:val="none"/>
              </w:rPr>
            </w:pPr>
            <w:r>
              <w:rPr>
                <w:rStyle w:val="341"/>
                <w:rFonts w:hint="eastAsia" w:ascii="宋体" w:hAnsi="宋体" w:cs="宋体"/>
                <w:color w:val="auto"/>
                <w:highlight w:val="none"/>
              </w:rPr>
              <w:t>（10）耐洗涤剂性：经耐洗涤剂性试验后,复合膜表面应无起泡、脱落或其他明显变化</w:t>
            </w:r>
          </w:p>
          <w:p w14:paraId="3319685D">
            <w:pPr>
              <w:pStyle w:val="342"/>
              <w:rPr>
                <w:rStyle w:val="341"/>
                <w:rFonts w:ascii="宋体" w:hAnsi="宋体" w:cs="宋体"/>
                <w:color w:val="auto"/>
                <w:highlight w:val="none"/>
              </w:rPr>
            </w:pPr>
            <w:r>
              <w:rPr>
                <w:rStyle w:val="341"/>
                <w:rFonts w:hint="eastAsia" w:ascii="宋体" w:hAnsi="宋体" w:cs="宋体"/>
                <w:color w:val="auto"/>
                <w:highlight w:val="none"/>
              </w:rPr>
              <w:t>四、外观质量：</w:t>
            </w:r>
          </w:p>
          <w:p w14:paraId="08050CDC">
            <w:pPr>
              <w:pStyle w:val="342"/>
              <w:rPr>
                <w:rStyle w:val="341"/>
                <w:rFonts w:ascii="宋体" w:hAnsi="宋体" w:cs="宋体"/>
                <w:color w:val="auto"/>
                <w:highlight w:val="none"/>
              </w:rPr>
            </w:pPr>
            <w:r>
              <w:rPr>
                <w:rStyle w:val="341"/>
                <w:rFonts w:hint="eastAsia" w:ascii="宋体" w:hAnsi="宋体" w:cs="宋体"/>
                <w:color w:val="auto"/>
                <w:highlight w:val="none"/>
              </w:rPr>
              <w:t>涂漆后的漆膜应均匀、整洁 、不准许有皱纹、气泡、流痕、夹杂物、发粘和漆膜脱落等影响使用的缺陷。但在型材端头80mm范围内允许局部无膜。</w:t>
            </w:r>
          </w:p>
          <w:p w14:paraId="71DF8528">
            <w:pPr>
              <w:pStyle w:val="342"/>
              <w:rPr>
                <w:rStyle w:val="341"/>
                <w:color w:val="auto"/>
                <w:highlight w:val="none"/>
              </w:rPr>
            </w:pPr>
            <w:r>
              <w:rPr>
                <w:rStyle w:val="341"/>
                <w:rFonts w:hint="eastAsia" w:ascii="宋体" w:hAnsi="宋体" w:cs="宋体"/>
                <w:color w:val="auto"/>
                <w:highlight w:val="none"/>
              </w:rPr>
              <w:t>五、抗病毒活性：至少对任意2种病毒抗病毒活性率≥99%。</w:t>
            </w:r>
          </w:p>
        </w:tc>
      </w:tr>
    </w:tbl>
    <w:p w14:paraId="29E5EE82">
      <w:pPr>
        <w:pStyle w:val="22"/>
        <w:ind w:firstLine="0"/>
        <w:rPr>
          <w:color w:val="auto"/>
          <w:highlight w:val="none"/>
          <w:lang w:val="en-US"/>
        </w:rPr>
      </w:pPr>
    </w:p>
    <w:p w14:paraId="7F9A66E6">
      <w:pPr>
        <w:outlineLvl w:val="1"/>
        <w:rPr>
          <w:rStyle w:val="341"/>
          <w:rFonts w:ascii="宋体" w:hAnsi="宋体"/>
          <w:b/>
          <w:bCs/>
          <w:color w:val="auto"/>
          <w:sz w:val="24"/>
          <w:highlight w:val="none"/>
        </w:rPr>
      </w:pPr>
      <w:r>
        <w:rPr>
          <w:rStyle w:val="341"/>
          <w:rFonts w:hint="eastAsia"/>
          <w:b/>
          <w:bCs/>
          <w:color w:val="auto"/>
          <w:sz w:val="24"/>
          <w:highlight w:val="none"/>
          <w:lang w:val="en-US"/>
        </w:rPr>
        <w:t>四、</w:t>
      </w:r>
      <w:r>
        <w:rPr>
          <w:rStyle w:val="341"/>
          <w:rFonts w:hint="eastAsia" w:ascii="宋体" w:hAnsi="宋体"/>
          <w:b/>
          <w:bCs/>
          <w:color w:val="auto"/>
          <w:sz w:val="24"/>
          <w:highlight w:val="none"/>
        </w:rPr>
        <w:t>主要成品技术参数要求</w:t>
      </w:r>
    </w:p>
    <w:p w14:paraId="6E12A6DC">
      <w:pPr>
        <w:outlineLvl w:val="2"/>
        <w:rPr>
          <w:rStyle w:val="341"/>
          <w:rFonts w:hint="eastAsia" w:ascii="宋体" w:hAnsi="宋体" w:cs="宋体"/>
          <w:color w:val="auto"/>
          <w:sz w:val="22"/>
          <w:szCs w:val="22"/>
          <w:highlight w:val="none"/>
          <w:lang w:val="en-US" w:eastAsia="zh-CN"/>
        </w:rPr>
      </w:pPr>
      <w:r>
        <w:rPr>
          <w:rStyle w:val="341"/>
          <w:rFonts w:hint="eastAsia" w:ascii="宋体" w:hAnsi="宋体" w:cs="宋体"/>
          <w:color w:val="auto"/>
          <w:sz w:val="22"/>
          <w:szCs w:val="22"/>
          <w:highlight w:val="none"/>
          <w:lang w:val="en-US" w:eastAsia="zh-CN"/>
        </w:rPr>
        <w:t>1、护士站类产品</w:t>
      </w:r>
    </w:p>
    <w:tbl>
      <w:tblPr>
        <w:tblStyle w:val="52"/>
        <w:tblW w:w="97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1116"/>
        <w:gridCol w:w="7731"/>
      </w:tblGrid>
      <w:tr w14:paraId="423E8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tcBorders>
              <w:top w:val="single" w:color="000000" w:sz="4" w:space="0"/>
              <w:left w:val="single" w:color="000000" w:sz="4" w:space="0"/>
              <w:bottom w:val="single" w:color="000000" w:sz="4" w:space="0"/>
              <w:right w:val="single" w:color="000000" w:sz="4" w:space="0"/>
            </w:tcBorders>
            <w:noWrap/>
            <w:vAlign w:val="center"/>
          </w:tcPr>
          <w:p w14:paraId="205CA14B">
            <w:pPr>
              <w:pStyle w:val="342"/>
              <w:jc w:val="center"/>
              <w:rPr>
                <w:rStyle w:val="341"/>
                <w:rFonts w:hint="eastAsia"/>
                <w:color w:val="auto"/>
                <w:highlight w:val="none"/>
              </w:rPr>
            </w:pPr>
            <w:r>
              <w:rPr>
                <w:rStyle w:val="341"/>
                <w:rFonts w:hint="eastAsia"/>
                <w:color w:val="auto"/>
                <w:highlight w:val="none"/>
              </w:rPr>
              <w:t>序号</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4B7E915">
            <w:pPr>
              <w:pStyle w:val="342"/>
              <w:jc w:val="center"/>
              <w:rPr>
                <w:rStyle w:val="341"/>
                <w:rFonts w:hint="eastAsia"/>
                <w:color w:val="auto"/>
                <w:highlight w:val="none"/>
              </w:rPr>
            </w:pPr>
            <w:r>
              <w:rPr>
                <w:rStyle w:val="341"/>
                <w:rFonts w:hint="eastAsia"/>
                <w:color w:val="auto"/>
                <w:highlight w:val="none"/>
              </w:rPr>
              <w:t>项目</w:t>
            </w:r>
          </w:p>
        </w:tc>
        <w:tc>
          <w:tcPr>
            <w:tcW w:w="7731" w:type="dxa"/>
            <w:tcBorders>
              <w:top w:val="single" w:color="000000" w:sz="4" w:space="0"/>
              <w:left w:val="single" w:color="000000" w:sz="4" w:space="0"/>
              <w:bottom w:val="single" w:color="000000" w:sz="4" w:space="0"/>
              <w:right w:val="single" w:color="000000" w:sz="4" w:space="0"/>
            </w:tcBorders>
            <w:noWrap/>
            <w:vAlign w:val="center"/>
          </w:tcPr>
          <w:p w14:paraId="6D77B886">
            <w:pPr>
              <w:pStyle w:val="342"/>
              <w:jc w:val="center"/>
              <w:rPr>
                <w:rStyle w:val="341"/>
                <w:rFonts w:hint="eastAsia"/>
                <w:color w:val="auto"/>
                <w:highlight w:val="none"/>
              </w:rPr>
            </w:pPr>
            <w:r>
              <w:rPr>
                <w:rStyle w:val="341"/>
                <w:rFonts w:hint="eastAsia"/>
                <w:color w:val="auto"/>
                <w:highlight w:val="none"/>
              </w:rPr>
              <w:t>技术要求</w:t>
            </w:r>
          </w:p>
        </w:tc>
      </w:tr>
      <w:tr w14:paraId="0C477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FE28">
            <w:pPr>
              <w:pStyle w:val="342"/>
              <w:jc w:val="center"/>
              <w:rPr>
                <w:rFonts w:ascii="宋体" w:hAnsi="宋体" w:cs="宋体"/>
                <w:color w:val="auto"/>
                <w:szCs w:val="21"/>
                <w:highlight w:val="none"/>
              </w:rPr>
            </w:pPr>
            <w:r>
              <w:rPr>
                <w:rStyle w:val="341"/>
                <w:rFonts w:hint="eastAsia" w:ascii="宋体" w:hAnsi="宋体" w:cs="宋体"/>
                <w:color w:val="auto"/>
                <w:highlight w:val="none"/>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D099">
            <w:pPr>
              <w:pStyle w:val="342"/>
              <w:jc w:val="center"/>
              <w:rPr>
                <w:rStyle w:val="341"/>
                <w:rFonts w:ascii="宋体" w:hAnsi="宋体" w:cs="宋体"/>
                <w:color w:val="auto"/>
                <w:highlight w:val="none"/>
              </w:rPr>
            </w:pPr>
            <w:r>
              <w:rPr>
                <w:rStyle w:val="341"/>
                <w:rFonts w:hint="eastAsia" w:ascii="宋体" w:hAnsi="宋体" w:cs="宋体"/>
                <w:color w:val="auto"/>
                <w:highlight w:val="none"/>
              </w:rPr>
              <w:t>材质及</w:t>
            </w:r>
          </w:p>
          <w:p w14:paraId="4D41CC07">
            <w:pPr>
              <w:pStyle w:val="342"/>
              <w:jc w:val="center"/>
              <w:rPr>
                <w:rFonts w:ascii="宋体" w:hAnsi="宋体" w:cs="宋体"/>
                <w:color w:val="auto"/>
                <w:szCs w:val="21"/>
                <w:highlight w:val="none"/>
              </w:rPr>
            </w:pPr>
            <w:r>
              <w:rPr>
                <w:rStyle w:val="341"/>
                <w:rFonts w:hint="eastAsia" w:ascii="宋体" w:hAnsi="宋体" w:cs="宋体"/>
                <w:color w:val="auto"/>
                <w:highlight w:val="none"/>
              </w:rPr>
              <w:t>工艺技术</w:t>
            </w:r>
          </w:p>
        </w:tc>
        <w:tc>
          <w:tcPr>
            <w:tcW w:w="7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2F94">
            <w:pPr>
              <w:pStyle w:val="343"/>
              <w:spacing w:line="240" w:lineRule="auto"/>
              <w:rPr>
                <w:rStyle w:val="341"/>
                <w:rFonts w:ascii="宋体" w:hAnsi="宋体" w:cs="宋体"/>
                <w:color w:val="auto"/>
                <w:highlight w:val="none"/>
              </w:rPr>
            </w:pPr>
            <w:r>
              <w:rPr>
                <w:rStyle w:val="341"/>
                <w:rFonts w:hint="eastAsia" w:ascii="宋体" w:hAnsi="宋体" w:cs="宋体"/>
                <w:color w:val="auto"/>
                <w:highlight w:val="none"/>
              </w:rPr>
              <w:t>1、龙骨部分采用承重力强的30mm*30mm*1.6mm的纯钢方管龙骨，优质钢制主体，下柜体内外立面采用电解钢板，厚度1.0mm。钢板与方管龙骨之间采用激光焊接，激光切割及数控折边成型技术。电解钢板表面采用环保型环氧聚酯粉末静电喷涂，喷涂采用流水线喷涂，涂层膜厚度均匀，颜色可根据院方要求定制；金属产品喷涂前必须前处理，包括除油，除尘，清洗，纳米陶化或者硅烷镀膜等保障产品喷涂质量的前处理工艺。</w:t>
            </w:r>
          </w:p>
          <w:p w14:paraId="40620709">
            <w:pPr>
              <w:pStyle w:val="343"/>
              <w:spacing w:line="240" w:lineRule="auto"/>
              <w:rPr>
                <w:rStyle w:val="341"/>
                <w:rFonts w:ascii="宋体" w:hAnsi="宋体" w:cs="宋体"/>
                <w:color w:val="auto"/>
                <w:highlight w:val="none"/>
              </w:rPr>
            </w:pPr>
            <w:r>
              <w:rPr>
                <w:rStyle w:val="341"/>
                <w:rFonts w:hint="eastAsia" w:ascii="宋体" w:hAnsi="宋体" w:cs="宋体"/>
                <w:color w:val="auto"/>
                <w:highlight w:val="none"/>
              </w:rPr>
              <w:t>2、台面采用医用复合亚克力人造石，材料厚度≥1.2cm，边缘加厚40mm。</w:t>
            </w:r>
          </w:p>
          <w:p w14:paraId="0F8D3F2F">
            <w:pPr>
              <w:pStyle w:val="343"/>
              <w:spacing w:line="240" w:lineRule="auto"/>
              <w:rPr>
                <w:rStyle w:val="341"/>
                <w:rFonts w:ascii="宋体" w:hAnsi="宋体" w:cs="宋体"/>
                <w:color w:val="auto"/>
                <w:highlight w:val="none"/>
              </w:rPr>
            </w:pPr>
            <w:r>
              <w:rPr>
                <w:rStyle w:val="341"/>
                <w:rFonts w:hint="eastAsia" w:ascii="宋体" w:hAnsi="宋体" w:cs="宋体"/>
                <w:color w:val="auto"/>
                <w:highlight w:val="none"/>
              </w:rPr>
              <w:t>3、产品采用激光切割机对原材料进行工艺切割、由数控折弯机将其折弯成型，保证工艺结构的完整性。</w:t>
            </w:r>
          </w:p>
          <w:p w14:paraId="42C6992A">
            <w:pPr>
              <w:pStyle w:val="343"/>
              <w:spacing w:line="240" w:lineRule="auto"/>
              <w:rPr>
                <w:rFonts w:ascii="宋体" w:hAnsi="宋体" w:cs="宋体"/>
                <w:color w:val="auto"/>
                <w:szCs w:val="21"/>
                <w:highlight w:val="none"/>
              </w:rPr>
            </w:pPr>
            <w:r>
              <w:rPr>
                <w:rStyle w:val="341"/>
                <w:rFonts w:hint="eastAsia" w:ascii="宋体" w:hAnsi="宋体" w:cs="宋体"/>
                <w:color w:val="auto"/>
                <w:highlight w:val="none"/>
              </w:rPr>
              <w:t>4、装饰件、支撑件、连接件、紧固件、挂钩等采用优质电镀件。</w:t>
            </w:r>
          </w:p>
        </w:tc>
      </w:tr>
      <w:tr w14:paraId="1E52F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C3EF">
            <w:pPr>
              <w:pStyle w:val="342"/>
              <w:jc w:val="center"/>
              <w:rPr>
                <w:rFonts w:ascii="宋体" w:hAnsi="宋体" w:cs="宋体"/>
                <w:color w:val="auto"/>
                <w:szCs w:val="21"/>
                <w:highlight w:val="none"/>
              </w:rPr>
            </w:pPr>
            <w:r>
              <w:rPr>
                <w:rStyle w:val="341"/>
                <w:rFonts w:hint="eastAsia" w:cs="宋体"/>
                <w:color w:val="auto"/>
                <w:szCs w:val="21"/>
                <w:highlight w:val="none"/>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3C3A">
            <w:pPr>
              <w:pStyle w:val="342"/>
              <w:jc w:val="center"/>
              <w:rPr>
                <w:rFonts w:ascii="宋体" w:hAnsi="宋体" w:cs="宋体"/>
                <w:color w:val="auto"/>
                <w:szCs w:val="21"/>
                <w:highlight w:val="none"/>
              </w:rPr>
            </w:pPr>
            <w:r>
              <w:rPr>
                <w:rStyle w:val="341"/>
                <w:rFonts w:hint="eastAsia" w:ascii="宋体" w:hAnsi="宋体" w:cs="宋体"/>
                <w:color w:val="auto"/>
                <w:szCs w:val="21"/>
                <w:highlight w:val="none"/>
              </w:rPr>
              <w:t>外观造型</w:t>
            </w:r>
          </w:p>
        </w:tc>
        <w:tc>
          <w:tcPr>
            <w:tcW w:w="7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6A7B">
            <w:pPr>
              <w:pStyle w:val="342"/>
              <w:rPr>
                <w:rStyle w:val="341"/>
                <w:rFonts w:ascii="宋体" w:hAnsi="宋体" w:cs="宋体"/>
                <w:color w:val="auto"/>
                <w:szCs w:val="21"/>
                <w:highlight w:val="none"/>
              </w:rPr>
            </w:pPr>
            <w:r>
              <w:rPr>
                <w:rStyle w:val="341"/>
                <w:rFonts w:hint="eastAsia" w:ascii="宋体" w:hAnsi="宋体" w:cs="宋体"/>
                <w:color w:val="auto"/>
                <w:szCs w:val="21"/>
                <w:highlight w:val="none"/>
              </w:rPr>
              <w:t>1、根据人体工学原理合理分段上下台面的高度，高低台的无障碍流线设计，使得前来就诊问询的人员都能够畅快的进行良好沟通。</w:t>
            </w:r>
          </w:p>
          <w:p w14:paraId="3CEA0536">
            <w:pPr>
              <w:pStyle w:val="342"/>
              <w:rPr>
                <w:rFonts w:ascii="宋体" w:hAnsi="宋体" w:cs="宋体"/>
                <w:color w:val="auto"/>
                <w:szCs w:val="21"/>
                <w:highlight w:val="none"/>
              </w:rPr>
            </w:pPr>
            <w:r>
              <w:rPr>
                <w:rStyle w:val="341"/>
                <w:rFonts w:hint="eastAsia" w:cs="宋体"/>
                <w:color w:val="auto"/>
                <w:szCs w:val="21"/>
                <w:highlight w:val="none"/>
              </w:rPr>
              <w:t>2</w:t>
            </w:r>
            <w:r>
              <w:rPr>
                <w:rStyle w:val="341"/>
                <w:rFonts w:hint="eastAsia" w:ascii="宋体" w:hAnsi="宋体" w:cs="宋体"/>
                <w:color w:val="auto"/>
                <w:szCs w:val="21"/>
                <w:highlight w:val="none"/>
              </w:rPr>
              <w:t>、内部充足的电脑高度保证工作区域的电脑不会裸露在外面，阻挡内外视线，内部无支撑站体让所有储存配柜任意组合使用。</w:t>
            </w:r>
          </w:p>
        </w:tc>
      </w:tr>
      <w:tr w14:paraId="2A635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6D5A">
            <w:pPr>
              <w:pStyle w:val="342"/>
              <w:jc w:val="center"/>
              <w:rPr>
                <w:rFonts w:ascii="宋体" w:hAnsi="宋体" w:cs="宋体"/>
                <w:color w:val="auto"/>
                <w:szCs w:val="21"/>
                <w:highlight w:val="none"/>
              </w:rPr>
            </w:pPr>
            <w:r>
              <w:rPr>
                <w:rStyle w:val="341"/>
                <w:rFonts w:hint="eastAsia" w:cs="宋体"/>
                <w:color w:val="auto"/>
                <w:szCs w:val="21"/>
                <w:highlight w:val="none"/>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BFDA">
            <w:pPr>
              <w:pStyle w:val="342"/>
              <w:jc w:val="center"/>
              <w:rPr>
                <w:rFonts w:ascii="宋体" w:hAnsi="宋体" w:cs="宋体"/>
                <w:color w:val="auto"/>
                <w:szCs w:val="21"/>
                <w:highlight w:val="none"/>
              </w:rPr>
            </w:pPr>
            <w:r>
              <w:rPr>
                <w:rStyle w:val="341"/>
                <w:rFonts w:hint="eastAsia" w:ascii="宋体" w:hAnsi="宋体" w:cs="宋体"/>
                <w:color w:val="auto"/>
                <w:szCs w:val="21"/>
                <w:highlight w:val="none"/>
              </w:rPr>
              <w:t>产品功能和配置</w:t>
            </w:r>
          </w:p>
        </w:tc>
        <w:tc>
          <w:tcPr>
            <w:tcW w:w="7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1693">
            <w:pPr>
              <w:pStyle w:val="342"/>
              <w:rPr>
                <w:rStyle w:val="341"/>
                <w:rFonts w:ascii="宋体" w:hAnsi="宋体" w:cs="宋体"/>
                <w:color w:val="auto"/>
                <w:szCs w:val="21"/>
                <w:highlight w:val="none"/>
              </w:rPr>
            </w:pPr>
            <w:r>
              <w:rPr>
                <w:rFonts w:hint="eastAsia" w:ascii="宋体" w:hAnsi="宋体" w:cs="宋体"/>
                <w:color w:val="auto"/>
                <w:szCs w:val="21"/>
                <w:highlight w:val="none"/>
              </w:rPr>
              <w:t>1、</w:t>
            </w:r>
            <w:r>
              <w:rPr>
                <w:rStyle w:val="341"/>
                <w:rFonts w:hint="eastAsia" w:ascii="宋体" w:hAnsi="宋体" w:cs="宋体"/>
                <w:color w:val="auto"/>
                <w:szCs w:val="21"/>
                <w:highlight w:val="none"/>
              </w:rPr>
              <w:t>护士站内预留的强弱电走线槽位。</w:t>
            </w:r>
            <w:r>
              <w:rPr>
                <w:rStyle w:val="341"/>
                <w:rFonts w:hint="eastAsia" w:cs="宋体"/>
                <w:color w:val="auto"/>
                <w:szCs w:val="21"/>
                <w:highlight w:val="none"/>
              </w:rPr>
              <w:t>护士站</w:t>
            </w:r>
            <w:r>
              <w:rPr>
                <w:rStyle w:val="341"/>
                <w:rFonts w:hint="eastAsia" w:ascii="宋体" w:hAnsi="宋体" w:cs="宋体"/>
                <w:color w:val="auto"/>
                <w:szCs w:val="21"/>
                <w:highlight w:val="none"/>
              </w:rPr>
              <w:t>站内的内饰板全部为可拆卸式。</w:t>
            </w:r>
          </w:p>
          <w:p w14:paraId="2D0FFB25">
            <w:pPr>
              <w:pStyle w:val="342"/>
              <w:rPr>
                <w:rStyle w:val="341"/>
                <w:rFonts w:ascii="宋体" w:hAnsi="宋体" w:cs="宋体"/>
                <w:color w:val="auto"/>
                <w:szCs w:val="21"/>
                <w:highlight w:val="none"/>
              </w:rPr>
            </w:pPr>
            <w:r>
              <w:rPr>
                <w:rStyle w:val="341"/>
                <w:rFonts w:hint="eastAsia" w:ascii="宋体" w:hAnsi="宋体" w:cs="宋体"/>
                <w:color w:val="auto"/>
                <w:szCs w:val="21"/>
                <w:highlight w:val="none"/>
              </w:rPr>
              <w:t>2、护士站内的配柜采用钢板制作，配柜可选装脚轮。</w:t>
            </w:r>
          </w:p>
          <w:p w14:paraId="44A30E9D">
            <w:pPr>
              <w:pStyle w:val="342"/>
              <w:rPr>
                <w:rStyle w:val="341"/>
                <w:rFonts w:ascii="宋体" w:hAnsi="宋体" w:cs="宋体"/>
                <w:color w:val="auto"/>
                <w:szCs w:val="21"/>
                <w:highlight w:val="none"/>
              </w:rPr>
            </w:pPr>
            <w:r>
              <w:rPr>
                <w:rStyle w:val="341"/>
                <w:rFonts w:hint="eastAsia" w:ascii="宋体" w:hAnsi="宋体" w:cs="宋体"/>
                <w:color w:val="auto"/>
                <w:szCs w:val="21"/>
                <w:highlight w:val="none"/>
              </w:rPr>
              <w:t>3、护士站底部为不锈钢底座，成段的引线孔位预留，让现场的出线点位能够准确引入。</w:t>
            </w:r>
          </w:p>
          <w:p w14:paraId="05787F42">
            <w:pPr>
              <w:pStyle w:val="342"/>
              <w:rPr>
                <w:rStyle w:val="341"/>
                <w:rFonts w:ascii="宋体" w:hAnsi="宋体" w:cs="宋体"/>
                <w:color w:val="auto"/>
                <w:szCs w:val="21"/>
                <w:highlight w:val="none"/>
              </w:rPr>
            </w:pPr>
            <w:r>
              <w:rPr>
                <w:rStyle w:val="341"/>
                <w:rFonts w:hint="eastAsia" w:ascii="宋体" w:hAnsi="宋体" w:cs="宋体"/>
                <w:color w:val="auto"/>
                <w:szCs w:val="21"/>
                <w:highlight w:val="none"/>
              </w:rPr>
              <w:t>4、可根据需求安装照明灯、装饰灯、强弱电插座。</w:t>
            </w:r>
          </w:p>
          <w:p w14:paraId="6B1A66AE">
            <w:pPr>
              <w:pStyle w:val="342"/>
              <w:rPr>
                <w:rStyle w:val="341"/>
                <w:rFonts w:ascii="宋体" w:hAnsi="宋体" w:cs="宋体"/>
                <w:color w:val="auto"/>
                <w:szCs w:val="21"/>
                <w:highlight w:val="none"/>
              </w:rPr>
            </w:pPr>
            <w:r>
              <w:rPr>
                <w:rStyle w:val="341"/>
                <w:rFonts w:hint="eastAsia" w:ascii="宋体" w:hAnsi="宋体" w:cs="宋体"/>
                <w:color w:val="auto"/>
                <w:szCs w:val="21"/>
                <w:highlight w:val="none"/>
              </w:rPr>
              <w:t>5、可根据需求安装密码、指纹、刷卡或者人脸识别锁具。</w:t>
            </w:r>
          </w:p>
          <w:p w14:paraId="3ADCF0A8">
            <w:pPr>
              <w:pStyle w:val="342"/>
              <w:rPr>
                <w:rStyle w:val="341"/>
                <w:rFonts w:ascii="宋体" w:hAnsi="宋体" w:cs="宋体"/>
                <w:color w:val="auto"/>
                <w:szCs w:val="21"/>
                <w:highlight w:val="none"/>
              </w:rPr>
            </w:pPr>
            <w:r>
              <w:rPr>
                <w:rStyle w:val="341"/>
                <w:rFonts w:hint="eastAsia" w:ascii="宋体" w:hAnsi="宋体" w:cs="宋体"/>
                <w:color w:val="auto"/>
                <w:szCs w:val="21"/>
                <w:highlight w:val="none"/>
              </w:rPr>
              <w:t>6、可根据需求安装安装显示屏、显示器、电动升降显示器等。</w:t>
            </w:r>
          </w:p>
        </w:tc>
      </w:tr>
      <w:tr w14:paraId="1EDCB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tcBorders>
              <w:top w:val="single" w:color="000000" w:sz="4" w:space="0"/>
              <w:left w:val="single" w:color="000000" w:sz="4" w:space="0"/>
              <w:bottom w:val="single" w:color="000000" w:sz="4" w:space="0"/>
              <w:right w:val="single" w:color="000000" w:sz="4" w:space="0"/>
            </w:tcBorders>
            <w:noWrap/>
            <w:vAlign w:val="center"/>
          </w:tcPr>
          <w:p w14:paraId="2B4CD2CE">
            <w:pPr>
              <w:pStyle w:val="342"/>
              <w:jc w:val="center"/>
              <w:rPr>
                <w:rStyle w:val="341"/>
                <w:color w:val="auto"/>
                <w:highlight w:val="none"/>
              </w:rPr>
            </w:pPr>
            <w:r>
              <w:rPr>
                <w:rStyle w:val="341"/>
                <w:rFonts w:hint="eastAsia"/>
                <w:color w:val="auto"/>
                <w:highlight w:val="none"/>
              </w:rPr>
              <w:t>4</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D7F0C80">
            <w:pPr>
              <w:pStyle w:val="342"/>
              <w:jc w:val="center"/>
              <w:rPr>
                <w:rStyle w:val="341"/>
                <w:color w:val="auto"/>
                <w:highlight w:val="none"/>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参数要求</w:t>
            </w:r>
          </w:p>
        </w:tc>
        <w:tc>
          <w:tcPr>
            <w:tcW w:w="7731" w:type="dxa"/>
            <w:tcBorders>
              <w:top w:val="single" w:color="000000" w:sz="4" w:space="0"/>
              <w:left w:val="single" w:color="000000" w:sz="4" w:space="0"/>
              <w:bottom w:val="single" w:color="000000" w:sz="4" w:space="0"/>
              <w:right w:val="single" w:color="000000" w:sz="4" w:space="0"/>
            </w:tcBorders>
            <w:noWrap/>
            <w:vAlign w:val="center"/>
          </w:tcPr>
          <w:p w14:paraId="483B38C1">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一.安全性能要求：结构安全：合格</w:t>
            </w:r>
          </w:p>
          <w:p w14:paraId="5CF8FB4D">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二.力学性能：合格</w:t>
            </w:r>
          </w:p>
          <w:p w14:paraId="43119455">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三.推拉构件耐久性(≥80000次)：合格</w:t>
            </w:r>
          </w:p>
          <w:p w14:paraId="4F2FF806">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四.产品寿命：（柜类：拉门耐久性 (≥80000次)：合格</w:t>
            </w:r>
          </w:p>
          <w:p w14:paraId="01CF2FB6">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五.产品有害物质：</w:t>
            </w:r>
          </w:p>
          <w:p w14:paraId="4BD29260">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（1）甲醛释放量≤0.05mg/m³；苯≤0.05mg/m³；甲苯≤0.1mg/m³；二甲苯≤0.1mg/m³；总挥发性有机化合物(TVOC)≤0.3mg/m³；</w:t>
            </w:r>
          </w:p>
          <w:p w14:paraId="6BE5F28C">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（2）家具涂层可迁移元素：铅Pb≤90mg/kg；镉Cd≤50mg/kg；铬Cr≤25mg/kg；汞Hg≤25mg/kg；锑Sb≤60mg/kg；钡Ba≤1000mg/kg；硒Se≤500mg/kg；砷As≤25mg/kg。</w:t>
            </w:r>
          </w:p>
          <w:p w14:paraId="32492737">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六.耐腐蚀性能：满足GB/T10125-2021《人造气氛腐蚀试验、盐雾试验》、GB/T6461-2002《金属基体上金属和其它无机覆盖层经腐蚀试验后的试样和试件的评级》标准要求：中性盐雾试验(≥360h)：①涂镀层对基体的保护评级达到10级。②涂镀层本身的耐腐蚀等级（外观评级）达到10级。</w:t>
            </w:r>
          </w:p>
          <w:p w14:paraId="097E3C8F">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七.耐湿热性能(≥360h)：合格</w:t>
            </w:r>
          </w:p>
          <w:p w14:paraId="259FD846">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八.涂层试板：</w:t>
            </w:r>
          </w:p>
          <w:p w14:paraId="541274F5">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1、耐沾污性 1 级。</w:t>
            </w:r>
          </w:p>
          <w:p w14:paraId="3D6DD1A9">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2、人工气候老化试 验(氙灯老化）：经≥360h氙灯老化试验，变色等级应 ≤2级，失光等级应≤2级，粉化等级应≤1级，开裂等级应≤1级(S1),起泡等级应≤1级(S1)。</w:t>
            </w:r>
          </w:p>
          <w:p w14:paraId="225258E2">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九.燃烧性能B1级:1、热释放速率峰值≤200kW；2、5min内总热释放量≤30MJ；3、最大烟密度≤75%。</w:t>
            </w:r>
          </w:p>
          <w:p w14:paraId="23753708">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十、抗病毒活性：</w:t>
            </w:r>
          </w:p>
          <w:p w14:paraId="673CED22">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至少对任意2种病毒抗病毒活性率≥99%。</w:t>
            </w:r>
          </w:p>
          <w:p w14:paraId="25DAA0AC">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十一、抗菌性能：按照QB/T 4371-2012《家具抗菌性能的评价》：</w:t>
            </w:r>
          </w:p>
          <w:p w14:paraId="7B060784">
            <w:pPr>
              <w:pStyle w:val="342"/>
              <w:rPr>
                <w:rStyle w:val="341"/>
                <w:rFonts w:hint="eastAsia" w:ascii="宋体" w:hAnsi="宋体" w:eastAsia="宋体" w:cs="宋体"/>
                <w:color w:val="auto"/>
                <w:highlight w:val="none"/>
              </w:rPr>
            </w:pPr>
            <w:r>
              <w:rPr>
                <w:rStyle w:val="341"/>
                <w:rFonts w:hint="eastAsia" w:ascii="宋体" w:hAnsi="宋体" w:eastAsia="宋体" w:cs="宋体"/>
                <w:color w:val="auto"/>
                <w:highlight w:val="none"/>
                <w:lang w:bidi="ar-SA"/>
              </w:rPr>
              <w:t>至少对变形链球菌、产气肠杆菌、奇异变形杆菌、藤黄微球菌、肺炎克雷伯氏菌(肺炎杆菌)、大肠埃希氏菌、耐甲氧西林金黄色葡萄球菌、变异库克菌、肺炎链球菌、鼠伤寒沙门氏菌、宋氏志贺氏菌(宋内氏志贺氏菌)、白色念珠菌、铜绿假单胞菌、粘质沙雷氏菌、粪肠球菌(粪链球菌)中的任意12种抑菌率≥99%。</w:t>
            </w:r>
          </w:p>
          <w:p w14:paraId="4F6B9586">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十二、耐霉菌性：按照GB/T 1741-2020《漆膜耐霉菌性测定法》：</w:t>
            </w:r>
          </w:p>
          <w:p w14:paraId="6A3E8729">
            <w:pPr>
              <w:rPr>
                <w:rStyle w:val="341"/>
                <w:color w:val="auto"/>
                <w:highlight w:val="none"/>
              </w:rPr>
            </w:pPr>
            <w:r>
              <w:rPr>
                <w:rFonts w:hint="eastAsia" w:ascii="宋体" w:hAnsi="宋体" w:eastAsia="宋体" w:cs="宋体"/>
                <w:color w:val="auto"/>
                <w:highlight w:val="none"/>
              </w:rPr>
              <w:t>至少对</w:t>
            </w:r>
            <w:r>
              <w:rPr>
                <w:rStyle w:val="341"/>
                <w:rFonts w:hint="eastAsia" w:ascii="宋体" w:hAnsi="宋体" w:eastAsia="宋体" w:cs="宋体"/>
                <w:color w:val="auto"/>
                <w:highlight w:val="none"/>
              </w:rPr>
              <w:t>桔青霉、出芽短梗霉、绿色木霉、长枝木霉、短柄帚霉、腊叶芽枝霉、链格孢、产黄青霉、赭绿青霉、绿粘帚霉、变幻青霉、黑曲霉、宛氏拟青霉、绳状青霉 、球毛壳霉中的任意12种长霉等级0级。</w:t>
            </w:r>
          </w:p>
        </w:tc>
      </w:tr>
    </w:tbl>
    <w:p w14:paraId="09652153">
      <w:pPr>
        <w:rPr>
          <w:color w:val="auto"/>
          <w:highlight w:val="none"/>
        </w:rPr>
      </w:pPr>
    </w:p>
    <w:p w14:paraId="7EFFB46B">
      <w:pPr>
        <w:outlineLvl w:val="2"/>
        <w:rPr>
          <w:rStyle w:val="341"/>
          <w:rFonts w:hint="eastAsia" w:ascii="宋体" w:hAnsi="宋体" w:cs="宋体"/>
          <w:color w:val="auto"/>
          <w:sz w:val="22"/>
          <w:szCs w:val="22"/>
          <w:highlight w:val="none"/>
          <w:lang w:val="en-US" w:eastAsia="zh-CN"/>
        </w:rPr>
      </w:pPr>
      <w:r>
        <w:rPr>
          <w:rStyle w:val="341"/>
          <w:rFonts w:hint="eastAsia" w:ascii="宋体" w:hAnsi="宋体" w:cs="宋体"/>
          <w:color w:val="auto"/>
          <w:sz w:val="22"/>
          <w:szCs w:val="22"/>
          <w:highlight w:val="none"/>
          <w:lang w:val="en-US" w:eastAsia="zh-CN"/>
        </w:rPr>
        <w:t>2、治疗柜类产品</w:t>
      </w:r>
    </w:p>
    <w:tbl>
      <w:tblPr>
        <w:tblStyle w:val="52"/>
        <w:tblW w:w="100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297"/>
        <w:gridCol w:w="8013"/>
      </w:tblGrid>
      <w:tr w14:paraId="29316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019A985A">
            <w:pPr>
              <w:rPr>
                <w:rStyle w:val="341"/>
                <w:b/>
                <w:color w:val="auto"/>
                <w:highlight w:val="none"/>
              </w:rPr>
            </w:pPr>
            <w:r>
              <w:rPr>
                <w:rStyle w:val="341"/>
                <w:rFonts w:hint="eastAsia"/>
                <w:color w:val="auto"/>
                <w:highlight w:val="none"/>
              </w:rPr>
              <w:t>序号</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227BD3A6">
            <w:pPr>
              <w:jc w:val="center"/>
              <w:rPr>
                <w:rStyle w:val="341"/>
                <w:rFonts w:hint="eastAsia"/>
                <w:color w:val="auto"/>
                <w:highlight w:val="none"/>
              </w:rPr>
            </w:pPr>
            <w:r>
              <w:rPr>
                <w:rStyle w:val="341"/>
                <w:rFonts w:hint="eastAsia"/>
                <w:color w:val="auto"/>
                <w:highlight w:val="none"/>
              </w:rPr>
              <w:t>项目</w:t>
            </w:r>
          </w:p>
        </w:tc>
        <w:tc>
          <w:tcPr>
            <w:tcW w:w="8013" w:type="dxa"/>
            <w:tcBorders>
              <w:top w:val="single" w:color="000000" w:sz="4" w:space="0"/>
              <w:left w:val="single" w:color="000000" w:sz="4" w:space="0"/>
              <w:bottom w:val="single" w:color="000000" w:sz="4" w:space="0"/>
              <w:right w:val="single" w:color="000000" w:sz="4" w:space="0"/>
            </w:tcBorders>
            <w:noWrap/>
            <w:vAlign w:val="center"/>
          </w:tcPr>
          <w:p w14:paraId="227A0142">
            <w:pPr>
              <w:jc w:val="center"/>
              <w:rPr>
                <w:rStyle w:val="341"/>
                <w:rFonts w:hint="eastAsia"/>
                <w:color w:val="auto"/>
                <w:highlight w:val="none"/>
              </w:rPr>
            </w:pPr>
            <w:r>
              <w:rPr>
                <w:rStyle w:val="341"/>
                <w:rFonts w:hint="eastAsia"/>
                <w:color w:val="auto"/>
                <w:highlight w:val="none"/>
              </w:rPr>
              <w:t>技术要求</w:t>
            </w:r>
          </w:p>
        </w:tc>
      </w:tr>
      <w:tr w14:paraId="5D695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6414BECC">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1</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027DE243">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材质及</w:t>
            </w:r>
          </w:p>
          <w:p w14:paraId="071B6B8B">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工艺技术</w:t>
            </w:r>
          </w:p>
        </w:tc>
        <w:tc>
          <w:tcPr>
            <w:tcW w:w="8013" w:type="dxa"/>
            <w:tcBorders>
              <w:top w:val="single" w:color="000000" w:sz="4" w:space="0"/>
              <w:left w:val="single" w:color="000000" w:sz="4" w:space="0"/>
              <w:bottom w:val="single" w:color="000000" w:sz="4" w:space="0"/>
              <w:right w:val="single" w:color="000000" w:sz="4" w:space="0"/>
            </w:tcBorders>
            <w:noWrap/>
            <w:vAlign w:val="center"/>
          </w:tcPr>
          <w:p w14:paraId="2C984067">
            <w:pPr>
              <w:pStyle w:val="342"/>
              <w:jc w:val="left"/>
              <w:rPr>
                <w:rStyle w:val="341"/>
                <w:rFonts w:ascii="宋体" w:hAnsi="宋体" w:cs="宋体"/>
                <w:color w:val="auto"/>
                <w:highlight w:val="none"/>
                <w:lang w:bidi="ar-SA"/>
              </w:rPr>
            </w:pPr>
            <w:r>
              <w:rPr>
                <w:rStyle w:val="341"/>
                <w:rFonts w:hint="eastAsia" w:ascii="宋体" w:hAnsi="宋体" w:cs="宋体"/>
                <w:color w:val="auto"/>
                <w:highlight w:val="none"/>
                <w:lang w:bidi="ar-SA"/>
              </w:rPr>
              <w:t>1、柜体、门板：采用优质电解钢板,钢板厚度1.0mm。电阻焊接工艺，无外露焊点，钢板采用激光切割及数控折边成型，保证产品表面不会出现凹凸不平的焊疤。电解钢板表面采用环保型环氧聚酯粉末静电喷涂，喷涂采用流水线喷涂，涂层膜厚度均匀；金属产品喷涂前必须前处理，包括除油，除尘，清洗，纳米陶化或者硅烷镀膜等保障产品喷涂质量的前处理工艺。</w:t>
            </w:r>
          </w:p>
          <w:p w14:paraId="15299439">
            <w:pPr>
              <w:jc w:val="left"/>
              <w:rPr>
                <w:rStyle w:val="341"/>
                <w:rFonts w:ascii="宋体" w:hAnsi="宋体" w:cs="宋体"/>
                <w:color w:val="auto"/>
                <w:highlight w:val="none"/>
              </w:rPr>
            </w:pPr>
            <w:r>
              <w:rPr>
                <w:rStyle w:val="341"/>
                <w:rFonts w:hint="eastAsia" w:ascii="宋体" w:hAnsi="宋体" w:cs="宋体"/>
                <w:color w:val="auto"/>
                <w:szCs w:val="21"/>
                <w:highlight w:val="none"/>
              </w:rPr>
              <w:t>2、台面：采用国标SUS304不锈钢，厚度≥1.0mm。抽屉面板处配置透明亚克力标签框，方便插入说明卡片，抽屉面板、门板采用双层防尘工艺设计，避免细菌滋生，并且内有加强筋，提高门的使用寿命，上柜及下柜内都有活动层板，</w:t>
            </w:r>
            <w:r>
              <w:rPr>
                <w:rStyle w:val="341"/>
                <w:rFonts w:hint="eastAsia" w:ascii="宋体" w:hAnsi="宋体" w:cs="宋体"/>
                <w:color w:val="auto"/>
                <w:highlight w:val="none"/>
              </w:rPr>
              <w:t>活动层板四边折弯，可自由调节高度，层板挂钩采用2.0mm厚钢板，可自由拆卸，逐级调整高度。</w:t>
            </w:r>
            <w:r>
              <w:rPr>
                <w:rStyle w:val="341"/>
                <w:rFonts w:hint="eastAsia" w:ascii="宋体" w:hAnsi="宋体" w:cs="宋体"/>
                <w:color w:val="auto"/>
                <w:szCs w:val="21"/>
                <w:highlight w:val="none"/>
              </w:rPr>
              <w:t>所有下柜底部都是离地150~200mm的高度。</w:t>
            </w:r>
          </w:p>
          <w:p w14:paraId="090AC891">
            <w:pPr>
              <w:pStyle w:val="342"/>
              <w:jc w:val="left"/>
              <w:rPr>
                <w:rStyle w:val="341"/>
                <w:rFonts w:ascii="宋体" w:hAnsi="宋体" w:cs="宋体"/>
                <w:color w:val="auto"/>
                <w:szCs w:val="21"/>
                <w:highlight w:val="none"/>
                <w:lang w:bidi="ar-SA"/>
              </w:rPr>
            </w:pPr>
            <w:r>
              <w:rPr>
                <w:rStyle w:val="341"/>
                <w:rFonts w:hint="eastAsia" w:ascii="宋体" w:hAnsi="宋体" w:cs="宋体"/>
                <w:color w:val="auto"/>
                <w:highlight w:val="none"/>
                <w:lang w:bidi="ar-SA"/>
              </w:rPr>
              <w:t>3、</w:t>
            </w:r>
            <w:r>
              <w:rPr>
                <w:rStyle w:val="341"/>
                <w:rFonts w:hint="eastAsia" w:ascii="宋体" w:hAnsi="宋体" w:cs="宋体"/>
                <w:color w:val="auto"/>
                <w:szCs w:val="21"/>
                <w:highlight w:val="none"/>
                <w:lang w:bidi="ar-SA"/>
              </w:rPr>
              <w:t>安装使用无螺丝装配技术，</w:t>
            </w:r>
            <w:r>
              <w:rPr>
                <w:rStyle w:val="341"/>
                <w:rFonts w:hint="eastAsia" w:ascii="宋体" w:hAnsi="宋体" w:cs="宋体"/>
                <w:color w:val="auto"/>
                <w:highlight w:val="none"/>
                <w:lang w:bidi="ar-SA"/>
              </w:rPr>
              <w:t>采用隐藏式卷边拉手，折弯一体成型。</w:t>
            </w:r>
          </w:p>
          <w:p w14:paraId="1AAC304C">
            <w:pPr>
              <w:pStyle w:val="342"/>
              <w:jc w:val="left"/>
              <w:rPr>
                <w:rStyle w:val="341"/>
                <w:color w:val="auto"/>
                <w:highlight w:val="none"/>
                <w:lang w:bidi="ar-SA"/>
              </w:rPr>
            </w:pPr>
            <w:r>
              <w:rPr>
                <w:rStyle w:val="341"/>
                <w:rFonts w:hint="eastAsia" w:ascii="宋体" w:hAnsi="宋体" w:cs="宋体"/>
                <w:color w:val="auto"/>
                <w:highlight w:val="none"/>
                <w:lang w:bidi="ar-SA"/>
              </w:rPr>
              <w:t>4、治疗柜抽屉根据护理部需求可选配ABS抗菌药品盒，尺寸为405*405*100mm( 长度*宽度*高度，尺寸±5%偏离），药品盒移动方便，内部可以自由分隔，方便各种药品分类存储。</w:t>
            </w:r>
          </w:p>
        </w:tc>
      </w:tr>
      <w:tr w14:paraId="16139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5364364A">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2</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6586BD10">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外观造型</w:t>
            </w:r>
          </w:p>
        </w:tc>
        <w:tc>
          <w:tcPr>
            <w:tcW w:w="8013" w:type="dxa"/>
            <w:tcBorders>
              <w:top w:val="single" w:color="000000" w:sz="4" w:space="0"/>
              <w:left w:val="single" w:color="000000" w:sz="4" w:space="0"/>
              <w:bottom w:val="single" w:color="000000" w:sz="4" w:space="0"/>
              <w:right w:val="single" w:color="000000" w:sz="4" w:space="0"/>
            </w:tcBorders>
            <w:noWrap/>
            <w:vAlign w:val="center"/>
          </w:tcPr>
          <w:p w14:paraId="35B725BE">
            <w:pPr>
              <w:pStyle w:val="342"/>
              <w:jc w:val="left"/>
              <w:rPr>
                <w:rStyle w:val="341"/>
                <w:rFonts w:ascii="宋体" w:hAnsi="宋体" w:cs="宋体"/>
                <w:color w:val="auto"/>
                <w:highlight w:val="none"/>
                <w:lang w:bidi="ar-SA"/>
              </w:rPr>
            </w:pPr>
            <w:r>
              <w:rPr>
                <w:rStyle w:val="341"/>
                <w:rFonts w:hint="eastAsia" w:ascii="宋体" w:hAnsi="宋体" w:cs="宋体"/>
                <w:color w:val="auto"/>
                <w:highlight w:val="none"/>
                <w:lang w:bidi="ar-SA"/>
              </w:rPr>
              <w:t>1、上中下柜按照人体工学原理，将产品分体成三部分，抽屉及开门的比例，按照日常的使用产品数量进行划分，玻璃与门框之间的大小比例，根据可观察视角进行面积大小分布。</w:t>
            </w:r>
          </w:p>
          <w:p w14:paraId="3EEF1845">
            <w:pPr>
              <w:pStyle w:val="342"/>
              <w:jc w:val="left"/>
              <w:rPr>
                <w:rStyle w:val="341"/>
                <w:rFonts w:ascii="宋体" w:hAnsi="宋体" w:cs="宋体"/>
                <w:color w:val="auto"/>
                <w:highlight w:val="none"/>
                <w:lang w:bidi="ar-SA"/>
              </w:rPr>
            </w:pPr>
            <w:r>
              <w:rPr>
                <w:rStyle w:val="341"/>
                <w:rFonts w:hint="eastAsia" w:ascii="宋体" w:hAnsi="宋体" w:cs="宋体"/>
                <w:color w:val="auto"/>
                <w:highlight w:val="none"/>
                <w:lang w:bidi="ar-SA"/>
              </w:rPr>
              <w:t>2、所有下柜底部都是离地150~200mm的高度，根据国家院感基本要求，内部有上下调节的层板，下柜不锈钢踢脚线。</w:t>
            </w:r>
          </w:p>
          <w:p w14:paraId="73D8E88A">
            <w:pPr>
              <w:pStyle w:val="342"/>
              <w:jc w:val="left"/>
              <w:rPr>
                <w:rStyle w:val="341"/>
                <w:color w:val="auto"/>
                <w:highlight w:val="none"/>
                <w:lang w:bidi="ar-SA"/>
              </w:rPr>
            </w:pPr>
            <w:r>
              <w:rPr>
                <w:rStyle w:val="341"/>
                <w:rFonts w:hint="eastAsia" w:ascii="宋体" w:hAnsi="宋体" w:cs="宋体"/>
                <w:color w:val="auto"/>
                <w:highlight w:val="none"/>
                <w:lang w:bidi="ar-SA"/>
              </w:rPr>
              <w:t>3、中柜及上下柜内都有可调节层板，无菌物品的存放空间随意调节，悬挂式小型挂钩，轻巧方便，操作灵活。</w:t>
            </w:r>
          </w:p>
        </w:tc>
      </w:tr>
      <w:tr w14:paraId="45100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64866030">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3</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109A2149">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产品功能和配置</w:t>
            </w:r>
          </w:p>
        </w:tc>
        <w:tc>
          <w:tcPr>
            <w:tcW w:w="8013" w:type="dxa"/>
            <w:tcBorders>
              <w:top w:val="single" w:color="000000" w:sz="4" w:space="0"/>
              <w:left w:val="single" w:color="000000" w:sz="4" w:space="0"/>
              <w:bottom w:val="single" w:color="000000" w:sz="4" w:space="0"/>
              <w:right w:val="single" w:color="000000" w:sz="4" w:space="0"/>
            </w:tcBorders>
            <w:noWrap/>
            <w:vAlign w:val="center"/>
          </w:tcPr>
          <w:p w14:paraId="1D3818F0">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1、治疗柜根据护理部需要可选配可升降储物拉篮，方便取拿药品，降低护±劳动强度，配备交流电感应或触碰式照明系统，确保配液的光感要求。</w:t>
            </w:r>
          </w:p>
          <w:p w14:paraId="6A352289">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2、治疗柜钢制抽屉根据护理部需求可选配ABS抗菌药品盒，尺寸为405*405*100mm( 长度*宽度*高度），药品盒移动方便，内部可以自由分隔，方便各种药品分类存储。</w:t>
            </w:r>
          </w:p>
          <w:p w14:paraId="59FC265D">
            <w:pPr>
              <w:pStyle w:val="342"/>
              <w:rPr>
                <w:rStyle w:val="341"/>
                <w:rFonts w:ascii="宋体" w:hAnsi="宋体" w:cs="宋体"/>
                <w:color w:val="auto"/>
                <w:highlight w:val="none"/>
              </w:rPr>
            </w:pPr>
            <w:r>
              <w:rPr>
                <w:rStyle w:val="341"/>
                <w:rFonts w:hint="eastAsia" w:ascii="宋体" w:hAnsi="宋体" w:cs="宋体"/>
                <w:color w:val="auto"/>
                <w:highlight w:val="none"/>
              </w:rPr>
              <w:t>3、可根据需求安装照明灯、装饰灯、强弱电插座。</w:t>
            </w:r>
          </w:p>
          <w:p w14:paraId="071E33FB">
            <w:pPr>
              <w:pStyle w:val="342"/>
              <w:rPr>
                <w:rStyle w:val="341"/>
                <w:rFonts w:ascii="宋体" w:hAnsi="宋体" w:cs="宋体"/>
                <w:color w:val="auto"/>
                <w:highlight w:val="none"/>
              </w:rPr>
            </w:pPr>
            <w:r>
              <w:rPr>
                <w:rStyle w:val="341"/>
                <w:rFonts w:hint="eastAsia" w:ascii="宋体" w:hAnsi="宋体" w:cs="宋体"/>
                <w:color w:val="auto"/>
                <w:highlight w:val="none"/>
              </w:rPr>
              <w:t>4、可根据需求安装密码、指纹、刷卡或者人脸识别锁具。</w:t>
            </w:r>
          </w:p>
          <w:p w14:paraId="1534E71F">
            <w:pPr>
              <w:pStyle w:val="342"/>
              <w:rPr>
                <w:rStyle w:val="341"/>
                <w:color w:val="auto"/>
                <w:highlight w:val="none"/>
              </w:rPr>
            </w:pPr>
            <w:r>
              <w:rPr>
                <w:rStyle w:val="341"/>
                <w:rFonts w:hint="eastAsia" w:ascii="宋体" w:hAnsi="宋体" w:cs="宋体"/>
                <w:color w:val="auto"/>
                <w:highlight w:val="none"/>
              </w:rPr>
              <w:t>5、可根据需求安装安装显示屏、显示器、电动升降显示器等。</w:t>
            </w:r>
          </w:p>
        </w:tc>
      </w:tr>
      <w:tr w14:paraId="0F128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34D6FAB1">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4</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44A685A2">
            <w:pPr>
              <w:pStyle w:val="342"/>
              <w:jc w:val="center"/>
              <w:rPr>
                <w:rStyle w:val="341"/>
                <w:rFonts w:ascii="宋体" w:hAnsi="宋体" w:cs="宋体"/>
                <w:color w:val="auto"/>
                <w:highlight w:val="none"/>
                <w:lang w:bidi="ar-SA"/>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参数要求</w:t>
            </w:r>
          </w:p>
        </w:tc>
        <w:tc>
          <w:tcPr>
            <w:tcW w:w="8013" w:type="dxa"/>
            <w:tcBorders>
              <w:top w:val="single" w:color="000000" w:sz="4" w:space="0"/>
              <w:left w:val="single" w:color="000000" w:sz="4" w:space="0"/>
              <w:bottom w:val="single" w:color="000000" w:sz="4" w:space="0"/>
              <w:right w:val="single" w:color="000000" w:sz="4" w:space="0"/>
            </w:tcBorders>
            <w:noWrap/>
            <w:vAlign w:val="center"/>
          </w:tcPr>
          <w:p w14:paraId="40D4AF52">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一.安全性能要求：结构安全：合格</w:t>
            </w:r>
          </w:p>
          <w:p w14:paraId="515261D9">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二.力学性能：合格</w:t>
            </w:r>
          </w:p>
          <w:p w14:paraId="40A0DD3C">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三.推拉构件耐久性(≥80000次)：合格</w:t>
            </w:r>
          </w:p>
          <w:p w14:paraId="48CE6F54">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四.产品寿命：（柜类：拉门耐久性 (≥80000次)：合格</w:t>
            </w:r>
          </w:p>
          <w:p w14:paraId="5EC6CC8F">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五.产品有害物质：</w:t>
            </w:r>
          </w:p>
          <w:p w14:paraId="54F9E2AF">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（1）甲醛释放量≤0.05mg/m³；苯≤0.05mg/m³；甲苯≤0.1mg/m³；二甲苯≤0.1mg/m³；总挥发性有机化合物(TVOC)≤0.3mg/m³；</w:t>
            </w:r>
          </w:p>
          <w:p w14:paraId="6C7C2144">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（2）家具涂层可迁移元素：铅Pb≤90mg/kg；镉Cd≤50mg/kg：铬Cr≤25mg/kg；汞Hg≤25mg/kg；锑Sb≤60mg/kg；钡Ba≤1000mg/kg；硒Se≤500mg/kg；砷As≤25mg/kg。</w:t>
            </w:r>
          </w:p>
          <w:p w14:paraId="3E126CA1">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六.有害物质限量</w:t>
            </w:r>
          </w:p>
          <w:p w14:paraId="24D77B43">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 xml:space="preserve">1）邻苯二甲酸酯：DBP≤0.1%；BBP≤0.1%；DEHP≤0.1%；DNOP≤0.1%；DINP≤0.1%；DIDP≤0.1%。 </w:t>
            </w:r>
          </w:p>
          <w:p w14:paraId="49F63ABE">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2）多环芳烃：苯并[α]芘≤1.0mg/kg；</w:t>
            </w:r>
          </w:p>
          <w:p w14:paraId="71F67E8D">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七.耐腐蚀性能：满足GB/T10125-2021《人造气氛腐蚀试验、盐雾试验》、GB/T6461-2002《金属基体上金属和其它无机覆盖层经腐蚀试验后的试样和试件的评级》标准要求：中性盐雾试验(≥360h)：①涂镀层对基体的保护评级达到10级。②涂镀层本身的耐腐蚀等级（外观评级）达到10级。</w:t>
            </w:r>
          </w:p>
          <w:p w14:paraId="04B0D41F">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八.耐湿热性能(≥360h)：合格。</w:t>
            </w:r>
          </w:p>
          <w:p w14:paraId="7195282D">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九.涂层试板：</w:t>
            </w:r>
          </w:p>
          <w:p w14:paraId="48496D19">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1、耐沾污性 1 级；</w:t>
            </w:r>
          </w:p>
          <w:p w14:paraId="13E2AB01">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2、人工气候老化试验(氙灯老化）：经≥360h氙灯老化试验，变色等级应  ≤2级，失光等级应≤2级，粉化等级应≤1级，开裂等级应≤1级(S1),起泡等级应≤1级(S1)。</w:t>
            </w:r>
          </w:p>
          <w:p w14:paraId="23F5C7F0">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十.燃烧性能B1级:1、热释放速率峰值≤200kW；2、5min内总热释放量≤30MJ；3、最大烟密度≤75%。</w:t>
            </w:r>
          </w:p>
          <w:p w14:paraId="5870C2C2">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十一.抗病毒活性：至少对任意2种病毒抗病毒活性率≥99%。</w:t>
            </w:r>
          </w:p>
          <w:p w14:paraId="246BC677">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十二.抗菌性能：按照QB/T 4371-2012《家具抗菌性能的评价》：</w:t>
            </w:r>
          </w:p>
          <w:p w14:paraId="408AD9A1">
            <w:pPr>
              <w:pStyle w:val="342"/>
              <w:rPr>
                <w:rStyle w:val="341"/>
                <w:rFonts w:hint="eastAsia" w:ascii="宋体" w:hAnsi="宋体" w:eastAsia="宋体" w:cs="宋体"/>
                <w:color w:val="auto"/>
                <w:highlight w:val="none"/>
              </w:rPr>
            </w:pPr>
            <w:r>
              <w:rPr>
                <w:rStyle w:val="341"/>
                <w:rFonts w:hint="eastAsia" w:ascii="宋体" w:hAnsi="宋体" w:eastAsia="宋体" w:cs="宋体"/>
                <w:color w:val="auto"/>
                <w:highlight w:val="none"/>
                <w:lang w:bidi="ar-SA"/>
              </w:rPr>
              <w:t>至少对变形链球菌、产气肠杆菌、奇异变形杆菌、藤黄微球菌、肺炎克雷伯氏菌(肺炎杆菌)、大肠埃希氏菌、耐甲氧西林金黄色葡萄球菌、变异库克菌、肺炎链球菌、鼠伤寒沙门氏菌、宋氏志贺氏菌(宋内氏志贺氏菌)、白色念珠菌、铜绿假单胞菌、粘质沙雷氏菌、粪肠球菌(粪链球菌)中的任意12种抑菌率≥99%。</w:t>
            </w:r>
          </w:p>
          <w:p w14:paraId="34CF78A7">
            <w:pPr>
              <w:rPr>
                <w:rStyle w:val="341"/>
                <w:rFonts w:hint="eastAsia" w:ascii="宋体" w:hAnsi="宋体" w:eastAsia="宋体" w:cs="宋体"/>
                <w:color w:val="auto"/>
                <w:highlight w:val="none"/>
              </w:rPr>
            </w:pPr>
            <w:r>
              <w:rPr>
                <w:rStyle w:val="341"/>
                <w:rFonts w:hint="eastAsia" w:ascii="宋体" w:hAnsi="宋体" w:eastAsia="宋体" w:cs="宋体"/>
                <w:color w:val="auto"/>
                <w:highlight w:val="none"/>
              </w:rPr>
              <w:t>十三.耐霉菌性：按照GB/T 1741-2020《漆膜耐霉菌性测定法》：</w:t>
            </w:r>
          </w:p>
          <w:p w14:paraId="11B39D0B">
            <w:pPr>
              <w:rPr>
                <w:rStyle w:val="341"/>
                <w:color w:val="auto"/>
                <w:highlight w:val="none"/>
              </w:rPr>
            </w:pPr>
            <w:r>
              <w:rPr>
                <w:rFonts w:hint="eastAsia" w:ascii="宋体" w:hAnsi="宋体" w:eastAsia="宋体" w:cs="宋体"/>
                <w:color w:val="auto"/>
                <w:highlight w:val="none"/>
              </w:rPr>
              <w:t>至少对</w:t>
            </w:r>
            <w:r>
              <w:rPr>
                <w:rStyle w:val="341"/>
                <w:rFonts w:hint="eastAsia" w:ascii="宋体" w:hAnsi="宋体" w:eastAsia="宋体" w:cs="宋体"/>
                <w:color w:val="auto"/>
                <w:highlight w:val="none"/>
              </w:rPr>
              <w:t>桔青霉、出芽短梗霉、绿色木霉、长枝木霉、短柄帚霉、腊叶芽枝霉、链格孢、产黄青霉、赭绿青霉、绿粘帚霉、变幻青霉、黑曲霉、宛氏拟青霉、绳状青霉 、球毛壳霉中的任意12种长霉等级0级。</w:t>
            </w:r>
          </w:p>
        </w:tc>
      </w:tr>
    </w:tbl>
    <w:p w14:paraId="4D8FD6F7">
      <w:pPr>
        <w:outlineLvl w:val="2"/>
        <w:rPr>
          <w:rStyle w:val="341"/>
          <w:rFonts w:hint="eastAsia" w:ascii="宋体" w:hAnsi="宋体" w:cs="宋体"/>
          <w:color w:val="auto"/>
          <w:sz w:val="22"/>
          <w:szCs w:val="22"/>
          <w:highlight w:val="none"/>
          <w:lang w:val="en-US" w:eastAsia="zh-CN"/>
        </w:rPr>
      </w:pPr>
      <w:r>
        <w:rPr>
          <w:rStyle w:val="341"/>
          <w:rFonts w:hint="eastAsia" w:ascii="宋体" w:hAnsi="宋体" w:cs="宋体"/>
          <w:color w:val="auto"/>
          <w:sz w:val="22"/>
          <w:szCs w:val="22"/>
          <w:highlight w:val="none"/>
          <w:lang w:val="en-US" w:eastAsia="zh-CN"/>
        </w:rPr>
        <w:t>3、大输液柜类产品</w:t>
      </w:r>
    </w:p>
    <w:tbl>
      <w:tblPr>
        <w:tblStyle w:val="52"/>
        <w:tblW w:w="103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8422"/>
      </w:tblGrid>
      <w:tr w14:paraId="24960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21BC3CD0">
            <w:pPr>
              <w:jc w:val="center"/>
              <w:rPr>
                <w:rStyle w:val="341"/>
                <w:rFonts w:ascii="宋体" w:hAnsi="宋体" w:cs="宋体"/>
                <w:b/>
                <w:color w:val="auto"/>
                <w:highlight w:val="none"/>
              </w:rPr>
            </w:pPr>
            <w:r>
              <w:rPr>
                <w:rStyle w:val="341"/>
                <w:rFonts w:hint="eastAsia" w:ascii="宋体" w:hAnsi="宋体" w:cs="宋体"/>
                <w:color w:val="auto"/>
                <w:highlight w:val="none"/>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7F045AF">
            <w:pPr>
              <w:jc w:val="center"/>
              <w:rPr>
                <w:rStyle w:val="341"/>
                <w:rFonts w:hint="eastAsia" w:ascii="宋体" w:hAnsi="宋体" w:cs="宋体"/>
                <w:color w:val="auto"/>
                <w:highlight w:val="none"/>
              </w:rPr>
            </w:pPr>
            <w:r>
              <w:rPr>
                <w:rStyle w:val="341"/>
                <w:rFonts w:hint="eastAsia" w:ascii="宋体" w:hAnsi="宋体" w:cs="宋体"/>
                <w:color w:val="auto"/>
                <w:highlight w:val="none"/>
              </w:rPr>
              <w:t>项目</w:t>
            </w:r>
          </w:p>
        </w:tc>
        <w:tc>
          <w:tcPr>
            <w:tcW w:w="8422" w:type="dxa"/>
            <w:tcBorders>
              <w:top w:val="single" w:color="000000" w:sz="4" w:space="0"/>
              <w:left w:val="single" w:color="000000" w:sz="4" w:space="0"/>
              <w:bottom w:val="single" w:color="000000" w:sz="4" w:space="0"/>
              <w:right w:val="single" w:color="000000" w:sz="4" w:space="0"/>
            </w:tcBorders>
            <w:noWrap/>
            <w:vAlign w:val="center"/>
          </w:tcPr>
          <w:p w14:paraId="543E7A2B">
            <w:pPr>
              <w:jc w:val="center"/>
              <w:rPr>
                <w:rStyle w:val="341"/>
                <w:rFonts w:hint="eastAsia" w:ascii="宋体" w:hAnsi="宋体" w:cs="宋体"/>
                <w:color w:val="auto"/>
                <w:highlight w:val="none"/>
              </w:rPr>
            </w:pPr>
            <w:r>
              <w:rPr>
                <w:rStyle w:val="341"/>
                <w:rFonts w:hint="eastAsia" w:ascii="宋体" w:hAnsi="宋体" w:cs="宋体"/>
                <w:color w:val="auto"/>
                <w:highlight w:val="none"/>
              </w:rPr>
              <w:t>技术要求</w:t>
            </w:r>
          </w:p>
        </w:tc>
      </w:tr>
      <w:tr w14:paraId="1126A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6F1C7F1C">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882E182">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材质及</w:t>
            </w:r>
          </w:p>
          <w:p w14:paraId="28CA10F7">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工艺技术</w:t>
            </w:r>
          </w:p>
        </w:tc>
        <w:tc>
          <w:tcPr>
            <w:tcW w:w="8422" w:type="dxa"/>
            <w:tcBorders>
              <w:top w:val="single" w:color="000000" w:sz="4" w:space="0"/>
              <w:left w:val="single" w:color="000000" w:sz="4" w:space="0"/>
              <w:bottom w:val="single" w:color="000000" w:sz="4" w:space="0"/>
              <w:right w:val="single" w:color="000000" w:sz="4" w:space="0"/>
            </w:tcBorders>
            <w:noWrap/>
            <w:vAlign w:val="center"/>
          </w:tcPr>
          <w:p w14:paraId="2C31BCB9">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1、柜体、门板：采用优质电解钢板,钢板厚度1.0mm。电阻焊接工艺，无外露焊点，钢板采用激光切割及数控折边成型，保证产品表面不会出现凹凸不平的焊疤。电解钢板表面采用环保型环氧聚酯粉末静电喷涂，喷涂采用流水线喷涂，涂层膜厚度均匀，颜色可根据院方要求定制；金属产品喷涂前必须前处理，包括除油，除尘，清洗，纳米陶化或者硅烷镀膜等保障产品喷涂质量的前处理工艺。</w:t>
            </w:r>
          </w:p>
          <w:p w14:paraId="6FB76DA0">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2、抽屉面板处配置透明亚克力标签框，方便插入说明卡片，抽屉面板、门板采用双层防尘工艺设计，避免细菌滋生，安装使用无螺丝装配技术。装饰件、支撑件、连接件、紧固件、挂钩等采用优质电镀件。</w:t>
            </w:r>
          </w:p>
          <w:p w14:paraId="4CBDF510">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3、门与柜体的连接采用优质缓冲不锈钢铰链或不锈钢插销式门轴结构，门框与柜体之间的吸合，利用磁性纽扣磁铁互相吸附。</w:t>
            </w:r>
          </w:p>
          <w:p w14:paraId="69F98B85">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4、柜体正面门及抽屉间隙在1.5~2mm之间，采用双层门板设计，并且内有加强筋，提高门的使用寿命，活动层板四边折弯，可自由调节高度，层板挂钩采用2.0mm厚钢板，可自由拆卸，逐级调整高度，层板加强筋可承受50kg，采用隐藏式卷边拉手，折弯一体成型。</w:t>
            </w:r>
          </w:p>
        </w:tc>
      </w:tr>
      <w:tr w14:paraId="41CF1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520D9FC7">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8982A49">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产品功能和配置</w:t>
            </w:r>
          </w:p>
        </w:tc>
        <w:tc>
          <w:tcPr>
            <w:tcW w:w="8422" w:type="dxa"/>
            <w:tcBorders>
              <w:top w:val="single" w:color="000000" w:sz="4" w:space="0"/>
              <w:left w:val="single" w:color="000000" w:sz="4" w:space="0"/>
              <w:bottom w:val="single" w:color="000000" w:sz="4" w:space="0"/>
              <w:right w:val="single" w:color="000000" w:sz="4" w:space="0"/>
            </w:tcBorders>
            <w:noWrap/>
            <w:vAlign w:val="center"/>
          </w:tcPr>
          <w:p w14:paraId="1317039E">
            <w:pPr>
              <w:pStyle w:val="342"/>
              <w:rPr>
                <w:rStyle w:val="341"/>
                <w:rFonts w:ascii="宋体" w:hAnsi="宋体" w:cs="宋体"/>
                <w:color w:val="auto"/>
                <w:highlight w:val="none"/>
              </w:rPr>
            </w:pPr>
            <w:r>
              <w:rPr>
                <w:rStyle w:val="341"/>
                <w:rFonts w:hint="eastAsia" w:ascii="宋体" w:hAnsi="宋体" w:cs="宋体"/>
                <w:color w:val="auto"/>
                <w:highlight w:val="none"/>
              </w:rPr>
              <w:t>1、大输液存取柜上部安装ABS导轨模块，配备两个50mm高度、两个100mm 高度的PC透明药品盒，药品盒内部可以自由分隔，每个分隔空间单独配备标示框；药品盒可以在ABS导轨模块上自由调节高度，可180°平移或者倾斜移动；药品盒移动方便，无论平移还是斜移，全部抽出时可以45度倾斜，便于药品先进先出管理，减少药品过期风险；</w:t>
            </w:r>
          </w:p>
          <w:p w14:paraId="41BB7486">
            <w:pPr>
              <w:pStyle w:val="342"/>
              <w:rPr>
                <w:rStyle w:val="341"/>
                <w:rFonts w:ascii="宋体" w:hAnsi="宋体" w:cs="宋体"/>
                <w:color w:val="auto"/>
                <w:highlight w:val="none"/>
              </w:rPr>
            </w:pPr>
            <w:r>
              <w:rPr>
                <w:rStyle w:val="341"/>
                <w:rFonts w:hint="eastAsia" w:ascii="宋体" w:hAnsi="宋体" w:cs="宋体"/>
                <w:color w:val="auto"/>
                <w:highlight w:val="none"/>
              </w:rPr>
              <w:t>2、大输液柜下部安装金属导轨集成模块，配备三个200mm高度的PC透明药品盒，药品盒内部可以自由分隔，每个分隔空间单独配备标识框，金属导轨直接卡在集成模块上，高度调节及其方便，200mm高度的药品盒直接卡在金属导轨上，移动方便，存储量大，导轨承重性能好，可以全部抽出。</w:t>
            </w:r>
          </w:p>
          <w:p w14:paraId="0B22A50E">
            <w:pPr>
              <w:pStyle w:val="342"/>
              <w:rPr>
                <w:rStyle w:val="341"/>
                <w:rFonts w:ascii="宋体" w:hAnsi="宋体" w:cs="宋体"/>
                <w:color w:val="auto"/>
                <w:highlight w:val="none"/>
              </w:rPr>
            </w:pPr>
            <w:r>
              <w:rPr>
                <w:rStyle w:val="341"/>
                <w:rFonts w:hint="eastAsia" w:ascii="宋体" w:hAnsi="宋体" w:cs="宋体"/>
                <w:color w:val="auto"/>
                <w:highlight w:val="none"/>
              </w:rPr>
              <w:t>3、大输液柜同时也兼容了各类药品柜及发药车上的药篮功能，模块化的设计让整个护理流程更加简便快捷。</w:t>
            </w:r>
          </w:p>
          <w:p w14:paraId="5752F4A2">
            <w:pPr>
              <w:pStyle w:val="342"/>
              <w:rPr>
                <w:rStyle w:val="341"/>
                <w:rFonts w:ascii="宋体" w:hAnsi="宋体" w:cs="宋体"/>
                <w:color w:val="auto"/>
                <w:highlight w:val="none"/>
              </w:rPr>
            </w:pPr>
            <w:r>
              <w:rPr>
                <w:rStyle w:val="341"/>
                <w:rFonts w:hint="eastAsia" w:ascii="宋体" w:hAnsi="宋体" w:cs="宋体"/>
                <w:color w:val="auto"/>
                <w:highlight w:val="none"/>
              </w:rPr>
              <w:t>4、可根据需求安装照明灯、装饰灯、强弱电插座。</w:t>
            </w:r>
          </w:p>
          <w:p w14:paraId="71FFEB35">
            <w:pPr>
              <w:pStyle w:val="342"/>
              <w:rPr>
                <w:rStyle w:val="341"/>
                <w:rFonts w:ascii="宋体" w:hAnsi="宋体" w:cs="宋体"/>
                <w:color w:val="auto"/>
                <w:highlight w:val="none"/>
              </w:rPr>
            </w:pPr>
            <w:r>
              <w:rPr>
                <w:rStyle w:val="341"/>
                <w:rFonts w:hint="eastAsia" w:ascii="宋体" w:hAnsi="宋体" w:cs="宋体"/>
                <w:color w:val="auto"/>
                <w:highlight w:val="none"/>
              </w:rPr>
              <w:t>5、可根据需求安装密码、指纹、刷卡或者人脸识别锁具。</w:t>
            </w:r>
          </w:p>
          <w:p w14:paraId="78421CEF">
            <w:pPr>
              <w:pStyle w:val="342"/>
              <w:rPr>
                <w:rStyle w:val="341"/>
                <w:rFonts w:ascii="宋体" w:hAnsi="宋体" w:cs="宋体"/>
                <w:color w:val="auto"/>
                <w:highlight w:val="none"/>
                <w:lang w:bidi="ar-SA"/>
              </w:rPr>
            </w:pPr>
            <w:r>
              <w:rPr>
                <w:rStyle w:val="341"/>
                <w:rFonts w:hint="eastAsia" w:ascii="宋体" w:hAnsi="宋体" w:cs="宋体"/>
                <w:color w:val="auto"/>
                <w:highlight w:val="none"/>
              </w:rPr>
              <w:t>6、可根据需求安装安装显示屏、显示器、电动升降显示器等</w:t>
            </w:r>
          </w:p>
        </w:tc>
      </w:tr>
      <w:tr w14:paraId="11B44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221D0942">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3</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D71D633">
            <w:pPr>
              <w:pStyle w:val="342"/>
              <w:jc w:val="center"/>
              <w:rPr>
                <w:rStyle w:val="341"/>
                <w:rFonts w:ascii="宋体" w:hAnsi="宋体" w:cs="宋体"/>
                <w:color w:val="auto"/>
                <w:highlight w:val="none"/>
                <w:lang w:bidi="ar-SA"/>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参数要求</w:t>
            </w:r>
          </w:p>
        </w:tc>
        <w:tc>
          <w:tcPr>
            <w:tcW w:w="8422" w:type="dxa"/>
            <w:tcBorders>
              <w:top w:val="single" w:color="000000" w:sz="4" w:space="0"/>
              <w:left w:val="single" w:color="000000" w:sz="4" w:space="0"/>
              <w:bottom w:val="single" w:color="000000" w:sz="4" w:space="0"/>
              <w:right w:val="single" w:color="000000" w:sz="4" w:space="0"/>
            </w:tcBorders>
            <w:noWrap/>
            <w:vAlign w:val="center"/>
          </w:tcPr>
          <w:p w14:paraId="43E85076">
            <w:pPr>
              <w:rPr>
                <w:rStyle w:val="341"/>
                <w:rFonts w:ascii="宋体" w:hAnsi="宋体" w:cs="宋体"/>
                <w:color w:val="auto"/>
                <w:highlight w:val="none"/>
              </w:rPr>
            </w:pPr>
            <w:r>
              <w:rPr>
                <w:rStyle w:val="341"/>
                <w:rFonts w:hint="eastAsia" w:ascii="宋体" w:hAnsi="宋体" w:cs="宋体"/>
                <w:color w:val="auto"/>
                <w:highlight w:val="none"/>
              </w:rPr>
              <w:t>一.安全性能要求：结构安全：合格</w:t>
            </w:r>
          </w:p>
          <w:p w14:paraId="531F1B0D">
            <w:pPr>
              <w:rPr>
                <w:rStyle w:val="341"/>
                <w:rFonts w:ascii="宋体" w:hAnsi="宋体" w:cs="宋体"/>
                <w:color w:val="auto"/>
                <w:highlight w:val="none"/>
              </w:rPr>
            </w:pPr>
            <w:r>
              <w:rPr>
                <w:rStyle w:val="341"/>
                <w:rFonts w:hint="eastAsia" w:ascii="宋体" w:hAnsi="宋体" w:cs="宋体"/>
                <w:color w:val="auto"/>
                <w:highlight w:val="none"/>
              </w:rPr>
              <w:t>二.力学性能：合格</w:t>
            </w:r>
          </w:p>
          <w:p w14:paraId="7739DD8C">
            <w:pPr>
              <w:rPr>
                <w:rStyle w:val="341"/>
                <w:rFonts w:ascii="宋体" w:hAnsi="宋体" w:cs="宋体"/>
                <w:color w:val="auto"/>
                <w:highlight w:val="none"/>
              </w:rPr>
            </w:pPr>
            <w:r>
              <w:rPr>
                <w:rStyle w:val="341"/>
                <w:rFonts w:hint="eastAsia" w:ascii="宋体" w:hAnsi="宋体" w:cs="宋体"/>
                <w:color w:val="auto"/>
                <w:highlight w:val="none"/>
              </w:rPr>
              <w:t>三.推拉构件耐久性(≥80000次)：合格</w:t>
            </w:r>
          </w:p>
          <w:p w14:paraId="2F048E45">
            <w:pPr>
              <w:rPr>
                <w:rStyle w:val="341"/>
                <w:rFonts w:ascii="宋体" w:hAnsi="宋体" w:cs="宋体"/>
                <w:color w:val="auto"/>
                <w:highlight w:val="none"/>
              </w:rPr>
            </w:pPr>
            <w:r>
              <w:rPr>
                <w:rStyle w:val="341"/>
                <w:rFonts w:hint="eastAsia" w:ascii="宋体" w:hAnsi="宋体" w:cs="宋体"/>
                <w:color w:val="auto"/>
                <w:highlight w:val="none"/>
              </w:rPr>
              <w:t>四.产品寿命：（柜类：拉门耐 久性 (≥80000次)：合格</w:t>
            </w:r>
          </w:p>
          <w:p w14:paraId="238162A5">
            <w:pPr>
              <w:rPr>
                <w:rStyle w:val="341"/>
                <w:rFonts w:ascii="宋体" w:hAnsi="宋体" w:cs="宋体"/>
                <w:color w:val="auto"/>
                <w:highlight w:val="none"/>
              </w:rPr>
            </w:pPr>
            <w:r>
              <w:rPr>
                <w:rStyle w:val="341"/>
                <w:rFonts w:hint="eastAsia" w:ascii="宋体" w:hAnsi="宋体" w:cs="宋体"/>
                <w:color w:val="auto"/>
                <w:highlight w:val="none"/>
              </w:rPr>
              <w:t>五.产品有害物质：</w:t>
            </w:r>
          </w:p>
          <w:p w14:paraId="17448625">
            <w:pPr>
              <w:rPr>
                <w:rStyle w:val="341"/>
                <w:rFonts w:ascii="宋体" w:hAnsi="宋体" w:cs="宋体"/>
                <w:color w:val="auto"/>
                <w:highlight w:val="none"/>
              </w:rPr>
            </w:pPr>
            <w:r>
              <w:rPr>
                <w:rStyle w:val="341"/>
                <w:rFonts w:hint="eastAsia" w:ascii="宋体" w:hAnsi="宋体" w:cs="宋体"/>
                <w:color w:val="auto"/>
                <w:highlight w:val="none"/>
              </w:rPr>
              <w:t>（1）甲醛释放量≤0.05mg/m³；苯≤0.05mg/m³；甲苯≤0.1mg/m³；二甲苯≤0.1mg/m³；总挥发性有机化合物(TVOC)≤0.3mg/m³；</w:t>
            </w:r>
          </w:p>
          <w:p w14:paraId="2D648FA5">
            <w:pPr>
              <w:rPr>
                <w:rStyle w:val="341"/>
                <w:rFonts w:ascii="宋体" w:hAnsi="宋体" w:cs="宋体"/>
                <w:color w:val="auto"/>
                <w:highlight w:val="none"/>
              </w:rPr>
            </w:pPr>
            <w:r>
              <w:rPr>
                <w:rStyle w:val="341"/>
                <w:rFonts w:hint="eastAsia" w:ascii="宋体" w:hAnsi="宋体" w:cs="宋体"/>
                <w:color w:val="auto"/>
                <w:highlight w:val="none"/>
              </w:rPr>
              <w:t>（2）家具涂层可迁移元素：铅Pb≤90mg/kg；镉Cd≤50mg/kg：铬Cr≤25mg/kg；汞Hg≤25mg/kg；锑Sb≤60mg/kg；钡Ba≤1000mg/kg；硒Se≤500mg/kg；砷As≤25mg/kg。</w:t>
            </w:r>
          </w:p>
          <w:p w14:paraId="5C76499E">
            <w:pPr>
              <w:rPr>
                <w:rStyle w:val="341"/>
                <w:rFonts w:ascii="宋体" w:hAnsi="宋体" w:cs="宋体"/>
                <w:color w:val="auto"/>
                <w:highlight w:val="none"/>
              </w:rPr>
            </w:pPr>
            <w:r>
              <w:rPr>
                <w:rStyle w:val="341"/>
                <w:rFonts w:hint="eastAsia" w:ascii="宋体" w:hAnsi="宋体" w:cs="宋体"/>
                <w:color w:val="auto"/>
                <w:highlight w:val="none"/>
              </w:rPr>
              <w:t>六.有害物质限量</w:t>
            </w:r>
          </w:p>
          <w:p w14:paraId="283AC1FE">
            <w:pPr>
              <w:rPr>
                <w:rStyle w:val="341"/>
                <w:rFonts w:ascii="宋体" w:hAnsi="宋体" w:cs="宋体"/>
                <w:color w:val="auto"/>
                <w:highlight w:val="none"/>
              </w:rPr>
            </w:pPr>
            <w:r>
              <w:rPr>
                <w:rStyle w:val="341"/>
                <w:rFonts w:hint="eastAsia" w:ascii="宋体" w:hAnsi="宋体" w:cs="宋体"/>
                <w:color w:val="auto"/>
                <w:highlight w:val="none"/>
              </w:rPr>
              <w:t xml:space="preserve">1）邻苯二甲酸酯：DBP≤0.1%；BBP≤0.1%；DEHP≤0.1%；DNOP≤0.1%；DINP≤0.1%；DIDP≤0.1%。 </w:t>
            </w:r>
          </w:p>
          <w:p w14:paraId="487F74F3">
            <w:pPr>
              <w:rPr>
                <w:rStyle w:val="341"/>
                <w:rFonts w:ascii="宋体" w:hAnsi="宋体" w:cs="宋体"/>
                <w:color w:val="auto"/>
                <w:highlight w:val="none"/>
              </w:rPr>
            </w:pPr>
            <w:r>
              <w:rPr>
                <w:rStyle w:val="341"/>
                <w:rFonts w:hint="eastAsia" w:ascii="宋体" w:hAnsi="宋体" w:cs="宋体"/>
                <w:color w:val="auto"/>
                <w:highlight w:val="none"/>
              </w:rPr>
              <w:t>2）多环芳烃：苯并[α]芘≤1.0mg/kg。</w:t>
            </w:r>
          </w:p>
          <w:p w14:paraId="25E03DFF">
            <w:pPr>
              <w:rPr>
                <w:rStyle w:val="341"/>
                <w:rFonts w:ascii="宋体" w:hAnsi="宋体" w:cs="宋体"/>
                <w:color w:val="auto"/>
                <w:highlight w:val="none"/>
              </w:rPr>
            </w:pPr>
            <w:r>
              <w:rPr>
                <w:rStyle w:val="341"/>
                <w:rFonts w:hint="eastAsia" w:ascii="宋体" w:hAnsi="宋体" w:cs="宋体"/>
                <w:color w:val="auto"/>
                <w:highlight w:val="none"/>
              </w:rPr>
              <w:t>七.耐腐蚀性能：满足GB/T10125-2021《人造气氛腐蚀试验、盐雾试验》、GB/T6461-2002《金属基体上金属和其它无机覆盖层经腐蚀试验后的试样和试件的评级》标准要求：</w:t>
            </w:r>
            <w:r>
              <w:rPr>
                <w:rStyle w:val="341"/>
                <w:rFonts w:hint="eastAsia"/>
                <w:color w:val="auto"/>
                <w:highlight w:val="none"/>
              </w:rPr>
              <w:t>中性</w:t>
            </w:r>
            <w:r>
              <w:rPr>
                <w:rStyle w:val="341"/>
                <w:rFonts w:hint="eastAsia" w:ascii="宋体" w:hAnsi="宋体" w:cs="宋体"/>
                <w:color w:val="auto"/>
                <w:highlight w:val="none"/>
              </w:rPr>
              <w:t>盐雾试验(≥360h)：①涂镀层对基体的保护评级达到10级。②涂镀层本身的耐腐蚀等级（外观评级）达到10级。</w:t>
            </w:r>
          </w:p>
          <w:p w14:paraId="6E4D84E9">
            <w:pPr>
              <w:rPr>
                <w:rStyle w:val="341"/>
                <w:rFonts w:ascii="宋体" w:hAnsi="宋体" w:cs="宋体"/>
                <w:color w:val="auto"/>
                <w:highlight w:val="none"/>
              </w:rPr>
            </w:pPr>
            <w:r>
              <w:rPr>
                <w:rStyle w:val="341"/>
                <w:rFonts w:hint="eastAsia" w:ascii="宋体" w:hAnsi="宋体" w:cs="宋体"/>
                <w:color w:val="auto"/>
                <w:highlight w:val="none"/>
              </w:rPr>
              <w:t>八.耐湿热性能(≥360h)：合格</w:t>
            </w:r>
          </w:p>
          <w:p w14:paraId="73FA85CF">
            <w:pPr>
              <w:rPr>
                <w:rStyle w:val="341"/>
                <w:rFonts w:ascii="宋体" w:hAnsi="宋体" w:cs="宋体"/>
                <w:color w:val="auto"/>
                <w:highlight w:val="none"/>
              </w:rPr>
            </w:pPr>
            <w:r>
              <w:rPr>
                <w:rStyle w:val="341"/>
                <w:rFonts w:hint="eastAsia" w:ascii="宋体" w:hAnsi="宋体" w:cs="宋体"/>
                <w:color w:val="auto"/>
                <w:highlight w:val="none"/>
              </w:rPr>
              <w:t>九.涂层试板：</w:t>
            </w:r>
          </w:p>
          <w:p w14:paraId="7727C02C">
            <w:pPr>
              <w:rPr>
                <w:rStyle w:val="341"/>
                <w:rFonts w:ascii="宋体" w:hAnsi="宋体" w:cs="宋体"/>
                <w:color w:val="auto"/>
                <w:highlight w:val="none"/>
              </w:rPr>
            </w:pPr>
            <w:r>
              <w:rPr>
                <w:rStyle w:val="341"/>
                <w:rFonts w:hint="eastAsia" w:ascii="宋体" w:hAnsi="宋体" w:cs="宋体"/>
                <w:color w:val="auto"/>
                <w:highlight w:val="none"/>
              </w:rPr>
              <w:t>1、耐沾污性 1 级；</w:t>
            </w:r>
          </w:p>
          <w:p w14:paraId="6F55D47A">
            <w:pPr>
              <w:rPr>
                <w:rStyle w:val="341"/>
                <w:rFonts w:ascii="宋体" w:hAnsi="宋体" w:cs="宋体"/>
                <w:color w:val="auto"/>
                <w:highlight w:val="none"/>
              </w:rPr>
            </w:pPr>
            <w:r>
              <w:rPr>
                <w:rStyle w:val="341"/>
                <w:rFonts w:hint="eastAsia" w:ascii="宋体" w:hAnsi="宋体" w:cs="宋体"/>
                <w:color w:val="auto"/>
                <w:highlight w:val="none"/>
              </w:rPr>
              <w:t>2、人工气候老化试 验(氙灯老化）：经≥360h氙灯老化试验，变色等级应≤2级，失光等级应≤2级，粉化等级应≤1级，开裂等级应≤1级(S1),起泡等级应≤1级(S1)。</w:t>
            </w:r>
          </w:p>
          <w:p w14:paraId="6C91C1EC">
            <w:pPr>
              <w:rPr>
                <w:rStyle w:val="341"/>
                <w:rFonts w:ascii="宋体" w:hAnsi="宋体" w:cs="宋体"/>
                <w:color w:val="auto"/>
                <w:highlight w:val="none"/>
              </w:rPr>
            </w:pPr>
            <w:r>
              <w:rPr>
                <w:rStyle w:val="341"/>
                <w:rFonts w:hint="eastAsia" w:ascii="宋体" w:hAnsi="宋体" w:cs="宋体"/>
                <w:color w:val="auto"/>
                <w:highlight w:val="none"/>
              </w:rPr>
              <w:t>十.燃烧性能B1级:1、热释放速率峰值≤200kW；2、5min内总热释放量≤30MJ；3、最大烟密度≤75%。</w:t>
            </w:r>
          </w:p>
          <w:p w14:paraId="5FDD6013">
            <w:pPr>
              <w:rPr>
                <w:rStyle w:val="341"/>
                <w:rFonts w:ascii="宋体" w:hAnsi="宋体" w:cs="宋体"/>
                <w:color w:val="auto"/>
                <w:highlight w:val="none"/>
              </w:rPr>
            </w:pPr>
            <w:r>
              <w:rPr>
                <w:rStyle w:val="341"/>
                <w:rFonts w:hint="eastAsia" w:ascii="宋体" w:hAnsi="宋体" w:cs="宋体"/>
                <w:color w:val="auto"/>
                <w:highlight w:val="none"/>
              </w:rPr>
              <w:t>十一、抗菌性能：按照QB/T 4371-2012《家具抗菌性能的评价》：</w:t>
            </w:r>
          </w:p>
          <w:p w14:paraId="7402D47D">
            <w:pPr>
              <w:pStyle w:val="342"/>
              <w:rPr>
                <w:rStyle w:val="341"/>
                <w:rFonts w:ascii="宋体" w:hAnsi="宋体" w:cs="宋体"/>
                <w:color w:val="auto"/>
                <w:highlight w:val="none"/>
              </w:rPr>
            </w:pPr>
            <w:r>
              <w:rPr>
                <w:rStyle w:val="341"/>
                <w:rFonts w:hint="eastAsia" w:ascii="宋体" w:hAnsi="宋体" w:cs="宋体"/>
                <w:color w:val="auto"/>
                <w:highlight w:val="none"/>
                <w:lang w:bidi="ar-SA"/>
              </w:rPr>
              <w:t>至少对变形链球菌、产气肠杆菌、奇异变形杆菌、藤黄微球菌、肺炎克雷伯氏菌(肺炎杆菌)、大肠埃希氏菌、耐甲氧西林金黄色葡萄球菌、变异库克菌、肺炎链球菌、鼠伤寒沙门氏菌、宋氏志贺氏菌(宋内氏志贺氏菌)、白色念珠菌、铜绿假单胞菌、粘质沙雷氏菌、粪肠球菌(粪链球菌)中的任意12种抑菌率≥99%。</w:t>
            </w:r>
          </w:p>
          <w:p w14:paraId="119F891B">
            <w:pPr>
              <w:rPr>
                <w:rStyle w:val="341"/>
                <w:rFonts w:ascii="宋体" w:hAnsi="宋体" w:cs="宋体"/>
                <w:color w:val="auto"/>
                <w:highlight w:val="none"/>
              </w:rPr>
            </w:pPr>
            <w:r>
              <w:rPr>
                <w:rStyle w:val="341"/>
                <w:rFonts w:hint="eastAsia" w:ascii="宋体" w:hAnsi="宋体" w:cs="宋体"/>
                <w:color w:val="auto"/>
                <w:highlight w:val="none"/>
              </w:rPr>
              <w:t>十二、耐霉菌性：按照GB/T 1741-2020《漆膜耐霉菌性测定法》：</w:t>
            </w:r>
          </w:p>
          <w:p w14:paraId="369C9007">
            <w:pPr>
              <w:rPr>
                <w:rStyle w:val="341"/>
                <w:rFonts w:ascii="宋体" w:hAnsi="宋体" w:cs="宋体"/>
                <w:color w:val="auto"/>
                <w:highlight w:val="none"/>
              </w:rPr>
            </w:pPr>
            <w:r>
              <w:rPr>
                <w:rFonts w:hint="eastAsia" w:ascii="宋体" w:hAnsi="宋体" w:cs="宋体"/>
                <w:color w:val="auto"/>
                <w:highlight w:val="none"/>
              </w:rPr>
              <w:t>至少对</w:t>
            </w:r>
            <w:r>
              <w:rPr>
                <w:rStyle w:val="341"/>
                <w:rFonts w:hint="eastAsia" w:ascii="宋体" w:hAnsi="宋体" w:cs="宋体"/>
                <w:color w:val="auto"/>
                <w:highlight w:val="none"/>
              </w:rPr>
              <w:t>桔青霉、出芽短梗霉、绿色木霉、长枝木霉、短柄帚霉、腊叶芽枝霉、链格孢、产黄青霉、赭绿青霉、绿粘帚霉、变幻青霉、黑曲霉、宛氏拟青霉、绳状青霉 、球毛壳霉中的任意12种长霉等级0级。</w:t>
            </w:r>
          </w:p>
        </w:tc>
      </w:tr>
    </w:tbl>
    <w:p w14:paraId="4A24D3CE">
      <w:pPr>
        <w:outlineLvl w:val="2"/>
        <w:rPr>
          <w:rStyle w:val="341"/>
          <w:rFonts w:hint="eastAsia" w:ascii="宋体" w:hAnsi="宋体" w:cs="宋体"/>
          <w:color w:val="auto"/>
          <w:sz w:val="22"/>
          <w:szCs w:val="22"/>
          <w:highlight w:val="none"/>
          <w:lang w:val="en-US" w:eastAsia="zh-CN"/>
        </w:rPr>
      </w:pPr>
      <w:r>
        <w:rPr>
          <w:rStyle w:val="341"/>
          <w:rFonts w:hint="eastAsia" w:ascii="宋体" w:hAnsi="宋体" w:cs="宋体"/>
          <w:color w:val="auto"/>
          <w:sz w:val="22"/>
          <w:szCs w:val="22"/>
          <w:highlight w:val="none"/>
          <w:lang w:val="en-US" w:eastAsia="zh-CN"/>
        </w:rPr>
        <w:t>4、高危药品柜类产品</w:t>
      </w:r>
    </w:p>
    <w:tbl>
      <w:tblPr>
        <w:tblStyle w:val="52"/>
        <w:tblW w:w="10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117"/>
        <w:gridCol w:w="8405"/>
      </w:tblGrid>
      <w:tr w14:paraId="0104C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1E7E1979">
            <w:pPr>
              <w:jc w:val="center"/>
              <w:rPr>
                <w:rStyle w:val="341"/>
                <w:rFonts w:ascii="宋体" w:hAnsi="宋体" w:cs="宋体"/>
                <w:b/>
                <w:color w:val="auto"/>
                <w:szCs w:val="21"/>
                <w:highlight w:val="none"/>
              </w:rPr>
            </w:pPr>
            <w:r>
              <w:rPr>
                <w:rStyle w:val="341"/>
                <w:rFonts w:hint="eastAsia" w:ascii="宋体" w:hAnsi="宋体" w:cs="宋体"/>
                <w:color w:val="auto"/>
                <w:szCs w:val="21"/>
                <w:highlight w:val="none"/>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C19ABAB">
            <w:pPr>
              <w:pStyle w:val="342"/>
              <w:spacing w:after="0"/>
              <w:jc w:val="center"/>
              <w:rPr>
                <w:rStyle w:val="341"/>
                <w:rFonts w:ascii="宋体" w:hAnsi="宋体" w:cs="宋体"/>
                <w:b/>
                <w:color w:val="auto"/>
                <w:szCs w:val="21"/>
                <w:highlight w:val="none"/>
                <w:lang w:bidi="ar-SA"/>
              </w:rPr>
            </w:pPr>
            <w:r>
              <w:rPr>
                <w:rStyle w:val="341"/>
                <w:rFonts w:hint="eastAsia" w:ascii="宋体" w:hAnsi="宋体" w:cs="宋体"/>
                <w:color w:val="auto"/>
                <w:szCs w:val="21"/>
                <w:highlight w:val="none"/>
                <w:lang w:bidi="ar-SA"/>
              </w:rPr>
              <w:t>项目</w:t>
            </w:r>
          </w:p>
        </w:tc>
        <w:tc>
          <w:tcPr>
            <w:tcW w:w="8405" w:type="dxa"/>
            <w:tcBorders>
              <w:top w:val="single" w:color="000000" w:sz="4" w:space="0"/>
              <w:left w:val="single" w:color="000000" w:sz="4" w:space="0"/>
              <w:bottom w:val="single" w:color="000000" w:sz="4" w:space="0"/>
              <w:right w:val="single" w:color="000000" w:sz="4" w:space="0"/>
            </w:tcBorders>
            <w:noWrap/>
            <w:vAlign w:val="center"/>
          </w:tcPr>
          <w:p w14:paraId="6ABC7294">
            <w:pPr>
              <w:pStyle w:val="342"/>
              <w:spacing w:after="0"/>
              <w:jc w:val="center"/>
              <w:rPr>
                <w:rStyle w:val="341"/>
                <w:rFonts w:ascii="宋体" w:hAnsi="宋体" w:cs="宋体"/>
                <w:b/>
                <w:color w:val="auto"/>
                <w:szCs w:val="21"/>
                <w:highlight w:val="none"/>
                <w:lang w:bidi="ar-SA"/>
              </w:rPr>
            </w:pPr>
            <w:r>
              <w:rPr>
                <w:rStyle w:val="341"/>
                <w:rFonts w:hint="eastAsia" w:ascii="宋体" w:hAnsi="宋体" w:cs="宋体"/>
                <w:color w:val="auto"/>
                <w:szCs w:val="21"/>
                <w:highlight w:val="none"/>
                <w:lang w:bidi="ar-SA"/>
              </w:rPr>
              <w:t>技术要求</w:t>
            </w:r>
          </w:p>
        </w:tc>
      </w:tr>
      <w:tr w14:paraId="192F9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666510D3">
            <w:pPr>
              <w:pStyle w:val="342"/>
              <w:spacing w:after="0"/>
              <w:jc w:val="center"/>
              <w:rPr>
                <w:rStyle w:val="341"/>
                <w:rFonts w:ascii="宋体" w:hAnsi="宋体" w:cs="宋体"/>
                <w:color w:val="auto"/>
                <w:szCs w:val="21"/>
                <w:highlight w:val="none"/>
                <w:lang w:bidi="ar-SA"/>
              </w:rPr>
            </w:pPr>
            <w:r>
              <w:rPr>
                <w:rStyle w:val="341"/>
                <w:rFonts w:hint="eastAsia" w:ascii="宋体" w:hAnsi="宋体" w:cs="宋体"/>
                <w:color w:val="auto"/>
                <w:szCs w:val="21"/>
                <w:highlight w:val="none"/>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4D3B650">
            <w:pPr>
              <w:pStyle w:val="342"/>
              <w:spacing w:after="0"/>
              <w:rPr>
                <w:rStyle w:val="341"/>
                <w:rFonts w:ascii="宋体" w:hAnsi="宋体" w:cs="宋体"/>
                <w:color w:val="auto"/>
                <w:szCs w:val="21"/>
                <w:highlight w:val="none"/>
                <w:lang w:bidi="ar-SA"/>
              </w:rPr>
            </w:pPr>
            <w:r>
              <w:rPr>
                <w:rStyle w:val="341"/>
                <w:rFonts w:hint="eastAsia" w:ascii="宋体" w:hAnsi="宋体" w:cs="宋体"/>
                <w:color w:val="auto"/>
                <w:szCs w:val="21"/>
                <w:highlight w:val="none"/>
                <w:lang w:bidi="ar-SA"/>
              </w:rPr>
              <w:t>材质及</w:t>
            </w:r>
          </w:p>
          <w:p w14:paraId="40C22E96">
            <w:pPr>
              <w:pStyle w:val="342"/>
              <w:spacing w:after="0"/>
              <w:rPr>
                <w:rStyle w:val="341"/>
                <w:rFonts w:ascii="宋体" w:hAnsi="宋体" w:cs="宋体"/>
                <w:color w:val="auto"/>
                <w:szCs w:val="21"/>
                <w:highlight w:val="none"/>
                <w:lang w:bidi="ar-SA"/>
              </w:rPr>
            </w:pPr>
            <w:r>
              <w:rPr>
                <w:rStyle w:val="341"/>
                <w:rFonts w:hint="eastAsia" w:ascii="宋体" w:hAnsi="宋体" w:cs="宋体"/>
                <w:color w:val="auto"/>
                <w:szCs w:val="21"/>
                <w:highlight w:val="none"/>
                <w:lang w:bidi="ar-SA"/>
              </w:rPr>
              <w:t>工艺技术</w:t>
            </w:r>
          </w:p>
        </w:tc>
        <w:tc>
          <w:tcPr>
            <w:tcW w:w="8405" w:type="dxa"/>
            <w:tcBorders>
              <w:top w:val="single" w:color="000000" w:sz="4" w:space="0"/>
              <w:left w:val="single" w:color="000000" w:sz="4" w:space="0"/>
              <w:bottom w:val="single" w:color="000000" w:sz="4" w:space="0"/>
              <w:right w:val="single" w:color="000000" w:sz="4" w:space="0"/>
            </w:tcBorders>
            <w:noWrap/>
            <w:vAlign w:val="center"/>
          </w:tcPr>
          <w:p w14:paraId="12D920DC">
            <w:pPr>
              <w:pStyle w:val="342"/>
              <w:jc w:val="left"/>
              <w:rPr>
                <w:rStyle w:val="341"/>
                <w:rFonts w:ascii="宋体" w:hAnsi="宋体" w:cs="宋体"/>
                <w:color w:val="auto"/>
                <w:highlight w:val="none"/>
                <w:lang w:bidi="ar-SA"/>
              </w:rPr>
            </w:pPr>
            <w:r>
              <w:rPr>
                <w:rStyle w:val="341"/>
                <w:rFonts w:hint="eastAsia" w:ascii="宋体" w:hAnsi="宋体" w:cs="宋体"/>
                <w:color w:val="auto"/>
                <w:highlight w:val="none"/>
                <w:lang w:bidi="ar-SA"/>
              </w:rPr>
              <w:t>1、柜体、门板：采用优质电解钢板,钢板厚度1.0mm。电阻焊接工艺，无外露焊点，钢板采用激光切割及数控折边成型，保证产品表面不会出现凹凸不平的焊疤。电解钢板表面采用环保型环氧聚酯粉末静电喷涂，喷涂采用流水线喷涂，涂层膜厚度均匀；金属产品喷涂前必须前处理，包括除油，除尘，清洗，纳米陶化或者硅烷镀膜等保障产品喷涂质量的前处理工艺。</w:t>
            </w:r>
          </w:p>
          <w:p w14:paraId="11EE8C03">
            <w:pPr>
              <w:jc w:val="left"/>
              <w:rPr>
                <w:rStyle w:val="341"/>
                <w:rFonts w:ascii="宋体" w:hAnsi="宋体" w:cs="宋体"/>
                <w:color w:val="auto"/>
                <w:highlight w:val="none"/>
              </w:rPr>
            </w:pPr>
            <w:r>
              <w:rPr>
                <w:rStyle w:val="341"/>
                <w:rFonts w:hint="eastAsia" w:ascii="宋体" w:hAnsi="宋体" w:cs="宋体"/>
                <w:color w:val="auto"/>
                <w:szCs w:val="21"/>
                <w:highlight w:val="none"/>
              </w:rPr>
              <w:t>2、台面：采用国标SUS304不锈钢，厚度≥1.0mm。抽屉面板处配置透明亚克力标签框，方便插入说明卡片，抽屉面板、门板采用双层防尘工艺设计，避免细菌滋生，并且内有加强筋，提高门的使用寿命，上柜及下柜内都有活动层板，</w:t>
            </w:r>
            <w:r>
              <w:rPr>
                <w:rStyle w:val="341"/>
                <w:rFonts w:hint="eastAsia" w:ascii="宋体" w:hAnsi="宋体" w:cs="宋体"/>
                <w:color w:val="auto"/>
                <w:highlight w:val="none"/>
              </w:rPr>
              <w:t>活动层板四边折弯，可自由调节高度，层板挂钩采用2.0mm厚钢板，可自由拆卸，逐级调整高度。</w:t>
            </w:r>
            <w:r>
              <w:rPr>
                <w:rStyle w:val="341"/>
                <w:rFonts w:hint="eastAsia" w:ascii="宋体" w:hAnsi="宋体" w:cs="宋体"/>
                <w:color w:val="auto"/>
                <w:szCs w:val="21"/>
                <w:highlight w:val="none"/>
              </w:rPr>
              <w:t>所有下柜底部都是离地150~200mm的高度。</w:t>
            </w:r>
          </w:p>
          <w:p w14:paraId="3003FABA">
            <w:pPr>
              <w:pStyle w:val="342"/>
              <w:spacing w:after="0"/>
              <w:rPr>
                <w:rStyle w:val="341"/>
                <w:rFonts w:ascii="宋体" w:hAnsi="宋体" w:cs="宋体"/>
                <w:color w:val="auto"/>
                <w:szCs w:val="21"/>
                <w:highlight w:val="none"/>
                <w:lang w:bidi="ar-SA"/>
              </w:rPr>
            </w:pPr>
            <w:r>
              <w:rPr>
                <w:rStyle w:val="341"/>
                <w:rFonts w:hint="eastAsia" w:ascii="宋体" w:hAnsi="宋体" w:cs="宋体"/>
                <w:color w:val="auto"/>
                <w:szCs w:val="21"/>
                <w:highlight w:val="none"/>
                <w:lang w:bidi="ar-SA"/>
              </w:rPr>
              <w:t>3、门与柜体的连接采用优质缓冲不锈钢铰链或不锈钢插销式门轴结构，门框与柜体之间的吸合，利用磁性纽扣磁铁互相吸附。</w:t>
            </w:r>
          </w:p>
          <w:p w14:paraId="69B4E9E8">
            <w:pPr>
              <w:pStyle w:val="342"/>
              <w:spacing w:after="0"/>
              <w:rPr>
                <w:rStyle w:val="341"/>
                <w:rFonts w:ascii="宋体" w:hAnsi="宋体" w:cs="宋体"/>
                <w:color w:val="auto"/>
                <w:szCs w:val="21"/>
                <w:highlight w:val="none"/>
                <w:lang w:bidi="ar-SA"/>
              </w:rPr>
            </w:pPr>
            <w:r>
              <w:rPr>
                <w:rStyle w:val="341"/>
                <w:rFonts w:hint="eastAsia" w:ascii="宋体" w:hAnsi="宋体" w:cs="宋体"/>
                <w:color w:val="auto"/>
                <w:szCs w:val="21"/>
                <w:highlight w:val="none"/>
                <w:lang w:bidi="ar-SA"/>
              </w:rPr>
              <w:t>4、柜体正面门及抽屉间隙在1.5~2mm之间，采用双层门板设计，并且内有加强筋，提高门的使用寿命，活动层板四边折弯，可自由调节高度，层板挂钩采用2.0mm厚钢板，可自由拆卸，逐级调整高度，层板加强筋可承受50kg，采用隐藏式卷边拉手，折弯一体成型。</w:t>
            </w:r>
          </w:p>
          <w:p w14:paraId="1A94852D">
            <w:pPr>
              <w:pStyle w:val="342"/>
              <w:spacing w:after="0"/>
              <w:rPr>
                <w:rStyle w:val="341"/>
                <w:rFonts w:ascii="宋体" w:hAnsi="宋体" w:cs="宋体"/>
                <w:color w:val="auto"/>
                <w:szCs w:val="21"/>
                <w:highlight w:val="none"/>
                <w:lang w:bidi="ar-SA"/>
              </w:rPr>
            </w:pPr>
            <w:r>
              <w:rPr>
                <w:rStyle w:val="341"/>
                <w:rFonts w:hint="eastAsia" w:ascii="宋体" w:hAnsi="宋体" w:cs="宋体"/>
                <w:color w:val="auto"/>
                <w:szCs w:val="21"/>
                <w:highlight w:val="none"/>
                <w:lang w:bidi="ar-SA"/>
              </w:rPr>
              <w:t>5、高危药品柜采用双锁管理（一把电子防盗锁、一把钥匙锁）。</w:t>
            </w:r>
          </w:p>
        </w:tc>
      </w:tr>
      <w:tr w14:paraId="6B9D5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596BFD42">
            <w:pPr>
              <w:pStyle w:val="342"/>
              <w:spacing w:after="0"/>
              <w:jc w:val="center"/>
              <w:rPr>
                <w:rStyle w:val="341"/>
                <w:rFonts w:ascii="宋体" w:hAnsi="宋体" w:cs="宋体"/>
                <w:color w:val="auto"/>
                <w:szCs w:val="21"/>
                <w:highlight w:val="none"/>
                <w:lang w:bidi="ar-SA"/>
              </w:rPr>
            </w:pPr>
            <w:r>
              <w:rPr>
                <w:rStyle w:val="341"/>
                <w:rFonts w:hint="eastAsia" w:ascii="宋体" w:hAnsi="宋体" w:cs="宋体"/>
                <w:color w:val="auto"/>
                <w:szCs w:val="21"/>
                <w:highlight w:val="none"/>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9A340AA">
            <w:pPr>
              <w:pStyle w:val="342"/>
              <w:spacing w:after="0"/>
              <w:rPr>
                <w:rStyle w:val="341"/>
                <w:rFonts w:ascii="宋体" w:hAnsi="宋体" w:cs="宋体"/>
                <w:color w:val="auto"/>
                <w:szCs w:val="21"/>
                <w:highlight w:val="none"/>
                <w:lang w:bidi="ar-SA"/>
              </w:rPr>
            </w:pPr>
            <w:r>
              <w:rPr>
                <w:rStyle w:val="341"/>
                <w:rFonts w:hint="eastAsia" w:ascii="宋体" w:hAnsi="宋体" w:cs="宋体"/>
                <w:color w:val="auto"/>
                <w:szCs w:val="21"/>
                <w:highlight w:val="none"/>
                <w:lang w:bidi="ar-SA"/>
              </w:rPr>
              <w:t>产品功能和配置</w:t>
            </w:r>
          </w:p>
        </w:tc>
        <w:tc>
          <w:tcPr>
            <w:tcW w:w="8405" w:type="dxa"/>
            <w:tcBorders>
              <w:top w:val="single" w:color="000000" w:sz="4" w:space="0"/>
              <w:left w:val="single" w:color="000000" w:sz="4" w:space="0"/>
              <w:bottom w:val="single" w:color="000000" w:sz="4" w:space="0"/>
              <w:right w:val="single" w:color="000000" w:sz="4" w:space="0"/>
            </w:tcBorders>
            <w:noWrap/>
            <w:vAlign w:val="center"/>
          </w:tcPr>
          <w:p w14:paraId="3212D2C9">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1、高危药品柜采用双锁管理，内部抽屉式结构，用不同颜色区分内抽性质；抽屉内可配备ABS抗菌药品盒，药盒正面必须有标识框，尺寸为405*405*100mm( 长度*宽度*高度），药品盒移动方便，内部可以自由分隔，方便各种药品分类存储。</w:t>
            </w:r>
          </w:p>
          <w:p w14:paraId="605CC755">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2、可根据需求安装照明灯、装饰灯、强弱电插座。</w:t>
            </w:r>
          </w:p>
          <w:p w14:paraId="65ACDF4A">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3、可根据需求安装密码、指纹、刷卡或者人脸识别锁具。</w:t>
            </w:r>
          </w:p>
          <w:p w14:paraId="0FDA02BD">
            <w:pPr>
              <w:pStyle w:val="342"/>
              <w:spacing w:after="0"/>
              <w:rPr>
                <w:rStyle w:val="341"/>
                <w:rFonts w:ascii="宋体" w:hAnsi="宋体" w:cs="宋体"/>
                <w:color w:val="auto"/>
                <w:szCs w:val="21"/>
                <w:highlight w:val="none"/>
                <w:lang w:bidi="ar-SA"/>
              </w:rPr>
            </w:pPr>
            <w:r>
              <w:rPr>
                <w:rStyle w:val="341"/>
                <w:rFonts w:hint="eastAsia" w:ascii="宋体" w:hAnsi="宋体" w:cs="宋体"/>
                <w:color w:val="auto"/>
                <w:szCs w:val="21"/>
                <w:highlight w:val="none"/>
              </w:rPr>
              <w:t>4、可根据需求安装安装显示屏、显示器、电动升降显示器等</w:t>
            </w:r>
          </w:p>
        </w:tc>
      </w:tr>
      <w:tr w14:paraId="0770B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6108">
            <w:pPr>
              <w:pStyle w:val="342"/>
              <w:jc w:val="center"/>
              <w:rPr>
                <w:rFonts w:ascii="宋体" w:hAnsi="宋体" w:cs="宋体"/>
                <w:color w:val="auto"/>
                <w:highlight w:val="none"/>
                <w:lang w:bidi="ar-SA"/>
              </w:rPr>
            </w:pPr>
            <w:r>
              <w:rPr>
                <w:rFonts w:hint="eastAsia" w:ascii="宋体" w:hAnsi="宋体" w:cs="宋体"/>
                <w:color w:val="auto"/>
                <w:highlight w:val="none"/>
                <w:lang w:bidi="ar-SA"/>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BF10">
            <w:pPr>
              <w:pStyle w:val="342"/>
              <w:jc w:val="center"/>
              <w:rPr>
                <w:rFonts w:ascii="宋体" w:hAnsi="宋体" w:cs="宋体"/>
                <w:color w:val="auto"/>
                <w:highlight w:val="none"/>
                <w:lang w:bidi="ar-SA"/>
              </w:rPr>
            </w:pPr>
            <w:r>
              <w:rPr>
                <w:rStyle w:val="341"/>
                <w:rFonts w:hint="eastAsia" w:ascii="宋体" w:hAnsi="宋体" w:eastAsia="宋体" w:cs="宋体"/>
                <w:color w:val="auto"/>
                <w:highlight w:val="none"/>
                <w:lang w:val="en-US" w:eastAsia="zh-CN" w:bidi="ar-SA"/>
              </w:rPr>
              <w:t>参数要求</w:t>
            </w:r>
          </w:p>
        </w:tc>
        <w:tc>
          <w:tcPr>
            <w:tcW w:w="8405" w:type="dxa"/>
            <w:tcBorders>
              <w:top w:val="single" w:color="000000" w:sz="4" w:space="0"/>
              <w:left w:val="single" w:color="000000" w:sz="4" w:space="0"/>
              <w:bottom w:val="single" w:color="000000" w:sz="4" w:space="0"/>
              <w:right w:val="single" w:color="000000" w:sz="4" w:space="0"/>
            </w:tcBorders>
            <w:noWrap/>
            <w:vAlign w:val="center"/>
          </w:tcPr>
          <w:p w14:paraId="1E763D9F">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一.安全性能要求：结构安全：合格</w:t>
            </w:r>
          </w:p>
          <w:p w14:paraId="4C4A32C9">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二.力学性能：合格</w:t>
            </w:r>
          </w:p>
          <w:p w14:paraId="4583989A">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三.推拉构件耐久性(≥80000次)：合格</w:t>
            </w:r>
          </w:p>
          <w:p w14:paraId="71D035C7">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四.产品寿命：（柜类：拉门耐久性 (≥80000次)：合格</w:t>
            </w:r>
          </w:p>
          <w:p w14:paraId="5095F41A">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五.产品有害物质：</w:t>
            </w:r>
          </w:p>
          <w:p w14:paraId="3330F625">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（1）甲醛释放量≤0.05mg/m³；苯≤0.05mg/m³；甲苯≤0.1mg/m³；二甲苯≤0.1mg/m³；总挥发性有机化合物(TVOC)≤0.3mg/m³；</w:t>
            </w:r>
          </w:p>
          <w:p w14:paraId="56F4AB79">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（2）家具涂层可迁移元素：铅Pb≤90mg/kg；镉Cd≤50mg/kg：铬Cr≤25mg/kg；汞Hg≤25mg/kg；锑Sb≤60mg/kg；钡Ba≤1000mg/kg；硒Se≤500mg/kg；砷As≤25mg/kg。</w:t>
            </w:r>
          </w:p>
          <w:p w14:paraId="0550B796">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六.有害物质限量</w:t>
            </w:r>
          </w:p>
          <w:p w14:paraId="4743486E">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 xml:space="preserve">1）邻苯二甲酸酯：DBP≤0.1%；BBP≤0.1%；DEHP≤0.1%；DNOP≤0.1%；DINP≤0.1%；DIDP≤0.1%。 </w:t>
            </w:r>
          </w:p>
          <w:p w14:paraId="15CB6082">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2）多环芳烃：苯并[α]芘≤1.0mg/kg；</w:t>
            </w:r>
          </w:p>
          <w:p w14:paraId="6E78CC6E">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七.耐腐蚀性能：满足GB/T10125-2021《人造气氛腐蚀试验、盐雾试验》、GB/T6461-2002《金属基体上金属和其它无机覆盖层经腐蚀试验后的试样和试件的评级》标准要求：中性盐雾试验(≥360h)：①涂镀层对基体的保护评级达到10级。②涂镀层本身的耐腐蚀等级（外观评级）达到10级。</w:t>
            </w:r>
          </w:p>
          <w:p w14:paraId="2F3E9D8E">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八.耐湿热性能(≥360h)：合格。</w:t>
            </w:r>
          </w:p>
          <w:p w14:paraId="5D6810D6">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九.涂层试板：</w:t>
            </w:r>
          </w:p>
          <w:p w14:paraId="72E9954F">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1、耐沾污性 1 级；</w:t>
            </w:r>
          </w:p>
          <w:p w14:paraId="44D369D6">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2、人工气候老化试 验(氙灯老化）：经≥360h氙灯老化试验，变色等级应 ≤2级，失光等级应≤2级，粉化等级应≤1级，开裂等级应≤1级(S1),起泡等级应≤1级(S1)。</w:t>
            </w:r>
          </w:p>
          <w:p w14:paraId="756545FB">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十.燃烧性能B1级:1、热释放速率峰值≤200kW；2、5min内总热释放量≤30MJ；3、最大烟密度≤75%。</w:t>
            </w:r>
          </w:p>
          <w:p w14:paraId="05E62081">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十一、抗菌性能：按照QB/T 4371-2012《家具抗菌性能的评价》：</w:t>
            </w:r>
          </w:p>
          <w:p w14:paraId="604BC70D">
            <w:pPr>
              <w:pStyle w:val="342"/>
              <w:rPr>
                <w:rStyle w:val="341"/>
                <w:rFonts w:ascii="宋体" w:hAnsi="宋体" w:cs="宋体"/>
                <w:color w:val="auto"/>
                <w:szCs w:val="21"/>
                <w:highlight w:val="none"/>
              </w:rPr>
            </w:pPr>
            <w:r>
              <w:rPr>
                <w:rStyle w:val="341"/>
                <w:rFonts w:hint="eastAsia" w:ascii="宋体" w:hAnsi="宋体" w:cs="宋体"/>
                <w:color w:val="auto"/>
                <w:highlight w:val="none"/>
                <w:lang w:bidi="ar-SA"/>
              </w:rPr>
              <w:t>至少对变形链球菌、产气肠杆菌、奇异变形杆菌、藤黄微球菌、肺炎克雷伯氏菌(肺炎杆菌)、大肠埃希氏菌、耐甲氧西林金黄色葡萄球菌、变异库克菌、肺炎链球菌、鼠伤寒沙门氏菌、宋氏志贺氏菌(宋内氏志贺氏菌)、白色念珠菌、铜绿假单胞菌、粘质沙雷氏菌、粪肠球菌(粪链球菌)中的任意12种抑菌率≥99%。</w:t>
            </w:r>
          </w:p>
          <w:p w14:paraId="0766F323">
            <w:pPr>
              <w:pStyle w:val="342"/>
              <w:spacing w:after="0"/>
              <w:rPr>
                <w:rStyle w:val="341"/>
                <w:rFonts w:ascii="宋体" w:hAnsi="宋体" w:cs="宋体"/>
                <w:color w:val="auto"/>
                <w:szCs w:val="21"/>
                <w:highlight w:val="none"/>
              </w:rPr>
            </w:pPr>
            <w:r>
              <w:rPr>
                <w:rStyle w:val="341"/>
                <w:rFonts w:hint="eastAsia" w:ascii="宋体" w:hAnsi="宋体" w:cs="宋体"/>
                <w:color w:val="auto"/>
                <w:szCs w:val="21"/>
                <w:highlight w:val="none"/>
              </w:rPr>
              <w:t>十二、耐霉菌性：按照GB/T 1741-2020《漆膜耐霉菌性测定法》：</w:t>
            </w:r>
          </w:p>
          <w:p w14:paraId="0E080D3A">
            <w:pPr>
              <w:pStyle w:val="342"/>
              <w:spacing w:after="0"/>
              <w:rPr>
                <w:rStyle w:val="341"/>
                <w:rFonts w:ascii="宋体" w:hAnsi="宋体" w:cs="宋体"/>
                <w:color w:val="auto"/>
                <w:szCs w:val="21"/>
                <w:highlight w:val="none"/>
              </w:rPr>
            </w:pPr>
            <w:r>
              <w:rPr>
                <w:rFonts w:hint="eastAsia" w:ascii="宋体" w:hAnsi="宋体" w:cs="宋体"/>
                <w:color w:val="auto"/>
                <w:highlight w:val="none"/>
              </w:rPr>
              <w:t>至少对</w:t>
            </w:r>
            <w:r>
              <w:rPr>
                <w:rStyle w:val="341"/>
                <w:rFonts w:hint="eastAsia" w:ascii="宋体" w:hAnsi="宋体" w:cs="宋体"/>
                <w:color w:val="auto"/>
                <w:highlight w:val="none"/>
              </w:rPr>
              <w:t>桔青霉、出芽短梗霉、绿色木霉、长枝木霉、短柄帚霉、腊叶芽枝霉、链格孢、产黄青霉、赭绿青霉、绿粘帚霉、变幻青霉、黑曲霉、宛氏拟青霉、绳状青霉 、球毛壳霉中的任意12种长霉等级0级。</w:t>
            </w:r>
          </w:p>
        </w:tc>
      </w:tr>
    </w:tbl>
    <w:p w14:paraId="45ADB2E6">
      <w:pPr>
        <w:rPr>
          <w:rStyle w:val="341"/>
          <w:rFonts w:ascii="宋体" w:hAnsi="宋体" w:cs="宋体"/>
          <w:color w:val="auto"/>
          <w:sz w:val="24"/>
          <w:highlight w:val="none"/>
        </w:rPr>
      </w:pPr>
    </w:p>
    <w:p w14:paraId="312B5F4B">
      <w:pPr>
        <w:outlineLvl w:val="2"/>
        <w:rPr>
          <w:rStyle w:val="341"/>
          <w:rFonts w:hint="eastAsia" w:ascii="宋体" w:hAnsi="宋体" w:cs="宋体"/>
          <w:color w:val="auto"/>
          <w:sz w:val="22"/>
          <w:szCs w:val="22"/>
          <w:highlight w:val="none"/>
          <w:lang w:val="en-US" w:eastAsia="zh-CN"/>
        </w:rPr>
      </w:pPr>
      <w:r>
        <w:rPr>
          <w:rStyle w:val="341"/>
          <w:rFonts w:hint="eastAsia" w:ascii="宋体" w:hAnsi="宋体" w:cs="宋体"/>
          <w:color w:val="auto"/>
          <w:sz w:val="22"/>
          <w:szCs w:val="22"/>
          <w:highlight w:val="none"/>
          <w:lang w:val="en-US" w:eastAsia="zh-CN"/>
        </w:rPr>
        <w:t>5、处置柜类产品</w:t>
      </w:r>
    </w:p>
    <w:tbl>
      <w:tblPr>
        <w:tblStyle w:val="52"/>
        <w:tblW w:w="104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1306"/>
        <w:gridCol w:w="8383"/>
      </w:tblGrid>
      <w:tr w14:paraId="28726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4590045D">
            <w:pPr>
              <w:jc w:val="center"/>
              <w:rPr>
                <w:rStyle w:val="341"/>
                <w:b/>
                <w:color w:val="auto"/>
                <w:highlight w:val="none"/>
              </w:rPr>
            </w:pPr>
            <w:r>
              <w:rPr>
                <w:rStyle w:val="341"/>
                <w:rFonts w:hint="eastAsia"/>
                <w:color w:val="auto"/>
                <w:highlight w:val="none"/>
              </w:rPr>
              <w:t>序号</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4AE7C912">
            <w:pPr>
              <w:jc w:val="center"/>
              <w:rPr>
                <w:rStyle w:val="341"/>
                <w:rFonts w:hint="eastAsia"/>
                <w:color w:val="auto"/>
                <w:highlight w:val="none"/>
              </w:rPr>
            </w:pPr>
            <w:r>
              <w:rPr>
                <w:rStyle w:val="341"/>
                <w:rFonts w:hint="eastAsia"/>
                <w:color w:val="auto"/>
                <w:highlight w:val="none"/>
              </w:rPr>
              <w:t>项目</w:t>
            </w:r>
          </w:p>
        </w:tc>
        <w:tc>
          <w:tcPr>
            <w:tcW w:w="8383" w:type="dxa"/>
            <w:tcBorders>
              <w:top w:val="single" w:color="000000" w:sz="4" w:space="0"/>
              <w:left w:val="single" w:color="000000" w:sz="4" w:space="0"/>
              <w:bottom w:val="single" w:color="000000" w:sz="4" w:space="0"/>
              <w:right w:val="single" w:color="000000" w:sz="4" w:space="0"/>
            </w:tcBorders>
            <w:noWrap/>
            <w:vAlign w:val="center"/>
          </w:tcPr>
          <w:p w14:paraId="535072FB">
            <w:pPr>
              <w:jc w:val="center"/>
              <w:rPr>
                <w:rStyle w:val="341"/>
                <w:rFonts w:hint="eastAsia"/>
                <w:color w:val="auto"/>
                <w:highlight w:val="none"/>
              </w:rPr>
            </w:pPr>
            <w:r>
              <w:rPr>
                <w:rStyle w:val="341"/>
                <w:rFonts w:hint="eastAsia"/>
                <w:color w:val="auto"/>
                <w:highlight w:val="none"/>
              </w:rPr>
              <w:t>技术要求</w:t>
            </w:r>
          </w:p>
        </w:tc>
      </w:tr>
      <w:tr w14:paraId="77345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D075">
            <w:pPr>
              <w:pStyle w:val="342"/>
              <w:jc w:val="center"/>
              <w:rPr>
                <w:rFonts w:ascii="宋体" w:hAnsi="宋体" w:cs="宋体"/>
                <w:color w:val="auto"/>
                <w:szCs w:val="21"/>
                <w:highlight w:val="none"/>
                <w:lang w:bidi="ar-SA"/>
              </w:rPr>
            </w:pPr>
            <w:r>
              <w:rPr>
                <w:rStyle w:val="341"/>
                <w:rFonts w:hint="eastAsia" w:ascii="宋体" w:hAnsi="宋体" w:cs="宋体"/>
                <w:color w:val="auto"/>
                <w:highlight w:val="none"/>
                <w:lang w:bidi="ar-SA"/>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2BA5">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材质及</w:t>
            </w:r>
          </w:p>
          <w:p w14:paraId="6B750706">
            <w:pPr>
              <w:pStyle w:val="342"/>
              <w:jc w:val="center"/>
              <w:rPr>
                <w:rFonts w:ascii="宋体" w:hAnsi="宋体" w:cs="宋体"/>
                <w:color w:val="auto"/>
                <w:szCs w:val="21"/>
                <w:highlight w:val="none"/>
                <w:lang w:bidi="ar-SA"/>
              </w:rPr>
            </w:pPr>
            <w:r>
              <w:rPr>
                <w:rStyle w:val="341"/>
                <w:rFonts w:hint="eastAsia" w:ascii="宋体" w:hAnsi="宋体" w:cs="宋体"/>
                <w:color w:val="auto"/>
                <w:highlight w:val="none"/>
                <w:lang w:bidi="ar-SA"/>
              </w:rPr>
              <w:t>工艺技术</w:t>
            </w:r>
          </w:p>
        </w:tc>
        <w:tc>
          <w:tcPr>
            <w:tcW w:w="8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FC57">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1、柜体、门板：采用优质电解钢板,钢板厚度1.0mm。电阻焊接工艺，无外露焊点，钢板采用激光切割及数控折边成型，保证产品表面不会出现凹凸不平的焊疤。电解钢板表面采用环保型环氧聚酯粉末静电喷涂，喷涂采用流水线喷涂，涂层膜厚度均匀，颜色可根据院方要求定制；金属产品喷涂前必须前处理，包括除油，除尘，清洗，纳米陶化或者硅烷镀膜等保障产品喷涂质量的前处理工艺。</w:t>
            </w:r>
          </w:p>
          <w:p w14:paraId="1B4EAF5C">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2、台面：采用国标SUS304不锈钢，厚度≥1.0mm。抽屉面板处配置透明亚克力标签框，方便插入说明卡片，抽屉面板、门板采用双层防尘工艺设计，避免细菌滋生，安装使用无螺丝装配技术。装饰件、支撑件、连接件、紧固件、挂钩等采用优质电镀件。</w:t>
            </w:r>
          </w:p>
          <w:p w14:paraId="43765CC2">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3、门与柜体的连接采用优质缓冲不锈钢铰链或不锈钢插销式门轴结构，门框与柜体之间的吸合，利用磁性纽扣磁铁互相吸附。</w:t>
            </w:r>
          </w:p>
          <w:p w14:paraId="474B51A9">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4、柜体正面门及抽屉间隙在1.5~2mm之间，柜体边框宽度为2.5cm，采用双层门板设计，并且内有加强筋，提高门的使用寿命，活动层板四边折弯，可自由调节高度，层板挂钩采用2.0mm厚钢板，可自由拆卸，逐级调整高度，层板加强筋可承受50kg，采用隐藏式卷边拉手，折弯一体成型。</w:t>
            </w:r>
          </w:p>
          <w:p w14:paraId="42F2E8D2">
            <w:pPr>
              <w:pStyle w:val="342"/>
              <w:rPr>
                <w:rFonts w:ascii="宋体" w:hAnsi="宋体" w:cs="宋体"/>
                <w:color w:val="auto"/>
                <w:szCs w:val="21"/>
                <w:highlight w:val="none"/>
                <w:lang w:bidi="ar-SA"/>
              </w:rPr>
            </w:pPr>
            <w:r>
              <w:rPr>
                <w:rStyle w:val="341"/>
                <w:rFonts w:hint="eastAsia" w:ascii="宋体" w:hAnsi="宋体" w:cs="宋体"/>
                <w:color w:val="auto"/>
                <w:highlight w:val="none"/>
                <w:lang w:bidi="ar-SA"/>
              </w:rPr>
              <w:t>5、处置柜翻盖板及台面限位围挡采用ABS材料一体成型（严禁无限位围挡，翻盖直接与台面接触），翻盖采用不同颜色来区分医疗垃圾、生活垃圾、感染垃圾等；翻盖内嵌入限位围挡，限位围挡开口尺寸≥300*350mm，与台面高度差≤5mm。</w:t>
            </w:r>
          </w:p>
        </w:tc>
      </w:tr>
      <w:tr w14:paraId="66071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094CE851">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2</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1259971D">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外观造型</w:t>
            </w:r>
          </w:p>
        </w:tc>
        <w:tc>
          <w:tcPr>
            <w:tcW w:w="8383" w:type="dxa"/>
            <w:tcBorders>
              <w:top w:val="single" w:color="000000" w:sz="4" w:space="0"/>
              <w:left w:val="single" w:color="000000" w:sz="4" w:space="0"/>
              <w:bottom w:val="single" w:color="000000" w:sz="4" w:space="0"/>
              <w:right w:val="single" w:color="000000" w:sz="4" w:space="0"/>
            </w:tcBorders>
            <w:noWrap/>
            <w:vAlign w:val="center"/>
          </w:tcPr>
          <w:p w14:paraId="2C8B62D4">
            <w:pPr>
              <w:pStyle w:val="342"/>
              <w:rPr>
                <w:rStyle w:val="341"/>
                <w:color w:val="auto"/>
                <w:highlight w:val="none"/>
                <w:lang w:bidi="ar-SA"/>
              </w:rPr>
            </w:pPr>
            <w:r>
              <w:rPr>
                <w:rStyle w:val="341"/>
                <w:rFonts w:hint="eastAsia" w:ascii="宋体" w:hAnsi="宋体" w:cs="宋体"/>
                <w:color w:val="auto"/>
                <w:highlight w:val="none"/>
                <w:lang w:bidi="ar-SA"/>
              </w:rPr>
              <w:t>所有下柜底部都是离地150~200mm的高度，根据国家院感基本要求，内部有上下调节的层板，下柜304不锈钢踢脚线。</w:t>
            </w:r>
          </w:p>
        </w:tc>
      </w:tr>
      <w:tr w14:paraId="1C2EC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7E940295">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3</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650DAEFE">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产品功能和配置</w:t>
            </w:r>
          </w:p>
        </w:tc>
        <w:tc>
          <w:tcPr>
            <w:tcW w:w="8383" w:type="dxa"/>
            <w:tcBorders>
              <w:top w:val="single" w:color="000000" w:sz="4" w:space="0"/>
              <w:left w:val="single" w:color="000000" w:sz="4" w:space="0"/>
              <w:bottom w:val="single" w:color="000000" w:sz="4" w:space="0"/>
              <w:right w:val="single" w:color="000000" w:sz="4" w:space="0"/>
            </w:tcBorders>
            <w:noWrap/>
            <w:vAlign w:val="center"/>
          </w:tcPr>
          <w:p w14:paraId="56B60966">
            <w:pPr>
              <w:pStyle w:val="342"/>
              <w:rPr>
                <w:rStyle w:val="341"/>
                <w:rFonts w:ascii="宋体" w:hAnsi="宋体" w:cs="宋体"/>
                <w:color w:val="auto"/>
                <w:highlight w:val="none"/>
              </w:rPr>
            </w:pPr>
            <w:r>
              <w:rPr>
                <w:rStyle w:val="341"/>
                <w:rFonts w:hint="eastAsia" w:ascii="宋体" w:hAnsi="宋体" w:cs="宋体"/>
                <w:color w:val="auto"/>
                <w:highlight w:val="none"/>
              </w:rPr>
              <w:t>1、处置垃圾柜配置脚踏带液压缓降功能的垃圾收纳装置;</w:t>
            </w:r>
          </w:p>
          <w:p w14:paraId="6936FD2B">
            <w:pPr>
              <w:pStyle w:val="342"/>
              <w:rPr>
                <w:rStyle w:val="341"/>
                <w:rFonts w:ascii="宋体" w:hAnsi="宋体" w:cs="宋体"/>
                <w:color w:val="auto"/>
                <w:highlight w:val="none"/>
              </w:rPr>
            </w:pPr>
            <w:r>
              <w:rPr>
                <w:rStyle w:val="341"/>
                <w:rFonts w:hint="eastAsia" w:ascii="宋体" w:hAnsi="宋体" w:cs="宋体"/>
                <w:color w:val="auto"/>
                <w:highlight w:val="none"/>
              </w:rPr>
              <w:t>2、处置柜翻盖板及台面限位围挡采用ABS材料一体成型（严禁无限位围挡，翻盖直接与台面接触），翻盖采用不同颜色来区分医疗垃圾、生活垃圾、感染垃圾等；翻盖内嵌入限位围挡，限位围挡开口尺寸≥300*350mm，与台面高度差≤5mm。</w:t>
            </w:r>
          </w:p>
          <w:p w14:paraId="50D1B515">
            <w:pPr>
              <w:pStyle w:val="342"/>
              <w:rPr>
                <w:rStyle w:val="341"/>
                <w:rFonts w:ascii="宋体" w:hAnsi="宋体" w:cs="宋体"/>
                <w:color w:val="auto"/>
                <w:highlight w:val="none"/>
              </w:rPr>
            </w:pPr>
            <w:r>
              <w:rPr>
                <w:rStyle w:val="341"/>
                <w:rFonts w:hint="eastAsia" w:ascii="宋体" w:hAnsi="宋体" w:cs="宋体"/>
                <w:color w:val="auto"/>
                <w:highlight w:val="none"/>
              </w:rPr>
              <w:t>3、所有的垃圾桶可以选用ABS抗菌桶或电解钢板静电喷涂定制垃圾桶，垃圾桶配备垃圾袋固定卡扣装置。</w:t>
            </w:r>
          </w:p>
          <w:p w14:paraId="52C6E374">
            <w:pPr>
              <w:pStyle w:val="342"/>
              <w:rPr>
                <w:rStyle w:val="341"/>
                <w:rFonts w:ascii="宋体" w:hAnsi="宋体" w:cs="宋体"/>
                <w:color w:val="auto"/>
                <w:highlight w:val="none"/>
              </w:rPr>
            </w:pPr>
            <w:r>
              <w:rPr>
                <w:rStyle w:val="341"/>
                <w:rFonts w:hint="eastAsia" w:ascii="宋体" w:hAnsi="宋体" w:cs="宋体"/>
                <w:color w:val="auto"/>
                <w:highlight w:val="none"/>
              </w:rPr>
              <w:t>4、垃圾收纳系统根据需要可以选配感应垃圾收纳、互通式垃圾收纳装置、推板垃圾收纳、掀盖垃圾收纳、翻盖式收纳、平移式收纳。</w:t>
            </w:r>
          </w:p>
          <w:p w14:paraId="01C82414">
            <w:pPr>
              <w:pStyle w:val="342"/>
              <w:rPr>
                <w:rStyle w:val="341"/>
                <w:rFonts w:ascii="宋体" w:hAnsi="宋体" w:cs="宋体"/>
                <w:color w:val="auto"/>
                <w:highlight w:val="none"/>
              </w:rPr>
            </w:pPr>
            <w:r>
              <w:rPr>
                <w:rStyle w:val="341"/>
                <w:rFonts w:hint="eastAsia" w:ascii="宋体" w:hAnsi="宋体" w:cs="宋体"/>
                <w:color w:val="auto"/>
                <w:highlight w:val="none"/>
              </w:rPr>
              <w:t>5、可根据需求安装照明灯、装饰灯、强弱电插座。</w:t>
            </w:r>
          </w:p>
          <w:p w14:paraId="49BCD921">
            <w:pPr>
              <w:pStyle w:val="342"/>
              <w:rPr>
                <w:rStyle w:val="341"/>
                <w:rFonts w:ascii="宋体" w:hAnsi="宋体" w:cs="宋体"/>
                <w:color w:val="auto"/>
                <w:highlight w:val="none"/>
              </w:rPr>
            </w:pPr>
            <w:r>
              <w:rPr>
                <w:rStyle w:val="341"/>
                <w:rFonts w:hint="eastAsia" w:ascii="宋体" w:hAnsi="宋体" w:cs="宋体"/>
                <w:color w:val="auto"/>
                <w:highlight w:val="none"/>
              </w:rPr>
              <w:t>6、可根据需求安装密码、指纹、刷卡或者人脸识别锁具。</w:t>
            </w:r>
          </w:p>
          <w:p w14:paraId="5935A8CA">
            <w:pPr>
              <w:pStyle w:val="342"/>
              <w:rPr>
                <w:rStyle w:val="341"/>
                <w:color w:val="auto"/>
                <w:highlight w:val="none"/>
              </w:rPr>
            </w:pPr>
            <w:r>
              <w:rPr>
                <w:rStyle w:val="341"/>
                <w:rFonts w:hint="eastAsia" w:ascii="宋体" w:hAnsi="宋体" w:cs="宋体"/>
                <w:color w:val="auto"/>
                <w:highlight w:val="none"/>
              </w:rPr>
              <w:t>7、可根据需求安装安装显示屏、显示器、电动升降显示器等。</w:t>
            </w:r>
          </w:p>
        </w:tc>
      </w:tr>
      <w:tr w14:paraId="0187E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213E5D81">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4</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1911B3DE">
            <w:pPr>
              <w:pStyle w:val="342"/>
              <w:jc w:val="center"/>
              <w:rPr>
                <w:rStyle w:val="341"/>
                <w:rFonts w:ascii="宋体" w:hAnsi="宋体" w:cs="宋体"/>
                <w:color w:val="auto"/>
                <w:highlight w:val="none"/>
                <w:lang w:bidi="ar-SA"/>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参数要求</w:t>
            </w:r>
          </w:p>
        </w:tc>
        <w:tc>
          <w:tcPr>
            <w:tcW w:w="8383" w:type="dxa"/>
            <w:tcBorders>
              <w:top w:val="single" w:color="000000" w:sz="4" w:space="0"/>
              <w:left w:val="single" w:color="000000" w:sz="4" w:space="0"/>
              <w:bottom w:val="single" w:color="000000" w:sz="4" w:space="0"/>
              <w:right w:val="single" w:color="000000" w:sz="4" w:space="0"/>
            </w:tcBorders>
            <w:noWrap/>
            <w:vAlign w:val="center"/>
          </w:tcPr>
          <w:p w14:paraId="09BFF4D9">
            <w:pPr>
              <w:rPr>
                <w:rStyle w:val="341"/>
                <w:rFonts w:ascii="宋体" w:hAnsi="宋体" w:cs="宋体"/>
                <w:color w:val="auto"/>
                <w:highlight w:val="none"/>
              </w:rPr>
            </w:pPr>
            <w:r>
              <w:rPr>
                <w:rStyle w:val="341"/>
                <w:rFonts w:hint="eastAsia" w:ascii="宋体" w:hAnsi="宋体" w:cs="宋体"/>
                <w:color w:val="auto"/>
                <w:highlight w:val="none"/>
              </w:rPr>
              <w:t>一．安全性能要求：结构安全：合格</w:t>
            </w:r>
          </w:p>
          <w:p w14:paraId="4C800876">
            <w:pPr>
              <w:rPr>
                <w:rStyle w:val="341"/>
                <w:rFonts w:ascii="宋体" w:hAnsi="宋体" w:cs="宋体"/>
                <w:color w:val="auto"/>
                <w:highlight w:val="none"/>
              </w:rPr>
            </w:pPr>
            <w:r>
              <w:rPr>
                <w:rStyle w:val="341"/>
                <w:rFonts w:hint="eastAsia" w:ascii="宋体" w:hAnsi="宋体" w:cs="宋体"/>
                <w:color w:val="auto"/>
                <w:highlight w:val="none"/>
              </w:rPr>
              <w:t>二．力学性能：合格</w:t>
            </w:r>
          </w:p>
          <w:p w14:paraId="5C61C497">
            <w:pPr>
              <w:rPr>
                <w:rStyle w:val="341"/>
                <w:rFonts w:ascii="宋体" w:hAnsi="宋体" w:cs="宋体"/>
                <w:color w:val="auto"/>
                <w:highlight w:val="none"/>
              </w:rPr>
            </w:pPr>
            <w:r>
              <w:rPr>
                <w:rStyle w:val="341"/>
                <w:rFonts w:hint="eastAsia" w:ascii="宋体" w:hAnsi="宋体" w:cs="宋体"/>
                <w:color w:val="auto"/>
                <w:highlight w:val="none"/>
              </w:rPr>
              <w:t>三.推拉构件耐久性(≥80000次)：合格</w:t>
            </w:r>
          </w:p>
          <w:p w14:paraId="4F5AE559">
            <w:pPr>
              <w:rPr>
                <w:rStyle w:val="341"/>
                <w:rFonts w:ascii="宋体" w:hAnsi="宋体" w:cs="宋体"/>
                <w:color w:val="auto"/>
                <w:highlight w:val="none"/>
              </w:rPr>
            </w:pPr>
            <w:r>
              <w:rPr>
                <w:rStyle w:val="341"/>
                <w:rFonts w:hint="eastAsia" w:ascii="宋体" w:hAnsi="宋体" w:cs="宋体"/>
                <w:color w:val="auto"/>
                <w:highlight w:val="none"/>
              </w:rPr>
              <w:t>四.产品寿命：（柜类：拉门耐 久性 (≥80000次)：合格</w:t>
            </w:r>
          </w:p>
          <w:p w14:paraId="252DE6F7">
            <w:pPr>
              <w:rPr>
                <w:rStyle w:val="341"/>
                <w:rFonts w:ascii="宋体" w:hAnsi="宋体" w:cs="宋体"/>
                <w:color w:val="auto"/>
                <w:highlight w:val="none"/>
              </w:rPr>
            </w:pPr>
            <w:r>
              <w:rPr>
                <w:rStyle w:val="341"/>
                <w:rFonts w:hint="eastAsia" w:ascii="宋体" w:hAnsi="宋体" w:cs="宋体"/>
                <w:color w:val="auto"/>
                <w:highlight w:val="none"/>
              </w:rPr>
              <w:t>五.产品有害物质：</w:t>
            </w:r>
          </w:p>
          <w:p w14:paraId="11B00E4F">
            <w:pPr>
              <w:rPr>
                <w:rStyle w:val="341"/>
                <w:rFonts w:ascii="宋体" w:hAnsi="宋体" w:cs="宋体"/>
                <w:color w:val="auto"/>
                <w:highlight w:val="none"/>
              </w:rPr>
            </w:pPr>
            <w:r>
              <w:rPr>
                <w:rStyle w:val="341"/>
                <w:rFonts w:hint="eastAsia" w:ascii="宋体" w:hAnsi="宋体" w:cs="宋体"/>
                <w:color w:val="auto"/>
                <w:highlight w:val="none"/>
              </w:rPr>
              <w:t>（1）甲醛释放量≤0.05mg/m³；苯≤0.05mg/m³；甲苯≤0.1mg/m³；二甲苯≤0.1mg/m³；总挥发性有机化合物(TVOC)≤0.3mg/m³；</w:t>
            </w:r>
          </w:p>
          <w:p w14:paraId="12840F2C">
            <w:pPr>
              <w:rPr>
                <w:rStyle w:val="341"/>
                <w:rFonts w:ascii="宋体" w:hAnsi="宋体" w:cs="宋体"/>
                <w:color w:val="auto"/>
                <w:highlight w:val="none"/>
              </w:rPr>
            </w:pPr>
            <w:r>
              <w:rPr>
                <w:rStyle w:val="341"/>
                <w:rFonts w:hint="eastAsia" w:ascii="宋体" w:hAnsi="宋体" w:cs="宋体"/>
                <w:color w:val="auto"/>
                <w:highlight w:val="none"/>
              </w:rPr>
              <w:t>（2）家具涂层可迁移元素：铅Pb≤90mg/kg；镉Cd≤50mg/kg：铬Cr≤25mg/kg；汞Hg≤25mg/kg；锑Sb≤60mg/kg；钡Ba≤1000mg/kg；硒Se≤500mg/kg；砷As≤25mg/kg。</w:t>
            </w:r>
          </w:p>
          <w:p w14:paraId="599BF007">
            <w:pPr>
              <w:rPr>
                <w:rStyle w:val="341"/>
                <w:rFonts w:ascii="宋体" w:hAnsi="宋体" w:cs="宋体"/>
                <w:color w:val="auto"/>
                <w:highlight w:val="none"/>
              </w:rPr>
            </w:pPr>
            <w:r>
              <w:rPr>
                <w:rStyle w:val="341"/>
                <w:rFonts w:hint="eastAsia" w:ascii="宋体" w:hAnsi="宋体" w:cs="宋体"/>
                <w:color w:val="auto"/>
                <w:highlight w:val="none"/>
              </w:rPr>
              <w:t>六.有害物质限量</w:t>
            </w:r>
          </w:p>
          <w:p w14:paraId="36CBEEF6">
            <w:pPr>
              <w:rPr>
                <w:rStyle w:val="341"/>
                <w:rFonts w:ascii="宋体" w:hAnsi="宋体" w:cs="宋体"/>
                <w:color w:val="auto"/>
                <w:highlight w:val="none"/>
              </w:rPr>
            </w:pPr>
            <w:r>
              <w:rPr>
                <w:rStyle w:val="341"/>
                <w:rFonts w:hint="eastAsia" w:ascii="宋体" w:hAnsi="宋体" w:cs="宋体"/>
                <w:color w:val="auto"/>
                <w:highlight w:val="none"/>
              </w:rPr>
              <w:t xml:space="preserve">1）邻苯二甲酸酯：DBP≤0.1%；BBP≤0.1%；DEHP≤0.1%；DNOP≤0.1%；DINP≤0.1%；DIDP≤0.1%。 </w:t>
            </w:r>
          </w:p>
          <w:p w14:paraId="510DD531">
            <w:pPr>
              <w:rPr>
                <w:rStyle w:val="341"/>
                <w:rFonts w:ascii="宋体" w:hAnsi="宋体" w:cs="宋体"/>
                <w:color w:val="auto"/>
                <w:highlight w:val="none"/>
              </w:rPr>
            </w:pPr>
            <w:r>
              <w:rPr>
                <w:rStyle w:val="341"/>
                <w:rFonts w:hint="eastAsia" w:ascii="宋体" w:hAnsi="宋体" w:cs="宋体"/>
                <w:color w:val="auto"/>
                <w:highlight w:val="none"/>
              </w:rPr>
              <w:t>2）多环芳烃：苯并[α]芘≤1.0mg/kg。</w:t>
            </w:r>
          </w:p>
          <w:p w14:paraId="19FF9A3D">
            <w:pPr>
              <w:rPr>
                <w:rStyle w:val="341"/>
                <w:rFonts w:ascii="宋体" w:hAnsi="宋体" w:cs="宋体"/>
                <w:color w:val="auto"/>
                <w:highlight w:val="none"/>
              </w:rPr>
            </w:pPr>
            <w:r>
              <w:rPr>
                <w:rStyle w:val="341"/>
                <w:rFonts w:hint="eastAsia" w:ascii="宋体" w:hAnsi="宋体" w:cs="宋体"/>
                <w:color w:val="auto"/>
                <w:highlight w:val="none"/>
              </w:rPr>
              <w:t>七.耐腐蚀性能：满足GB/T10125-2021《人造气氛腐蚀试验、盐雾试验》、GB/T6461-2002《金属基体上金属和其它无机覆盖层经腐蚀试验后的试样和试件的评级》标准要求：</w:t>
            </w:r>
            <w:r>
              <w:rPr>
                <w:rStyle w:val="341"/>
                <w:rFonts w:hint="eastAsia"/>
                <w:color w:val="auto"/>
                <w:highlight w:val="none"/>
              </w:rPr>
              <w:t>中性</w:t>
            </w:r>
            <w:r>
              <w:rPr>
                <w:rStyle w:val="341"/>
                <w:rFonts w:hint="eastAsia" w:ascii="宋体" w:hAnsi="宋体" w:cs="宋体"/>
                <w:color w:val="auto"/>
                <w:highlight w:val="none"/>
              </w:rPr>
              <w:t>盐雾试验(≥360h)：①涂镀层对基体的保护评级达到10级。②涂镀层本身的耐腐蚀等级（外观评级）达到10级。</w:t>
            </w:r>
          </w:p>
          <w:p w14:paraId="17EB9DA2">
            <w:pPr>
              <w:rPr>
                <w:rStyle w:val="341"/>
                <w:rFonts w:ascii="宋体" w:hAnsi="宋体" w:cs="宋体"/>
                <w:color w:val="auto"/>
                <w:highlight w:val="none"/>
              </w:rPr>
            </w:pPr>
            <w:r>
              <w:rPr>
                <w:rStyle w:val="341"/>
                <w:rFonts w:hint="eastAsia" w:ascii="宋体" w:hAnsi="宋体" w:cs="宋体"/>
                <w:color w:val="auto"/>
                <w:highlight w:val="none"/>
              </w:rPr>
              <w:t>八.耐湿热性能(≥360h)：合格。</w:t>
            </w:r>
          </w:p>
          <w:p w14:paraId="7495B90A">
            <w:pPr>
              <w:rPr>
                <w:rStyle w:val="341"/>
                <w:rFonts w:ascii="宋体" w:hAnsi="宋体" w:cs="宋体"/>
                <w:color w:val="auto"/>
                <w:highlight w:val="none"/>
              </w:rPr>
            </w:pPr>
            <w:r>
              <w:rPr>
                <w:rStyle w:val="341"/>
                <w:rFonts w:hint="eastAsia" w:ascii="宋体" w:hAnsi="宋体" w:cs="宋体"/>
                <w:color w:val="auto"/>
                <w:highlight w:val="none"/>
              </w:rPr>
              <w:t>九.涂层试板：</w:t>
            </w:r>
          </w:p>
          <w:p w14:paraId="67807AD9">
            <w:pPr>
              <w:rPr>
                <w:rStyle w:val="341"/>
                <w:rFonts w:ascii="宋体" w:hAnsi="宋体" w:cs="宋体"/>
                <w:color w:val="auto"/>
                <w:highlight w:val="none"/>
              </w:rPr>
            </w:pPr>
            <w:r>
              <w:rPr>
                <w:rStyle w:val="341"/>
                <w:rFonts w:hint="eastAsia" w:ascii="宋体" w:hAnsi="宋体" w:cs="宋体"/>
                <w:color w:val="auto"/>
                <w:highlight w:val="none"/>
              </w:rPr>
              <w:t>1、耐沾污性 1 级；</w:t>
            </w:r>
          </w:p>
          <w:p w14:paraId="0EAF7D1B">
            <w:pPr>
              <w:rPr>
                <w:rStyle w:val="341"/>
                <w:rFonts w:ascii="宋体" w:hAnsi="宋体" w:cs="宋体"/>
                <w:color w:val="auto"/>
                <w:highlight w:val="none"/>
              </w:rPr>
            </w:pPr>
            <w:r>
              <w:rPr>
                <w:rStyle w:val="341"/>
                <w:rFonts w:hint="eastAsia" w:ascii="宋体" w:hAnsi="宋体" w:cs="宋体"/>
                <w:color w:val="auto"/>
                <w:highlight w:val="none"/>
              </w:rPr>
              <w:t>2、人工气候老化试验(氙灯老化）：经≥360h氙灯老化试验，变色等级应  ≤2级，失光等级应≤2级，粉化等级应≤1级，开裂等级应≤1级(S1),起泡等级应≤1级(S1)。</w:t>
            </w:r>
          </w:p>
          <w:p w14:paraId="21BF84F3">
            <w:pPr>
              <w:rPr>
                <w:rStyle w:val="341"/>
                <w:rFonts w:ascii="宋体" w:hAnsi="宋体" w:cs="宋体"/>
                <w:color w:val="auto"/>
                <w:highlight w:val="none"/>
              </w:rPr>
            </w:pPr>
            <w:r>
              <w:rPr>
                <w:rStyle w:val="341"/>
                <w:rFonts w:hint="eastAsia" w:ascii="宋体" w:hAnsi="宋体" w:cs="宋体"/>
                <w:color w:val="auto"/>
                <w:highlight w:val="none"/>
              </w:rPr>
              <w:t>十.燃烧性能B1级:1、热释放速率峰值≤200kW；2、5min内总热释放量≤30MJ；3、最大烟密度≤75%。</w:t>
            </w:r>
          </w:p>
          <w:p w14:paraId="213B43DA">
            <w:pPr>
              <w:rPr>
                <w:rStyle w:val="341"/>
                <w:rFonts w:ascii="宋体" w:hAnsi="宋体" w:cs="宋体"/>
                <w:color w:val="auto"/>
                <w:highlight w:val="none"/>
              </w:rPr>
            </w:pPr>
            <w:r>
              <w:rPr>
                <w:rStyle w:val="341"/>
                <w:rFonts w:hint="eastAsia" w:ascii="宋体" w:hAnsi="宋体" w:cs="宋体"/>
                <w:color w:val="auto"/>
                <w:highlight w:val="none"/>
              </w:rPr>
              <w:t>十一、抗病毒活性：</w:t>
            </w:r>
          </w:p>
          <w:p w14:paraId="0BA6C492">
            <w:pPr>
              <w:rPr>
                <w:rStyle w:val="341"/>
                <w:rFonts w:ascii="宋体" w:hAnsi="宋体" w:cs="宋体"/>
                <w:color w:val="auto"/>
                <w:highlight w:val="none"/>
              </w:rPr>
            </w:pPr>
            <w:r>
              <w:rPr>
                <w:rStyle w:val="341"/>
                <w:rFonts w:hint="eastAsia" w:ascii="宋体" w:hAnsi="宋体" w:cs="宋体"/>
                <w:color w:val="auto"/>
                <w:highlight w:val="none"/>
              </w:rPr>
              <w:t xml:space="preserve"> 至少对任意2种抗病毒活性率≥99%。</w:t>
            </w:r>
          </w:p>
          <w:p w14:paraId="5267B469">
            <w:pPr>
              <w:rPr>
                <w:rStyle w:val="341"/>
                <w:rFonts w:ascii="宋体" w:hAnsi="宋体" w:cs="宋体"/>
                <w:color w:val="auto"/>
                <w:highlight w:val="none"/>
              </w:rPr>
            </w:pPr>
            <w:r>
              <w:rPr>
                <w:rStyle w:val="341"/>
                <w:rFonts w:hint="eastAsia" w:ascii="宋体" w:hAnsi="宋体" w:cs="宋体"/>
                <w:color w:val="auto"/>
                <w:highlight w:val="none"/>
              </w:rPr>
              <w:t>十二、抗菌性能：按照QB/T 4371-2012《家具抗菌性能的评价》：</w:t>
            </w:r>
          </w:p>
          <w:p w14:paraId="4A6A5074">
            <w:pPr>
              <w:pStyle w:val="342"/>
              <w:rPr>
                <w:rStyle w:val="341"/>
                <w:rFonts w:ascii="宋体" w:hAnsi="宋体" w:cs="宋体"/>
                <w:color w:val="auto"/>
                <w:highlight w:val="none"/>
              </w:rPr>
            </w:pPr>
            <w:r>
              <w:rPr>
                <w:rStyle w:val="341"/>
                <w:rFonts w:hint="eastAsia" w:ascii="宋体" w:hAnsi="宋体" w:cs="宋体"/>
                <w:color w:val="auto"/>
                <w:highlight w:val="none"/>
                <w:lang w:bidi="ar-SA"/>
              </w:rPr>
              <w:t>至少对变形链球菌、产气肠杆菌、奇异变形杆菌、藤黄微球菌、肺炎克雷伯氏菌(肺炎杆菌)、大肠埃希氏菌、耐甲氧西林金黄色葡萄球菌、变异库克菌、肺炎链球菌、鼠伤寒沙门氏菌、宋氏志贺氏菌(宋内氏志贺氏菌)、白色念珠菌、铜绿假单胞菌、粘质沙雷氏菌、粪肠球菌(粪链球菌)中的任意12种抑菌率≥99%。</w:t>
            </w:r>
          </w:p>
          <w:p w14:paraId="1D0A4B45">
            <w:pPr>
              <w:rPr>
                <w:rStyle w:val="341"/>
                <w:rFonts w:ascii="宋体" w:hAnsi="宋体" w:cs="宋体"/>
                <w:color w:val="auto"/>
                <w:highlight w:val="none"/>
              </w:rPr>
            </w:pPr>
            <w:r>
              <w:rPr>
                <w:rStyle w:val="341"/>
                <w:rFonts w:hint="eastAsia" w:ascii="宋体" w:hAnsi="宋体" w:cs="宋体"/>
                <w:color w:val="auto"/>
                <w:highlight w:val="none"/>
              </w:rPr>
              <w:t>十三、耐霉菌性：按照GB/T 1741-2020《漆膜耐霉菌性测定法》：</w:t>
            </w:r>
          </w:p>
          <w:p w14:paraId="4084C3F1">
            <w:pPr>
              <w:rPr>
                <w:color w:val="auto"/>
                <w:highlight w:val="none"/>
              </w:rPr>
            </w:pPr>
            <w:r>
              <w:rPr>
                <w:rFonts w:hint="eastAsia" w:ascii="宋体" w:hAnsi="宋体" w:cs="宋体"/>
                <w:color w:val="auto"/>
                <w:highlight w:val="none"/>
              </w:rPr>
              <w:t>至少对</w:t>
            </w:r>
            <w:r>
              <w:rPr>
                <w:rStyle w:val="341"/>
                <w:rFonts w:hint="eastAsia" w:ascii="宋体" w:hAnsi="宋体" w:cs="宋体"/>
                <w:color w:val="auto"/>
                <w:highlight w:val="none"/>
              </w:rPr>
              <w:t>桔青霉、出芽短梗霉、绿色木霉、长枝木霉、短柄帚霉、腊叶芽枝霉、链格孢、产黄青霉、赭绿青霉、绿粘帚霉、变幻青霉、黑曲霉、宛氏拟青霉、绳状青霉 、球毛壳霉中的任意12种长霉等级0级。</w:t>
            </w:r>
          </w:p>
        </w:tc>
      </w:tr>
    </w:tbl>
    <w:p w14:paraId="61C1DD5C">
      <w:pPr>
        <w:outlineLvl w:val="2"/>
        <w:rPr>
          <w:rStyle w:val="341"/>
          <w:rFonts w:hint="eastAsia" w:ascii="宋体" w:hAnsi="宋体" w:cs="宋体"/>
          <w:color w:val="auto"/>
          <w:sz w:val="22"/>
          <w:szCs w:val="22"/>
          <w:highlight w:val="none"/>
          <w:lang w:val="en-US" w:eastAsia="zh-CN"/>
        </w:rPr>
      </w:pPr>
      <w:r>
        <w:rPr>
          <w:rStyle w:val="341"/>
          <w:rFonts w:hint="eastAsia" w:ascii="宋体" w:hAnsi="宋体" w:cs="宋体"/>
          <w:color w:val="auto"/>
          <w:sz w:val="22"/>
          <w:szCs w:val="22"/>
          <w:highlight w:val="none"/>
          <w:lang w:val="en-US" w:eastAsia="zh-CN"/>
        </w:rPr>
        <w:t>6、更衣柜类产品</w:t>
      </w:r>
    </w:p>
    <w:tbl>
      <w:tblPr>
        <w:tblStyle w:val="52"/>
        <w:tblW w:w="104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0"/>
        <w:gridCol w:w="1140"/>
        <w:gridCol w:w="8505"/>
      </w:tblGrid>
      <w:tr w14:paraId="4BB44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770" w:type="dxa"/>
            <w:tcBorders>
              <w:top w:val="single" w:color="000000" w:sz="4" w:space="0"/>
              <w:left w:val="single" w:color="000000" w:sz="4" w:space="0"/>
              <w:bottom w:val="single" w:color="000000" w:sz="4" w:space="0"/>
              <w:right w:val="single" w:color="000000" w:sz="4" w:space="0"/>
            </w:tcBorders>
            <w:noWrap/>
            <w:vAlign w:val="center"/>
          </w:tcPr>
          <w:p w14:paraId="622C0F8A">
            <w:pPr>
              <w:pStyle w:val="342"/>
              <w:jc w:val="center"/>
              <w:rPr>
                <w:rStyle w:val="341"/>
                <w:b/>
                <w:color w:val="auto"/>
                <w:highlight w:val="none"/>
              </w:rPr>
            </w:pPr>
            <w:r>
              <w:rPr>
                <w:rStyle w:val="341"/>
                <w:rFonts w:hint="eastAsia"/>
                <w:color w:val="auto"/>
                <w:highlight w:val="none"/>
              </w:rPr>
              <w:t>序号</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4281431">
            <w:pPr>
              <w:pStyle w:val="342"/>
              <w:jc w:val="center"/>
              <w:rPr>
                <w:rStyle w:val="341"/>
                <w:b/>
                <w:color w:val="auto"/>
                <w:highlight w:val="none"/>
              </w:rPr>
            </w:pPr>
            <w:r>
              <w:rPr>
                <w:rStyle w:val="341"/>
                <w:rFonts w:hint="eastAsia"/>
                <w:color w:val="auto"/>
                <w:highlight w:val="none"/>
              </w:rPr>
              <w:t>项目</w:t>
            </w:r>
          </w:p>
        </w:tc>
        <w:tc>
          <w:tcPr>
            <w:tcW w:w="8505" w:type="dxa"/>
            <w:tcBorders>
              <w:top w:val="single" w:color="000000" w:sz="4" w:space="0"/>
              <w:left w:val="single" w:color="000000" w:sz="4" w:space="0"/>
              <w:bottom w:val="single" w:color="000000" w:sz="4" w:space="0"/>
              <w:right w:val="single" w:color="000000" w:sz="4" w:space="0"/>
            </w:tcBorders>
            <w:noWrap/>
            <w:vAlign w:val="center"/>
          </w:tcPr>
          <w:p w14:paraId="7EB5B9BB">
            <w:pPr>
              <w:pStyle w:val="342"/>
              <w:jc w:val="center"/>
              <w:rPr>
                <w:rStyle w:val="341"/>
                <w:b/>
                <w:color w:val="auto"/>
                <w:highlight w:val="none"/>
              </w:rPr>
            </w:pPr>
            <w:r>
              <w:rPr>
                <w:rStyle w:val="341"/>
                <w:rFonts w:hint="eastAsia"/>
                <w:color w:val="auto"/>
                <w:highlight w:val="none"/>
              </w:rPr>
              <w:t>技术要求</w:t>
            </w:r>
          </w:p>
        </w:tc>
      </w:tr>
      <w:tr w14:paraId="1AEF5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0" w:type="dxa"/>
            <w:tcBorders>
              <w:top w:val="single" w:color="000000" w:sz="4" w:space="0"/>
              <w:left w:val="single" w:color="000000" w:sz="4" w:space="0"/>
              <w:bottom w:val="single" w:color="000000" w:sz="4" w:space="0"/>
              <w:right w:val="single" w:color="000000" w:sz="4" w:space="0"/>
            </w:tcBorders>
            <w:noWrap/>
            <w:vAlign w:val="center"/>
          </w:tcPr>
          <w:p w14:paraId="2A7F094F">
            <w:pPr>
              <w:pStyle w:val="342"/>
              <w:jc w:val="center"/>
              <w:rPr>
                <w:rStyle w:val="341"/>
                <w:color w:val="auto"/>
                <w:highlight w:val="none"/>
              </w:rPr>
            </w:pPr>
            <w:r>
              <w:rPr>
                <w:rStyle w:val="341"/>
                <w:rFonts w:hint="eastAsia"/>
                <w:color w:val="auto"/>
                <w:highlight w:val="none"/>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469B83F">
            <w:pPr>
              <w:pStyle w:val="342"/>
              <w:jc w:val="center"/>
              <w:rPr>
                <w:rStyle w:val="341"/>
                <w:color w:val="auto"/>
                <w:highlight w:val="none"/>
              </w:rPr>
            </w:pPr>
            <w:r>
              <w:rPr>
                <w:rStyle w:val="341"/>
                <w:rFonts w:hint="eastAsia"/>
                <w:color w:val="auto"/>
                <w:highlight w:val="none"/>
              </w:rPr>
              <w:t>材质及</w:t>
            </w:r>
          </w:p>
          <w:p w14:paraId="78633A52">
            <w:pPr>
              <w:pStyle w:val="342"/>
              <w:jc w:val="center"/>
              <w:rPr>
                <w:rStyle w:val="341"/>
                <w:color w:val="auto"/>
                <w:highlight w:val="none"/>
              </w:rPr>
            </w:pPr>
            <w:r>
              <w:rPr>
                <w:rStyle w:val="341"/>
                <w:rFonts w:hint="eastAsia"/>
                <w:color w:val="auto"/>
                <w:highlight w:val="none"/>
              </w:rPr>
              <w:t>工艺技术</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7DFF">
            <w:pPr>
              <w:pStyle w:val="342"/>
              <w:rPr>
                <w:rFonts w:ascii="宋体" w:hAnsi="宋体" w:cs="宋体"/>
                <w:color w:val="auto"/>
                <w:highlight w:val="none"/>
              </w:rPr>
            </w:pPr>
            <w:r>
              <w:rPr>
                <w:rFonts w:hint="eastAsia" w:ascii="宋体" w:hAnsi="宋体" w:cs="宋体"/>
                <w:color w:val="auto"/>
                <w:szCs w:val="21"/>
                <w:highlight w:val="none"/>
              </w:rPr>
              <w:t>1、柜体：</w:t>
            </w:r>
            <w:r>
              <w:rPr>
                <w:rFonts w:hint="eastAsia" w:ascii="宋体" w:hAnsi="宋体" w:cs="宋体"/>
                <w:color w:val="auto"/>
                <w:highlight w:val="none"/>
              </w:rPr>
              <w:t>采用优质电解钢板，厚度不小于0.8mm。</w:t>
            </w:r>
          </w:p>
          <w:p w14:paraId="192BB6E8">
            <w:pPr>
              <w:pStyle w:val="342"/>
              <w:rPr>
                <w:rFonts w:ascii="宋体" w:hAnsi="宋体" w:cs="宋体"/>
                <w:color w:val="auto"/>
                <w:highlight w:val="none"/>
              </w:rPr>
            </w:pPr>
            <w:r>
              <w:rPr>
                <w:rFonts w:hint="eastAsia" w:ascii="宋体" w:hAnsi="宋体" w:cs="宋体"/>
                <w:color w:val="auto"/>
                <w:highlight w:val="none"/>
              </w:rPr>
              <w:t>2、表面处理：电解钢板表面使用环保室内型环氧聚酯粉末静电喷涂。</w:t>
            </w:r>
          </w:p>
          <w:p w14:paraId="3D573263">
            <w:pPr>
              <w:pStyle w:val="342"/>
              <w:rPr>
                <w:rFonts w:ascii="宋体" w:hAnsi="宋体" w:cs="宋体"/>
                <w:color w:val="auto"/>
                <w:szCs w:val="21"/>
                <w:highlight w:val="none"/>
              </w:rPr>
            </w:pPr>
            <w:r>
              <w:rPr>
                <w:rFonts w:hint="eastAsia" w:ascii="宋体" w:hAnsi="宋体" w:cs="宋体"/>
                <w:color w:val="auto"/>
                <w:highlight w:val="none"/>
              </w:rPr>
              <w:t>3、工艺：整体采用电阻焊接工艺，无外露焊点。</w:t>
            </w:r>
          </w:p>
        </w:tc>
      </w:tr>
      <w:tr w14:paraId="5E596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0" w:type="dxa"/>
            <w:tcBorders>
              <w:top w:val="single" w:color="000000" w:sz="4" w:space="0"/>
              <w:left w:val="single" w:color="000000" w:sz="4" w:space="0"/>
              <w:bottom w:val="single" w:color="000000" w:sz="4" w:space="0"/>
              <w:right w:val="single" w:color="000000" w:sz="4" w:space="0"/>
            </w:tcBorders>
            <w:noWrap/>
            <w:vAlign w:val="center"/>
          </w:tcPr>
          <w:p w14:paraId="11BD8D15">
            <w:pPr>
              <w:pStyle w:val="342"/>
              <w:jc w:val="center"/>
              <w:rPr>
                <w:rStyle w:val="341"/>
                <w:color w:val="auto"/>
                <w:highlight w:val="none"/>
              </w:rPr>
            </w:pPr>
            <w:r>
              <w:rPr>
                <w:rStyle w:val="341"/>
                <w:rFonts w:hint="eastAsia"/>
                <w:color w:val="auto"/>
                <w:highlight w:val="none"/>
              </w:rPr>
              <w:t>2</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42D3505">
            <w:pPr>
              <w:pStyle w:val="342"/>
              <w:jc w:val="center"/>
              <w:rPr>
                <w:rStyle w:val="341"/>
                <w:color w:val="auto"/>
                <w:highlight w:val="none"/>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参数要求</w:t>
            </w:r>
          </w:p>
        </w:tc>
        <w:tc>
          <w:tcPr>
            <w:tcW w:w="8505" w:type="dxa"/>
            <w:tcBorders>
              <w:top w:val="single" w:color="000000" w:sz="4" w:space="0"/>
              <w:left w:val="single" w:color="000000" w:sz="4" w:space="0"/>
              <w:bottom w:val="single" w:color="000000" w:sz="4" w:space="0"/>
              <w:right w:val="single" w:color="000000" w:sz="4" w:space="0"/>
            </w:tcBorders>
            <w:noWrap/>
            <w:vAlign w:val="center"/>
          </w:tcPr>
          <w:p w14:paraId="4A19A748">
            <w:pPr>
              <w:rPr>
                <w:rFonts w:ascii="宋体" w:hAnsi="宋体" w:cs="宋体"/>
                <w:color w:val="auto"/>
                <w:highlight w:val="none"/>
              </w:rPr>
            </w:pPr>
            <w:r>
              <w:rPr>
                <w:rFonts w:hint="eastAsia" w:ascii="宋体" w:hAnsi="宋体" w:cs="宋体"/>
                <w:color w:val="auto"/>
                <w:highlight w:val="none"/>
              </w:rPr>
              <w:t>一.安全性能要求：结构安全：合格</w:t>
            </w:r>
          </w:p>
          <w:p w14:paraId="0AABCA54">
            <w:pPr>
              <w:rPr>
                <w:rFonts w:ascii="宋体" w:hAnsi="宋体" w:cs="宋体"/>
                <w:color w:val="auto"/>
                <w:highlight w:val="none"/>
              </w:rPr>
            </w:pPr>
            <w:r>
              <w:rPr>
                <w:rFonts w:hint="eastAsia" w:ascii="宋体" w:hAnsi="宋体" w:cs="宋体"/>
                <w:color w:val="auto"/>
                <w:highlight w:val="none"/>
              </w:rPr>
              <w:t>二．力学性能：合格</w:t>
            </w:r>
          </w:p>
          <w:p w14:paraId="1D0B466D">
            <w:pPr>
              <w:rPr>
                <w:rFonts w:ascii="宋体" w:hAnsi="宋体" w:cs="宋体"/>
                <w:color w:val="auto"/>
                <w:highlight w:val="none"/>
              </w:rPr>
            </w:pPr>
            <w:r>
              <w:rPr>
                <w:rFonts w:hint="eastAsia" w:ascii="宋体" w:hAnsi="宋体" w:cs="宋体"/>
                <w:color w:val="auto"/>
                <w:highlight w:val="none"/>
              </w:rPr>
              <w:t>三.推拉构件耐久性(≥80000次)：合格</w:t>
            </w:r>
          </w:p>
          <w:p w14:paraId="3E74E8F2">
            <w:pPr>
              <w:rPr>
                <w:rFonts w:ascii="宋体" w:hAnsi="宋体" w:cs="宋体"/>
                <w:color w:val="auto"/>
                <w:highlight w:val="none"/>
              </w:rPr>
            </w:pPr>
            <w:r>
              <w:rPr>
                <w:rFonts w:hint="eastAsia" w:ascii="宋体" w:hAnsi="宋体" w:cs="宋体"/>
                <w:color w:val="auto"/>
                <w:highlight w:val="none"/>
              </w:rPr>
              <w:t>四.产品寿命：（柜类：拉门耐久性 (≥80000次)：合格</w:t>
            </w:r>
          </w:p>
          <w:p w14:paraId="739B6F80">
            <w:pPr>
              <w:rPr>
                <w:rFonts w:ascii="宋体" w:hAnsi="宋体" w:cs="宋体"/>
                <w:color w:val="auto"/>
                <w:highlight w:val="none"/>
              </w:rPr>
            </w:pPr>
            <w:r>
              <w:rPr>
                <w:rFonts w:hint="eastAsia" w:ascii="宋体" w:hAnsi="宋体" w:cs="宋体"/>
                <w:color w:val="auto"/>
                <w:highlight w:val="none"/>
              </w:rPr>
              <w:t>五.产品有害物质：</w:t>
            </w:r>
          </w:p>
          <w:p w14:paraId="759C069D">
            <w:pPr>
              <w:rPr>
                <w:rFonts w:ascii="宋体" w:hAnsi="宋体" w:cs="宋体"/>
                <w:color w:val="auto"/>
                <w:highlight w:val="none"/>
              </w:rPr>
            </w:pPr>
            <w:r>
              <w:rPr>
                <w:rFonts w:hint="eastAsia" w:ascii="宋体" w:hAnsi="宋体" w:cs="宋体"/>
                <w:color w:val="auto"/>
                <w:highlight w:val="none"/>
              </w:rPr>
              <w:t>（1）甲醛释放量≤0.05mg/m³；苯≤0.05mg/m³；甲苯≤0.1mg/m³；二甲苯≤0.1mg/m³；总挥发性有机化合物(TVOC)≤0.3mg/m³；</w:t>
            </w:r>
          </w:p>
          <w:p w14:paraId="0D079325">
            <w:pPr>
              <w:rPr>
                <w:rFonts w:ascii="宋体" w:hAnsi="宋体" w:cs="宋体"/>
                <w:color w:val="auto"/>
                <w:highlight w:val="none"/>
              </w:rPr>
            </w:pPr>
            <w:r>
              <w:rPr>
                <w:rFonts w:hint="eastAsia" w:ascii="宋体" w:hAnsi="宋体" w:cs="宋体"/>
                <w:color w:val="auto"/>
                <w:highlight w:val="none"/>
              </w:rPr>
              <w:t>（2）家具涂层可迁移元素：铅Pb≤90mg/kg；镉Cd≤50mg/kg：铬Cr≤25mg/kg；汞Hg≤25mg/kg；锑Sb≤60mg/kg；钡Ba≤1000mg/kg；硒Se≤500mg/kg；砷As≤25mg/kg。</w:t>
            </w:r>
          </w:p>
          <w:p w14:paraId="33A77DB9">
            <w:pPr>
              <w:rPr>
                <w:rFonts w:ascii="宋体" w:hAnsi="宋体" w:cs="宋体"/>
                <w:color w:val="auto"/>
                <w:highlight w:val="none"/>
              </w:rPr>
            </w:pPr>
            <w:r>
              <w:rPr>
                <w:rFonts w:hint="eastAsia" w:ascii="宋体" w:hAnsi="宋体" w:cs="宋体"/>
                <w:color w:val="auto"/>
                <w:highlight w:val="none"/>
              </w:rPr>
              <w:t>六.有害物质限量</w:t>
            </w:r>
          </w:p>
          <w:p w14:paraId="2ACE3A74">
            <w:pPr>
              <w:rPr>
                <w:rFonts w:ascii="宋体" w:hAnsi="宋体" w:cs="宋体"/>
                <w:color w:val="auto"/>
                <w:highlight w:val="none"/>
              </w:rPr>
            </w:pPr>
            <w:r>
              <w:rPr>
                <w:rFonts w:hint="eastAsia" w:ascii="宋体" w:hAnsi="宋体" w:cs="宋体"/>
                <w:color w:val="auto"/>
                <w:highlight w:val="none"/>
              </w:rPr>
              <w:t xml:space="preserve">1）邻苯二甲酸酯：DBP≤0.1%；BBP≤0.1%；DEHP≤0.1%；DNOP≤0.1%；DINP≤0.1%；DIDP≤0.1%。 </w:t>
            </w:r>
          </w:p>
          <w:p w14:paraId="37B175C8">
            <w:pPr>
              <w:rPr>
                <w:rFonts w:ascii="宋体" w:hAnsi="宋体" w:cs="宋体"/>
                <w:color w:val="auto"/>
                <w:highlight w:val="none"/>
              </w:rPr>
            </w:pPr>
            <w:r>
              <w:rPr>
                <w:rFonts w:hint="eastAsia" w:ascii="宋体" w:hAnsi="宋体" w:cs="宋体"/>
                <w:color w:val="auto"/>
                <w:highlight w:val="none"/>
              </w:rPr>
              <w:t>2）多环芳烃：苯并[α]芘≤1.0mg/kg。</w:t>
            </w:r>
          </w:p>
          <w:p w14:paraId="7B0449C8">
            <w:pPr>
              <w:rPr>
                <w:rFonts w:ascii="宋体" w:hAnsi="宋体" w:cs="宋体"/>
                <w:color w:val="auto"/>
                <w:highlight w:val="none"/>
              </w:rPr>
            </w:pPr>
            <w:r>
              <w:rPr>
                <w:rFonts w:hint="eastAsia" w:ascii="宋体" w:hAnsi="宋体" w:cs="宋体"/>
                <w:color w:val="auto"/>
                <w:highlight w:val="none"/>
              </w:rPr>
              <w:t>七.耐腐蚀性能：满足GB/T10125-2021《人造气氛腐蚀试验、盐雾试验》、GB/T6461-2002《金属基体上金属和其它无机覆盖层经腐蚀试验后的试样和试件的评级》标准要求：</w:t>
            </w:r>
            <w:r>
              <w:rPr>
                <w:rStyle w:val="341"/>
                <w:rFonts w:hint="eastAsia"/>
                <w:color w:val="auto"/>
                <w:highlight w:val="none"/>
              </w:rPr>
              <w:t>中性</w:t>
            </w:r>
            <w:r>
              <w:rPr>
                <w:rFonts w:hint="eastAsia" w:ascii="宋体" w:hAnsi="宋体" w:cs="宋体"/>
                <w:color w:val="auto"/>
                <w:highlight w:val="none"/>
              </w:rPr>
              <w:t>盐雾试验(≥360h)：①涂镀层对基体的保护评级达到10级。②涂镀层本身的耐腐蚀等级（外观评级）达到10级。</w:t>
            </w:r>
          </w:p>
          <w:p w14:paraId="0BA563B0">
            <w:pPr>
              <w:rPr>
                <w:rFonts w:ascii="宋体" w:hAnsi="宋体" w:cs="宋体"/>
                <w:color w:val="auto"/>
                <w:highlight w:val="none"/>
              </w:rPr>
            </w:pPr>
            <w:r>
              <w:rPr>
                <w:rFonts w:hint="eastAsia" w:ascii="宋体" w:hAnsi="宋体" w:cs="宋体"/>
                <w:color w:val="auto"/>
                <w:highlight w:val="none"/>
              </w:rPr>
              <w:t>八.耐湿热性能(≥360h)：合格</w:t>
            </w:r>
          </w:p>
          <w:p w14:paraId="211A4E1A">
            <w:pPr>
              <w:rPr>
                <w:rFonts w:ascii="宋体" w:hAnsi="宋体" w:cs="宋体"/>
                <w:color w:val="auto"/>
                <w:highlight w:val="none"/>
              </w:rPr>
            </w:pPr>
            <w:r>
              <w:rPr>
                <w:rFonts w:hint="eastAsia" w:ascii="宋体" w:hAnsi="宋体" w:cs="宋体"/>
                <w:color w:val="auto"/>
                <w:highlight w:val="none"/>
              </w:rPr>
              <w:t>九.涂层试板：</w:t>
            </w:r>
          </w:p>
          <w:p w14:paraId="60126EE2">
            <w:pPr>
              <w:rPr>
                <w:rFonts w:ascii="宋体" w:hAnsi="宋体" w:cs="宋体"/>
                <w:color w:val="auto"/>
                <w:highlight w:val="none"/>
              </w:rPr>
            </w:pPr>
            <w:r>
              <w:rPr>
                <w:rFonts w:hint="eastAsia" w:ascii="宋体" w:hAnsi="宋体" w:cs="宋体"/>
                <w:color w:val="auto"/>
                <w:highlight w:val="none"/>
              </w:rPr>
              <w:t>1、耐沾污性 1 级；</w:t>
            </w:r>
          </w:p>
          <w:p w14:paraId="41E23ED0">
            <w:pPr>
              <w:rPr>
                <w:rFonts w:ascii="宋体" w:hAnsi="宋体" w:cs="宋体"/>
                <w:color w:val="auto"/>
                <w:highlight w:val="none"/>
              </w:rPr>
            </w:pPr>
            <w:r>
              <w:rPr>
                <w:rFonts w:hint="eastAsia" w:ascii="宋体" w:hAnsi="宋体" w:cs="宋体"/>
                <w:color w:val="auto"/>
                <w:highlight w:val="none"/>
              </w:rPr>
              <w:t>2、人工气候老化试验(氙灯老化）：经≥360h氙灯老化试验，变色等级应  ≤2级，失光等级应≤2级，粉化等级应≤1级，开裂等级应≤1级(S1),起泡等级应≤1级(S1)。</w:t>
            </w:r>
          </w:p>
          <w:p w14:paraId="7F54E08D">
            <w:pPr>
              <w:rPr>
                <w:rFonts w:ascii="宋体" w:hAnsi="宋体" w:cs="宋体"/>
                <w:color w:val="auto"/>
                <w:highlight w:val="none"/>
              </w:rPr>
            </w:pPr>
            <w:r>
              <w:rPr>
                <w:rFonts w:hint="eastAsia" w:ascii="宋体" w:hAnsi="宋体" w:cs="宋体"/>
                <w:color w:val="auto"/>
                <w:highlight w:val="none"/>
              </w:rPr>
              <w:t>十.燃烧性能B1级:</w:t>
            </w:r>
          </w:p>
          <w:p w14:paraId="72DE558B">
            <w:pPr>
              <w:rPr>
                <w:rFonts w:ascii="宋体" w:hAnsi="宋体" w:cs="宋体"/>
                <w:color w:val="auto"/>
                <w:highlight w:val="none"/>
              </w:rPr>
            </w:pPr>
            <w:r>
              <w:rPr>
                <w:rFonts w:hint="eastAsia" w:ascii="宋体" w:hAnsi="宋体" w:cs="宋体"/>
                <w:color w:val="auto"/>
                <w:highlight w:val="none"/>
              </w:rPr>
              <w:t>1、热释放速率峰值≤200kW；2、5min内总热释放量≤30MJ；3、最大烟密度≤75%。</w:t>
            </w:r>
          </w:p>
          <w:p w14:paraId="2EA61C85">
            <w:pPr>
              <w:rPr>
                <w:rFonts w:ascii="宋体" w:hAnsi="宋体" w:cs="宋体"/>
                <w:color w:val="auto"/>
                <w:highlight w:val="none"/>
              </w:rPr>
            </w:pPr>
            <w:r>
              <w:rPr>
                <w:rFonts w:hint="eastAsia" w:ascii="宋体" w:hAnsi="宋体" w:cs="宋体"/>
                <w:color w:val="auto"/>
                <w:highlight w:val="none"/>
              </w:rPr>
              <w:t>十一、抗菌性能：按照QB/T 4371-2012《家具抗菌性能的评价》：</w:t>
            </w:r>
          </w:p>
          <w:p w14:paraId="45F2770F">
            <w:pPr>
              <w:pStyle w:val="342"/>
              <w:rPr>
                <w:rFonts w:ascii="宋体" w:hAnsi="宋体" w:cs="宋体"/>
                <w:color w:val="auto"/>
                <w:highlight w:val="none"/>
              </w:rPr>
            </w:pPr>
            <w:r>
              <w:rPr>
                <w:rStyle w:val="341"/>
                <w:rFonts w:hint="eastAsia" w:ascii="宋体" w:hAnsi="宋体" w:cs="宋体"/>
                <w:color w:val="auto"/>
                <w:highlight w:val="none"/>
                <w:lang w:bidi="ar-SA"/>
              </w:rPr>
              <w:t>至少对变形链球菌、产气肠杆菌、奇异变形杆菌、藤黄微球菌、肺炎克雷伯氏菌(肺炎杆菌)、大肠埃希氏菌、耐甲氧西林金黄色葡萄球菌、变异库克菌、肺炎链球菌、鼠伤寒沙门氏菌、宋氏志贺氏菌(宋内氏志贺氏菌)、白色念珠菌、铜绿假单胞菌、粘质沙雷氏菌、粪肠球菌(粪链球菌)中的任意12种抑菌率≥99%。</w:t>
            </w:r>
          </w:p>
          <w:p w14:paraId="31FE9A1F">
            <w:pPr>
              <w:rPr>
                <w:rFonts w:ascii="宋体" w:hAnsi="宋体" w:cs="宋体"/>
                <w:color w:val="auto"/>
                <w:highlight w:val="none"/>
              </w:rPr>
            </w:pPr>
            <w:r>
              <w:rPr>
                <w:rFonts w:hint="eastAsia" w:ascii="宋体" w:hAnsi="宋体" w:cs="宋体"/>
                <w:color w:val="auto"/>
                <w:highlight w:val="none"/>
              </w:rPr>
              <w:t>十二、耐霉菌性：按照GB/T 1741-2020《漆膜耐霉菌性测定法》：</w:t>
            </w:r>
          </w:p>
          <w:p w14:paraId="26EFABEF">
            <w:pPr>
              <w:rPr>
                <w:color w:val="auto"/>
                <w:highlight w:val="none"/>
              </w:rPr>
            </w:pPr>
            <w:r>
              <w:rPr>
                <w:rFonts w:hint="eastAsia" w:ascii="宋体" w:hAnsi="宋体" w:cs="宋体"/>
                <w:color w:val="auto"/>
                <w:highlight w:val="none"/>
              </w:rPr>
              <w:t>至少对</w:t>
            </w:r>
            <w:r>
              <w:rPr>
                <w:rStyle w:val="341"/>
                <w:rFonts w:hint="eastAsia" w:ascii="宋体" w:hAnsi="宋体" w:cs="宋体"/>
                <w:color w:val="auto"/>
                <w:highlight w:val="none"/>
              </w:rPr>
              <w:t>桔青霉、出芽短梗霉、绿色木霉、长枝木霉、短柄帚霉、腊叶芽枝霉、链格孢、产黄青霉、赭绿青霉、绿粘帚霉、变幻青霉、黑曲霉、宛氏拟青霉、绳状青霉 、球毛壳霉中的任意12种长霉等级0级。</w:t>
            </w:r>
          </w:p>
        </w:tc>
      </w:tr>
    </w:tbl>
    <w:p w14:paraId="068A6331">
      <w:pPr>
        <w:outlineLvl w:val="2"/>
        <w:rPr>
          <w:rStyle w:val="341"/>
          <w:rFonts w:hint="eastAsia" w:ascii="宋体" w:hAnsi="宋体" w:cs="宋体"/>
          <w:color w:val="auto"/>
          <w:sz w:val="22"/>
          <w:szCs w:val="22"/>
          <w:highlight w:val="none"/>
          <w:lang w:val="en-US" w:eastAsia="zh-CN"/>
        </w:rPr>
      </w:pPr>
      <w:r>
        <w:rPr>
          <w:rStyle w:val="341"/>
          <w:rFonts w:hint="eastAsia" w:ascii="宋体" w:hAnsi="宋体" w:cs="宋体"/>
          <w:color w:val="auto"/>
          <w:sz w:val="22"/>
          <w:szCs w:val="22"/>
          <w:highlight w:val="none"/>
          <w:lang w:val="en-US" w:eastAsia="zh-CN"/>
        </w:rPr>
        <w:t>7、备餐柜类产品</w:t>
      </w:r>
    </w:p>
    <w:tbl>
      <w:tblPr>
        <w:tblStyle w:val="52"/>
        <w:tblW w:w="10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8563"/>
      </w:tblGrid>
      <w:tr w14:paraId="4E36D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49A6025C">
            <w:pPr>
              <w:jc w:val="center"/>
              <w:rPr>
                <w:rStyle w:val="341"/>
                <w:rFonts w:hint="eastAsia" w:ascii="宋体" w:hAnsi="宋体" w:cs="宋体"/>
                <w:color w:val="auto"/>
                <w:highlight w:val="none"/>
              </w:rPr>
            </w:pPr>
            <w:r>
              <w:rPr>
                <w:rStyle w:val="341"/>
                <w:rFonts w:hint="eastAsia" w:ascii="宋体" w:hAnsi="宋体" w:cs="宋体"/>
                <w:color w:val="auto"/>
                <w:highlight w:val="none"/>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1602796">
            <w:pPr>
              <w:jc w:val="center"/>
              <w:rPr>
                <w:rStyle w:val="341"/>
                <w:rFonts w:hint="eastAsia" w:ascii="宋体" w:hAnsi="宋体" w:cs="宋体"/>
                <w:color w:val="auto"/>
                <w:highlight w:val="none"/>
              </w:rPr>
            </w:pPr>
            <w:r>
              <w:rPr>
                <w:rStyle w:val="341"/>
                <w:rFonts w:hint="eastAsia" w:ascii="宋体" w:hAnsi="宋体" w:cs="宋体"/>
                <w:color w:val="auto"/>
                <w:highlight w:val="none"/>
              </w:rPr>
              <w:t>项目</w:t>
            </w:r>
          </w:p>
        </w:tc>
        <w:tc>
          <w:tcPr>
            <w:tcW w:w="8563" w:type="dxa"/>
            <w:tcBorders>
              <w:top w:val="single" w:color="000000" w:sz="4" w:space="0"/>
              <w:left w:val="single" w:color="000000" w:sz="4" w:space="0"/>
              <w:bottom w:val="single" w:color="000000" w:sz="4" w:space="0"/>
              <w:right w:val="single" w:color="000000" w:sz="4" w:space="0"/>
            </w:tcBorders>
            <w:noWrap/>
            <w:vAlign w:val="center"/>
          </w:tcPr>
          <w:p w14:paraId="763CE7F0">
            <w:pPr>
              <w:jc w:val="center"/>
              <w:rPr>
                <w:rStyle w:val="341"/>
                <w:rFonts w:hint="eastAsia" w:ascii="宋体" w:hAnsi="宋体" w:cs="宋体"/>
                <w:color w:val="auto"/>
                <w:highlight w:val="none"/>
              </w:rPr>
            </w:pPr>
            <w:r>
              <w:rPr>
                <w:rStyle w:val="341"/>
                <w:rFonts w:hint="eastAsia" w:ascii="宋体" w:hAnsi="宋体" w:cs="宋体"/>
                <w:color w:val="auto"/>
                <w:highlight w:val="none"/>
              </w:rPr>
              <w:t>技术要求</w:t>
            </w:r>
          </w:p>
        </w:tc>
      </w:tr>
      <w:tr w14:paraId="6195C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39048026">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1E6926A">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材质及</w:t>
            </w:r>
          </w:p>
          <w:p w14:paraId="76C26010">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工艺技术</w:t>
            </w:r>
          </w:p>
        </w:tc>
        <w:tc>
          <w:tcPr>
            <w:tcW w:w="8563" w:type="dxa"/>
            <w:tcBorders>
              <w:top w:val="single" w:color="000000" w:sz="4" w:space="0"/>
              <w:left w:val="single" w:color="000000" w:sz="4" w:space="0"/>
              <w:bottom w:val="single" w:color="000000" w:sz="4" w:space="0"/>
              <w:right w:val="single" w:color="000000" w:sz="4" w:space="0"/>
            </w:tcBorders>
            <w:noWrap/>
            <w:vAlign w:val="center"/>
          </w:tcPr>
          <w:p w14:paraId="481F24E6">
            <w:pPr>
              <w:pStyle w:val="342"/>
              <w:rPr>
                <w:rStyle w:val="341"/>
                <w:rFonts w:ascii="宋体" w:hAnsi="宋体"/>
                <w:color w:val="auto"/>
                <w:szCs w:val="21"/>
                <w:highlight w:val="none"/>
                <w:lang w:bidi="ar-SA"/>
              </w:rPr>
            </w:pPr>
            <w:r>
              <w:rPr>
                <w:rFonts w:hint="eastAsia" w:ascii="宋体" w:hAnsi="宋体" w:eastAsiaTheme="minorEastAsia" w:cstheme="minorBidi"/>
                <w:color w:val="auto"/>
                <w:szCs w:val="21"/>
                <w:highlight w:val="none"/>
                <w:lang w:bidi="ar-SA"/>
              </w:rPr>
              <w:t>1、</w:t>
            </w:r>
            <w:r>
              <w:rPr>
                <w:rStyle w:val="341"/>
                <w:rFonts w:hint="eastAsia" w:ascii="宋体" w:hAnsi="宋体" w:cs="宋体"/>
                <w:color w:val="auto"/>
                <w:highlight w:val="none"/>
                <w:lang w:bidi="ar-SA"/>
              </w:rPr>
              <w:t>柜体、门板：采用国标SUS304不锈钢，厚度≥1.0mm。</w:t>
            </w:r>
            <w:r>
              <w:rPr>
                <w:rStyle w:val="341"/>
                <w:rFonts w:hint="eastAsia" w:ascii="宋体" w:hAnsi="宋体"/>
                <w:color w:val="auto"/>
                <w:szCs w:val="21"/>
                <w:highlight w:val="none"/>
                <w:lang w:bidi="ar-SA"/>
              </w:rPr>
              <w:t>电阻焊接工艺，无外露焊点，钢板采用激光切割及数控折边成型，保证产品表面不会出现凹凸不平的焊疤。钢板表面采用环保型环氧聚酯粉末静电喷涂，喷涂采用流水线喷涂，涂层膜厚度均匀，颜色可根据院方要求定制；金属产品喷涂前必须前处理，包括除油，除尘，清洗，纳米陶化或者硅烷镀膜等保障产品喷涂质量的前处理工艺。</w:t>
            </w:r>
          </w:p>
          <w:p w14:paraId="45D8AF11">
            <w:pPr>
              <w:pStyle w:val="342"/>
              <w:rPr>
                <w:rStyle w:val="341"/>
                <w:rFonts w:ascii="宋体" w:hAnsi="宋体"/>
                <w:color w:val="auto"/>
                <w:szCs w:val="21"/>
                <w:highlight w:val="none"/>
                <w:lang w:bidi="ar-SA"/>
              </w:rPr>
            </w:pPr>
            <w:r>
              <w:rPr>
                <w:rFonts w:hint="eastAsia" w:ascii="宋体" w:hAnsi="宋体" w:eastAsiaTheme="minorEastAsia" w:cstheme="minorBidi"/>
                <w:color w:val="auto"/>
                <w:szCs w:val="21"/>
                <w:highlight w:val="none"/>
                <w:lang w:bidi="ar-SA"/>
              </w:rPr>
              <w:t>2、</w:t>
            </w:r>
            <w:r>
              <w:rPr>
                <w:rStyle w:val="341"/>
                <w:rFonts w:hint="eastAsia" w:ascii="宋体" w:hAnsi="宋体" w:cs="宋体"/>
                <w:color w:val="auto"/>
                <w:highlight w:val="none"/>
                <w:lang w:bidi="ar-SA"/>
              </w:rPr>
              <w:t>台面：采用国标SUS304不锈钢，厚度≥1.0mm。抽屉面板处配置透明亚克力标签框，方便插入说明卡片，抽屉面板、门板采用双层防尘工艺设计，避免细菌滋生，安装使用无螺丝装配技术。装饰件、支撑件、连接件、紧固件、挂钩等采用优质电镀件。</w:t>
            </w:r>
          </w:p>
          <w:p w14:paraId="4B9D51EF">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3、门与柜体的连接采用优质缓冲不锈钢铰链或不锈钢插销式门轴结构，门框与柜体之间的吸合，利用磁性纽扣磁铁互相吸附。</w:t>
            </w:r>
          </w:p>
          <w:p w14:paraId="53BFC2BC">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4、柜体正面门及抽屉间隙在1.5~2mm之间，</w:t>
            </w:r>
            <w:r>
              <w:rPr>
                <w:rStyle w:val="341"/>
                <w:rFonts w:hint="eastAsia" w:cs="宋体"/>
                <w:color w:val="auto"/>
                <w:highlight w:val="none"/>
                <w:lang w:bidi="ar-SA"/>
              </w:rPr>
              <w:t>门板</w:t>
            </w:r>
            <w:r>
              <w:rPr>
                <w:rStyle w:val="341"/>
                <w:rFonts w:hint="eastAsia" w:ascii="宋体" w:hAnsi="宋体" w:cs="宋体"/>
                <w:color w:val="auto"/>
                <w:highlight w:val="none"/>
                <w:lang w:bidi="ar-SA"/>
              </w:rPr>
              <w:t>采用双层门板设计，并且内有加强筋，提高门的使用寿命，活动层板四边折弯，可自由调节高度，层板挂钩采用2.0mm厚钢板，可自由拆卸，逐级调整高度，层板加强筋可承受50kg，采用隐藏式卷边拉手，折弯一体成型。</w:t>
            </w:r>
          </w:p>
        </w:tc>
      </w:tr>
      <w:tr w14:paraId="34F79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6CF9380E">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EA2D3B0">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外观造型</w:t>
            </w:r>
          </w:p>
        </w:tc>
        <w:tc>
          <w:tcPr>
            <w:tcW w:w="8563" w:type="dxa"/>
            <w:tcBorders>
              <w:top w:val="single" w:color="000000" w:sz="4" w:space="0"/>
              <w:left w:val="single" w:color="000000" w:sz="4" w:space="0"/>
              <w:bottom w:val="single" w:color="000000" w:sz="4" w:space="0"/>
              <w:right w:val="single" w:color="000000" w:sz="4" w:space="0"/>
            </w:tcBorders>
            <w:noWrap/>
            <w:vAlign w:val="center"/>
          </w:tcPr>
          <w:p w14:paraId="538C4595">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1、上中下柜按照人体工学原理，将产品分体成三部分，抽屉及开门的比例，按照日常的使用产品数量进行划分，玻璃与门框之间的大小比例，根据可观察视角进行面积大小分布。</w:t>
            </w:r>
          </w:p>
          <w:p w14:paraId="34AB1AB9">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2、所有下柜底部都是离地150~200mm的高度，根据国家院感基本要求，内部有上下调节的层板，下柜304不锈钢踢脚线。</w:t>
            </w:r>
          </w:p>
          <w:p w14:paraId="44DE3A19">
            <w:pPr>
              <w:pStyle w:val="342"/>
              <w:rPr>
                <w:rStyle w:val="341"/>
                <w:rFonts w:ascii="宋体" w:hAnsi="宋体" w:cs="宋体"/>
                <w:color w:val="auto"/>
                <w:highlight w:val="none"/>
                <w:lang w:bidi="ar-SA"/>
              </w:rPr>
            </w:pPr>
            <w:r>
              <w:rPr>
                <w:rStyle w:val="341"/>
                <w:rFonts w:hint="eastAsia" w:ascii="宋体" w:hAnsi="宋体" w:cs="宋体"/>
                <w:color w:val="auto"/>
                <w:highlight w:val="none"/>
                <w:lang w:bidi="ar-SA"/>
              </w:rPr>
              <w:t>3、中柜及上下柜内都有可调节层板，无菌物品的存放空间随意调节，悬挂式小型挂钩，轻巧方便，操作灵活。</w:t>
            </w:r>
          </w:p>
        </w:tc>
      </w:tr>
      <w:tr w14:paraId="716B8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08BF7896">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3</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D5CEFD5">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产品功能和配置</w:t>
            </w:r>
          </w:p>
        </w:tc>
        <w:tc>
          <w:tcPr>
            <w:tcW w:w="8563" w:type="dxa"/>
            <w:tcBorders>
              <w:top w:val="single" w:color="000000" w:sz="4" w:space="0"/>
              <w:left w:val="single" w:color="000000" w:sz="4" w:space="0"/>
              <w:bottom w:val="single" w:color="000000" w:sz="4" w:space="0"/>
              <w:right w:val="single" w:color="000000" w:sz="4" w:space="0"/>
            </w:tcBorders>
            <w:noWrap/>
            <w:vAlign w:val="center"/>
          </w:tcPr>
          <w:p w14:paraId="59A4FA35">
            <w:pPr>
              <w:pStyle w:val="342"/>
              <w:rPr>
                <w:rStyle w:val="341"/>
                <w:rFonts w:ascii="宋体" w:hAnsi="宋体" w:cs="宋体"/>
                <w:color w:val="auto"/>
                <w:highlight w:val="none"/>
              </w:rPr>
            </w:pPr>
            <w:r>
              <w:rPr>
                <w:rStyle w:val="341"/>
                <w:rFonts w:hint="eastAsia" w:ascii="宋体" w:hAnsi="宋体" w:cs="宋体"/>
                <w:color w:val="auto"/>
                <w:highlight w:val="none"/>
              </w:rPr>
              <w:t>1、可根据需求安装照明灯、装饰灯、强弱电插座。</w:t>
            </w:r>
          </w:p>
          <w:p w14:paraId="43DFAEB4">
            <w:pPr>
              <w:pStyle w:val="342"/>
              <w:rPr>
                <w:rStyle w:val="341"/>
                <w:rFonts w:ascii="宋体" w:hAnsi="宋体" w:cs="宋体"/>
                <w:color w:val="auto"/>
                <w:highlight w:val="none"/>
              </w:rPr>
            </w:pPr>
            <w:r>
              <w:rPr>
                <w:rStyle w:val="341"/>
                <w:rFonts w:hint="eastAsia" w:ascii="宋体" w:hAnsi="宋体" w:cs="宋体"/>
                <w:color w:val="auto"/>
                <w:highlight w:val="none"/>
              </w:rPr>
              <w:t>2、可根据需求安装密码、指纹、刷卡或者人脸识别锁具。</w:t>
            </w:r>
          </w:p>
          <w:p w14:paraId="1D95BF0D">
            <w:pPr>
              <w:pStyle w:val="342"/>
              <w:rPr>
                <w:rStyle w:val="341"/>
                <w:rFonts w:ascii="宋体" w:hAnsi="宋体" w:cs="宋体"/>
                <w:color w:val="auto"/>
                <w:highlight w:val="none"/>
                <w:lang w:bidi="ar-SA"/>
              </w:rPr>
            </w:pPr>
            <w:r>
              <w:rPr>
                <w:rStyle w:val="341"/>
                <w:rFonts w:hint="eastAsia" w:ascii="宋体" w:hAnsi="宋体" w:cs="宋体"/>
                <w:color w:val="auto"/>
                <w:highlight w:val="none"/>
              </w:rPr>
              <w:t>3、可根据需求安装安装显示屏、显示器、电动升降显示器等。</w:t>
            </w:r>
          </w:p>
        </w:tc>
      </w:tr>
      <w:tr w14:paraId="57C94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21A95A7F">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4</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F1661E3">
            <w:pPr>
              <w:pStyle w:val="342"/>
              <w:jc w:val="center"/>
              <w:rPr>
                <w:rStyle w:val="341"/>
                <w:rFonts w:ascii="宋体" w:hAnsi="宋体" w:cs="宋体"/>
                <w:color w:val="auto"/>
                <w:highlight w:val="none"/>
                <w:lang w:bidi="ar-SA"/>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参数要求</w:t>
            </w:r>
          </w:p>
        </w:tc>
        <w:tc>
          <w:tcPr>
            <w:tcW w:w="8563" w:type="dxa"/>
            <w:tcBorders>
              <w:top w:val="single" w:color="000000" w:sz="4" w:space="0"/>
              <w:left w:val="single" w:color="000000" w:sz="4" w:space="0"/>
              <w:bottom w:val="single" w:color="000000" w:sz="4" w:space="0"/>
              <w:right w:val="single" w:color="000000" w:sz="4" w:space="0"/>
            </w:tcBorders>
            <w:noWrap/>
            <w:vAlign w:val="center"/>
          </w:tcPr>
          <w:p w14:paraId="3D411AA0">
            <w:pPr>
              <w:rPr>
                <w:rStyle w:val="341"/>
                <w:rFonts w:ascii="宋体" w:hAnsi="宋体" w:cs="宋体"/>
                <w:color w:val="auto"/>
                <w:highlight w:val="none"/>
              </w:rPr>
            </w:pPr>
            <w:r>
              <w:rPr>
                <w:rStyle w:val="341"/>
                <w:rFonts w:hint="eastAsia" w:ascii="宋体" w:hAnsi="宋体" w:cs="宋体"/>
                <w:color w:val="auto"/>
                <w:highlight w:val="none"/>
              </w:rPr>
              <w:t>一．安全性能要求：结构安全：合格</w:t>
            </w:r>
          </w:p>
          <w:p w14:paraId="3D99779F">
            <w:pPr>
              <w:rPr>
                <w:rStyle w:val="341"/>
                <w:rFonts w:ascii="宋体" w:hAnsi="宋体" w:cs="宋体"/>
                <w:color w:val="auto"/>
                <w:highlight w:val="none"/>
              </w:rPr>
            </w:pPr>
            <w:r>
              <w:rPr>
                <w:rStyle w:val="341"/>
                <w:rFonts w:hint="eastAsia" w:ascii="宋体" w:hAnsi="宋体" w:cs="宋体"/>
                <w:color w:val="auto"/>
                <w:highlight w:val="none"/>
              </w:rPr>
              <w:t>二.力学性能：合格</w:t>
            </w:r>
          </w:p>
          <w:p w14:paraId="7FF2883D">
            <w:pPr>
              <w:rPr>
                <w:rStyle w:val="341"/>
                <w:rFonts w:ascii="宋体" w:hAnsi="宋体" w:cs="宋体"/>
                <w:color w:val="auto"/>
                <w:highlight w:val="none"/>
              </w:rPr>
            </w:pPr>
            <w:r>
              <w:rPr>
                <w:rStyle w:val="341"/>
                <w:rFonts w:hint="eastAsia" w:ascii="宋体" w:hAnsi="宋体" w:cs="宋体"/>
                <w:color w:val="auto"/>
                <w:highlight w:val="none"/>
              </w:rPr>
              <w:t>三.推拉构件耐久性(≥80000次)：合格</w:t>
            </w:r>
          </w:p>
          <w:p w14:paraId="63EAEFE7">
            <w:pPr>
              <w:rPr>
                <w:rStyle w:val="341"/>
                <w:rFonts w:ascii="宋体" w:hAnsi="宋体" w:cs="宋体"/>
                <w:color w:val="auto"/>
                <w:highlight w:val="none"/>
              </w:rPr>
            </w:pPr>
            <w:r>
              <w:rPr>
                <w:rStyle w:val="341"/>
                <w:rFonts w:hint="eastAsia" w:ascii="宋体" w:hAnsi="宋体" w:cs="宋体"/>
                <w:color w:val="auto"/>
                <w:highlight w:val="none"/>
              </w:rPr>
              <w:t>四.产品寿命：（柜类：拉门耐久性 (≥80000次)：合格</w:t>
            </w:r>
          </w:p>
          <w:p w14:paraId="1248E9B2">
            <w:pPr>
              <w:rPr>
                <w:rStyle w:val="341"/>
                <w:rFonts w:ascii="宋体" w:hAnsi="宋体" w:cs="宋体"/>
                <w:color w:val="auto"/>
                <w:highlight w:val="none"/>
              </w:rPr>
            </w:pPr>
            <w:r>
              <w:rPr>
                <w:rStyle w:val="341"/>
                <w:rFonts w:hint="eastAsia" w:ascii="宋体" w:hAnsi="宋体" w:cs="宋体"/>
                <w:color w:val="auto"/>
                <w:highlight w:val="none"/>
              </w:rPr>
              <w:t>五.产品有害物质：</w:t>
            </w:r>
          </w:p>
          <w:p w14:paraId="010F6233">
            <w:pPr>
              <w:rPr>
                <w:rStyle w:val="341"/>
                <w:rFonts w:ascii="宋体" w:hAnsi="宋体" w:cs="宋体"/>
                <w:color w:val="auto"/>
                <w:highlight w:val="none"/>
              </w:rPr>
            </w:pPr>
            <w:r>
              <w:rPr>
                <w:rStyle w:val="341"/>
                <w:rFonts w:hint="eastAsia" w:ascii="宋体" w:hAnsi="宋体" w:cs="宋体"/>
                <w:color w:val="auto"/>
                <w:highlight w:val="none"/>
              </w:rPr>
              <w:t>（1）甲醛释放量≤0.05mg/m³；苯≤0.05mg/m³；甲苯≤0.1mg/m³；二甲苯≤0.1mg/m³；总挥发性有机化合物(TVOC)≤0.3mg/m³；</w:t>
            </w:r>
          </w:p>
          <w:p w14:paraId="3A3E113C">
            <w:pPr>
              <w:rPr>
                <w:rStyle w:val="341"/>
                <w:rFonts w:ascii="宋体" w:hAnsi="宋体" w:cs="宋体"/>
                <w:color w:val="auto"/>
                <w:highlight w:val="none"/>
              </w:rPr>
            </w:pPr>
            <w:r>
              <w:rPr>
                <w:rStyle w:val="341"/>
                <w:rFonts w:hint="eastAsia" w:ascii="宋体" w:hAnsi="宋体" w:cs="宋体"/>
                <w:color w:val="auto"/>
                <w:highlight w:val="none"/>
              </w:rPr>
              <w:t>（2）家具涂层可迁移元素：铅Pb≤90mg/kg；镉Cd≤50mg/kg：铬Cr≤25mg/kg；汞Hg≤25mg/kg；锑Sb≤60mg/kg；钡Ba≤1000mg/kg；硒Se≤500mg/kg；砷As≤25mg/kg。</w:t>
            </w:r>
          </w:p>
          <w:p w14:paraId="5BE31F9C">
            <w:pPr>
              <w:rPr>
                <w:rStyle w:val="341"/>
                <w:rFonts w:ascii="宋体" w:hAnsi="宋体" w:cs="宋体"/>
                <w:color w:val="auto"/>
                <w:highlight w:val="none"/>
              </w:rPr>
            </w:pPr>
            <w:r>
              <w:rPr>
                <w:rStyle w:val="341"/>
                <w:rFonts w:hint="eastAsia" w:ascii="宋体" w:hAnsi="宋体" w:cs="宋体"/>
                <w:color w:val="auto"/>
                <w:highlight w:val="none"/>
              </w:rPr>
              <w:t>六.有害物质限量</w:t>
            </w:r>
          </w:p>
          <w:p w14:paraId="319BBB3A">
            <w:pPr>
              <w:rPr>
                <w:rStyle w:val="341"/>
                <w:rFonts w:ascii="宋体" w:hAnsi="宋体" w:cs="宋体"/>
                <w:color w:val="auto"/>
                <w:highlight w:val="none"/>
              </w:rPr>
            </w:pPr>
            <w:r>
              <w:rPr>
                <w:rStyle w:val="341"/>
                <w:rFonts w:hint="eastAsia" w:ascii="宋体" w:hAnsi="宋体" w:cs="宋体"/>
                <w:color w:val="auto"/>
                <w:highlight w:val="none"/>
              </w:rPr>
              <w:t xml:space="preserve">1）邻苯二甲酸酯：DBP≤0.1%；BBP≤0.1%；DEHP≤0.1%；DNOP≤0.1%；DINP≤0.1%；DIDP≤0.1%。 </w:t>
            </w:r>
          </w:p>
          <w:p w14:paraId="35684E52">
            <w:pPr>
              <w:rPr>
                <w:rStyle w:val="341"/>
                <w:rFonts w:ascii="宋体" w:hAnsi="宋体" w:cs="宋体"/>
                <w:color w:val="auto"/>
                <w:highlight w:val="none"/>
              </w:rPr>
            </w:pPr>
            <w:r>
              <w:rPr>
                <w:rStyle w:val="341"/>
                <w:rFonts w:hint="eastAsia" w:ascii="宋体" w:hAnsi="宋体" w:cs="宋体"/>
                <w:color w:val="auto"/>
                <w:highlight w:val="none"/>
              </w:rPr>
              <w:t>2）多环芳烃：苯并[α]芘≤1.0mg/kg。</w:t>
            </w:r>
          </w:p>
          <w:p w14:paraId="5EA4810B">
            <w:pPr>
              <w:rPr>
                <w:rStyle w:val="341"/>
                <w:rFonts w:ascii="宋体" w:hAnsi="宋体" w:cs="宋体"/>
                <w:color w:val="auto"/>
                <w:highlight w:val="none"/>
              </w:rPr>
            </w:pPr>
            <w:r>
              <w:rPr>
                <w:rStyle w:val="341"/>
                <w:rFonts w:hint="eastAsia" w:ascii="宋体" w:hAnsi="宋体" w:cs="宋体"/>
                <w:color w:val="auto"/>
                <w:highlight w:val="none"/>
              </w:rPr>
              <w:t>七.耐腐蚀性能：满足GB/T10125-2021《人造气氛腐蚀试验、盐雾试验》、GB/T6461-2002《金属基体上金属和其它无机覆盖层经腐蚀试验后的试样和试件的评级》标准要求：</w:t>
            </w:r>
            <w:r>
              <w:rPr>
                <w:rStyle w:val="341"/>
                <w:rFonts w:hint="eastAsia"/>
                <w:color w:val="auto"/>
                <w:highlight w:val="none"/>
              </w:rPr>
              <w:t>中性</w:t>
            </w:r>
            <w:r>
              <w:rPr>
                <w:rStyle w:val="341"/>
                <w:rFonts w:hint="eastAsia" w:ascii="宋体" w:hAnsi="宋体" w:cs="宋体"/>
                <w:color w:val="auto"/>
                <w:highlight w:val="none"/>
              </w:rPr>
              <w:t>盐雾试验(≥360h)：①涂镀层对基体的保护评级达到10级。②涂镀层本身的耐腐蚀等级（外观评级）达到10级。</w:t>
            </w:r>
          </w:p>
          <w:p w14:paraId="0DA3F530">
            <w:pPr>
              <w:rPr>
                <w:rStyle w:val="341"/>
                <w:rFonts w:ascii="宋体" w:hAnsi="宋体" w:cs="宋体"/>
                <w:color w:val="auto"/>
                <w:highlight w:val="none"/>
              </w:rPr>
            </w:pPr>
            <w:r>
              <w:rPr>
                <w:rStyle w:val="341"/>
                <w:rFonts w:hint="eastAsia" w:ascii="宋体" w:hAnsi="宋体" w:cs="宋体"/>
                <w:color w:val="auto"/>
                <w:highlight w:val="none"/>
              </w:rPr>
              <w:t>八.耐湿热性能(≥360h)：合格。</w:t>
            </w:r>
          </w:p>
          <w:p w14:paraId="69AC0EFD">
            <w:pPr>
              <w:rPr>
                <w:rStyle w:val="341"/>
                <w:rFonts w:ascii="宋体" w:hAnsi="宋体" w:cs="宋体"/>
                <w:color w:val="auto"/>
                <w:highlight w:val="none"/>
              </w:rPr>
            </w:pPr>
            <w:r>
              <w:rPr>
                <w:rStyle w:val="341"/>
                <w:rFonts w:hint="eastAsia" w:ascii="宋体" w:hAnsi="宋体" w:cs="宋体"/>
                <w:color w:val="auto"/>
                <w:highlight w:val="none"/>
              </w:rPr>
              <w:t>九.燃烧性能B1级:</w:t>
            </w:r>
          </w:p>
          <w:p w14:paraId="380C5ADE">
            <w:pPr>
              <w:rPr>
                <w:rStyle w:val="341"/>
                <w:rFonts w:ascii="宋体" w:hAnsi="宋体" w:cs="宋体"/>
                <w:color w:val="auto"/>
                <w:highlight w:val="none"/>
              </w:rPr>
            </w:pPr>
            <w:r>
              <w:rPr>
                <w:rStyle w:val="341"/>
                <w:rFonts w:hint="eastAsia" w:ascii="宋体" w:hAnsi="宋体" w:cs="宋体"/>
                <w:color w:val="auto"/>
                <w:highlight w:val="none"/>
              </w:rPr>
              <w:t>1、热释放速率峰值≤200kW；</w:t>
            </w:r>
          </w:p>
          <w:p w14:paraId="3F368497">
            <w:pPr>
              <w:rPr>
                <w:rStyle w:val="341"/>
                <w:rFonts w:ascii="宋体" w:hAnsi="宋体" w:cs="宋体"/>
                <w:color w:val="auto"/>
                <w:highlight w:val="none"/>
              </w:rPr>
            </w:pPr>
            <w:r>
              <w:rPr>
                <w:rStyle w:val="341"/>
                <w:rFonts w:hint="eastAsia" w:ascii="宋体" w:hAnsi="宋体" w:cs="宋体"/>
                <w:color w:val="auto"/>
                <w:highlight w:val="none"/>
              </w:rPr>
              <w:t>2、5min内总热释放量≤30MJ；</w:t>
            </w:r>
          </w:p>
          <w:p w14:paraId="503852DC">
            <w:pPr>
              <w:rPr>
                <w:rStyle w:val="341"/>
                <w:rFonts w:ascii="宋体" w:hAnsi="宋体" w:cs="宋体"/>
                <w:color w:val="auto"/>
                <w:highlight w:val="none"/>
              </w:rPr>
            </w:pPr>
            <w:r>
              <w:rPr>
                <w:rStyle w:val="341"/>
                <w:rFonts w:hint="eastAsia" w:ascii="宋体" w:hAnsi="宋体" w:cs="宋体"/>
                <w:color w:val="auto"/>
                <w:highlight w:val="none"/>
              </w:rPr>
              <w:t>3、最大烟密度≤75%。</w:t>
            </w:r>
          </w:p>
          <w:p w14:paraId="33FB1631">
            <w:pPr>
              <w:rPr>
                <w:rStyle w:val="341"/>
                <w:rFonts w:ascii="宋体" w:hAnsi="宋体" w:cs="宋体"/>
                <w:color w:val="auto"/>
                <w:highlight w:val="none"/>
              </w:rPr>
            </w:pPr>
            <w:r>
              <w:rPr>
                <w:rStyle w:val="341"/>
                <w:rFonts w:hint="eastAsia" w:ascii="宋体" w:hAnsi="宋体" w:cs="宋体"/>
                <w:color w:val="auto"/>
                <w:highlight w:val="none"/>
              </w:rPr>
              <w:t>十．抗病毒活性：</w:t>
            </w:r>
          </w:p>
          <w:p w14:paraId="35207374">
            <w:pPr>
              <w:rPr>
                <w:rStyle w:val="341"/>
                <w:rFonts w:ascii="宋体" w:hAnsi="宋体" w:cs="宋体"/>
                <w:color w:val="auto"/>
                <w:highlight w:val="none"/>
              </w:rPr>
            </w:pPr>
            <w:r>
              <w:rPr>
                <w:rStyle w:val="341"/>
                <w:rFonts w:hint="eastAsia" w:ascii="宋体" w:hAnsi="宋体" w:cs="宋体"/>
                <w:color w:val="auto"/>
                <w:highlight w:val="none"/>
              </w:rPr>
              <w:t>至少对任意2种病毒抗病毒活性率≥99%。</w:t>
            </w:r>
          </w:p>
          <w:p w14:paraId="3F88B5D2">
            <w:pPr>
              <w:rPr>
                <w:rStyle w:val="341"/>
                <w:rFonts w:ascii="宋体" w:hAnsi="宋体" w:cs="宋体"/>
                <w:color w:val="auto"/>
                <w:highlight w:val="none"/>
              </w:rPr>
            </w:pPr>
            <w:r>
              <w:rPr>
                <w:rStyle w:val="341"/>
                <w:rFonts w:hint="eastAsia" w:ascii="宋体" w:hAnsi="宋体" w:cs="宋体"/>
                <w:color w:val="auto"/>
                <w:highlight w:val="none"/>
              </w:rPr>
              <w:t>十一．抗菌性能：按照QB/T 4371-2012《家具抗菌性能的评价》：</w:t>
            </w:r>
          </w:p>
          <w:p w14:paraId="1D673085">
            <w:pPr>
              <w:pStyle w:val="342"/>
              <w:rPr>
                <w:rStyle w:val="341"/>
                <w:rFonts w:ascii="宋体" w:hAnsi="宋体" w:cs="宋体"/>
                <w:color w:val="auto"/>
                <w:highlight w:val="none"/>
              </w:rPr>
            </w:pPr>
            <w:r>
              <w:rPr>
                <w:rStyle w:val="341"/>
                <w:rFonts w:hint="eastAsia" w:ascii="宋体" w:hAnsi="宋体" w:cs="宋体"/>
                <w:color w:val="auto"/>
                <w:highlight w:val="none"/>
                <w:lang w:bidi="ar-SA"/>
              </w:rPr>
              <w:t>至少对变形链球菌、产气肠杆菌、奇异变形杆菌、藤黄微球菌、肺炎克雷伯氏菌(肺炎杆菌)、大肠埃希氏菌、耐甲氧西林金黄色葡萄球菌、变异库克菌、肺炎链球菌、鼠伤寒沙门氏菌、宋氏志贺氏菌(宋内氏志贺氏菌)、白色念珠菌、铜绿假单胞菌、粘质沙雷氏菌、粪肠球菌(粪链球菌)中的任意12种抑菌率≥99%。</w:t>
            </w:r>
          </w:p>
          <w:p w14:paraId="2ADEFAC0">
            <w:pPr>
              <w:rPr>
                <w:rStyle w:val="341"/>
                <w:rFonts w:ascii="宋体" w:hAnsi="宋体" w:cs="宋体"/>
                <w:color w:val="auto"/>
                <w:highlight w:val="none"/>
              </w:rPr>
            </w:pPr>
            <w:r>
              <w:rPr>
                <w:rStyle w:val="341"/>
                <w:rFonts w:hint="eastAsia" w:ascii="宋体" w:hAnsi="宋体" w:cs="宋体"/>
                <w:color w:val="auto"/>
                <w:highlight w:val="none"/>
              </w:rPr>
              <w:t>十二．耐霉菌性：按照GB/T 1741-2020《漆膜耐霉菌性测定法》：</w:t>
            </w:r>
          </w:p>
          <w:p w14:paraId="7766836F">
            <w:pPr>
              <w:rPr>
                <w:rStyle w:val="341"/>
                <w:rFonts w:ascii="宋体" w:hAnsi="宋体" w:cs="宋体"/>
                <w:color w:val="auto"/>
                <w:highlight w:val="none"/>
              </w:rPr>
            </w:pPr>
            <w:r>
              <w:rPr>
                <w:rFonts w:hint="eastAsia" w:ascii="宋体" w:hAnsi="宋体" w:cs="宋体"/>
                <w:color w:val="auto"/>
                <w:highlight w:val="none"/>
              </w:rPr>
              <w:t>至少对</w:t>
            </w:r>
            <w:r>
              <w:rPr>
                <w:rStyle w:val="341"/>
                <w:rFonts w:hint="eastAsia" w:ascii="宋体" w:hAnsi="宋体" w:cs="宋体"/>
                <w:color w:val="auto"/>
                <w:highlight w:val="none"/>
              </w:rPr>
              <w:t>桔青霉、出芽短梗霉、绿色木霉、长枝木霉、短柄帚霉、腊叶芽枝霉、链格孢、产黄青霉、赭绿青霉、绿粘帚霉、变幻青霉、黑曲霉、宛氏拟青霉、绳状青霉 、球毛壳霉中的任意12种长霉等级0级。</w:t>
            </w:r>
          </w:p>
        </w:tc>
      </w:tr>
    </w:tbl>
    <w:p w14:paraId="6A7593A0">
      <w:pPr>
        <w:outlineLvl w:val="2"/>
        <w:rPr>
          <w:rStyle w:val="341"/>
          <w:rFonts w:hint="eastAsia" w:ascii="宋体" w:hAnsi="宋体" w:cs="宋体"/>
          <w:color w:val="auto"/>
          <w:sz w:val="22"/>
          <w:szCs w:val="22"/>
          <w:highlight w:val="none"/>
          <w:lang w:val="en-US" w:eastAsia="zh-CN"/>
        </w:rPr>
      </w:pPr>
      <w:r>
        <w:rPr>
          <w:rStyle w:val="341"/>
          <w:rFonts w:hint="eastAsia" w:ascii="宋体" w:hAnsi="宋体" w:cs="宋体"/>
          <w:color w:val="auto"/>
          <w:sz w:val="22"/>
          <w:szCs w:val="22"/>
          <w:highlight w:val="none"/>
          <w:lang w:val="en-US" w:eastAsia="zh-CN"/>
        </w:rPr>
        <w:t>8、不锈钢污洗柜类产品</w:t>
      </w:r>
    </w:p>
    <w:tbl>
      <w:tblPr>
        <w:tblStyle w:val="52"/>
        <w:tblW w:w="10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1"/>
        <w:gridCol w:w="1182"/>
        <w:gridCol w:w="8475"/>
      </w:tblGrid>
      <w:tr w14:paraId="36A97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871" w:type="dxa"/>
            <w:tcBorders>
              <w:top w:val="single" w:color="000000" w:sz="4" w:space="0"/>
              <w:left w:val="single" w:color="000000" w:sz="4" w:space="0"/>
              <w:bottom w:val="single" w:color="000000" w:sz="4" w:space="0"/>
              <w:right w:val="single" w:color="000000" w:sz="4" w:space="0"/>
            </w:tcBorders>
            <w:noWrap/>
            <w:vAlign w:val="center"/>
          </w:tcPr>
          <w:p w14:paraId="289B37DE">
            <w:pPr>
              <w:pStyle w:val="342"/>
              <w:jc w:val="center"/>
              <w:rPr>
                <w:rStyle w:val="341"/>
                <w:b/>
                <w:color w:val="auto"/>
                <w:highlight w:val="none"/>
              </w:rPr>
            </w:pPr>
            <w:r>
              <w:rPr>
                <w:rStyle w:val="341"/>
                <w:rFonts w:hint="eastAsia"/>
                <w:color w:val="auto"/>
                <w:highlight w:val="none"/>
              </w:rPr>
              <w:t>序号</w:t>
            </w: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2C020AF">
            <w:pPr>
              <w:pStyle w:val="342"/>
              <w:jc w:val="center"/>
              <w:rPr>
                <w:rStyle w:val="341"/>
                <w:b/>
                <w:color w:val="auto"/>
                <w:highlight w:val="none"/>
              </w:rPr>
            </w:pPr>
            <w:r>
              <w:rPr>
                <w:rStyle w:val="341"/>
                <w:rFonts w:hint="eastAsia"/>
                <w:color w:val="auto"/>
                <w:highlight w:val="none"/>
              </w:rPr>
              <w:t>项目</w:t>
            </w:r>
          </w:p>
        </w:tc>
        <w:tc>
          <w:tcPr>
            <w:tcW w:w="8475" w:type="dxa"/>
            <w:tcBorders>
              <w:top w:val="single" w:color="000000" w:sz="4" w:space="0"/>
              <w:left w:val="single" w:color="000000" w:sz="4" w:space="0"/>
              <w:bottom w:val="single" w:color="000000" w:sz="4" w:space="0"/>
              <w:right w:val="single" w:color="000000" w:sz="4" w:space="0"/>
            </w:tcBorders>
            <w:noWrap/>
            <w:vAlign w:val="center"/>
          </w:tcPr>
          <w:p w14:paraId="46BF2D87">
            <w:pPr>
              <w:pStyle w:val="342"/>
              <w:jc w:val="center"/>
              <w:rPr>
                <w:rStyle w:val="341"/>
                <w:b/>
                <w:color w:val="auto"/>
                <w:highlight w:val="none"/>
              </w:rPr>
            </w:pPr>
            <w:r>
              <w:rPr>
                <w:rStyle w:val="341"/>
                <w:rFonts w:hint="eastAsia"/>
                <w:color w:val="auto"/>
                <w:highlight w:val="none"/>
              </w:rPr>
              <w:t>技术要求</w:t>
            </w:r>
          </w:p>
        </w:tc>
      </w:tr>
      <w:tr w14:paraId="16C9A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9" w:hRule="atLeast"/>
          <w:jc w:val="center"/>
        </w:trPr>
        <w:tc>
          <w:tcPr>
            <w:tcW w:w="871" w:type="dxa"/>
            <w:tcBorders>
              <w:top w:val="single" w:color="000000" w:sz="4" w:space="0"/>
              <w:left w:val="single" w:color="000000" w:sz="4" w:space="0"/>
              <w:bottom w:val="single" w:color="000000" w:sz="4" w:space="0"/>
              <w:right w:val="single" w:color="000000" w:sz="4" w:space="0"/>
            </w:tcBorders>
            <w:noWrap/>
            <w:vAlign w:val="center"/>
          </w:tcPr>
          <w:p w14:paraId="484DC165">
            <w:pPr>
              <w:pStyle w:val="342"/>
              <w:jc w:val="center"/>
              <w:rPr>
                <w:rStyle w:val="341"/>
                <w:rFonts w:ascii="宋体" w:hAnsi="宋体" w:cs="宋体"/>
                <w:color w:val="auto"/>
                <w:highlight w:val="none"/>
              </w:rPr>
            </w:pPr>
            <w:r>
              <w:rPr>
                <w:rStyle w:val="341"/>
                <w:rFonts w:hint="eastAsia" w:ascii="宋体" w:hAnsi="宋体" w:cs="宋体"/>
                <w:color w:val="auto"/>
                <w:highlight w:val="none"/>
              </w:rPr>
              <w:t>1</w:t>
            </w: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55B9FDA6">
            <w:pPr>
              <w:pStyle w:val="342"/>
              <w:jc w:val="center"/>
              <w:rPr>
                <w:rStyle w:val="341"/>
                <w:rFonts w:ascii="宋体" w:hAnsi="宋体" w:cs="宋体"/>
                <w:color w:val="auto"/>
                <w:highlight w:val="none"/>
              </w:rPr>
            </w:pPr>
            <w:r>
              <w:rPr>
                <w:rStyle w:val="341"/>
                <w:rFonts w:hint="eastAsia" w:ascii="宋体" w:hAnsi="宋体" w:cs="宋体"/>
                <w:color w:val="auto"/>
                <w:highlight w:val="none"/>
              </w:rPr>
              <w:t>材质及工艺技术</w:t>
            </w:r>
          </w:p>
        </w:tc>
        <w:tc>
          <w:tcPr>
            <w:tcW w:w="8475" w:type="dxa"/>
            <w:tcBorders>
              <w:top w:val="single" w:color="000000" w:sz="4" w:space="0"/>
              <w:left w:val="single" w:color="000000" w:sz="4" w:space="0"/>
              <w:bottom w:val="single" w:color="000000" w:sz="4" w:space="0"/>
              <w:right w:val="single" w:color="000000" w:sz="4" w:space="0"/>
            </w:tcBorders>
            <w:noWrap/>
            <w:vAlign w:val="center"/>
          </w:tcPr>
          <w:p w14:paraId="5DD0E134">
            <w:pPr>
              <w:pStyle w:val="342"/>
              <w:rPr>
                <w:rStyle w:val="341"/>
                <w:rFonts w:ascii="宋体" w:hAnsi="宋体" w:cs="宋体"/>
                <w:color w:val="auto"/>
                <w:highlight w:val="none"/>
              </w:rPr>
            </w:pPr>
            <w:r>
              <w:rPr>
                <w:rStyle w:val="341"/>
                <w:rFonts w:hint="eastAsia" w:ascii="宋体" w:hAnsi="宋体" w:cs="宋体"/>
                <w:color w:val="auto"/>
                <w:highlight w:val="none"/>
              </w:rPr>
              <w:t>1、柜体：采用国标SUS304不锈钢，厚度≥1.0mm。</w:t>
            </w:r>
          </w:p>
          <w:p w14:paraId="7AB6851B">
            <w:pPr>
              <w:pStyle w:val="342"/>
              <w:rPr>
                <w:rStyle w:val="341"/>
                <w:rFonts w:ascii="宋体" w:hAnsi="宋体" w:cs="宋体"/>
                <w:color w:val="auto"/>
                <w:highlight w:val="none"/>
              </w:rPr>
            </w:pPr>
            <w:r>
              <w:rPr>
                <w:rStyle w:val="341"/>
                <w:rFonts w:hint="eastAsia" w:ascii="宋体" w:hAnsi="宋体" w:cs="宋体"/>
                <w:color w:val="auto"/>
                <w:highlight w:val="none"/>
              </w:rPr>
              <w:t>2、整体采用电阻焊接工艺，没有外露焊点。</w:t>
            </w:r>
          </w:p>
        </w:tc>
      </w:tr>
      <w:tr w14:paraId="47EC1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871" w:type="dxa"/>
            <w:tcBorders>
              <w:top w:val="single" w:color="000000" w:sz="4" w:space="0"/>
              <w:left w:val="single" w:color="000000" w:sz="4" w:space="0"/>
              <w:bottom w:val="single" w:color="000000" w:sz="4" w:space="0"/>
              <w:right w:val="single" w:color="000000" w:sz="4" w:space="0"/>
            </w:tcBorders>
            <w:noWrap/>
            <w:vAlign w:val="center"/>
          </w:tcPr>
          <w:p w14:paraId="5D43AA31">
            <w:pPr>
              <w:pStyle w:val="342"/>
              <w:jc w:val="center"/>
              <w:rPr>
                <w:rStyle w:val="341"/>
                <w:rFonts w:ascii="宋体" w:hAnsi="宋体" w:cs="宋体"/>
                <w:color w:val="auto"/>
                <w:highlight w:val="none"/>
              </w:rPr>
            </w:pPr>
            <w:r>
              <w:rPr>
                <w:rStyle w:val="341"/>
                <w:rFonts w:hint="eastAsia" w:ascii="宋体" w:hAnsi="宋体" w:cs="宋体"/>
                <w:color w:val="auto"/>
                <w:highlight w:val="none"/>
              </w:rPr>
              <w:t>2</w:t>
            </w: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C6B8C2A">
            <w:pPr>
              <w:pStyle w:val="342"/>
              <w:jc w:val="center"/>
              <w:rPr>
                <w:rStyle w:val="341"/>
                <w:rFonts w:ascii="宋体" w:hAnsi="宋体" w:cs="宋体"/>
                <w:color w:val="auto"/>
                <w:highlight w:val="none"/>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参数要求</w:t>
            </w:r>
          </w:p>
        </w:tc>
        <w:tc>
          <w:tcPr>
            <w:tcW w:w="8475" w:type="dxa"/>
            <w:tcBorders>
              <w:top w:val="single" w:color="000000" w:sz="4" w:space="0"/>
              <w:left w:val="single" w:color="000000" w:sz="4" w:space="0"/>
              <w:bottom w:val="single" w:color="000000" w:sz="4" w:space="0"/>
              <w:right w:val="single" w:color="000000" w:sz="4" w:space="0"/>
            </w:tcBorders>
            <w:noWrap/>
            <w:vAlign w:val="center"/>
          </w:tcPr>
          <w:p w14:paraId="44DB7335">
            <w:pPr>
              <w:rPr>
                <w:rStyle w:val="341"/>
                <w:rFonts w:ascii="宋体" w:hAnsi="宋体" w:cs="宋体"/>
                <w:color w:val="auto"/>
                <w:highlight w:val="none"/>
              </w:rPr>
            </w:pPr>
            <w:r>
              <w:rPr>
                <w:rStyle w:val="341"/>
                <w:rFonts w:hint="eastAsia" w:ascii="宋体" w:hAnsi="宋体" w:cs="宋体"/>
                <w:color w:val="auto"/>
                <w:highlight w:val="none"/>
              </w:rPr>
              <w:t>一.安全性能要求：结构安全：合格</w:t>
            </w:r>
          </w:p>
          <w:p w14:paraId="420EBD3E">
            <w:pPr>
              <w:rPr>
                <w:rStyle w:val="341"/>
                <w:rFonts w:ascii="宋体" w:hAnsi="宋体" w:cs="宋体"/>
                <w:color w:val="auto"/>
                <w:highlight w:val="none"/>
              </w:rPr>
            </w:pPr>
            <w:r>
              <w:rPr>
                <w:rStyle w:val="341"/>
                <w:rFonts w:hint="eastAsia" w:ascii="宋体" w:hAnsi="宋体" w:cs="宋体"/>
                <w:color w:val="auto"/>
                <w:highlight w:val="none"/>
              </w:rPr>
              <w:t>二．力学性能：合格</w:t>
            </w:r>
          </w:p>
          <w:p w14:paraId="1BB2B092">
            <w:pPr>
              <w:rPr>
                <w:rStyle w:val="341"/>
                <w:rFonts w:ascii="宋体" w:hAnsi="宋体" w:cs="宋体"/>
                <w:color w:val="auto"/>
                <w:highlight w:val="none"/>
              </w:rPr>
            </w:pPr>
            <w:r>
              <w:rPr>
                <w:rStyle w:val="341"/>
                <w:rFonts w:hint="eastAsia" w:ascii="宋体" w:hAnsi="宋体" w:cs="宋体"/>
                <w:color w:val="auto"/>
                <w:highlight w:val="none"/>
              </w:rPr>
              <w:t>三.推拉构件耐久性(≥80000次)：合格</w:t>
            </w:r>
          </w:p>
          <w:p w14:paraId="56037CD8">
            <w:pPr>
              <w:rPr>
                <w:rStyle w:val="341"/>
                <w:rFonts w:ascii="宋体" w:hAnsi="宋体" w:cs="宋体"/>
                <w:color w:val="auto"/>
                <w:highlight w:val="none"/>
              </w:rPr>
            </w:pPr>
            <w:r>
              <w:rPr>
                <w:rStyle w:val="341"/>
                <w:rFonts w:hint="eastAsia" w:ascii="宋体" w:hAnsi="宋体" w:cs="宋体"/>
                <w:color w:val="auto"/>
                <w:highlight w:val="none"/>
              </w:rPr>
              <w:t>四.产品寿命：（柜类：拉门耐久性 (≥80000次)：合格</w:t>
            </w:r>
          </w:p>
          <w:p w14:paraId="3EAAD9D8">
            <w:pPr>
              <w:rPr>
                <w:rStyle w:val="341"/>
                <w:rFonts w:ascii="宋体" w:hAnsi="宋体" w:cs="宋体"/>
                <w:color w:val="auto"/>
                <w:highlight w:val="none"/>
              </w:rPr>
            </w:pPr>
            <w:r>
              <w:rPr>
                <w:rStyle w:val="341"/>
                <w:rFonts w:hint="eastAsia" w:ascii="宋体" w:hAnsi="宋体" w:cs="宋体"/>
                <w:color w:val="auto"/>
                <w:highlight w:val="none"/>
              </w:rPr>
              <w:t>五.产品有害物质：</w:t>
            </w:r>
          </w:p>
          <w:p w14:paraId="1A728A76">
            <w:pPr>
              <w:rPr>
                <w:rStyle w:val="341"/>
                <w:rFonts w:ascii="宋体" w:hAnsi="宋体" w:cs="宋体"/>
                <w:color w:val="auto"/>
                <w:highlight w:val="none"/>
              </w:rPr>
            </w:pPr>
            <w:r>
              <w:rPr>
                <w:rStyle w:val="341"/>
                <w:rFonts w:hint="eastAsia" w:ascii="宋体" w:hAnsi="宋体" w:cs="宋体"/>
                <w:color w:val="auto"/>
                <w:highlight w:val="none"/>
              </w:rPr>
              <w:t>（1）甲醛释放量≤0.05mg/m³；苯≤0.05mg/m³；甲苯≤0.1mg/m³；二甲苯≤0.1mg/m³；总挥发性有机化合物(TVOC)≤0.3mg/m³；</w:t>
            </w:r>
          </w:p>
          <w:p w14:paraId="2A52358B">
            <w:pPr>
              <w:rPr>
                <w:rStyle w:val="341"/>
                <w:rFonts w:ascii="宋体" w:hAnsi="宋体" w:cs="宋体"/>
                <w:color w:val="auto"/>
                <w:highlight w:val="none"/>
              </w:rPr>
            </w:pPr>
            <w:r>
              <w:rPr>
                <w:rStyle w:val="341"/>
                <w:rFonts w:hint="eastAsia" w:ascii="宋体" w:hAnsi="宋体" w:cs="宋体"/>
                <w:color w:val="auto"/>
                <w:highlight w:val="none"/>
              </w:rPr>
              <w:t>（2）家具涂层可迁移元素：铅Pb≤90mg/kg；镉Cd≤50mg/kg：铬Cr≤25mg/kg；汞Hg≤25mg/kg；锑Sb≤60mg/kg；钡Ba≤1000mg/kg；硒Se≤500mg/kg；砷As≤25mg/kg。</w:t>
            </w:r>
          </w:p>
          <w:p w14:paraId="2ED88FBE">
            <w:pPr>
              <w:rPr>
                <w:rStyle w:val="341"/>
                <w:rFonts w:ascii="宋体" w:hAnsi="宋体" w:cs="宋体"/>
                <w:color w:val="auto"/>
                <w:highlight w:val="none"/>
              </w:rPr>
            </w:pPr>
            <w:r>
              <w:rPr>
                <w:rStyle w:val="341"/>
                <w:rFonts w:hint="eastAsia" w:ascii="宋体" w:hAnsi="宋体" w:cs="宋体"/>
                <w:color w:val="auto"/>
                <w:highlight w:val="none"/>
              </w:rPr>
              <w:t>六.有害物质限量</w:t>
            </w:r>
          </w:p>
          <w:p w14:paraId="32B299AC">
            <w:pPr>
              <w:rPr>
                <w:rStyle w:val="341"/>
                <w:rFonts w:ascii="宋体" w:hAnsi="宋体" w:cs="宋体"/>
                <w:color w:val="auto"/>
                <w:highlight w:val="none"/>
              </w:rPr>
            </w:pPr>
            <w:r>
              <w:rPr>
                <w:rStyle w:val="341"/>
                <w:rFonts w:hint="eastAsia" w:ascii="宋体" w:hAnsi="宋体" w:cs="宋体"/>
                <w:color w:val="auto"/>
                <w:highlight w:val="none"/>
              </w:rPr>
              <w:t xml:space="preserve">1）邻苯二甲酸酯：DBP≤0.1%；BBP≤0.1%；DEHP≤0.1%；DNOP≤0.1%；DINP≤0.1%；DIDP≤0.1%。 </w:t>
            </w:r>
          </w:p>
          <w:p w14:paraId="04A5CA11">
            <w:pPr>
              <w:rPr>
                <w:rStyle w:val="341"/>
                <w:rFonts w:ascii="宋体" w:hAnsi="宋体" w:cs="宋体"/>
                <w:color w:val="auto"/>
                <w:highlight w:val="none"/>
              </w:rPr>
            </w:pPr>
            <w:r>
              <w:rPr>
                <w:rStyle w:val="341"/>
                <w:rFonts w:hint="eastAsia" w:ascii="宋体" w:hAnsi="宋体" w:cs="宋体"/>
                <w:color w:val="auto"/>
                <w:highlight w:val="none"/>
              </w:rPr>
              <w:t>2）多环芳烃：苯并[α]芘≤1.0mg/kg。</w:t>
            </w:r>
          </w:p>
          <w:p w14:paraId="72494586">
            <w:pPr>
              <w:rPr>
                <w:rStyle w:val="341"/>
                <w:rFonts w:ascii="宋体" w:hAnsi="宋体" w:cs="宋体"/>
                <w:color w:val="auto"/>
                <w:highlight w:val="none"/>
              </w:rPr>
            </w:pPr>
            <w:r>
              <w:rPr>
                <w:rStyle w:val="341"/>
                <w:rFonts w:hint="eastAsia" w:ascii="宋体" w:hAnsi="宋体" w:cs="宋体"/>
                <w:color w:val="auto"/>
                <w:highlight w:val="none"/>
              </w:rPr>
              <w:t>七.耐腐蚀性能：满足GB/T10125-2021《人造气氛腐蚀试验、盐雾试验》、GB/T6461-2002《金属基体上金属和其它无机覆盖层经腐蚀试验后的试样和试件的评级》标准要求：</w:t>
            </w:r>
            <w:r>
              <w:rPr>
                <w:rStyle w:val="341"/>
                <w:rFonts w:hint="eastAsia"/>
                <w:color w:val="auto"/>
                <w:highlight w:val="none"/>
              </w:rPr>
              <w:t>中性</w:t>
            </w:r>
            <w:r>
              <w:rPr>
                <w:rStyle w:val="341"/>
                <w:rFonts w:hint="eastAsia" w:ascii="宋体" w:hAnsi="宋体" w:cs="宋体"/>
                <w:color w:val="auto"/>
                <w:highlight w:val="none"/>
              </w:rPr>
              <w:t>盐雾试验(≥360h)：①涂镀层对基体的保护评级达到10级。②涂镀层本身的耐腐蚀等级（外观评级）达到10级。</w:t>
            </w:r>
          </w:p>
          <w:p w14:paraId="70BC4802">
            <w:pPr>
              <w:rPr>
                <w:rStyle w:val="341"/>
                <w:rFonts w:ascii="宋体" w:hAnsi="宋体" w:cs="宋体"/>
                <w:color w:val="auto"/>
                <w:highlight w:val="none"/>
              </w:rPr>
            </w:pPr>
            <w:r>
              <w:rPr>
                <w:rStyle w:val="341"/>
                <w:rFonts w:hint="eastAsia" w:ascii="宋体" w:hAnsi="宋体" w:cs="宋体"/>
                <w:color w:val="auto"/>
                <w:highlight w:val="none"/>
              </w:rPr>
              <w:t>八.耐湿热性能(≥360h)：合格。</w:t>
            </w:r>
          </w:p>
          <w:p w14:paraId="1DCAD23C">
            <w:pPr>
              <w:rPr>
                <w:rStyle w:val="341"/>
                <w:rFonts w:ascii="宋体" w:hAnsi="宋体" w:cs="宋体"/>
                <w:color w:val="auto"/>
                <w:highlight w:val="none"/>
              </w:rPr>
            </w:pPr>
            <w:r>
              <w:rPr>
                <w:rStyle w:val="341"/>
                <w:rFonts w:hint="eastAsia" w:ascii="宋体" w:hAnsi="宋体" w:cs="宋体"/>
                <w:color w:val="auto"/>
                <w:highlight w:val="none"/>
              </w:rPr>
              <w:t>九.燃烧性能B1级:1、热释放速率峰值≤200kW；2、5min内总热释放量≤30MJ；3、最大烟密度≤75%。</w:t>
            </w:r>
          </w:p>
          <w:p w14:paraId="481C7750">
            <w:pPr>
              <w:rPr>
                <w:rStyle w:val="341"/>
                <w:rFonts w:ascii="宋体" w:hAnsi="宋体" w:cs="宋体"/>
                <w:color w:val="auto"/>
                <w:highlight w:val="none"/>
              </w:rPr>
            </w:pPr>
            <w:r>
              <w:rPr>
                <w:rStyle w:val="341"/>
                <w:rFonts w:hint="eastAsia" w:ascii="宋体" w:hAnsi="宋体" w:cs="宋体"/>
                <w:color w:val="auto"/>
                <w:highlight w:val="none"/>
              </w:rPr>
              <w:t>十、抗病毒活性：至少对任意2种抗病毒活性率≥99%。</w:t>
            </w:r>
          </w:p>
          <w:p w14:paraId="082A639B">
            <w:pPr>
              <w:rPr>
                <w:rStyle w:val="341"/>
                <w:rFonts w:ascii="宋体" w:hAnsi="宋体" w:cs="宋体"/>
                <w:color w:val="auto"/>
                <w:highlight w:val="none"/>
              </w:rPr>
            </w:pPr>
            <w:r>
              <w:rPr>
                <w:rStyle w:val="341"/>
                <w:rFonts w:hint="eastAsia" w:ascii="宋体" w:hAnsi="宋体" w:cs="宋体"/>
                <w:color w:val="auto"/>
                <w:highlight w:val="none"/>
              </w:rPr>
              <w:t>十一、抗菌性能：按照QB/T 4371-2012《家具抗菌性能的评价》：</w:t>
            </w:r>
          </w:p>
          <w:p w14:paraId="4ABFE7B0">
            <w:pPr>
              <w:pStyle w:val="342"/>
              <w:rPr>
                <w:rStyle w:val="341"/>
                <w:rFonts w:ascii="宋体" w:hAnsi="宋体" w:cs="宋体"/>
                <w:color w:val="auto"/>
                <w:highlight w:val="none"/>
              </w:rPr>
            </w:pPr>
            <w:r>
              <w:rPr>
                <w:rStyle w:val="341"/>
                <w:rFonts w:hint="eastAsia" w:ascii="宋体" w:hAnsi="宋体" w:cs="宋体"/>
                <w:color w:val="auto"/>
                <w:highlight w:val="none"/>
                <w:lang w:bidi="ar-SA"/>
              </w:rPr>
              <w:t>至少对变形链球菌、产气肠杆菌、奇异变形杆菌、藤黄微球菌、肺炎克雷伯氏菌(肺炎杆菌)、大肠埃希氏菌、耐甲氧西林金黄色葡萄球菌、变异库克菌、肺炎链球菌、鼠伤寒沙门氏菌、宋氏志贺氏菌(宋内氏志贺氏菌)、白色念珠菌、铜绿假单胞菌、粘质沙雷氏菌、粪肠球菌(粪链球菌)中的任意12种抑菌率≥99%。</w:t>
            </w:r>
          </w:p>
          <w:p w14:paraId="2E85792F">
            <w:pPr>
              <w:rPr>
                <w:rStyle w:val="341"/>
                <w:rFonts w:ascii="宋体" w:hAnsi="宋体" w:cs="宋体"/>
                <w:color w:val="auto"/>
                <w:highlight w:val="none"/>
              </w:rPr>
            </w:pPr>
            <w:r>
              <w:rPr>
                <w:rStyle w:val="341"/>
                <w:rFonts w:hint="eastAsia" w:ascii="宋体" w:hAnsi="宋体" w:cs="宋体"/>
                <w:color w:val="auto"/>
                <w:highlight w:val="none"/>
              </w:rPr>
              <w:t>十二、耐霉菌性：按照GB/T 1741-2020《漆膜耐霉菌性测定法》：</w:t>
            </w:r>
          </w:p>
          <w:p w14:paraId="3DBE5860">
            <w:pPr>
              <w:rPr>
                <w:rStyle w:val="341"/>
                <w:color w:val="auto"/>
                <w:highlight w:val="none"/>
              </w:rPr>
            </w:pPr>
            <w:r>
              <w:rPr>
                <w:rFonts w:hint="eastAsia" w:ascii="宋体" w:hAnsi="宋体" w:cs="宋体"/>
                <w:color w:val="auto"/>
                <w:highlight w:val="none"/>
              </w:rPr>
              <w:t>至少对</w:t>
            </w:r>
            <w:r>
              <w:rPr>
                <w:rStyle w:val="341"/>
                <w:rFonts w:hint="eastAsia" w:ascii="宋体" w:hAnsi="宋体" w:cs="宋体"/>
                <w:color w:val="auto"/>
                <w:highlight w:val="none"/>
              </w:rPr>
              <w:t>桔青霉、出芽短梗霉、绿色木霉、长枝木霉、短柄帚霉、腊叶芽枝霉、链格孢、产黄青霉、赭绿青霉、绿粘帚霉、变幻青霉、黑曲霉、宛氏拟青霉、绳状青霉 、球毛壳霉中的任意12种长霉等级0级。</w:t>
            </w:r>
          </w:p>
        </w:tc>
      </w:tr>
    </w:tbl>
    <w:p w14:paraId="0DB437F4">
      <w:pPr>
        <w:outlineLvl w:val="2"/>
        <w:rPr>
          <w:rStyle w:val="341"/>
          <w:rFonts w:hint="eastAsia" w:ascii="宋体" w:hAnsi="宋体" w:cs="宋体"/>
          <w:color w:val="auto"/>
          <w:sz w:val="22"/>
          <w:szCs w:val="22"/>
          <w:highlight w:val="none"/>
          <w:lang w:val="en-US" w:eastAsia="zh-CN"/>
        </w:rPr>
      </w:pPr>
      <w:r>
        <w:rPr>
          <w:rStyle w:val="341"/>
          <w:rFonts w:hint="eastAsia" w:ascii="宋体" w:hAnsi="宋体" w:cs="宋体"/>
          <w:color w:val="auto"/>
          <w:sz w:val="22"/>
          <w:szCs w:val="22"/>
          <w:highlight w:val="none"/>
          <w:lang w:val="en-US" w:eastAsia="zh-CN"/>
        </w:rPr>
        <w:t>9、不锈钢器械柜类产品</w:t>
      </w:r>
    </w:p>
    <w:tbl>
      <w:tblPr>
        <w:tblStyle w:val="52"/>
        <w:tblW w:w="10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134"/>
        <w:gridCol w:w="8453"/>
      </w:tblGrid>
      <w:tr w14:paraId="00E51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870" w:type="dxa"/>
            <w:tcBorders>
              <w:top w:val="single" w:color="000000" w:sz="4" w:space="0"/>
              <w:left w:val="single" w:color="000000" w:sz="4" w:space="0"/>
              <w:bottom w:val="single" w:color="000000" w:sz="4" w:space="0"/>
              <w:right w:val="single" w:color="000000" w:sz="4" w:space="0"/>
            </w:tcBorders>
            <w:noWrap/>
            <w:vAlign w:val="center"/>
          </w:tcPr>
          <w:p w14:paraId="4CD0525C">
            <w:pPr>
              <w:pStyle w:val="342"/>
              <w:jc w:val="both"/>
              <w:rPr>
                <w:rStyle w:val="341"/>
                <w:rFonts w:ascii="宋体" w:hAnsi="宋体" w:cs="宋体"/>
                <w:b/>
                <w:color w:val="auto"/>
                <w:szCs w:val="21"/>
                <w:highlight w:val="none"/>
              </w:rPr>
            </w:pPr>
            <w:r>
              <w:rPr>
                <w:rStyle w:val="341"/>
                <w:rFonts w:hint="eastAsia" w:ascii="宋体" w:hAnsi="宋体" w:cs="宋体"/>
                <w:color w:val="auto"/>
                <w:szCs w:val="21"/>
                <w:highlight w:val="none"/>
              </w:rPr>
              <w:t>序号</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4668A19">
            <w:pPr>
              <w:pStyle w:val="342"/>
              <w:jc w:val="both"/>
              <w:rPr>
                <w:rStyle w:val="341"/>
                <w:rFonts w:ascii="宋体" w:hAnsi="宋体" w:cs="宋体"/>
                <w:b/>
                <w:color w:val="auto"/>
                <w:szCs w:val="21"/>
                <w:highlight w:val="none"/>
              </w:rPr>
            </w:pPr>
            <w:r>
              <w:rPr>
                <w:rStyle w:val="341"/>
                <w:rFonts w:hint="eastAsia" w:ascii="宋体" w:hAnsi="宋体" w:cs="宋体"/>
                <w:color w:val="auto"/>
                <w:szCs w:val="21"/>
                <w:highlight w:val="none"/>
              </w:rPr>
              <w:t>项目</w:t>
            </w:r>
          </w:p>
        </w:tc>
        <w:tc>
          <w:tcPr>
            <w:tcW w:w="8453" w:type="dxa"/>
            <w:tcBorders>
              <w:top w:val="single" w:color="000000" w:sz="4" w:space="0"/>
              <w:left w:val="single" w:color="000000" w:sz="4" w:space="0"/>
              <w:bottom w:val="single" w:color="000000" w:sz="4" w:space="0"/>
              <w:right w:val="single" w:color="000000" w:sz="4" w:space="0"/>
            </w:tcBorders>
            <w:noWrap/>
            <w:vAlign w:val="center"/>
          </w:tcPr>
          <w:p w14:paraId="64C51002">
            <w:pPr>
              <w:pStyle w:val="342"/>
              <w:jc w:val="center"/>
              <w:rPr>
                <w:rStyle w:val="341"/>
                <w:rFonts w:ascii="宋体" w:hAnsi="宋体" w:cs="宋体"/>
                <w:b/>
                <w:color w:val="auto"/>
                <w:szCs w:val="21"/>
                <w:highlight w:val="none"/>
              </w:rPr>
            </w:pPr>
            <w:r>
              <w:rPr>
                <w:rStyle w:val="341"/>
                <w:rFonts w:hint="eastAsia" w:ascii="宋体" w:hAnsi="宋体" w:cs="宋体"/>
                <w:color w:val="auto"/>
                <w:szCs w:val="21"/>
                <w:highlight w:val="none"/>
              </w:rPr>
              <w:t>技术要求</w:t>
            </w:r>
          </w:p>
        </w:tc>
      </w:tr>
      <w:tr w14:paraId="6DABF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9" w:hRule="atLeast"/>
          <w:jc w:val="center"/>
        </w:trPr>
        <w:tc>
          <w:tcPr>
            <w:tcW w:w="870" w:type="dxa"/>
            <w:tcBorders>
              <w:top w:val="single" w:color="000000" w:sz="4" w:space="0"/>
              <w:left w:val="single" w:color="000000" w:sz="4" w:space="0"/>
              <w:bottom w:val="single" w:color="000000" w:sz="4" w:space="0"/>
              <w:right w:val="single" w:color="000000" w:sz="4" w:space="0"/>
            </w:tcBorders>
            <w:noWrap/>
            <w:vAlign w:val="center"/>
          </w:tcPr>
          <w:p w14:paraId="7B5FC445">
            <w:pPr>
              <w:pStyle w:val="342"/>
              <w:jc w:val="center"/>
              <w:rPr>
                <w:rStyle w:val="341"/>
                <w:rFonts w:ascii="宋体" w:hAnsi="宋体" w:cs="宋体"/>
                <w:color w:val="auto"/>
                <w:szCs w:val="21"/>
                <w:highlight w:val="none"/>
              </w:rPr>
            </w:pPr>
            <w:r>
              <w:rPr>
                <w:rStyle w:val="341"/>
                <w:rFonts w:hint="eastAsia" w:ascii="宋体" w:hAnsi="宋体" w:cs="宋体"/>
                <w:color w:val="auto"/>
                <w:szCs w:val="21"/>
                <w:highlight w:val="none"/>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6A204AE">
            <w:pPr>
              <w:pStyle w:val="342"/>
              <w:jc w:val="center"/>
              <w:rPr>
                <w:rStyle w:val="341"/>
                <w:rFonts w:ascii="宋体" w:hAnsi="宋体" w:cs="宋体"/>
                <w:color w:val="auto"/>
                <w:szCs w:val="21"/>
                <w:highlight w:val="none"/>
              </w:rPr>
            </w:pPr>
            <w:r>
              <w:rPr>
                <w:rStyle w:val="341"/>
                <w:rFonts w:hint="eastAsia" w:ascii="宋体" w:hAnsi="宋体" w:cs="宋体"/>
                <w:color w:val="auto"/>
                <w:szCs w:val="21"/>
                <w:highlight w:val="none"/>
              </w:rPr>
              <w:t>材质及工艺技术</w:t>
            </w:r>
          </w:p>
        </w:tc>
        <w:tc>
          <w:tcPr>
            <w:tcW w:w="8453" w:type="dxa"/>
            <w:tcBorders>
              <w:top w:val="single" w:color="000000" w:sz="4" w:space="0"/>
              <w:left w:val="single" w:color="000000" w:sz="4" w:space="0"/>
              <w:bottom w:val="single" w:color="000000" w:sz="4" w:space="0"/>
              <w:right w:val="single" w:color="000000" w:sz="4" w:space="0"/>
            </w:tcBorders>
            <w:noWrap/>
            <w:vAlign w:val="center"/>
          </w:tcPr>
          <w:p w14:paraId="7843B85E">
            <w:pPr>
              <w:pStyle w:val="342"/>
              <w:numPr>
                <w:ilvl w:val="0"/>
                <w:numId w:val="0"/>
              </w:numPr>
              <w:rPr>
                <w:rStyle w:val="341"/>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mn-Mong-CN"/>
              </w:rPr>
              <w:t>1、</w:t>
            </w:r>
            <w:r>
              <w:rPr>
                <w:rStyle w:val="341"/>
                <w:rFonts w:hint="eastAsia" w:ascii="宋体" w:hAnsi="宋体" w:eastAsia="宋体" w:cs="宋体"/>
                <w:color w:val="auto"/>
                <w:szCs w:val="21"/>
                <w:highlight w:val="none"/>
              </w:rPr>
              <w:t>柜体：采用国标SUS304不锈钢，厚度≥1.0mm。</w:t>
            </w:r>
          </w:p>
          <w:p w14:paraId="0E30F75C">
            <w:pPr>
              <w:pStyle w:val="342"/>
              <w:rPr>
                <w:rStyle w:val="341"/>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mn-Mong-CN"/>
              </w:rPr>
              <w:t>2、</w:t>
            </w:r>
            <w:r>
              <w:rPr>
                <w:rStyle w:val="341"/>
                <w:rFonts w:hint="eastAsia" w:ascii="宋体" w:hAnsi="宋体" w:eastAsia="宋体" w:cs="宋体"/>
                <w:color w:val="auto"/>
                <w:szCs w:val="21"/>
                <w:highlight w:val="none"/>
              </w:rPr>
              <w:t>整体采用电阻焊接工艺，没有外露焊点。</w:t>
            </w:r>
          </w:p>
          <w:p w14:paraId="322E3273">
            <w:pPr>
              <w:pStyle w:val="342"/>
              <w:rPr>
                <w:rStyle w:val="341"/>
                <w:rFonts w:ascii="宋体" w:hAnsi="宋体" w:cs="宋体"/>
                <w:color w:val="auto"/>
                <w:szCs w:val="21"/>
                <w:highlight w:val="none"/>
              </w:rPr>
            </w:pPr>
            <w:r>
              <w:rPr>
                <w:rStyle w:val="341"/>
                <w:rFonts w:hint="eastAsia" w:ascii="宋体" w:hAnsi="宋体" w:eastAsia="宋体" w:cs="宋体"/>
                <w:color w:val="auto"/>
                <w:szCs w:val="21"/>
                <w:highlight w:val="none"/>
              </w:rPr>
              <w:t>3、门与柜体的连接采用优质缓冲不锈钢铰链或不锈钢插销式门轴结构，门框与柜体之间的吸合，利用磁性纽扣磁铁互相吸附。</w:t>
            </w:r>
          </w:p>
        </w:tc>
      </w:tr>
      <w:tr w14:paraId="5D2D3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tcBorders>
              <w:top w:val="single" w:color="000000" w:sz="4" w:space="0"/>
              <w:left w:val="single" w:color="000000" w:sz="4" w:space="0"/>
              <w:bottom w:val="single" w:color="000000" w:sz="4" w:space="0"/>
              <w:right w:val="single" w:color="000000" w:sz="4" w:space="0"/>
            </w:tcBorders>
            <w:noWrap/>
            <w:vAlign w:val="center"/>
          </w:tcPr>
          <w:p w14:paraId="17F3EE99">
            <w:pPr>
              <w:pStyle w:val="342"/>
              <w:jc w:val="center"/>
              <w:rPr>
                <w:rStyle w:val="341"/>
                <w:rFonts w:ascii="宋体" w:hAnsi="宋体" w:cs="宋体"/>
                <w:color w:val="auto"/>
                <w:szCs w:val="21"/>
                <w:highlight w:val="none"/>
              </w:rPr>
            </w:pPr>
            <w:r>
              <w:rPr>
                <w:rStyle w:val="341"/>
                <w:rFonts w:hint="eastAsia" w:cs="宋体"/>
                <w:color w:val="auto"/>
                <w:szCs w:val="21"/>
                <w:highlight w:val="none"/>
              </w:rPr>
              <w:t>2</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ACEBA10">
            <w:pPr>
              <w:pStyle w:val="342"/>
              <w:jc w:val="center"/>
              <w:rPr>
                <w:rStyle w:val="341"/>
                <w:rFonts w:ascii="宋体" w:hAnsi="宋体" w:cs="宋体"/>
                <w:color w:val="auto"/>
                <w:szCs w:val="21"/>
                <w:highlight w:val="none"/>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参数要求</w:t>
            </w:r>
          </w:p>
        </w:tc>
        <w:tc>
          <w:tcPr>
            <w:tcW w:w="8453" w:type="dxa"/>
            <w:tcBorders>
              <w:top w:val="single" w:color="000000" w:sz="4" w:space="0"/>
              <w:left w:val="single" w:color="000000" w:sz="4" w:space="0"/>
              <w:bottom w:val="single" w:color="000000" w:sz="4" w:space="0"/>
              <w:right w:val="single" w:color="000000" w:sz="4" w:space="0"/>
            </w:tcBorders>
            <w:noWrap/>
            <w:vAlign w:val="center"/>
          </w:tcPr>
          <w:p w14:paraId="04DE90E3">
            <w:pPr>
              <w:rPr>
                <w:rStyle w:val="341"/>
                <w:rFonts w:ascii="宋体" w:hAnsi="宋体" w:cs="宋体"/>
                <w:color w:val="auto"/>
                <w:szCs w:val="21"/>
                <w:highlight w:val="none"/>
              </w:rPr>
            </w:pPr>
            <w:r>
              <w:rPr>
                <w:rStyle w:val="341"/>
                <w:rFonts w:hint="eastAsia" w:ascii="宋体" w:hAnsi="宋体" w:cs="宋体"/>
                <w:color w:val="auto"/>
                <w:szCs w:val="21"/>
                <w:highlight w:val="none"/>
              </w:rPr>
              <w:t>一．安全性能要求：结构安全：合格</w:t>
            </w:r>
          </w:p>
          <w:p w14:paraId="12C5FF0C">
            <w:pPr>
              <w:rPr>
                <w:rStyle w:val="341"/>
                <w:rFonts w:ascii="宋体" w:hAnsi="宋体" w:cs="宋体"/>
                <w:color w:val="auto"/>
                <w:szCs w:val="21"/>
                <w:highlight w:val="none"/>
              </w:rPr>
            </w:pPr>
            <w:r>
              <w:rPr>
                <w:rStyle w:val="341"/>
                <w:rFonts w:hint="eastAsia" w:ascii="宋体" w:hAnsi="宋体" w:cs="宋体"/>
                <w:color w:val="auto"/>
                <w:szCs w:val="21"/>
                <w:highlight w:val="none"/>
              </w:rPr>
              <w:t>二．力学性能：合格</w:t>
            </w:r>
          </w:p>
          <w:p w14:paraId="5FB5BED7">
            <w:pPr>
              <w:rPr>
                <w:rStyle w:val="341"/>
                <w:rFonts w:ascii="宋体" w:hAnsi="宋体" w:cs="宋体"/>
                <w:color w:val="auto"/>
                <w:szCs w:val="21"/>
                <w:highlight w:val="none"/>
              </w:rPr>
            </w:pPr>
            <w:r>
              <w:rPr>
                <w:rStyle w:val="341"/>
                <w:rFonts w:hint="eastAsia" w:ascii="宋体" w:hAnsi="宋体" w:cs="宋体"/>
                <w:color w:val="auto"/>
                <w:szCs w:val="21"/>
                <w:highlight w:val="none"/>
              </w:rPr>
              <w:t>三．推拉构件耐久性(≥80000次)：合格</w:t>
            </w:r>
          </w:p>
          <w:p w14:paraId="72461592">
            <w:pPr>
              <w:rPr>
                <w:rStyle w:val="341"/>
                <w:rFonts w:ascii="宋体" w:hAnsi="宋体" w:cs="宋体"/>
                <w:color w:val="auto"/>
                <w:szCs w:val="21"/>
                <w:highlight w:val="none"/>
              </w:rPr>
            </w:pPr>
            <w:r>
              <w:rPr>
                <w:rStyle w:val="341"/>
                <w:rFonts w:hint="eastAsia" w:ascii="宋体" w:hAnsi="宋体" w:cs="宋体"/>
                <w:color w:val="auto"/>
                <w:szCs w:val="21"/>
                <w:highlight w:val="none"/>
              </w:rPr>
              <w:t>四.产品寿命：（柜类：拉门耐久性 (≥80000次)：合格</w:t>
            </w:r>
          </w:p>
          <w:p w14:paraId="3730AF74">
            <w:pPr>
              <w:rPr>
                <w:rStyle w:val="341"/>
                <w:rFonts w:ascii="宋体" w:hAnsi="宋体" w:cs="宋体"/>
                <w:color w:val="auto"/>
                <w:szCs w:val="21"/>
                <w:highlight w:val="none"/>
              </w:rPr>
            </w:pPr>
            <w:r>
              <w:rPr>
                <w:rStyle w:val="341"/>
                <w:rFonts w:hint="eastAsia" w:ascii="宋体" w:hAnsi="宋体" w:cs="宋体"/>
                <w:color w:val="auto"/>
                <w:szCs w:val="21"/>
                <w:highlight w:val="none"/>
              </w:rPr>
              <w:t>五.产品有害物质：</w:t>
            </w:r>
          </w:p>
          <w:p w14:paraId="4717844D">
            <w:pPr>
              <w:rPr>
                <w:rStyle w:val="341"/>
                <w:rFonts w:ascii="宋体" w:hAnsi="宋体" w:cs="宋体"/>
                <w:color w:val="auto"/>
                <w:szCs w:val="21"/>
                <w:highlight w:val="none"/>
              </w:rPr>
            </w:pPr>
            <w:r>
              <w:rPr>
                <w:rStyle w:val="341"/>
                <w:rFonts w:hint="eastAsia" w:ascii="宋体" w:hAnsi="宋体" w:cs="宋体"/>
                <w:color w:val="auto"/>
                <w:szCs w:val="21"/>
                <w:highlight w:val="none"/>
              </w:rPr>
              <w:t>（1）甲醛释放量≤0.05mg/m³；苯≤0.05mg/m³；甲苯≤0.1mg/m³；二甲苯≤0.1mg/m³；总挥发性有机化合物(TVOC)≤0.3mg/m³；</w:t>
            </w:r>
          </w:p>
          <w:p w14:paraId="4560C4F2">
            <w:pPr>
              <w:rPr>
                <w:rStyle w:val="341"/>
                <w:rFonts w:ascii="宋体" w:hAnsi="宋体" w:cs="宋体"/>
                <w:color w:val="auto"/>
                <w:szCs w:val="21"/>
                <w:highlight w:val="none"/>
              </w:rPr>
            </w:pPr>
            <w:r>
              <w:rPr>
                <w:rStyle w:val="341"/>
                <w:rFonts w:hint="eastAsia" w:ascii="宋体" w:hAnsi="宋体" w:cs="宋体"/>
                <w:color w:val="auto"/>
                <w:szCs w:val="21"/>
                <w:highlight w:val="none"/>
              </w:rPr>
              <w:t>（2）家具涂层可迁移元素：铅Pb≤90mg/kg；镉Cd≤50mg/kg：铬Cr≤25mg/kg；汞Hg≤25mg/kg；锑Sb≤60mg/kg；钡Ba≤1000mg/kg；硒Se≤500mg/kg；砷As≤25mg/kg。</w:t>
            </w:r>
          </w:p>
          <w:p w14:paraId="124B5F04">
            <w:pPr>
              <w:rPr>
                <w:rStyle w:val="341"/>
                <w:rFonts w:ascii="宋体" w:hAnsi="宋体" w:cs="宋体"/>
                <w:color w:val="auto"/>
                <w:szCs w:val="21"/>
                <w:highlight w:val="none"/>
              </w:rPr>
            </w:pPr>
            <w:r>
              <w:rPr>
                <w:rStyle w:val="341"/>
                <w:rFonts w:hint="eastAsia" w:ascii="宋体" w:hAnsi="宋体" w:cs="宋体"/>
                <w:color w:val="auto"/>
                <w:szCs w:val="21"/>
                <w:highlight w:val="none"/>
              </w:rPr>
              <w:t>六.有害物质限量</w:t>
            </w:r>
          </w:p>
          <w:p w14:paraId="720B109E">
            <w:pPr>
              <w:rPr>
                <w:rStyle w:val="341"/>
                <w:rFonts w:ascii="宋体" w:hAnsi="宋体" w:cs="宋体"/>
                <w:color w:val="auto"/>
                <w:szCs w:val="21"/>
                <w:highlight w:val="none"/>
              </w:rPr>
            </w:pPr>
            <w:r>
              <w:rPr>
                <w:rStyle w:val="341"/>
                <w:rFonts w:hint="eastAsia" w:ascii="宋体" w:hAnsi="宋体" w:cs="宋体"/>
                <w:color w:val="auto"/>
                <w:szCs w:val="21"/>
                <w:highlight w:val="none"/>
              </w:rPr>
              <w:t xml:space="preserve">1）邻苯二甲酸酯：DBP≤0.1%；BBP≤0.1%；DEHP≤0.1%；DNOP≤0.1%；DINP≤0.1%；DIDP≤0.1%。 </w:t>
            </w:r>
          </w:p>
          <w:p w14:paraId="45D9B72F">
            <w:pPr>
              <w:rPr>
                <w:rStyle w:val="341"/>
                <w:rFonts w:ascii="宋体" w:hAnsi="宋体" w:cs="宋体"/>
                <w:color w:val="auto"/>
                <w:szCs w:val="21"/>
                <w:highlight w:val="none"/>
              </w:rPr>
            </w:pPr>
            <w:r>
              <w:rPr>
                <w:rStyle w:val="341"/>
                <w:rFonts w:hint="eastAsia" w:ascii="宋体" w:hAnsi="宋体" w:cs="宋体"/>
                <w:color w:val="auto"/>
                <w:szCs w:val="21"/>
                <w:highlight w:val="none"/>
              </w:rPr>
              <w:t>2）多环芳烃：苯并[α]芘≤1.0mg/kg；</w:t>
            </w:r>
          </w:p>
          <w:p w14:paraId="575BB240">
            <w:pPr>
              <w:rPr>
                <w:rStyle w:val="341"/>
                <w:rFonts w:ascii="宋体" w:hAnsi="宋体" w:cs="宋体"/>
                <w:color w:val="auto"/>
                <w:szCs w:val="21"/>
                <w:highlight w:val="none"/>
              </w:rPr>
            </w:pPr>
            <w:r>
              <w:rPr>
                <w:rStyle w:val="341"/>
                <w:rFonts w:hint="eastAsia" w:ascii="宋体" w:hAnsi="宋体" w:cs="宋体"/>
                <w:color w:val="auto"/>
                <w:szCs w:val="21"/>
                <w:highlight w:val="none"/>
              </w:rPr>
              <w:t>七.耐腐蚀性能：满足GB/T10125-2021《人造气氛腐蚀试验、盐雾试验》、GB/T6461-2002《金属基体上金属和其它无机覆盖层经腐蚀试验后的试样和试件的评级》标准要求：</w:t>
            </w:r>
            <w:r>
              <w:rPr>
                <w:rStyle w:val="341"/>
                <w:rFonts w:hint="eastAsia"/>
                <w:color w:val="auto"/>
                <w:highlight w:val="none"/>
              </w:rPr>
              <w:t>中性</w:t>
            </w:r>
            <w:r>
              <w:rPr>
                <w:rStyle w:val="341"/>
                <w:rFonts w:hint="eastAsia" w:ascii="宋体" w:hAnsi="宋体" w:cs="宋体"/>
                <w:color w:val="auto"/>
                <w:szCs w:val="21"/>
                <w:highlight w:val="none"/>
              </w:rPr>
              <w:t>盐雾试验(≥360h)：①涂镀层对基体的保护评级达到10级。②涂镀层本身的耐腐蚀等级（外观评级）达到10级。</w:t>
            </w:r>
          </w:p>
          <w:p w14:paraId="71BE16AD">
            <w:pPr>
              <w:rPr>
                <w:rStyle w:val="341"/>
                <w:rFonts w:ascii="宋体" w:hAnsi="宋体" w:cs="宋体"/>
                <w:color w:val="auto"/>
                <w:szCs w:val="21"/>
                <w:highlight w:val="none"/>
              </w:rPr>
            </w:pPr>
            <w:r>
              <w:rPr>
                <w:rStyle w:val="341"/>
                <w:rFonts w:hint="eastAsia" w:ascii="宋体" w:hAnsi="宋体" w:cs="宋体"/>
                <w:color w:val="auto"/>
                <w:szCs w:val="21"/>
                <w:highlight w:val="none"/>
              </w:rPr>
              <w:t>八.耐湿热性能(≥360h)：合格</w:t>
            </w:r>
          </w:p>
          <w:p w14:paraId="5A5E9E2A">
            <w:pPr>
              <w:rPr>
                <w:rStyle w:val="341"/>
                <w:rFonts w:ascii="宋体" w:hAnsi="宋体" w:cs="宋体"/>
                <w:color w:val="auto"/>
                <w:szCs w:val="21"/>
                <w:highlight w:val="none"/>
              </w:rPr>
            </w:pPr>
            <w:r>
              <w:rPr>
                <w:rStyle w:val="341"/>
                <w:rFonts w:hint="eastAsia" w:ascii="宋体" w:hAnsi="宋体" w:cs="宋体"/>
                <w:color w:val="auto"/>
                <w:szCs w:val="21"/>
                <w:highlight w:val="none"/>
              </w:rPr>
              <w:t>九.燃烧性能B1级:1、热释放速率峰值≤200kW；2、5min内总热释放量≤30MJ；3、最大烟密度≤75%。</w:t>
            </w:r>
          </w:p>
          <w:p w14:paraId="7F63E216">
            <w:pPr>
              <w:rPr>
                <w:rStyle w:val="341"/>
                <w:rFonts w:ascii="宋体" w:hAnsi="宋体" w:cs="宋体"/>
                <w:color w:val="auto"/>
                <w:szCs w:val="21"/>
                <w:highlight w:val="none"/>
              </w:rPr>
            </w:pPr>
            <w:r>
              <w:rPr>
                <w:rStyle w:val="341"/>
                <w:rFonts w:hint="eastAsia" w:ascii="宋体" w:hAnsi="宋体" w:cs="宋体"/>
                <w:color w:val="auto"/>
                <w:szCs w:val="21"/>
                <w:highlight w:val="none"/>
              </w:rPr>
              <w:t>十、抗菌性能：按照QB/T 4371-2012《家具抗菌性能的评价》：</w:t>
            </w:r>
          </w:p>
          <w:p w14:paraId="75AF3135">
            <w:pPr>
              <w:pStyle w:val="342"/>
              <w:rPr>
                <w:rStyle w:val="341"/>
                <w:rFonts w:ascii="宋体" w:hAnsi="宋体" w:cs="宋体"/>
                <w:color w:val="auto"/>
                <w:szCs w:val="21"/>
                <w:highlight w:val="none"/>
              </w:rPr>
            </w:pPr>
            <w:r>
              <w:rPr>
                <w:rStyle w:val="341"/>
                <w:rFonts w:hint="eastAsia" w:ascii="宋体" w:hAnsi="宋体" w:cs="宋体"/>
                <w:color w:val="auto"/>
                <w:highlight w:val="none"/>
                <w:lang w:bidi="ar-SA"/>
              </w:rPr>
              <w:t>至少对变形链球菌、产气肠杆菌、奇异变形杆菌、藤黄微球菌、肺炎克雷伯氏菌(肺炎杆菌)、大肠埃希氏菌、耐甲氧西林金黄色葡萄球菌、变异库克菌、肺炎链球菌、鼠伤寒沙门氏菌、宋氏志贺氏菌(宋内氏志贺氏菌)、白色念珠菌、铜绿假单胞菌、粘质沙雷氏菌、粪肠球菌(粪链球菌)中的任意12种抑菌率≥99%。</w:t>
            </w:r>
          </w:p>
          <w:p w14:paraId="19DBEDDD">
            <w:pPr>
              <w:rPr>
                <w:rStyle w:val="341"/>
                <w:rFonts w:ascii="宋体" w:hAnsi="宋体" w:cs="宋体"/>
                <w:color w:val="auto"/>
                <w:szCs w:val="21"/>
                <w:highlight w:val="none"/>
              </w:rPr>
            </w:pPr>
            <w:r>
              <w:rPr>
                <w:rStyle w:val="341"/>
                <w:rFonts w:hint="eastAsia" w:ascii="宋体" w:hAnsi="宋体" w:cs="宋体"/>
                <w:color w:val="auto"/>
                <w:szCs w:val="21"/>
                <w:highlight w:val="none"/>
              </w:rPr>
              <w:t>十一、耐霉菌性：按照GB/T 1741-2020《漆膜耐霉菌性测定法》：</w:t>
            </w:r>
          </w:p>
          <w:p w14:paraId="6189FA25">
            <w:pPr>
              <w:rPr>
                <w:rStyle w:val="341"/>
                <w:rFonts w:ascii="宋体" w:hAnsi="宋体" w:cs="宋体"/>
                <w:color w:val="auto"/>
                <w:szCs w:val="21"/>
                <w:highlight w:val="none"/>
              </w:rPr>
            </w:pPr>
            <w:r>
              <w:rPr>
                <w:rFonts w:hint="eastAsia" w:ascii="宋体" w:hAnsi="宋体" w:cs="宋体"/>
                <w:color w:val="auto"/>
                <w:highlight w:val="none"/>
              </w:rPr>
              <w:t>至少对</w:t>
            </w:r>
            <w:r>
              <w:rPr>
                <w:rStyle w:val="341"/>
                <w:rFonts w:hint="eastAsia" w:ascii="宋体" w:hAnsi="宋体" w:cs="宋体"/>
                <w:color w:val="auto"/>
                <w:highlight w:val="none"/>
              </w:rPr>
              <w:t>桔青霉、出芽短梗霉、绿色木霉、长枝木霉、短柄帚霉、腊叶芽枝霉、链格孢、产黄青霉、赭绿青霉、绿粘帚霉、变幻青霉、黑曲霉、宛氏拟青霉、绳状青霉 、球毛壳霉中的任意12种长霉等级0级。</w:t>
            </w:r>
          </w:p>
        </w:tc>
      </w:tr>
    </w:tbl>
    <w:p w14:paraId="69770729">
      <w:pPr>
        <w:rPr>
          <w:color w:val="auto"/>
          <w:highlight w:val="none"/>
        </w:rPr>
      </w:pPr>
    </w:p>
    <w:p w14:paraId="6BA0B267">
      <w:pPr>
        <w:outlineLvl w:val="2"/>
        <w:rPr>
          <w:rStyle w:val="341"/>
          <w:rFonts w:hint="eastAsia" w:ascii="宋体" w:hAnsi="宋体" w:cs="宋体"/>
          <w:color w:val="auto"/>
          <w:sz w:val="22"/>
          <w:szCs w:val="22"/>
          <w:highlight w:val="none"/>
          <w:lang w:val="en-US" w:eastAsia="zh-CN"/>
        </w:rPr>
      </w:pPr>
      <w:r>
        <w:rPr>
          <w:rStyle w:val="341"/>
          <w:rFonts w:hint="eastAsia" w:ascii="宋体" w:hAnsi="宋体" w:cs="宋体"/>
          <w:color w:val="auto"/>
          <w:sz w:val="22"/>
          <w:szCs w:val="22"/>
          <w:highlight w:val="none"/>
          <w:lang w:val="en-US" w:eastAsia="zh-CN"/>
        </w:rPr>
        <w:t>10、货架类产品</w:t>
      </w:r>
    </w:p>
    <w:tbl>
      <w:tblPr>
        <w:tblStyle w:val="52"/>
        <w:tblW w:w="10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0"/>
        <w:gridCol w:w="1161"/>
        <w:gridCol w:w="8255"/>
      </w:tblGrid>
      <w:tr w14:paraId="1B0AA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14:paraId="3007E05C">
            <w:pPr>
              <w:pStyle w:val="342"/>
              <w:spacing w:after="0" w:line="360" w:lineRule="auto"/>
              <w:jc w:val="center"/>
              <w:rPr>
                <w:rStyle w:val="341"/>
                <w:rFonts w:ascii="宋体" w:hAnsi="宋体" w:cs="宋体"/>
                <w:b/>
                <w:color w:val="auto"/>
                <w:highlight w:val="none"/>
              </w:rPr>
            </w:pPr>
            <w:r>
              <w:rPr>
                <w:rStyle w:val="341"/>
                <w:rFonts w:hint="eastAsia" w:ascii="宋体" w:hAnsi="宋体" w:cs="宋体"/>
                <w:color w:val="auto"/>
                <w:highlight w:val="none"/>
              </w:rPr>
              <w:t>序号</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5D9BEF7A">
            <w:pPr>
              <w:pStyle w:val="342"/>
              <w:spacing w:after="0" w:line="360" w:lineRule="auto"/>
              <w:jc w:val="center"/>
              <w:rPr>
                <w:rStyle w:val="341"/>
                <w:rFonts w:ascii="宋体" w:hAnsi="宋体" w:cs="宋体"/>
                <w:b/>
                <w:color w:val="auto"/>
                <w:highlight w:val="none"/>
              </w:rPr>
            </w:pPr>
            <w:r>
              <w:rPr>
                <w:rStyle w:val="341"/>
                <w:rFonts w:hint="eastAsia" w:ascii="宋体" w:hAnsi="宋体" w:cs="宋体"/>
                <w:color w:val="auto"/>
                <w:highlight w:val="none"/>
              </w:rPr>
              <w:t>项目</w:t>
            </w:r>
          </w:p>
        </w:tc>
        <w:tc>
          <w:tcPr>
            <w:tcW w:w="8255" w:type="dxa"/>
            <w:tcBorders>
              <w:top w:val="single" w:color="000000" w:sz="4" w:space="0"/>
              <w:left w:val="single" w:color="000000" w:sz="4" w:space="0"/>
              <w:bottom w:val="single" w:color="000000" w:sz="4" w:space="0"/>
              <w:right w:val="single" w:color="000000" w:sz="4" w:space="0"/>
            </w:tcBorders>
            <w:noWrap/>
            <w:vAlign w:val="center"/>
          </w:tcPr>
          <w:p w14:paraId="5918E562">
            <w:pPr>
              <w:pStyle w:val="342"/>
              <w:spacing w:after="0" w:line="360" w:lineRule="auto"/>
              <w:jc w:val="center"/>
              <w:rPr>
                <w:rStyle w:val="341"/>
                <w:rFonts w:ascii="宋体" w:hAnsi="宋体" w:cs="宋体"/>
                <w:b/>
                <w:color w:val="auto"/>
                <w:highlight w:val="none"/>
              </w:rPr>
            </w:pPr>
            <w:r>
              <w:rPr>
                <w:rStyle w:val="341"/>
                <w:rFonts w:hint="eastAsia" w:ascii="宋体" w:hAnsi="宋体" w:cs="宋体"/>
                <w:color w:val="auto"/>
                <w:highlight w:val="none"/>
              </w:rPr>
              <w:t>技术要求</w:t>
            </w:r>
          </w:p>
        </w:tc>
      </w:tr>
      <w:tr w14:paraId="3F74E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14:paraId="5581F3D1">
            <w:pPr>
              <w:pStyle w:val="342"/>
              <w:spacing w:after="0" w:line="360" w:lineRule="auto"/>
              <w:jc w:val="center"/>
              <w:rPr>
                <w:rStyle w:val="341"/>
                <w:rFonts w:ascii="宋体" w:hAnsi="宋体" w:cs="宋体"/>
                <w:color w:val="auto"/>
                <w:highlight w:val="none"/>
              </w:rPr>
            </w:pPr>
            <w:r>
              <w:rPr>
                <w:rStyle w:val="341"/>
                <w:rFonts w:hint="eastAsia" w:ascii="宋体" w:hAnsi="宋体" w:cs="宋体"/>
                <w:color w:val="auto"/>
                <w:highlight w:val="none"/>
              </w:rPr>
              <w:t>1</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5578C3F1">
            <w:pPr>
              <w:pStyle w:val="342"/>
              <w:spacing w:after="0" w:line="360" w:lineRule="auto"/>
              <w:jc w:val="center"/>
              <w:rPr>
                <w:rStyle w:val="341"/>
                <w:rFonts w:ascii="宋体" w:hAnsi="宋体" w:cs="宋体"/>
                <w:color w:val="auto"/>
                <w:highlight w:val="none"/>
              </w:rPr>
            </w:pPr>
            <w:r>
              <w:rPr>
                <w:rStyle w:val="341"/>
                <w:rFonts w:hint="eastAsia" w:ascii="宋体" w:hAnsi="宋体" w:cs="宋体"/>
                <w:color w:val="auto"/>
                <w:highlight w:val="none"/>
              </w:rPr>
              <w:t>材质及</w:t>
            </w:r>
          </w:p>
          <w:p w14:paraId="0C28E0AD">
            <w:pPr>
              <w:pStyle w:val="342"/>
              <w:spacing w:after="0" w:line="360" w:lineRule="auto"/>
              <w:jc w:val="center"/>
              <w:rPr>
                <w:rStyle w:val="341"/>
                <w:rFonts w:ascii="宋体" w:hAnsi="宋体" w:cs="宋体"/>
                <w:color w:val="auto"/>
                <w:highlight w:val="none"/>
              </w:rPr>
            </w:pPr>
            <w:r>
              <w:rPr>
                <w:rStyle w:val="341"/>
                <w:rFonts w:hint="eastAsia" w:ascii="宋体" w:hAnsi="宋体" w:cs="宋体"/>
                <w:color w:val="auto"/>
                <w:highlight w:val="none"/>
              </w:rPr>
              <w:t>工艺技术</w:t>
            </w:r>
          </w:p>
        </w:tc>
        <w:tc>
          <w:tcPr>
            <w:tcW w:w="8255" w:type="dxa"/>
            <w:tcBorders>
              <w:top w:val="single" w:color="000000" w:sz="4" w:space="0"/>
              <w:left w:val="single" w:color="000000" w:sz="4" w:space="0"/>
              <w:bottom w:val="single" w:color="000000" w:sz="4" w:space="0"/>
              <w:right w:val="single" w:color="000000" w:sz="4" w:space="0"/>
            </w:tcBorders>
            <w:noWrap/>
            <w:vAlign w:val="center"/>
          </w:tcPr>
          <w:p w14:paraId="1BA71CF1">
            <w:pPr>
              <w:pStyle w:val="342"/>
              <w:numPr>
                <w:ilvl w:val="0"/>
                <w:numId w:val="5"/>
              </w:numPr>
              <w:spacing w:after="0" w:line="360" w:lineRule="auto"/>
              <w:ind w:left="0"/>
              <w:rPr>
                <w:rStyle w:val="341"/>
                <w:rFonts w:ascii="宋体" w:hAnsi="宋体" w:cs="宋体"/>
                <w:color w:val="auto"/>
                <w:highlight w:val="none"/>
              </w:rPr>
            </w:pPr>
            <w:r>
              <w:rPr>
                <w:rStyle w:val="341"/>
                <w:rFonts w:hint="eastAsia" w:ascii="宋体" w:hAnsi="宋体" w:cs="宋体"/>
                <w:color w:val="auto"/>
                <w:highlight w:val="none"/>
              </w:rPr>
              <w:t>1、架体：采用优质ST12、SPCC优质冷轧钢板、钢管，立柱80*40*1.2mm，横梁60*40*1.2mm，层板0.8 mm，表面应平整光滑、无划痕。</w:t>
            </w:r>
          </w:p>
          <w:p w14:paraId="35B4FB72">
            <w:pPr>
              <w:pStyle w:val="342"/>
              <w:numPr>
                <w:ilvl w:val="0"/>
                <w:numId w:val="5"/>
              </w:numPr>
              <w:spacing w:after="0" w:line="360" w:lineRule="auto"/>
              <w:ind w:left="0"/>
              <w:rPr>
                <w:rStyle w:val="341"/>
                <w:rFonts w:ascii="宋体" w:hAnsi="宋体" w:cs="宋体"/>
                <w:color w:val="auto"/>
                <w:highlight w:val="none"/>
              </w:rPr>
            </w:pPr>
            <w:r>
              <w:rPr>
                <w:rStyle w:val="341"/>
                <w:rFonts w:hint="eastAsia" w:ascii="宋体" w:hAnsi="宋体" w:cs="宋体"/>
                <w:color w:val="auto"/>
                <w:highlight w:val="none"/>
              </w:rPr>
              <w:t>2、采用电阻焊接工艺，无外露焊点，钢板采用激光切割及数控折边成型，保证产品表面不会出现凹凸不平的焊疤。</w:t>
            </w:r>
          </w:p>
          <w:p w14:paraId="098056F8">
            <w:pPr>
              <w:pStyle w:val="342"/>
              <w:numPr>
                <w:ilvl w:val="0"/>
                <w:numId w:val="5"/>
              </w:numPr>
              <w:spacing w:after="0" w:line="360" w:lineRule="auto"/>
              <w:ind w:left="0"/>
              <w:rPr>
                <w:rStyle w:val="341"/>
                <w:rFonts w:ascii="宋体" w:hAnsi="宋体" w:cs="宋体"/>
                <w:color w:val="auto"/>
                <w:highlight w:val="none"/>
              </w:rPr>
            </w:pPr>
            <w:r>
              <w:rPr>
                <w:rStyle w:val="341"/>
                <w:rFonts w:hint="eastAsia" w:ascii="宋体" w:hAnsi="宋体" w:cs="宋体"/>
                <w:color w:val="auto"/>
                <w:highlight w:val="none"/>
              </w:rPr>
              <w:t>3、装饰件、支撑件、连接件、紧固件、挂钩等采用优质电镀件。</w:t>
            </w:r>
          </w:p>
        </w:tc>
      </w:tr>
      <w:tr w14:paraId="59AAD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14:paraId="5423636B">
            <w:pPr>
              <w:pStyle w:val="342"/>
              <w:spacing w:after="0" w:line="360" w:lineRule="auto"/>
              <w:jc w:val="center"/>
              <w:rPr>
                <w:rStyle w:val="341"/>
                <w:rFonts w:ascii="宋体" w:hAnsi="宋体" w:cs="宋体"/>
                <w:color w:val="auto"/>
                <w:highlight w:val="none"/>
              </w:rPr>
            </w:pPr>
            <w:r>
              <w:rPr>
                <w:rStyle w:val="341"/>
                <w:rFonts w:hint="eastAsia" w:ascii="宋体" w:hAnsi="宋体" w:cs="宋体"/>
                <w:color w:val="auto"/>
                <w:highlight w:val="none"/>
              </w:rPr>
              <w:t>2</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4D492F49">
            <w:pPr>
              <w:pStyle w:val="342"/>
              <w:spacing w:after="0" w:line="360" w:lineRule="auto"/>
              <w:jc w:val="center"/>
              <w:rPr>
                <w:rStyle w:val="341"/>
                <w:rFonts w:ascii="宋体" w:hAnsi="宋体" w:cs="宋体"/>
                <w:color w:val="auto"/>
                <w:highlight w:val="none"/>
              </w:rPr>
            </w:pPr>
            <w:r>
              <w:rPr>
                <w:rStyle w:val="341"/>
                <w:rFonts w:hint="eastAsia" w:ascii="宋体" w:hAnsi="宋体" w:cs="宋体"/>
                <w:color w:val="auto"/>
                <w:highlight w:val="none"/>
              </w:rPr>
              <w:t>产品功能和配置</w:t>
            </w:r>
          </w:p>
        </w:tc>
        <w:tc>
          <w:tcPr>
            <w:tcW w:w="8255" w:type="dxa"/>
            <w:tcBorders>
              <w:top w:val="single" w:color="000000" w:sz="4" w:space="0"/>
              <w:left w:val="single" w:color="000000" w:sz="4" w:space="0"/>
              <w:bottom w:val="single" w:color="000000" w:sz="4" w:space="0"/>
              <w:right w:val="single" w:color="000000" w:sz="4" w:space="0"/>
            </w:tcBorders>
            <w:noWrap/>
            <w:vAlign w:val="center"/>
          </w:tcPr>
          <w:p w14:paraId="5BAAB883">
            <w:pPr>
              <w:pStyle w:val="342"/>
              <w:spacing w:after="0" w:line="360" w:lineRule="auto"/>
              <w:ind w:hanging="360"/>
              <w:rPr>
                <w:rStyle w:val="341"/>
                <w:rFonts w:ascii="宋体" w:hAnsi="宋体" w:cs="宋体"/>
                <w:color w:val="auto"/>
                <w:highlight w:val="none"/>
              </w:rPr>
            </w:pPr>
            <w:r>
              <w:rPr>
                <w:rFonts w:ascii="宋体" w:hAnsi="宋体" w:cs="宋体"/>
                <w:color w:val="auto"/>
                <w:highlight w:val="none"/>
              </w:rPr>
              <w:t>1、</w:t>
            </w:r>
            <w:r>
              <w:rPr>
                <w:rStyle w:val="341"/>
                <w:rFonts w:hint="eastAsia" w:ascii="宋体" w:hAnsi="宋体" w:cs="宋体"/>
                <w:color w:val="auto"/>
                <w:highlight w:val="none"/>
              </w:rPr>
              <w:t>全拼装式结构，层板高度可以自由调节，每组长度可以自由调节，可与地面固定。</w:t>
            </w:r>
          </w:p>
        </w:tc>
      </w:tr>
      <w:tr w14:paraId="211CF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14:paraId="004AA23D">
            <w:pPr>
              <w:pStyle w:val="342"/>
              <w:spacing w:after="0" w:line="360" w:lineRule="auto"/>
              <w:jc w:val="center"/>
              <w:rPr>
                <w:rStyle w:val="341"/>
                <w:rFonts w:ascii="宋体" w:hAnsi="宋体" w:cs="宋体"/>
                <w:color w:val="auto"/>
                <w:highlight w:val="none"/>
              </w:rPr>
            </w:pPr>
            <w:r>
              <w:rPr>
                <w:rStyle w:val="341"/>
                <w:rFonts w:hint="eastAsia" w:ascii="宋体" w:hAnsi="宋体" w:cs="宋体"/>
                <w:color w:val="auto"/>
                <w:highlight w:val="none"/>
              </w:rPr>
              <w:t>3</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04A45B4D">
            <w:pPr>
              <w:pStyle w:val="342"/>
              <w:spacing w:after="0" w:line="360" w:lineRule="auto"/>
              <w:jc w:val="center"/>
              <w:rPr>
                <w:rStyle w:val="341"/>
                <w:rFonts w:ascii="宋体" w:hAnsi="宋体" w:cs="宋体"/>
                <w:color w:val="auto"/>
                <w:highlight w:val="none"/>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参数要求</w:t>
            </w:r>
          </w:p>
        </w:tc>
        <w:tc>
          <w:tcPr>
            <w:tcW w:w="8255" w:type="dxa"/>
            <w:tcBorders>
              <w:top w:val="single" w:color="000000" w:sz="4" w:space="0"/>
              <w:left w:val="single" w:color="000000" w:sz="4" w:space="0"/>
              <w:bottom w:val="single" w:color="000000" w:sz="4" w:space="0"/>
              <w:right w:val="single" w:color="000000" w:sz="4" w:space="0"/>
            </w:tcBorders>
            <w:noWrap/>
            <w:vAlign w:val="center"/>
          </w:tcPr>
          <w:p w14:paraId="5E15C0C8">
            <w:pPr>
              <w:rPr>
                <w:rStyle w:val="341"/>
                <w:rFonts w:ascii="宋体" w:hAnsi="宋体" w:cs="宋体"/>
                <w:color w:val="auto"/>
                <w:highlight w:val="none"/>
              </w:rPr>
            </w:pPr>
            <w:r>
              <w:rPr>
                <w:rStyle w:val="341"/>
                <w:rFonts w:hint="eastAsia" w:ascii="宋体" w:hAnsi="宋体" w:cs="宋体"/>
                <w:color w:val="auto"/>
                <w:highlight w:val="none"/>
              </w:rPr>
              <w:t>一、 金属喷漆(塑)涂层：</w:t>
            </w:r>
          </w:p>
          <w:p w14:paraId="6A7DB7C7">
            <w:pPr>
              <w:rPr>
                <w:rStyle w:val="341"/>
                <w:rFonts w:ascii="宋体" w:hAnsi="宋体" w:cs="宋体"/>
                <w:color w:val="auto"/>
                <w:highlight w:val="none"/>
              </w:rPr>
            </w:pPr>
            <w:r>
              <w:rPr>
                <w:rStyle w:val="341"/>
                <w:rFonts w:hint="eastAsia" w:ascii="宋体" w:hAnsi="宋体" w:cs="宋体"/>
                <w:color w:val="auto"/>
                <w:highlight w:val="none"/>
              </w:rPr>
              <w:t>（1）冲击强度：冲击高度400mm,应无剥落、裂纹、皱纹；</w:t>
            </w:r>
          </w:p>
          <w:p w14:paraId="602AC4A7">
            <w:pPr>
              <w:rPr>
                <w:rStyle w:val="341"/>
                <w:rFonts w:ascii="宋体" w:hAnsi="宋体" w:cs="宋体"/>
                <w:color w:val="auto"/>
                <w:highlight w:val="none"/>
              </w:rPr>
            </w:pPr>
            <w:r>
              <w:rPr>
                <w:rStyle w:val="341"/>
                <w:rFonts w:hint="eastAsia" w:ascii="宋体" w:hAnsi="宋体" w:cs="宋体"/>
                <w:color w:val="auto"/>
                <w:highlight w:val="none"/>
              </w:rPr>
              <w:t>（2）附着力：应不低于2级。</w:t>
            </w:r>
          </w:p>
          <w:p w14:paraId="36B58964">
            <w:pPr>
              <w:rPr>
                <w:rStyle w:val="341"/>
                <w:rFonts w:ascii="宋体" w:hAnsi="宋体" w:cs="宋体"/>
                <w:color w:val="auto"/>
                <w:highlight w:val="none"/>
              </w:rPr>
            </w:pPr>
            <w:r>
              <w:rPr>
                <w:rStyle w:val="341"/>
                <w:rFonts w:hint="eastAsia" w:ascii="宋体" w:hAnsi="宋体" w:cs="宋体"/>
                <w:color w:val="auto"/>
                <w:highlight w:val="none"/>
              </w:rPr>
              <w:t>二、 稳定性：合格</w:t>
            </w:r>
          </w:p>
          <w:p w14:paraId="2AD4D5F6">
            <w:pPr>
              <w:rPr>
                <w:rStyle w:val="341"/>
                <w:rFonts w:ascii="宋体" w:hAnsi="宋体" w:cs="宋体"/>
                <w:color w:val="auto"/>
                <w:highlight w:val="none"/>
              </w:rPr>
            </w:pPr>
            <w:r>
              <w:rPr>
                <w:rStyle w:val="341"/>
                <w:rFonts w:hint="eastAsia" w:ascii="宋体" w:hAnsi="宋体" w:cs="宋体"/>
                <w:color w:val="auto"/>
                <w:highlight w:val="none"/>
              </w:rPr>
              <w:t>三、搁板支承件强度：合格</w:t>
            </w:r>
          </w:p>
          <w:p w14:paraId="328FAE27">
            <w:pPr>
              <w:rPr>
                <w:rStyle w:val="341"/>
                <w:rFonts w:ascii="宋体" w:hAnsi="宋体" w:cs="宋体"/>
                <w:color w:val="auto"/>
                <w:highlight w:val="none"/>
              </w:rPr>
            </w:pPr>
            <w:r>
              <w:rPr>
                <w:rStyle w:val="341"/>
                <w:rFonts w:hint="eastAsia" w:ascii="宋体" w:hAnsi="宋体" w:cs="宋体"/>
                <w:color w:val="auto"/>
                <w:highlight w:val="none"/>
              </w:rPr>
              <w:t>四、搁板弯曲：（1）最大挠度应不大于4.00mm；（2）残余变形量应不大于0.30 mm。</w:t>
            </w:r>
          </w:p>
          <w:p w14:paraId="14AE1F0A">
            <w:pPr>
              <w:rPr>
                <w:rStyle w:val="341"/>
                <w:rFonts w:ascii="宋体" w:hAnsi="宋体" w:cs="宋体"/>
                <w:color w:val="auto"/>
                <w:highlight w:val="none"/>
              </w:rPr>
            </w:pPr>
            <w:r>
              <w:rPr>
                <w:rStyle w:val="341"/>
                <w:rFonts w:hint="eastAsia" w:ascii="宋体" w:hAnsi="宋体" w:cs="宋体"/>
                <w:color w:val="auto"/>
                <w:highlight w:val="none"/>
              </w:rPr>
              <w:t>五、全静载荷：经24h连续试验卸载后，书架的挂板、搁板、立柱及其结合部位应无塑性变形。</w:t>
            </w:r>
          </w:p>
          <w:p w14:paraId="016F6E58">
            <w:pPr>
              <w:rPr>
                <w:rStyle w:val="341"/>
                <w:rFonts w:ascii="宋体" w:hAnsi="宋体" w:cs="宋体"/>
                <w:color w:val="auto"/>
                <w:highlight w:val="none"/>
              </w:rPr>
            </w:pPr>
            <w:r>
              <w:rPr>
                <w:rStyle w:val="341"/>
                <w:rFonts w:hint="eastAsia" w:ascii="宋体" w:hAnsi="宋体" w:cs="宋体"/>
                <w:color w:val="auto"/>
                <w:highlight w:val="none"/>
              </w:rPr>
              <w:t>六、耐腐蚀性能：</w:t>
            </w:r>
          </w:p>
          <w:p w14:paraId="089A1A32">
            <w:pPr>
              <w:rPr>
                <w:rStyle w:val="341"/>
                <w:rFonts w:ascii="宋体" w:hAnsi="宋体" w:cs="宋体"/>
                <w:color w:val="auto"/>
                <w:highlight w:val="none"/>
              </w:rPr>
            </w:pPr>
            <w:r>
              <w:rPr>
                <w:rStyle w:val="341"/>
                <w:rFonts w:hint="eastAsia" w:ascii="宋体" w:hAnsi="宋体" w:cs="宋体"/>
                <w:color w:val="auto"/>
                <w:highlight w:val="none"/>
              </w:rPr>
              <w:t>1、满足GB/T10125-2021《人造气氛腐蚀试验、盐雾试验》、GB/T6461-2002《金属基体上金属和其它无机覆盖层经腐蚀试验后的试样和试件的评级》标准要求：</w:t>
            </w:r>
            <w:r>
              <w:rPr>
                <w:rStyle w:val="341"/>
                <w:rFonts w:hint="eastAsia"/>
                <w:color w:val="auto"/>
                <w:highlight w:val="none"/>
              </w:rPr>
              <w:t>中性</w:t>
            </w:r>
            <w:r>
              <w:rPr>
                <w:rStyle w:val="341"/>
                <w:rFonts w:hint="eastAsia" w:ascii="宋体" w:hAnsi="宋体" w:cs="宋体"/>
                <w:color w:val="auto"/>
                <w:highlight w:val="none"/>
              </w:rPr>
              <w:t>盐雾试验(≥360h)：①涂镀层对基体的保护评级达到10级。②涂镀层本身的耐腐蚀等级（外观评级）达到10级。</w:t>
            </w:r>
          </w:p>
          <w:p w14:paraId="0E16FD2C">
            <w:pPr>
              <w:rPr>
                <w:rStyle w:val="341"/>
                <w:rFonts w:ascii="宋体" w:hAnsi="宋体" w:cs="宋体"/>
                <w:color w:val="auto"/>
                <w:highlight w:val="none"/>
              </w:rPr>
            </w:pPr>
            <w:r>
              <w:rPr>
                <w:rStyle w:val="341"/>
                <w:rFonts w:hint="eastAsia" w:ascii="宋体" w:hAnsi="宋体" w:cs="宋体"/>
                <w:color w:val="auto"/>
                <w:highlight w:val="none"/>
              </w:rPr>
              <w:t>七、耐湿热性能(≥360h)：合格</w:t>
            </w:r>
          </w:p>
          <w:p w14:paraId="5C9607A2">
            <w:pPr>
              <w:rPr>
                <w:rStyle w:val="341"/>
                <w:rFonts w:ascii="宋体" w:hAnsi="宋体" w:cs="宋体"/>
                <w:color w:val="auto"/>
                <w:highlight w:val="none"/>
              </w:rPr>
            </w:pPr>
            <w:r>
              <w:rPr>
                <w:rStyle w:val="341"/>
                <w:rFonts w:hint="eastAsia" w:ascii="宋体" w:hAnsi="宋体" w:cs="宋体"/>
                <w:color w:val="auto"/>
                <w:highlight w:val="none"/>
              </w:rPr>
              <w:t>八、产品有害物质：</w:t>
            </w:r>
          </w:p>
          <w:p w14:paraId="7F5693CC">
            <w:pPr>
              <w:rPr>
                <w:rStyle w:val="341"/>
                <w:rFonts w:ascii="宋体" w:hAnsi="宋体" w:cs="宋体"/>
                <w:color w:val="auto"/>
                <w:highlight w:val="none"/>
              </w:rPr>
            </w:pPr>
            <w:r>
              <w:rPr>
                <w:rStyle w:val="341"/>
                <w:rFonts w:hint="eastAsia" w:ascii="宋体" w:hAnsi="宋体" w:cs="宋体"/>
                <w:color w:val="auto"/>
                <w:highlight w:val="none"/>
              </w:rPr>
              <w:t>（1）甲醛释放量≤0.05mg/m³；苯≤0.05mg/m³；甲苯≤0.1mg/m³；二甲苯≤0.1mg/m³；总挥发性有机化合物(TVOC)≤0.3mg/m³；</w:t>
            </w:r>
          </w:p>
          <w:p w14:paraId="51883E70">
            <w:pPr>
              <w:rPr>
                <w:rStyle w:val="341"/>
                <w:rFonts w:ascii="宋体" w:hAnsi="宋体" w:cs="宋体"/>
                <w:color w:val="auto"/>
                <w:highlight w:val="none"/>
              </w:rPr>
            </w:pPr>
            <w:r>
              <w:rPr>
                <w:rStyle w:val="341"/>
                <w:rFonts w:hint="eastAsia" w:ascii="宋体" w:hAnsi="宋体" w:cs="宋体"/>
                <w:color w:val="auto"/>
                <w:highlight w:val="none"/>
              </w:rPr>
              <w:t>（2）家具涂层可迁移元素：铅Pb≤90mg/kg；镉Cd≤50mg/kg：铬Cr≤25mg/kg；汞Hg≤25mg/kg；锑Sb≤60mg/kg；钡Ba≤1000mg/kg；硒Se≤500mg/kg；砷As≤25mg/kg。</w:t>
            </w:r>
          </w:p>
          <w:p w14:paraId="364A6A42">
            <w:pPr>
              <w:rPr>
                <w:rStyle w:val="341"/>
                <w:rFonts w:ascii="宋体" w:hAnsi="宋体" w:cs="宋体"/>
                <w:color w:val="auto"/>
                <w:highlight w:val="none"/>
              </w:rPr>
            </w:pPr>
            <w:r>
              <w:rPr>
                <w:rStyle w:val="341"/>
                <w:rFonts w:hint="eastAsia" w:ascii="宋体" w:hAnsi="宋体" w:cs="宋体"/>
                <w:color w:val="auto"/>
                <w:highlight w:val="none"/>
              </w:rPr>
              <w:t>九、维氏硬度≥80</w:t>
            </w:r>
          </w:p>
          <w:p w14:paraId="7D08EBE9">
            <w:pPr>
              <w:rPr>
                <w:rStyle w:val="341"/>
                <w:rFonts w:ascii="宋体" w:hAnsi="宋体" w:cs="宋体"/>
                <w:color w:val="auto"/>
                <w:highlight w:val="none"/>
              </w:rPr>
            </w:pPr>
            <w:r>
              <w:rPr>
                <w:rStyle w:val="341"/>
                <w:rFonts w:hint="eastAsia" w:ascii="宋体" w:hAnsi="宋体" w:cs="宋体"/>
                <w:color w:val="auto"/>
                <w:highlight w:val="none"/>
              </w:rPr>
              <w:t>十、化学成分(%)：（碳(C)≤0.2、硅（Si）≤0.35、锰(Mn)≤1.4、磷(P)≤0.045、硫(S)≤0.045。</w:t>
            </w:r>
          </w:p>
          <w:p w14:paraId="12F65D36">
            <w:pPr>
              <w:rPr>
                <w:rStyle w:val="341"/>
                <w:rFonts w:ascii="宋体" w:hAnsi="宋体" w:cs="宋体"/>
                <w:color w:val="auto"/>
                <w:highlight w:val="none"/>
              </w:rPr>
            </w:pPr>
            <w:r>
              <w:rPr>
                <w:rStyle w:val="341"/>
                <w:rFonts w:hint="eastAsia" w:ascii="宋体" w:hAnsi="宋体" w:cs="宋体"/>
                <w:color w:val="auto"/>
                <w:highlight w:val="none"/>
              </w:rPr>
              <w:t>十一、力学性能(室温拉伸)：</w:t>
            </w:r>
          </w:p>
          <w:p w14:paraId="786BF29F">
            <w:pPr>
              <w:rPr>
                <w:rStyle w:val="341"/>
                <w:rFonts w:ascii="宋体" w:hAnsi="宋体" w:cs="宋体"/>
                <w:color w:val="auto"/>
                <w:highlight w:val="none"/>
              </w:rPr>
            </w:pPr>
            <w:r>
              <w:rPr>
                <w:rStyle w:val="341"/>
                <w:rFonts w:hint="eastAsia" w:ascii="宋体" w:hAnsi="宋体" w:cs="宋体"/>
                <w:color w:val="auto"/>
                <w:highlight w:val="none"/>
              </w:rPr>
              <w:t>（1）上屈服强度≥235MPa；</w:t>
            </w:r>
          </w:p>
          <w:p w14:paraId="5BAB7428">
            <w:pPr>
              <w:rPr>
                <w:rStyle w:val="341"/>
                <w:rFonts w:ascii="宋体" w:hAnsi="宋体" w:cs="宋体"/>
                <w:color w:val="auto"/>
                <w:highlight w:val="none"/>
              </w:rPr>
            </w:pPr>
            <w:r>
              <w:rPr>
                <w:rStyle w:val="341"/>
                <w:rFonts w:hint="eastAsia" w:ascii="宋体" w:hAnsi="宋体" w:cs="宋体"/>
                <w:color w:val="auto"/>
                <w:highlight w:val="none"/>
              </w:rPr>
              <w:t>（2）抗拉强度：370～500MPa；</w:t>
            </w:r>
          </w:p>
          <w:p w14:paraId="76749F5B">
            <w:pPr>
              <w:rPr>
                <w:rStyle w:val="341"/>
                <w:rFonts w:ascii="宋体" w:hAnsi="宋体" w:cs="宋体"/>
                <w:color w:val="auto"/>
                <w:highlight w:val="none"/>
              </w:rPr>
            </w:pPr>
            <w:r>
              <w:rPr>
                <w:rStyle w:val="341"/>
                <w:rFonts w:hint="eastAsia" w:ascii="宋体" w:hAnsi="宋体" w:cs="宋体"/>
                <w:color w:val="auto"/>
                <w:highlight w:val="none"/>
              </w:rPr>
              <w:t>（3）断后伸长率≥26%。</w:t>
            </w:r>
          </w:p>
          <w:p w14:paraId="3847145B">
            <w:pPr>
              <w:rPr>
                <w:rStyle w:val="341"/>
                <w:rFonts w:ascii="宋体" w:hAnsi="宋体" w:cs="宋体"/>
                <w:color w:val="auto"/>
                <w:highlight w:val="none"/>
              </w:rPr>
            </w:pPr>
            <w:r>
              <w:rPr>
                <w:rStyle w:val="341"/>
                <w:rFonts w:hint="eastAsia" w:ascii="宋体" w:hAnsi="宋体" w:cs="宋体"/>
                <w:color w:val="auto"/>
                <w:highlight w:val="none"/>
              </w:rPr>
              <w:t xml:space="preserve">十二、燃烧性能B1级:1、热释放速率峰值≤200kW；2、5min内总热释放量≤30MJ；3、最大烟密度≤75%。 </w:t>
            </w:r>
          </w:p>
          <w:p w14:paraId="46EA96BF">
            <w:pPr>
              <w:rPr>
                <w:rStyle w:val="341"/>
                <w:rFonts w:ascii="宋体" w:hAnsi="宋体" w:cs="宋体"/>
                <w:color w:val="auto"/>
                <w:highlight w:val="none"/>
              </w:rPr>
            </w:pPr>
            <w:r>
              <w:rPr>
                <w:rStyle w:val="341"/>
                <w:rFonts w:hint="eastAsia" w:ascii="宋体" w:hAnsi="宋体" w:cs="宋体"/>
                <w:color w:val="auto"/>
                <w:highlight w:val="none"/>
              </w:rPr>
              <w:t>十三、抗菌性能：按照QB/T 4371-2012《家具抗菌性能的评价》：</w:t>
            </w:r>
          </w:p>
          <w:p w14:paraId="1C528267">
            <w:pPr>
              <w:pStyle w:val="342"/>
              <w:rPr>
                <w:rStyle w:val="341"/>
                <w:rFonts w:ascii="宋体" w:hAnsi="宋体" w:cs="宋体"/>
                <w:color w:val="auto"/>
                <w:highlight w:val="none"/>
              </w:rPr>
            </w:pPr>
            <w:r>
              <w:rPr>
                <w:rStyle w:val="341"/>
                <w:rFonts w:hint="eastAsia" w:ascii="宋体" w:hAnsi="宋体" w:cs="宋体"/>
                <w:color w:val="auto"/>
                <w:highlight w:val="none"/>
                <w:lang w:bidi="ar-SA"/>
              </w:rPr>
              <w:t>至少对变形链球菌、产气肠杆菌、奇异变形杆菌、藤黄微球菌、肺炎克雷伯氏菌(肺炎杆菌)、大肠埃希氏菌、耐甲氧西林金黄色葡萄球菌、变异库克菌、肺炎链球菌、鼠伤寒沙门氏菌、宋氏志贺氏菌(宋内氏志贺氏菌)、白色念珠菌、铜绿假单胞菌、粘质沙雷氏菌、粪肠球菌(粪链球菌)中的任意12种抑菌率≥99%。</w:t>
            </w:r>
          </w:p>
          <w:p w14:paraId="4D1DC4AA">
            <w:pPr>
              <w:rPr>
                <w:rStyle w:val="341"/>
                <w:rFonts w:ascii="宋体" w:hAnsi="宋体" w:cs="宋体"/>
                <w:color w:val="auto"/>
                <w:highlight w:val="none"/>
              </w:rPr>
            </w:pPr>
            <w:r>
              <w:rPr>
                <w:rStyle w:val="341"/>
                <w:rFonts w:hint="eastAsia" w:ascii="宋体" w:hAnsi="宋体" w:cs="宋体"/>
                <w:color w:val="auto"/>
                <w:highlight w:val="none"/>
              </w:rPr>
              <w:t>十四、耐霉菌性：按照GB/T 1741-2020《漆膜耐霉菌性测定法》：</w:t>
            </w:r>
          </w:p>
          <w:p w14:paraId="3B73E92C">
            <w:pPr>
              <w:rPr>
                <w:rStyle w:val="341"/>
                <w:rFonts w:ascii="宋体" w:hAnsi="宋体" w:cs="宋体"/>
                <w:color w:val="auto"/>
                <w:highlight w:val="none"/>
              </w:rPr>
            </w:pPr>
            <w:r>
              <w:rPr>
                <w:rFonts w:hint="eastAsia" w:ascii="宋体" w:hAnsi="宋体" w:cs="宋体"/>
                <w:color w:val="auto"/>
                <w:highlight w:val="none"/>
              </w:rPr>
              <w:t>至少对</w:t>
            </w:r>
            <w:r>
              <w:rPr>
                <w:rStyle w:val="341"/>
                <w:rFonts w:hint="eastAsia" w:ascii="宋体" w:hAnsi="宋体" w:cs="宋体"/>
                <w:color w:val="auto"/>
                <w:highlight w:val="none"/>
              </w:rPr>
              <w:t>桔青霉、出芽短梗霉、绿色木霉、长枝木霉、短柄帚霉、腊叶芽枝霉、链格孢、产黄青霉、赭绿青霉、绿粘帚霉、变幻青霉、黑曲霉、宛氏拟青霉、绳状青霉 、球毛壳霉中的任意12种长霉等级0级。</w:t>
            </w:r>
          </w:p>
        </w:tc>
      </w:tr>
    </w:tbl>
    <w:p w14:paraId="021894ED">
      <w:pPr>
        <w:outlineLvl w:val="2"/>
        <w:rPr>
          <w:rStyle w:val="341"/>
          <w:rFonts w:hint="eastAsia" w:ascii="宋体" w:hAnsi="宋体" w:cs="宋体"/>
          <w:color w:val="auto"/>
          <w:sz w:val="22"/>
          <w:szCs w:val="22"/>
          <w:highlight w:val="none"/>
          <w:lang w:val="en-US" w:eastAsia="zh-CN"/>
        </w:rPr>
      </w:pPr>
      <w:r>
        <w:rPr>
          <w:rStyle w:val="341"/>
          <w:rFonts w:hint="eastAsia" w:ascii="宋体" w:hAnsi="宋体" w:cs="宋体"/>
          <w:color w:val="auto"/>
          <w:sz w:val="22"/>
          <w:szCs w:val="22"/>
          <w:highlight w:val="none"/>
          <w:lang w:val="en-US" w:eastAsia="zh-CN"/>
        </w:rPr>
        <w:t>11、等候椅类产品</w:t>
      </w:r>
    </w:p>
    <w:tbl>
      <w:tblPr>
        <w:tblStyle w:val="52"/>
        <w:tblW w:w="10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8563"/>
      </w:tblGrid>
      <w:tr w14:paraId="23D33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68286440">
            <w:pPr>
              <w:jc w:val="center"/>
              <w:rPr>
                <w:rStyle w:val="341"/>
                <w:rFonts w:hint="eastAsia" w:ascii="宋体" w:hAnsi="宋体" w:cs="宋体"/>
                <w:color w:val="auto"/>
                <w:highlight w:val="none"/>
              </w:rPr>
            </w:pPr>
            <w:r>
              <w:rPr>
                <w:rStyle w:val="341"/>
                <w:rFonts w:hint="eastAsia" w:ascii="宋体" w:hAnsi="宋体" w:cs="宋体"/>
                <w:color w:val="auto"/>
                <w:highlight w:val="none"/>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D1EFEB5">
            <w:pPr>
              <w:jc w:val="center"/>
              <w:rPr>
                <w:rStyle w:val="341"/>
                <w:rFonts w:hint="eastAsia" w:ascii="宋体" w:hAnsi="宋体" w:cs="宋体"/>
                <w:color w:val="auto"/>
                <w:highlight w:val="none"/>
              </w:rPr>
            </w:pPr>
            <w:r>
              <w:rPr>
                <w:rStyle w:val="341"/>
                <w:rFonts w:hint="eastAsia" w:ascii="宋体" w:hAnsi="宋体" w:cs="宋体"/>
                <w:color w:val="auto"/>
                <w:highlight w:val="none"/>
              </w:rPr>
              <w:t>项目</w:t>
            </w:r>
          </w:p>
        </w:tc>
        <w:tc>
          <w:tcPr>
            <w:tcW w:w="8563" w:type="dxa"/>
            <w:tcBorders>
              <w:top w:val="single" w:color="000000" w:sz="4" w:space="0"/>
              <w:left w:val="single" w:color="000000" w:sz="4" w:space="0"/>
              <w:bottom w:val="single" w:color="000000" w:sz="4" w:space="0"/>
              <w:right w:val="single" w:color="000000" w:sz="4" w:space="0"/>
            </w:tcBorders>
            <w:noWrap/>
            <w:vAlign w:val="center"/>
          </w:tcPr>
          <w:p w14:paraId="514F3DAB">
            <w:pPr>
              <w:jc w:val="center"/>
              <w:rPr>
                <w:rStyle w:val="341"/>
                <w:rFonts w:hint="eastAsia" w:ascii="宋体" w:hAnsi="宋体" w:cs="宋体"/>
                <w:color w:val="auto"/>
                <w:highlight w:val="none"/>
              </w:rPr>
            </w:pPr>
            <w:r>
              <w:rPr>
                <w:rStyle w:val="341"/>
                <w:rFonts w:hint="eastAsia" w:ascii="宋体" w:hAnsi="宋体" w:cs="宋体"/>
                <w:color w:val="auto"/>
                <w:highlight w:val="none"/>
              </w:rPr>
              <w:t>技术要求</w:t>
            </w:r>
          </w:p>
        </w:tc>
      </w:tr>
      <w:tr w14:paraId="32E95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18738CCA">
            <w:pPr>
              <w:pStyle w:val="342"/>
              <w:jc w:val="center"/>
              <w:rPr>
                <w:rStyle w:val="341"/>
                <w:rFonts w:ascii="宋体" w:hAnsi="宋体" w:cs="宋体"/>
                <w:color w:val="auto"/>
                <w:highlight w:val="none"/>
                <w:lang w:bidi="ar-SA"/>
              </w:rPr>
            </w:pPr>
            <w:r>
              <w:rPr>
                <w:rStyle w:val="341"/>
                <w:rFonts w:hint="eastAsia" w:cs="宋体"/>
                <w:color w:val="auto"/>
                <w:highlight w:val="none"/>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304BE7A">
            <w:pPr>
              <w:pStyle w:val="342"/>
              <w:jc w:val="center"/>
              <w:rPr>
                <w:rStyle w:val="341"/>
                <w:rFonts w:ascii="宋体" w:hAnsi="宋体" w:cs="宋体"/>
                <w:color w:val="auto"/>
                <w:highlight w:val="none"/>
                <w:lang w:bidi="ar-SA"/>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参数要求</w:t>
            </w:r>
          </w:p>
        </w:tc>
        <w:tc>
          <w:tcPr>
            <w:tcW w:w="8563" w:type="dxa"/>
            <w:tcBorders>
              <w:top w:val="single" w:color="000000" w:sz="4" w:space="0"/>
              <w:left w:val="single" w:color="000000" w:sz="4" w:space="0"/>
              <w:bottom w:val="single" w:color="000000" w:sz="4" w:space="0"/>
              <w:right w:val="single" w:color="000000" w:sz="4" w:space="0"/>
            </w:tcBorders>
            <w:noWrap/>
            <w:vAlign w:val="center"/>
          </w:tcPr>
          <w:p w14:paraId="27BA89DE">
            <w:pPr>
              <w:rPr>
                <w:rStyle w:val="341"/>
                <w:rFonts w:ascii="宋体" w:hAnsi="宋体" w:cs="宋体"/>
                <w:color w:val="auto"/>
                <w:highlight w:val="none"/>
              </w:rPr>
            </w:pPr>
            <w:r>
              <w:rPr>
                <w:rStyle w:val="341"/>
                <w:rFonts w:hint="eastAsia" w:ascii="宋体" w:hAnsi="宋体" w:cs="宋体"/>
                <w:color w:val="auto"/>
                <w:highlight w:val="none"/>
              </w:rPr>
              <w:t>一、安全性能要求：结构安全：合格</w:t>
            </w:r>
          </w:p>
          <w:p w14:paraId="0C44B57C">
            <w:pPr>
              <w:rPr>
                <w:rStyle w:val="341"/>
                <w:rFonts w:ascii="宋体" w:hAnsi="宋体" w:cs="宋体"/>
                <w:color w:val="auto"/>
                <w:highlight w:val="none"/>
              </w:rPr>
            </w:pPr>
            <w:r>
              <w:rPr>
                <w:rStyle w:val="341"/>
                <w:rFonts w:hint="eastAsia" w:ascii="宋体" w:hAnsi="宋体" w:cs="宋体"/>
                <w:color w:val="auto"/>
                <w:highlight w:val="none"/>
              </w:rPr>
              <w:t>二、金属喷漆 (塑)涂层：（1）冲击强度：冲击高度400mm，应无剥落、裂纹、皱纹（2）附着力：应不低于2级</w:t>
            </w:r>
          </w:p>
          <w:p w14:paraId="186511F8">
            <w:pPr>
              <w:rPr>
                <w:rStyle w:val="341"/>
                <w:rFonts w:ascii="宋体" w:hAnsi="宋体" w:cs="宋体"/>
                <w:color w:val="auto"/>
                <w:highlight w:val="none"/>
              </w:rPr>
            </w:pPr>
            <w:r>
              <w:rPr>
                <w:rStyle w:val="341"/>
                <w:rFonts w:hint="eastAsia" w:ascii="宋体" w:hAnsi="宋体" w:cs="宋体"/>
                <w:color w:val="auto"/>
                <w:highlight w:val="none"/>
              </w:rPr>
              <w:t>三、力学性能：合格</w:t>
            </w:r>
          </w:p>
          <w:p w14:paraId="5848EEE0">
            <w:pPr>
              <w:rPr>
                <w:rStyle w:val="341"/>
                <w:rFonts w:ascii="宋体" w:hAnsi="宋体" w:cs="宋体"/>
                <w:color w:val="auto"/>
                <w:highlight w:val="none"/>
              </w:rPr>
            </w:pPr>
            <w:r>
              <w:rPr>
                <w:rStyle w:val="341"/>
                <w:rFonts w:hint="eastAsia" w:ascii="宋体" w:hAnsi="宋体" w:cs="宋体"/>
                <w:color w:val="auto"/>
                <w:highlight w:val="none"/>
              </w:rPr>
              <w:t>四、耐腐蚀性能（≥360h乙酸盐雾试验）：（1）涂镀层对基体的保护评级达到10级 （2）涂镀层本身的外观评级达到10级</w:t>
            </w:r>
          </w:p>
          <w:p w14:paraId="2FF92C8B">
            <w:pPr>
              <w:rPr>
                <w:rStyle w:val="341"/>
                <w:rFonts w:ascii="宋体" w:hAnsi="宋体" w:cs="宋体"/>
                <w:color w:val="auto"/>
                <w:highlight w:val="none"/>
              </w:rPr>
            </w:pPr>
            <w:r>
              <w:rPr>
                <w:rStyle w:val="341"/>
                <w:rFonts w:hint="eastAsia" w:ascii="宋体" w:hAnsi="宋体" w:cs="宋体"/>
                <w:color w:val="auto"/>
                <w:highlight w:val="none"/>
              </w:rPr>
              <w:t>五、荧光紫外老化（≥360h）：样品表面应无裂纹、无断裂</w:t>
            </w:r>
          </w:p>
          <w:p w14:paraId="7C63DE9A">
            <w:pPr>
              <w:rPr>
                <w:rStyle w:val="341"/>
                <w:rFonts w:ascii="宋体" w:hAnsi="宋体" w:cs="宋体"/>
                <w:color w:val="auto"/>
                <w:highlight w:val="none"/>
              </w:rPr>
            </w:pPr>
            <w:r>
              <w:rPr>
                <w:rStyle w:val="341"/>
                <w:rFonts w:hint="eastAsia" w:ascii="宋体" w:hAnsi="宋体" w:cs="宋体"/>
                <w:color w:val="auto"/>
                <w:highlight w:val="none"/>
              </w:rPr>
              <w:t>六、燃烧性能（B1）：（1）热释放速率峰值≤200kW（2）5min内总热释放量≤30MJ（3）最大烟密度≤75%</w:t>
            </w:r>
          </w:p>
          <w:p w14:paraId="4A0026A6">
            <w:pPr>
              <w:rPr>
                <w:rStyle w:val="341"/>
                <w:rFonts w:ascii="宋体" w:hAnsi="宋体" w:cs="宋体"/>
                <w:color w:val="auto"/>
                <w:highlight w:val="none"/>
              </w:rPr>
            </w:pPr>
            <w:r>
              <w:rPr>
                <w:rStyle w:val="341"/>
                <w:rFonts w:hint="eastAsia" w:ascii="宋体" w:hAnsi="宋体" w:cs="宋体"/>
                <w:color w:val="auto"/>
                <w:highlight w:val="none"/>
              </w:rPr>
              <w:t>七、抗病毒活性率：至少对任意2种病毒抗病毒活性率≥99%。</w:t>
            </w:r>
          </w:p>
          <w:p w14:paraId="7D981585">
            <w:pPr>
              <w:rPr>
                <w:rStyle w:val="341"/>
                <w:rFonts w:ascii="宋体" w:hAnsi="宋体" w:cs="宋体"/>
                <w:color w:val="auto"/>
                <w:highlight w:val="none"/>
              </w:rPr>
            </w:pPr>
            <w:r>
              <w:rPr>
                <w:rStyle w:val="341"/>
                <w:rFonts w:hint="eastAsia" w:ascii="宋体" w:hAnsi="宋体" w:cs="宋体"/>
                <w:color w:val="auto"/>
                <w:highlight w:val="none"/>
              </w:rPr>
              <w:t>八、抗菌性能：按照QB/T 4371-2012《家具抗菌性能的评价》</w:t>
            </w:r>
          </w:p>
          <w:p w14:paraId="4D0B9FB3">
            <w:pPr>
              <w:rPr>
                <w:rStyle w:val="341"/>
                <w:rFonts w:ascii="宋体" w:hAnsi="宋体" w:cs="宋体"/>
                <w:color w:val="auto"/>
                <w:highlight w:val="none"/>
              </w:rPr>
            </w:pPr>
            <w:r>
              <w:rPr>
                <w:rStyle w:val="341"/>
                <w:rFonts w:hint="eastAsia" w:ascii="宋体" w:hAnsi="宋体" w:cs="宋体"/>
                <w:color w:val="auto"/>
                <w:highlight w:val="none"/>
              </w:rPr>
              <w:t>至少对大肠杆菌、金黄色葡萄球菌、白色念珠菌、单增李斯特氏菌、类白喉杆菌（无枝菌酸棒杆菌）、藤黄微球菌、变异库克菌中的任意5种抑菌率≥99%</w:t>
            </w:r>
          </w:p>
          <w:p w14:paraId="337CFA96">
            <w:pPr>
              <w:rPr>
                <w:rStyle w:val="341"/>
                <w:rFonts w:ascii="宋体" w:hAnsi="宋体" w:cs="宋体"/>
                <w:color w:val="auto"/>
                <w:highlight w:val="none"/>
              </w:rPr>
            </w:pPr>
            <w:r>
              <w:rPr>
                <w:rStyle w:val="341"/>
                <w:rFonts w:hint="eastAsia" w:ascii="宋体" w:hAnsi="宋体" w:cs="宋体"/>
                <w:color w:val="auto"/>
                <w:highlight w:val="none"/>
              </w:rPr>
              <w:t>九、防霉性：按照GB/T 1741-2020《漆膜耐霉菌性测定法》</w:t>
            </w:r>
          </w:p>
          <w:p w14:paraId="323CA538">
            <w:pPr>
              <w:rPr>
                <w:rStyle w:val="341"/>
                <w:rFonts w:ascii="宋体" w:hAnsi="宋体" w:cs="宋体"/>
                <w:color w:val="auto"/>
                <w:highlight w:val="none"/>
              </w:rPr>
            </w:pPr>
            <w:r>
              <w:rPr>
                <w:rStyle w:val="341"/>
                <w:rFonts w:hint="eastAsia" w:ascii="宋体" w:hAnsi="宋体" w:cs="宋体"/>
                <w:color w:val="auto"/>
                <w:highlight w:val="none"/>
              </w:rPr>
              <w:t>至少对桔青霉、黑曲霉、腊叶芽枝霉、球毛壳霉、绳状青霉、短柄帚霉、绿粘帚霉中的任意5种防霉性等级0级</w:t>
            </w:r>
          </w:p>
        </w:tc>
      </w:tr>
    </w:tbl>
    <w:p w14:paraId="29AE35E9">
      <w:pPr>
        <w:outlineLvl w:val="2"/>
        <w:rPr>
          <w:rStyle w:val="341"/>
          <w:rFonts w:hint="eastAsia" w:ascii="宋体" w:hAnsi="宋体" w:cs="宋体"/>
          <w:color w:val="auto"/>
          <w:sz w:val="22"/>
          <w:szCs w:val="22"/>
          <w:highlight w:val="none"/>
          <w:lang w:val="en-US" w:eastAsia="zh-CN"/>
        </w:rPr>
      </w:pPr>
      <w:r>
        <w:rPr>
          <w:rStyle w:val="341"/>
          <w:rFonts w:hint="eastAsia" w:ascii="宋体" w:hAnsi="宋体" w:cs="宋体"/>
          <w:color w:val="auto"/>
          <w:sz w:val="22"/>
          <w:szCs w:val="22"/>
          <w:highlight w:val="none"/>
          <w:lang w:val="en-US" w:eastAsia="zh-CN"/>
        </w:rPr>
        <w:t>12、沙发类产品</w:t>
      </w:r>
    </w:p>
    <w:tbl>
      <w:tblPr>
        <w:tblStyle w:val="52"/>
        <w:tblW w:w="10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8563"/>
      </w:tblGrid>
      <w:tr w14:paraId="12A25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5D68B9E0">
            <w:pPr>
              <w:jc w:val="center"/>
              <w:rPr>
                <w:rStyle w:val="341"/>
                <w:rFonts w:hint="eastAsia" w:ascii="宋体" w:hAnsi="宋体" w:cs="宋体"/>
                <w:color w:val="auto"/>
                <w:highlight w:val="none"/>
              </w:rPr>
            </w:pPr>
            <w:r>
              <w:rPr>
                <w:rStyle w:val="341"/>
                <w:rFonts w:hint="eastAsia" w:ascii="宋体" w:hAnsi="宋体" w:cs="宋体"/>
                <w:color w:val="auto"/>
                <w:highlight w:val="none"/>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33D3F3C">
            <w:pPr>
              <w:jc w:val="center"/>
              <w:rPr>
                <w:rStyle w:val="341"/>
                <w:rFonts w:hint="eastAsia" w:ascii="宋体" w:hAnsi="宋体" w:cs="宋体"/>
                <w:color w:val="auto"/>
                <w:highlight w:val="none"/>
              </w:rPr>
            </w:pPr>
            <w:r>
              <w:rPr>
                <w:rStyle w:val="341"/>
                <w:rFonts w:hint="eastAsia" w:ascii="宋体" w:hAnsi="宋体" w:cs="宋体"/>
                <w:color w:val="auto"/>
                <w:highlight w:val="none"/>
              </w:rPr>
              <w:t>项目</w:t>
            </w:r>
          </w:p>
        </w:tc>
        <w:tc>
          <w:tcPr>
            <w:tcW w:w="8563" w:type="dxa"/>
            <w:tcBorders>
              <w:top w:val="single" w:color="000000" w:sz="4" w:space="0"/>
              <w:left w:val="single" w:color="000000" w:sz="4" w:space="0"/>
              <w:bottom w:val="single" w:color="000000" w:sz="4" w:space="0"/>
              <w:right w:val="single" w:color="000000" w:sz="4" w:space="0"/>
            </w:tcBorders>
            <w:noWrap/>
            <w:vAlign w:val="center"/>
          </w:tcPr>
          <w:p w14:paraId="5510A591">
            <w:pPr>
              <w:jc w:val="center"/>
              <w:rPr>
                <w:rStyle w:val="341"/>
                <w:rFonts w:hint="eastAsia" w:ascii="宋体" w:hAnsi="宋体" w:cs="宋体"/>
                <w:color w:val="auto"/>
                <w:highlight w:val="none"/>
              </w:rPr>
            </w:pPr>
            <w:r>
              <w:rPr>
                <w:rStyle w:val="341"/>
                <w:rFonts w:hint="eastAsia" w:ascii="宋体" w:hAnsi="宋体" w:cs="宋体"/>
                <w:color w:val="auto"/>
                <w:highlight w:val="none"/>
              </w:rPr>
              <w:t>技术要求</w:t>
            </w:r>
          </w:p>
        </w:tc>
      </w:tr>
      <w:tr w14:paraId="0AC77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3231848F">
            <w:pPr>
              <w:pStyle w:val="342"/>
              <w:jc w:val="center"/>
              <w:rPr>
                <w:rStyle w:val="341"/>
                <w:rFonts w:ascii="宋体" w:hAnsi="宋体" w:cs="宋体"/>
                <w:color w:val="auto"/>
                <w:highlight w:val="none"/>
                <w:lang w:bidi="ar-SA"/>
              </w:rPr>
            </w:pPr>
            <w:r>
              <w:rPr>
                <w:rStyle w:val="341"/>
                <w:rFonts w:hint="eastAsia" w:cs="宋体"/>
                <w:color w:val="auto"/>
                <w:highlight w:val="none"/>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C165CFA">
            <w:pPr>
              <w:pStyle w:val="342"/>
              <w:jc w:val="center"/>
              <w:rPr>
                <w:rStyle w:val="341"/>
                <w:rFonts w:ascii="宋体" w:hAnsi="宋体" w:cs="宋体"/>
                <w:color w:val="auto"/>
                <w:highlight w:val="none"/>
                <w:lang w:bidi="ar-SA"/>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参数要求</w:t>
            </w:r>
          </w:p>
        </w:tc>
        <w:tc>
          <w:tcPr>
            <w:tcW w:w="8563" w:type="dxa"/>
            <w:tcBorders>
              <w:top w:val="single" w:color="000000" w:sz="4" w:space="0"/>
              <w:left w:val="single" w:color="000000" w:sz="4" w:space="0"/>
              <w:bottom w:val="single" w:color="000000" w:sz="4" w:space="0"/>
              <w:right w:val="single" w:color="000000" w:sz="4" w:space="0"/>
            </w:tcBorders>
            <w:noWrap/>
            <w:vAlign w:val="center"/>
          </w:tcPr>
          <w:p w14:paraId="1F6E6A73">
            <w:pPr>
              <w:rPr>
                <w:rStyle w:val="341"/>
                <w:rFonts w:ascii="宋体" w:hAnsi="宋体" w:cs="宋体"/>
                <w:color w:val="auto"/>
                <w:highlight w:val="none"/>
              </w:rPr>
            </w:pPr>
            <w:r>
              <w:rPr>
                <w:rStyle w:val="341"/>
                <w:rFonts w:hint="eastAsia" w:ascii="宋体" w:hAnsi="宋体" w:cs="宋体"/>
                <w:color w:val="auto"/>
                <w:highlight w:val="none"/>
              </w:rPr>
              <w:t>一、尺寸要求：</w:t>
            </w:r>
          </w:p>
          <w:p w14:paraId="265D313A">
            <w:pPr>
              <w:rPr>
                <w:rStyle w:val="341"/>
                <w:rFonts w:ascii="宋体" w:hAnsi="宋体" w:cs="宋体"/>
                <w:color w:val="auto"/>
                <w:highlight w:val="none"/>
              </w:rPr>
            </w:pPr>
            <w:r>
              <w:rPr>
                <w:rStyle w:val="341"/>
                <w:rFonts w:hint="eastAsia" w:ascii="宋体" w:hAnsi="宋体" w:cs="宋体"/>
                <w:color w:val="auto"/>
                <w:highlight w:val="none"/>
              </w:rPr>
              <w:t>（1）座面倾角：当座面承受第50百分位男性体重(见 GB/T10000)载荷时,座面倾角应在2° ～15°之间</w:t>
            </w:r>
          </w:p>
          <w:p w14:paraId="7C79778B">
            <w:pPr>
              <w:rPr>
                <w:rStyle w:val="341"/>
                <w:rFonts w:ascii="宋体" w:hAnsi="宋体" w:cs="宋体"/>
                <w:color w:val="auto"/>
                <w:highlight w:val="none"/>
              </w:rPr>
            </w:pPr>
            <w:r>
              <w:rPr>
                <w:rStyle w:val="341"/>
                <w:rFonts w:hint="eastAsia" w:ascii="宋体" w:hAnsi="宋体" w:cs="宋体"/>
                <w:color w:val="auto"/>
                <w:highlight w:val="none"/>
              </w:rPr>
              <w:t>（2）靠背倾角：靠背倾角β应在100°～120°之间</w:t>
            </w:r>
          </w:p>
          <w:p w14:paraId="52C0D00C">
            <w:pPr>
              <w:rPr>
                <w:rStyle w:val="341"/>
                <w:rFonts w:ascii="宋体" w:hAnsi="宋体" w:cs="宋体"/>
                <w:color w:val="auto"/>
                <w:highlight w:val="none"/>
              </w:rPr>
            </w:pPr>
            <w:r>
              <w:rPr>
                <w:rStyle w:val="341"/>
                <w:rFonts w:hint="eastAsia" w:ascii="宋体" w:hAnsi="宋体" w:cs="宋体"/>
                <w:color w:val="auto"/>
                <w:highlight w:val="none"/>
              </w:rPr>
              <w:t>二、体压分布要求：</w:t>
            </w:r>
          </w:p>
          <w:p w14:paraId="621185CD">
            <w:pPr>
              <w:rPr>
                <w:rStyle w:val="341"/>
                <w:rFonts w:ascii="宋体" w:hAnsi="宋体" w:cs="宋体"/>
                <w:color w:val="auto"/>
                <w:highlight w:val="none"/>
              </w:rPr>
            </w:pPr>
            <w:r>
              <w:rPr>
                <w:rStyle w:val="341"/>
                <w:rFonts w:hint="eastAsia" w:ascii="宋体" w:hAnsi="宋体" w:cs="宋体"/>
                <w:color w:val="auto"/>
                <w:highlight w:val="none"/>
              </w:rPr>
              <w:t>沙发座面对应人体坐骨结节区域内的最大压强不宜大于20kPa</w:t>
            </w:r>
          </w:p>
          <w:p w14:paraId="0D7DA453">
            <w:pPr>
              <w:rPr>
                <w:rStyle w:val="341"/>
                <w:rFonts w:ascii="宋体" w:hAnsi="宋体" w:cs="宋体"/>
                <w:color w:val="auto"/>
                <w:highlight w:val="none"/>
              </w:rPr>
            </w:pPr>
            <w:r>
              <w:rPr>
                <w:rStyle w:val="341"/>
                <w:rFonts w:hint="eastAsia" w:ascii="宋体" w:hAnsi="宋体" w:cs="宋体"/>
                <w:color w:val="auto"/>
                <w:highlight w:val="none"/>
              </w:rPr>
              <w:t>三、其他工效学要求：合格</w:t>
            </w:r>
          </w:p>
          <w:p w14:paraId="558F537E">
            <w:pPr>
              <w:rPr>
                <w:rStyle w:val="341"/>
                <w:rFonts w:ascii="宋体" w:hAnsi="宋体" w:cs="宋体"/>
                <w:color w:val="auto"/>
                <w:highlight w:val="none"/>
              </w:rPr>
            </w:pPr>
            <w:r>
              <w:rPr>
                <w:rStyle w:val="341"/>
                <w:rFonts w:hint="eastAsia" w:ascii="宋体" w:hAnsi="宋体" w:cs="宋体"/>
                <w:color w:val="auto"/>
                <w:highlight w:val="none"/>
              </w:rPr>
              <w:t>四、抗菌性能：按照GB/T 20944.3-2008</w:t>
            </w:r>
          </w:p>
          <w:p w14:paraId="158EF0D2">
            <w:pPr>
              <w:rPr>
                <w:rStyle w:val="341"/>
                <w:rFonts w:ascii="宋体" w:hAnsi="宋体" w:cs="宋体"/>
                <w:color w:val="auto"/>
                <w:highlight w:val="none"/>
              </w:rPr>
            </w:pPr>
            <w:r>
              <w:rPr>
                <w:rStyle w:val="341"/>
                <w:rFonts w:hint="eastAsia" w:ascii="宋体" w:hAnsi="宋体" w:cs="宋体"/>
                <w:color w:val="auto"/>
                <w:highlight w:val="none"/>
              </w:rPr>
              <w:t>至少对大肠杆菌、类白喉杆菌（无枝菌酸棒杆菌）、金黄色葡萄球菌、白色念珠菌、单增李斯特氏菌、藤黄微球菌、变异库克菌中的任意5种抑菌率≥99%。</w:t>
            </w:r>
          </w:p>
          <w:p w14:paraId="6A40E56E">
            <w:pPr>
              <w:rPr>
                <w:rStyle w:val="341"/>
                <w:rFonts w:ascii="宋体" w:hAnsi="宋体" w:cs="宋体"/>
                <w:color w:val="auto"/>
                <w:highlight w:val="none"/>
              </w:rPr>
            </w:pPr>
            <w:r>
              <w:rPr>
                <w:rStyle w:val="341"/>
                <w:rFonts w:hint="eastAsia" w:ascii="宋体" w:hAnsi="宋体" w:cs="宋体"/>
                <w:color w:val="auto"/>
                <w:highlight w:val="none"/>
              </w:rPr>
              <w:t>五、防蚊性能：符合GB/T 30126-2013</w:t>
            </w:r>
          </w:p>
          <w:p w14:paraId="51061A65">
            <w:pPr>
              <w:rPr>
                <w:rStyle w:val="341"/>
                <w:rFonts w:ascii="宋体" w:hAnsi="宋体" w:cs="宋体"/>
                <w:color w:val="auto"/>
                <w:highlight w:val="none"/>
              </w:rPr>
            </w:pPr>
            <w:r>
              <w:rPr>
                <w:rStyle w:val="341"/>
                <w:rFonts w:hint="eastAsia" w:ascii="宋体" w:hAnsi="宋体" w:cs="宋体"/>
                <w:color w:val="auto"/>
                <w:highlight w:val="none"/>
              </w:rPr>
              <w:t>至少达到B级（驱避率70%-50%），样品具有良好的驱避效果。</w:t>
            </w:r>
          </w:p>
        </w:tc>
      </w:tr>
    </w:tbl>
    <w:p w14:paraId="0C6B3A0E">
      <w:pPr>
        <w:rPr>
          <w:color w:val="auto"/>
          <w:highlight w:val="none"/>
        </w:rPr>
      </w:pPr>
    </w:p>
    <w:p w14:paraId="146C17C3">
      <w:pPr>
        <w:outlineLvl w:val="2"/>
        <w:rPr>
          <w:rStyle w:val="341"/>
          <w:rFonts w:hint="eastAsia" w:ascii="宋体" w:hAnsi="宋体" w:cs="宋体"/>
          <w:color w:val="auto"/>
          <w:sz w:val="22"/>
          <w:szCs w:val="22"/>
          <w:highlight w:val="none"/>
          <w:lang w:val="en-US" w:eastAsia="zh-CN"/>
        </w:rPr>
      </w:pPr>
      <w:r>
        <w:rPr>
          <w:rStyle w:val="341"/>
          <w:rFonts w:hint="eastAsia" w:ascii="宋体" w:hAnsi="宋体" w:cs="宋体"/>
          <w:color w:val="auto"/>
          <w:sz w:val="22"/>
          <w:szCs w:val="22"/>
          <w:highlight w:val="none"/>
          <w:lang w:val="en-US" w:eastAsia="zh-CN"/>
        </w:rPr>
        <w:t>13、诊疗桌类产品</w:t>
      </w:r>
    </w:p>
    <w:tbl>
      <w:tblPr>
        <w:tblStyle w:val="52"/>
        <w:tblW w:w="10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8563"/>
      </w:tblGrid>
      <w:tr w14:paraId="16A51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14AF50FC">
            <w:pPr>
              <w:jc w:val="center"/>
              <w:rPr>
                <w:rStyle w:val="341"/>
                <w:rFonts w:hint="eastAsia" w:ascii="宋体" w:hAnsi="宋体" w:cs="宋体"/>
                <w:color w:val="auto"/>
                <w:highlight w:val="none"/>
              </w:rPr>
            </w:pPr>
            <w:r>
              <w:rPr>
                <w:rStyle w:val="341"/>
                <w:rFonts w:hint="eastAsia" w:ascii="宋体" w:hAnsi="宋体" w:cs="宋体"/>
                <w:color w:val="auto"/>
                <w:highlight w:val="none"/>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18EC4F5">
            <w:pPr>
              <w:jc w:val="center"/>
              <w:rPr>
                <w:rStyle w:val="341"/>
                <w:rFonts w:hint="eastAsia" w:ascii="宋体" w:hAnsi="宋体" w:cs="宋体"/>
                <w:color w:val="auto"/>
                <w:highlight w:val="none"/>
              </w:rPr>
            </w:pPr>
            <w:r>
              <w:rPr>
                <w:rStyle w:val="341"/>
                <w:rFonts w:hint="eastAsia" w:ascii="宋体" w:hAnsi="宋体" w:cs="宋体"/>
                <w:color w:val="auto"/>
                <w:highlight w:val="none"/>
              </w:rPr>
              <w:t>项目</w:t>
            </w:r>
          </w:p>
        </w:tc>
        <w:tc>
          <w:tcPr>
            <w:tcW w:w="8563" w:type="dxa"/>
            <w:tcBorders>
              <w:top w:val="single" w:color="000000" w:sz="4" w:space="0"/>
              <w:left w:val="single" w:color="000000" w:sz="4" w:space="0"/>
              <w:bottom w:val="single" w:color="000000" w:sz="4" w:space="0"/>
              <w:right w:val="single" w:color="000000" w:sz="4" w:space="0"/>
            </w:tcBorders>
            <w:noWrap/>
            <w:vAlign w:val="center"/>
          </w:tcPr>
          <w:p w14:paraId="6DDFC05C">
            <w:pPr>
              <w:jc w:val="center"/>
              <w:rPr>
                <w:rStyle w:val="341"/>
                <w:rFonts w:hint="eastAsia" w:ascii="宋体" w:hAnsi="宋体" w:cs="宋体"/>
                <w:color w:val="auto"/>
                <w:highlight w:val="none"/>
              </w:rPr>
            </w:pPr>
            <w:r>
              <w:rPr>
                <w:rStyle w:val="341"/>
                <w:rFonts w:hint="eastAsia" w:ascii="宋体" w:hAnsi="宋体" w:cs="宋体"/>
                <w:color w:val="auto"/>
                <w:highlight w:val="none"/>
              </w:rPr>
              <w:t>技术要求</w:t>
            </w:r>
          </w:p>
        </w:tc>
      </w:tr>
      <w:tr w14:paraId="26EA4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61356EE0">
            <w:pPr>
              <w:pStyle w:val="342"/>
              <w:jc w:val="center"/>
              <w:rPr>
                <w:rStyle w:val="341"/>
                <w:rFonts w:ascii="宋体" w:hAnsi="宋体" w:cs="宋体"/>
                <w:color w:val="auto"/>
                <w:highlight w:val="none"/>
                <w:lang w:bidi="ar-SA"/>
              </w:rPr>
            </w:pPr>
            <w:r>
              <w:rPr>
                <w:rStyle w:val="341"/>
                <w:rFonts w:hint="eastAsia" w:ascii="宋体" w:hAnsi="宋体" w:cs="宋体"/>
                <w:color w:val="auto"/>
                <w:highlight w:val="none"/>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EAB3FCC">
            <w:pPr>
              <w:pStyle w:val="342"/>
              <w:jc w:val="center"/>
              <w:rPr>
                <w:rStyle w:val="341"/>
                <w:rFonts w:ascii="宋体" w:hAnsi="宋体" w:cs="宋体"/>
                <w:color w:val="auto"/>
                <w:highlight w:val="none"/>
                <w:lang w:bidi="ar-SA"/>
              </w:rPr>
            </w:pPr>
            <w:r>
              <w:rPr>
                <w:rFonts w:hint="eastAsia" w:ascii="宋体" w:hAnsi="宋体" w:eastAsia="宋体" w:cs="宋体"/>
                <w:b/>
                <w:color w:val="auto"/>
                <w:sz w:val="22"/>
                <w:szCs w:val="22"/>
                <w:highlight w:val="none"/>
                <w:lang w:eastAsia="zh-CN"/>
              </w:rPr>
              <w:t>★</w:t>
            </w:r>
            <w:r>
              <w:rPr>
                <w:rStyle w:val="341"/>
                <w:rFonts w:hint="eastAsia" w:ascii="宋体" w:hAnsi="宋体" w:eastAsia="宋体" w:cs="宋体"/>
                <w:color w:val="auto"/>
                <w:highlight w:val="none"/>
                <w:lang w:val="en-US" w:eastAsia="zh-CN" w:bidi="ar-SA"/>
              </w:rPr>
              <w:t>参数要求</w:t>
            </w:r>
          </w:p>
        </w:tc>
        <w:tc>
          <w:tcPr>
            <w:tcW w:w="8563" w:type="dxa"/>
            <w:tcBorders>
              <w:top w:val="single" w:color="000000" w:sz="4" w:space="0"/>
              <w:left w:val="single" w:color="000000" w:sz="4" w:space="0"/>
              <w:bottom w:val="single" w:color="000000" w:sz="4" w:space="0"/>
              <w:right w:val="single" w:color="000000" w:sz="4" w:space="0"/>
            </w:tcBorders>
            <w:noWrap/>
            <w:vAlign w:val="center"/>
          </w:tcPr>
          <w:p w14:paraId="68994ADC">
            <w:pPr>
              <w:rPr>
                <w:rStyle w:val="341"/>
                <w:rFonts w:ascii="宋体" w:hAnsi="宋体" w:cs="宋体"/>
                <w:color w:val="auto"/>
                <w:highlight w:val="none"/>
              </w:rPr>
            </w:pPr>
            <w:r>
              <w:rPr>
                <w:rStyle w:val="341"/>
                <w:rFonts w:hint="eastAsia" w:ascii="宋体" w:hAnsi="宋体" w:cs="宋体"/>
                <w:color w:val="auto"/>
                <w:highlight w:val="none"/>
              </w:rPr>
              <w:t>一、主要尺寸及其偏差、形状和位置公差：合格</w:t>
            </w:r>
          </w:p>
          <w:p w14:paraId="16E4D2F6">
            <w:pPr>
              <w:rPr>
                <w:rStyle w:val="341"/>
                <w:rFonts w:ascii="宋体" w:hAnsi="宋体" w:cs="宋体"/>
                <w:color w:val="auto"/>
                <w:highlight w:val="none"/>
              </w:rPr>
            </w:pPr>
            <w:r>
              <w:rPr>
                <w:rStyle w:val="341"/>
                <w:rFonts w:hint="eastAsia" w:ascii="宋体" w:hAnsi="宋体" w:cs="宋体"/>
                <w:color w:val="auto"/>
                <w:highlight w:val="none"/>
              </w:rPr>
              <w:t>二、表面理化性能要求：合格</w:t>
            </w:r>
          </w:p>
          <w:p w14:paraId="1468F04A">
            <w:pPr>
              <w:rPr>
                <w:rStyle w:val="341"/>
                <w:rFonts w:ascii="宋体" w:hAnsi="宋体" w:cs="宋体"/>
                <w:color w:val="auto"/>
                <w:highlight w:val="none"/>
              </w:rPr>
            </w:pPr>
            <w:r>
              <w:rPr>
                <w:rStyle w:val="341"/>
                <w:rFonts w:hint="eastAsia" w:ascii="宋体" w:hAnsi="宋体" w:cs="宋体"/>
                <w:color w:val="auto"/>
                <w:highlight w:val="none"/>
              </w:rPr>
              <w:t>三、力学性能：合格</w:t>
            </w:r>
          </w:p>
          <w:p w14:paraId="6BF082FC">
            <w:pPr>
              <w:rPr>
                <w:rStyle w:val="341"/>
                <w:rFonts w:ascii="宋体" w:hAnsi="宋体" w:cs="宋体"/>
                <w:color w:val="auto"/>
                <w:highlight w:val="none"/>
              </w:rPr>
            </w:pPr>
            <w:r>
              <w:rPr>
                <w:rStyle w:val="341"/>
                <w:rFonts w:hint="eastAsia" w:ascii="宋体" w:hAnsi="宋体" w:cs="宋体"/>
                <w:color w:val="auto"/>
                <w:highlight w:val="none"/>
              </w:rPr>
              <w:t>四、安全性能要求：结构安全性：合格</w:t>
            </w:r>
          </w:p>
          <w:p w14:paraId="515EFBE9">
            <w:pPr>
              <w:rPr>
                <w:rStyle w:val="341"/>
                <w:rFonts w:ascii="宋体" w:hAnsi="宋体" w:cs="宋体"/>
                <w:color w:val="auto"/>
                <w:highlight w:val="none"/>
              </w:rPr>
            </w:pPr>
            <w:r>
              <w:rPr>
                <w:rStyle w:val="341"/>
                <w:rFonts w:hint="eastAsia" w:ascii="宋体" w:hAnsi="宋体" w:cs="宋体"/>
                <w:color w:val="auto"/>
                <w:highlight w:val="none"/>
              </w:rPr>
              <w:t>五、产品寿命：桌类：桌面水平耐久性（6万次）：合格</w:t>
            </w:r>
          </w:p>
          <w:p w14:paraId="764C2E33">
            <w:pPr>
              <w:rPr>
                <w:rStyle w:val="341"/>
                <w:rFonts w:ascii="宋体" w:hAnsi="宋体" w:cs="宋体"/>
                <w:color w:val="auto"/>
                <w:highlight w:val="none"/>
              </w:rPr>
            </w:pPr>
            <w:r>
              <w:rPr>
                <w:rStyle w:val="341"/>
                <w:rFonts w:hint="eastAsia" w:ascii="宋体" w:hAnsi="宋体" w:cs="宋体"/>
                <w:color w:val="auto"/>
                <w:highlight w:val="none"/>
              </w:rPr>
              <w:t>六、燃烧性能（B1）：1、热释放速率峰值≤200kW；2、5min内总热释放量≤30MJ；3、最大烟密度≤75%。</w:t>
            </w:r>
          </w:p>
          <w:p w14:paraId="1DC4F470">
            <w:pPr>
              <w:rPr>
                <w:rStyle w:val="341"/>
                <w:rFonts w:ascii="宋体" w:hAnsi="宋体" w:cs="宋体"/>
                <w:color w:val="auto"/>
                <w:highlight w:val="none"/>
              </w:rPr>
            </w:pPr>
            <w:r>
              <w:rPr>
                <w:rStyle w:val="341"/>
                <w:rFonts w:hint="eastAsia" w:ascii="宋体" w:hAnsi="宋体" w:cs="宋体"/>
                <w:color w:val="auto"/>
                <w:highlight w:val="none"/>
              </w:rPr>
              <w:t>七、抗病毒活性率：至少对任意2种病毒抗病毒活性率≥99%。</w:t>
            </w:r>
          </w:p>
          <w:p w14:paraId="46DDE9EB">
            <w:pPr>
              <w:rPr>
                <w:rStyle w:val="341"/>
                <w:rFonts w:ascii="宋体" w:hAnsi="宋体" w:cs="宋体"/>
                <w:color w:val="auto"/>
                <w:highlight w:val="none"/>
              </w:rPr>
            </w:pPr>
            <w:r>
              <w:rPr>
                <w:rStyle w:val="341"/>
                <w:rFonts w:hint="eastAsia" w:ascii="宋体" w:hAnsi="宋体" w:cs="宋体"/>
                <w:color w:val="auto"/>
                <w:highlight w:val="none"/>
              </w:rPr>
              <w:t>八、抗菌性能：QB/T 4371-2012《家具抗菌性能的评价》</w:t>
            </w:r>
          </w:p>
          <w:p w14:paraId="4EE3DA4F">
            <w:pPr>
              <w:rPr>
                <w:rStyle w:val="341"/>
                <w:rFonts w:ascii="宋体" w:hAnsi="宋体" w:cs="宋体"/>
                <w:color w:val="auto"/>
                <w:highlight w:val="none"/>
              </w:rPr>
            </w:pPr>
            <w:r>
              <w:rPr>
                <w:rStyle w:val="341"/>
                <w:rFonts w:hint="eastAsia" w:ascii="宋体" w:hAnsi="宋体" w:cs="宋体"/>
                <w:color w:val="auto"/>
                <w:highlight w:val="none"/>
              </w:rPr>
              <w:t>至少对大肠杆菌、金黄色葡萄球菌、白色念珠菌、单增李斯特氏菌、类白喉杆菌（无枝菌酸棒杆菌）、藤黄微球菌、变异库克菌中的任意5种抑菌率≥99%</w:t>
            </w:r>
          </w:p>
          <w:p w14:paraId="2F30B874">
            <w:pPr>
              <w:rPr>
                <w:rStyle w:val="341"/>
                <w:rFonts w:ascii="宋体" w:hAnsi="宋体" w:cs="宋体"/>
                <w:color w:val="auto"/>
                <w:highlight w:val="none"/>
              </w:rPr>
            </w:pPr>
            <w:r>
              <w:rPr>
                <w:rStyle w:val="341"/>
                <w:rFonts w:hint="eastAsia" w:ascii="宋体" w:hAnsi="宋体" w:cs="宋体"/>
                <w:color w:val="auto"/>
                <w:highlight w:val="none"/>
              </w:rPr>
              <w:t>九、防霉性能：JC/T 2039-2010《抗菌防霉木质装饰板》</w:t>
            </w:r>
          </w:p>
          <w:p w14:paraId="2790818A">
            <w:pPr>
              <w:rPr>
                <w:rStyle w:val="341"/>
                <w:rFonts w:ascii="宋体" w:hAnsi="宋体" w:cs="宋体"/>
                <w:color w:val="auto"/>
                <w:highlight w:val="none"/>
              </w:rPr>
            </w:pPr>
            <w:r>
              <w:rPr>
                <w:rStyle w:val="341"/>
                <w:rFonts w:hint="eastAsia" w:ascii="宋体" w:hAnsi="宋体" w:cs="宋体"/>
                <w:color w:val="auto"/>
                <w:highlight w:val="none"/>
              </w:rPr>
              <w:t>至少对桔青霉、黑曲霉、绳状青霉、球毛壳霉、腊叶芽枝霉、短柄帚霉、绿粘帚霉中的任意5种防霉性等级0级。</w:t>
            </w:r>
          </w:p>
        </w:tc>
      </w:tr>
    </w:tbl>
    <w:p w14:paraId="7E2092D2">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Times New Roman" w:eastAsia="宋体" w:cs="Times New Roman"/>
          <w:b/>
          <w:bCs/>
          <w:color w:val="auto"/>
          <w:sz w:val="22"/>
          <w:szCs w:val="22"/>
          <w:highlight w:val="none"/>
          <w:lang w:val="en-US" w:eastAsia="zh-CN"/>
        </w:rPr>
      </w:pPr>
      <w:r>
        <w:rPr>
          <w:rFonts w:hint="eastAsia" w:ascii="宋体" w:hAnsi="Times New Roman" w:eastAsia="宋体" w:cs="Times New Roman"/>
          <w:b/>
          <w:bCs/>
          <w:color w:val="auto"/>
          <w:sz w:val="22"/>
          <w:szCs w:val="22"/>
          <w:highlight w:val="none"/>
          <w:lang w:val="en-US" w:eastAsia="zh-CN"/>
        </w:rPr>
        <w:t>五、商务要求</w:t>
      </w:r>
    </w:p>
    <w:p w14:paraId="02E293E4">
      <w:pPr>
        <w:keepNext w:val="0"/>
        <w:keepLines w:val="0"/>
        <w:pageBreakBefore w:val="0"/>
        <w:kinsoku/>
        <w:wordWrap/>
        <w:overflowPunct/>
        <w:topLinePunct w:val="0"/>
        <w:bidi w:val="0"/>
        <w:snapToGrid/>
        <w:spacing w:line="460" w:lineRule="exact"/>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1、到货要求</w:t>
      </w:r>
    </w:p>
    <w:p w14:paraId="42F974CD">
      <w:pPr>
        <w:keepNext w:val="0"/>
        <w:keepLines w:val="0"/>
        <w:pageBreakBefore w:val="0"/>
        <w:kinsoku/>
        <w:wordWrap/>
        <w:overflowPunct/>
        <w:topLinePunct w:val="0"/>
        <w:autoSpaceDE w:val="0"/>
        <w:autoSpaceDN w:val="0"/>
        <w:bidi w:val="0"/>
        <w:adjustRightInd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1、交货期：合同签署生效并收到采购人交货通知后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40</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日内</w:t>
      </w:r>
      <w:r>
        <w:rPr>
          <w:rFonts w:hint="eastAsia" w:ascii="宋体" w:hAnsi="宋体" w:eastAsia="宋体" w:cs="宋体"/>
          <w:color w:val="auto"/>
          <w:sz w:val="22"/>
          <w:szCs w:val="22"/>
          <w:highlight w:val="none"/>
        </w:rPr>
        <w:t>交付全部货物。</w:t>
      </w:r>
    </w:p>
    <w:p w14:paraId="1897902B">
      <w:pPr>
        <w:keepNext w:val="0"/>
        <w:keepLines w:val="0"/>
        <w:pageBreakBefore w:val="0"/>
        <w:kinsoku/>
        <w:wordWrap/>
        <w:overflowPunct/>
        <w:topLinePunct w:val="0"/>
        <w:autoSpaceDE w:val="0"/>
        <w:autoSpaceDN w:val="0"/>
        <w:bidi w:val="0"/>
        <w:adjustRightInd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2、交货方式：按甲方指定地点送货上门</w:t>
      </w:r>
    </w:p>
    <w:p w14:paraId="50B893F3">
      <w:pPr>
        <w:keepNext w:val="0"/>
        <w:keepLines w:val="0"/>
        <w:pageBreakBefore w:val="0"/>
        <w:kinsoku/>
        <w:wordWrap/>
        <w:overflowPunct/>
        <w:topLinePunct w:val="0"/>
        <w:autoSpaceDE w:val="0"/>
        <w:autoSpaceDN w:val="0"/>
        <w:bidi w:val="0"/>
        <w:adjustRightInd w:val="0"/>
        <w:snapToGrid/>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3、交货地点：甲方指定地点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中标人</w:t>
      </w:r>
      <w:r>
        <w:rPr>
          <w:rFonts w:hint="eastAsia" w:ascii="宋体" w:hAnsi="宋体" w:eastAsia="宋体" w:cs="宋体"/>
          <w:color w:val="auto"/>
          <w:sz w:val="22"/>
          <w:szCs w:val="22"/>
          <w:highlight w:val="none"/>
        </w:rPr>
        <w:t>须派专业人员将产品送到指定地点，其所有费用由</w:t>
      </w:r>
      <w:r>
        <w:rPr>
          <w:rFonts w:hint="eastAsia" w:ascii="宋体" w:hAnsi="宋体" w:eastAsia="宋体" w:cs="宋体"/>
          <w:color w:val="auto"/>
          <w:sz w:val="22"/>
          <w:szCs w:val="22"/>
          <w:highlight w:val="none"/>
          <w:lang w:val="en-US" w:eastAsia="zh-CN"/>
        </w:rPr>
        <w:t>中标人</w:t>
      </w:r>
      <w:r>
        <w:rPr>
          <w:rFonts w:hint="eastAsia" w:ascii="宋体" w:hAnsi="宋体" w:eastAsia="宋体" w:cs="宋体"/>
          <w:color w:val="auto"/>
          <w:sz w:val="22"/>
          <w:szCs w:val="22"/>
          <w:highlight w:val="none"/>
        </w:rPr>
        <w:t>承担</w:t>
      </w:r>
      <w:r>
        <w:rPr>
          <w:rFonts w:hint="eastAsia" w:ascii="宋体" w:hAnsi="宋体" w:eastAsia="宋体" w:cs="宋体"/>
          <w:color w:val="auto"/>
          <w:sz w:val="22"/>
          <w:szCs w:val="22"/>
          <w:highlight w:val="none"/>
          <w:lang w:eastAsia="zh-CN"/>
        </w:rPr>
        <w:t>）</w:t>
      </w:r>
    </w:p>
    <w:p w14:paraId="5F49F433">
      <w:pPr>
        <w:keepNext w:val="0"/>
        <w:keepLines w:val="0"/>
        <w:pageBreakBefore w:val="0"/>
        <w:kinsoku/>
        <w:wordWrap/>
        <w:overflowPunct/>
        <w:topLinePunct w:val="0"/>
        <w:bidi w:val="0"/>
        <w:snapToGrid/>
        <w:spacing w:line="460" w:lineRule="exact"/>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2、安装、</w:t>
      </w:r>
      <w:r>
        <w:rPr>
          <w:rFonts w:hint="eastAsia" w:ascii="宋体" w:hAnsi="宋体" w:eastAsia="宋体" w:cs="宋体"/>
          <w:b/>
          <w:color w:val="auto"/>
          <w:sz w:val="22"/>
          <w:szCs w:val="22"/>
          <w:highlight w:val="none"/>
          <w:lang w:val="en-US" w:eastAsia="zh-CN"/>
        </w:rPr>
        <w:t>调试</w:t>
      </w:r>
      <w:r>
        <w:rPr>
          <w:rFonts w:hint="eastAsia" w:ascii="宋体" w:hAnsi="宋体" w:eastAsia="宋体" w:cs="宋体"/>
          <w:b/>
          <w:color w:val="auto"/>
          <w:sz w:val="22"/>
          <w:szCs w:val="22"/>
          <w:highlight w:val="none"/>
        </w:rPr>
        <w:t>标准</w:t>
      </w:r>
    </w:p>
    <w:p w14:paraId="2D482FD9">
      <w:pPr>
        <w:keepNext w:val="0"/>
        <w:keepLines w:val="0"/>
        <w:pageBreakBefore w:val="0"/>
        <w:kinsoku/>
        <w:wordWrap/>
        <w:overflowPunct/>
        <w:topLinePunct w:val="0"/>
        <w:bidi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必须派技术人员到现场安装调试，安装完毕</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派专业人员检查安装质量并进行设备调试。</w:t>
      </w:r>
    </w:p>
    <w:p w14:paraId="73467FD6">
      <w:pPr>
        <w:keepNext w:val="0"/>
        <w:keepLines w:val="0"/>
        <w:pageBreakBefore w:val="0"/>
        <w:kinsoku/>
        <w:wordWrap/>
        <w:overflowPunct/>
        <w:topLinePunct w:val="0"/>
        <w:bidi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 xml:space="preserve">必须为使用单位设计、安装、调试、维修、使用提供足够的技术资料和技术保障。提供有关证明，如产地、出厂合格证、质量保证书和测试合格证等。 </w:t>
      </w:r>
    </w:p>
    <w:p w14:paraId="2439865A">
      <w:pPr>
        <w:keepNext w:val="0"/>
        <w:keepLines w:val="0"/>
        <w:pageBreakBefore w:val="0"/>
        <w:kinsoku/>
        <w:wordWrap/>
        <w:overflowPunct/>
        <w:topLinePunct w:val="0"/>
        <w:bidi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2.3若产品验收时有关技术参数不能满足招标文件技术要求，使用单位有权要求更换，同时有权要求索赔，所产生的一切费用（含所有检验费用）由</w:t>
      </w:r>
      <w:r>
        <w:rPr>
          <w:rFonts w:hint="eastAsia" w:ascii="宋体" w:hAnsi="宋体" w:eastAsia="宋体" w:cs="宋体"/>
          <w:color w:val="auto"/>
          <w:sz w:val="22"/>
          <w:szCs w:val="22"/>
          <w:highlight w:val="none"/>
          <w:lang w:val="en-US" w:eastAsia="zh-CN"/>
        </w:rPr>
        <w:t>中标</w:t>
      </w:r>
      <w:r>
        <w:rPr>
          <w:rFonts w:hint="eastAsia" w:ascii="宋体" w:hAnsi="宋体" w:eastAsia="宋体" w:cs="宋体"/>
          <w:color w:val="auto"/>
          <w:sz w:val="22"/>
          <w:szCs w:val="22"/>
          <w:highlight w:val="none"/>
        </w:rPr>
        <w:t>人全部承担。</w:t>
      </w:r>
    </w:p>
    <w:p w14:paraId="1000DCB6">
      <w:pPr>
        <w:keepNext w:val="0"/>
        <w:keepLines w:val="0"/>
        <w:pageBreakBefore w:val="0"/>
        <w:kinsoku/>
        <w:wordWrap/>
        <w:overflowPunct/>
        <w:topLinePunct w:val="0"/>
        <w:bidi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设备测试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由</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协助采购人进行相关设备的安装，设备安装完成后，由采购人进行产品自身性能的测试。</w:t>
      </w:r>
    </w:p>
    <w:p w14:paraId="6D3BDA8A">
      <w:pPr>
        <w:keepNext w:val="0"/>
        <w:keepLines w:val="0"/>
        <w:pageBreakBefore w:val="0"/>
        <w:kinsoku/>
        <w:wordWrap/>
        <w:overflowPunct/>
        <w:topLinePunct w:val="0"/>
        <w:bidi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应提供所有产品详细的中文操作手册，详细的产品操作和维护手册。</w:t>
      </w:r>
    </w:p>
    <w:p w14:paraId="4C633C07">
      <w:pPr>
        <w:keepNext w:val="0"/>
        <w:keepLines w:val="0"/>
        <w:pageBreakBefore w:val="0"/>
        <w:kinsoku/>
        <w:wordWrap/>
        <w:overflowPunct/>
        <w:topLinePunct w:val="0"/>
        <w:bidi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应提供完整的专用工具，以便维护、维修所供产品。</w:t>
      </w:r>
    </w:p>
    <w:p w14:paraId="34C8CE08">
      <w:pPr>
        <w:keepNext w:val="0"/>
        <w:keepLines w:val="0"/>
        <w:pageBreakBefore w:val="0"/>
        <w:kinsoku/>
        <w:wordWrap/>
        <w:overflowPunct/>
        <w:topLinePunct w:val="0"/>
        <w:bidi w:val="0"/>
        <w:snapToGrid/>
        <w:spacing w:line="460" w:lineRule="exact"/>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rPr>
        <w:t>质保期</w:t>
      </w:r>
    </w:p>
    <w:p w14:paraId="3D15E0DB">
      <w:pPr>
        <w:keepNext w:val="0"/>
        <w:keepLines w:val="0"/>
        <w:pageBreakBefore w:val="0"/>
        <w:kinsoku/>
        <w:wordWrap/>
        <w:overflowPunct/>
        <w:topLinePunct w:val="0"/>
        <w:bidi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3.1</w:t>
      </w:r>
      <w:r>
        <w:rPr>
          <w:rFonts w:hint="eastAsia" w:ascii="宋体" w:hAnsi="宋体" w:eastAsia="宋体" w:cs="宋体"/>
          <w:color w:val="auto"/>
          <w:sz w:val="22"/>
          <w:szCs w:val="22"/>
          <w:highlight w:val="none"/>
        </w:rPr>
        <w:t>本项目售后质保期从项目验收合格开始计算，</w:t>
      </w:r>
      <w:r>
        <w:rPr>
          <w:rFonts w:hint="eastAsia" w:ascii="宋体" w:hAnsi="宋体" w:eastAsia="宋体" w:cs="宋体"/>
          <w:b/>
          <w:bCs/>
          <w:color w:val="auto"/>
          <w:sz w:val="22"/>
          <w:szCs w:val="22"/>
          <w:highlight w:val="none"/>
        </w:rPr>
        <w:t>投标人应提供不少于</w:t>
      </w: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年的售后质保服务</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在质保期内投标人应免费上门对损坏的部件或设备进行维修、安装、更换、调试等。</w:t>
      </w:r>
    </w:p>
    <w:p w14:paraId="3A03AA12">
      <w:pPr>
        <w:keepNext w:val="0"/>
        <w:keepLines w:val="0"/>
        <w:pageBreakBefore w:val="0"/>
        <w:kinsoku/>
        <w:wordWrap/>
        <w:overflowPunct/>
        <w:topLinePunct w:val="0"/>
        <w:bidi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3.2</w:t>
      </w:r>
      <w:r>
        <w:rPr>
          <w:rFonts w:hint="eastAsia" w:ascii="宋体" w:hAnsi="宋体" w:eastAsia="宋体" w:cs="宋体"/>
          <w:color w:val="auto"/>
          <w:sz w:val="22"/>
          <w:szCs w:val="22"/>
          <w:highlight w:val="none"/>
        </w:rPr>
        <w:t>质保期内免费更换的设备零部质保期应自更换之日起计</w:t>
      </w:r>
      <w:r>
        <w:rPr>
          <w:rFonts w:hint="eastAsia" w:ascii="宋体" w:hAnsi="宋体" w:eastAsia="宋体" w:cs="宋体"/>
          <w:color w:val="auto"/>
          <w:sz w:val="22"/>
          <w:szCs w:val="22"/>
          <w:highlight w:val="none"/>
        </w:rPr>
        <w:t>不少于</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rPr>
        <w:t>。</w:t>
      </w:r>
    </w:p>
    <w:p w14:paraId="57B707EB">
      <w:pPr>
        <w:keepNext w:val="0"/>
        <w:keepLines w:val="0"/>
        <w:pageBreakBefore w:val="0"/>
        <w:kinsoku/>
        <w:wordWrap/>
        <w:overflowPunct/>
        <w:topLinePunct w:val="0"/>
        <w:bidi w:val="0"/>
        <w:snapToGrid/>
        <w:spacing w:line="460" w:lineRule="exact"/>
        <w:ind w:firstLine="433" w:firstLineChars="196"/>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4、售后服务与培训要求</w:t>
      </w:r>
    </w:p>
    <w:p w14:paraId="3825996B">
      <w:pPr>
        <w:keepNext w:val="0"/>
        <w:keepLines w:val="0"/>
        <w:pageBreakBefore w:val="0"/>
        <w:kinsoku/>
        <w:wordWrap/>
        <w:overflowPunct/>
        <w:topLinePunct w:val="0"/>
        <w:bidi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1质量保证期及备件供应</w:t>
      </w:r>
    </w:p>
    <w:p w14:paraId="0B2AD428">
      <w:pPr>
        <w:keepNext w:val="0"/>
        <w:keepLines w:val="0"/>
        <w:pageBreakBefore w:val="0"/>
        <w:kinsoku/>
        <w:wordWrap/>
        <w:overflowPunct/>
        <w:topLinePunct w:val="0"/>
        <w:autoSpaceDE w:val="0"/>
        <w:autoSpaceDN w:val="0"/>
        <w:bidi w:val="0"/>
        <w:adjustRightInd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1）自产品最终验收合格之日起，</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应保证本次招标采购的全部商品售后服务（包括正品和厂制品）均由</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负责，</w:t>
      </w:r>
      <w:r>
        <w:rPr>
          <w:rFonts w:hint="eastAsia" w:ascii="宋体" w:hAnsi="宋体" w:eastAsia="宋体" w:cs="宋体"/>
          <w:color w:val="auto"/>
          <w:sz w:val="22"/>
          <w:szCs w:val="22"/>
          <w:highlight w:val="none"/>
        </w:rPr>
        <w:t>保证提供本次招标采购整体设备</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年的免费保修服务</w:t>
      </w:r>
      <w:r>
        <w:rPr>
          <w:rFonts w:hint="eastAsia" w:ascii="宋体" w:hAnsi="宋体" w:eastAsia="宋体" w:cs="宋体"/>
          <w:color w:val="auto"/>
          <w:sz w:val="22"/>
          <w:szCs w:val="22"/>
          <w:highlight w:val="none"/>
        </w:rPr>
        <w:t>（除特殊说明外）。正品按国家和出厂设备提供的售后服务年限执行，</w:t>
      </w:r>
      <w:r>
        <w:rPr>
          <w:rFonts w:hint="eastAsia" w:ascii="宋体" w:hAnsi="宋体" w:eastAsia="宋体" w:cs="宋体"/>
          <w:color w:val="auto"/>
          <w:sz w:val="22"/>
          <w:szCs w:val="22"/>
          <w:highlight w:val="none"/>
        </w:rPr>
        <w:t>不足</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年的售后服务的由采购人按</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年售后服务执行。</w:t>
      </w:r>
    </w:p>
    <w:p w14:paraId="0EC37505">
      <w:pPr>
        <w:keepNext w:val="0"/>
        <w:keepLines w:val="0"/>
        <w:pageBreakBefore w:val="0"/>
        <w:kinsoku/>
        <w:wordWrap/>
        <w:overflowPunct/>
        <w:topLinePunct w:val="0"/>
        <w:autoSpaceDE w:val="0"/>
        <w:autoSpaceDN w:val="0"/>
        <w:bidi w:val="0"/>
        <w:adjustRightInd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应保证提供后续相应备品备件供应。</w:t>
      </w:r>
    </w:p>
    <w:p w14:paraId="701F427F">
      <w:pPr>
        <w:keepNext w:val="0"/>
        <w:keepLines w:val="0"/>
        <w:pageBreakBefore w:val="0"/>
        <w:kinsoku/>
        <w:wordWrap/>
        <w:overflowPunct/>
        <w:topLinePunct w:val="0"/>
        <w:bidi w:val="0"/>
        <w:snapToGrid/>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2售后服务</w:t>
      </w:r>
    </w:p>
    <w:p w14:paraId="46138DEF">
      <w:pPr>
        <w:keepNext w:val="0"/>
        <w:keepLines w:val="0"/>
        <w:pageBreakBefore w:val="0"/>
        <w:kinsoku/>
        <w:wordWrap/>
        <w:overflowPunct/>
        <w:topLinePunct w:val="0"/>
        <w:bidi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提供的产品应满足稳定性、先进性、实用性和易用性，要确保质量和安全。</w:t>
      </w:r>
    </w:p>
    <w:p w14:paraId="1171C34A">
      <w:pPr>
        <w:keepNext w:val="0"/>
        <w:keepLines w:val="0"/>
        <w:pageBreakBefore w:val="0"/>
        <w:kinsoku/>
        <w:wordWrap/>
        <w:overflowPunct/>
        <w:topLinePunct w:val="0"/>
        <w:bidi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应提供快捷、周到、规范的技术服务，需提供7*24小时电话技术支持，接到甲方故障通知后，技术人员应立即响应，并于2小时内到达现场进行故障排除和抢修。</w:t>
      </w:r>
    </w:p>
    <w:p w14:paraId="5334E4F9">
      <w:pPr>
        <w:keepNext w:val="0"/>
        <w:keepLines w:val="0"/>
        <w:pageBreakBefore w:val="0"/>
        <w:kinsoku/>
        <w:wordWrap/>
        <w:overflowPunct/>
        <w:topLinePunct w:val="0"/>
        <w:bidi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3）甲方在试运行和初次使用时，</w:t>
      </w:r>
      <w:r>
        <w:rPr>
          <w:rFonts w:hint="eastAsia" w:ascii="宋体" w:hAnsi="宋体" w:eastAsia="宋体" w:cs="宋体"/>
          <w:color w:val="auto"/>
          <w:sz w:val="22"/>
          <w:szCs w:val="22"/>
          <w:highlight w:val="none"/>
          <w:lang w:val="en-US" w:eastAsia="zh-CN"/>
        </w:rPr>
        <w:t>中标人</w:t>
      </w:r>
      <w:r>
        <w:rPr>
          <w:rFonts w:hint="eastAsia" w:ascii="宋体" w:hAnsi="宋体" w:eastAsia="宋体" w:cs="宋体"/>
          <w:color w:val="auto"/>
          <w:sz w:val="22"/>
          <w:szCs w:val="22"/>
          <w:highlight w:val="none"/>
        </w:rPr>
        <w:t>应指派技术人员到现场进行技术指导。</w:t>
      </w:r>
    </w:p>
    <w:p w14:paraId="284EC03A">
      <w:pPr>
        <w:keepNext w:val="0"/>
        <w:keepLines w:val="0"/>
        <w:pageBreakBefore w:val="0"/>
        <w:kinsoku/>
        <w:wordWrap/>
        <w:overflowPunct/>
        <w:topLinePunct w:val="0"/>
        <w:bidi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提供的产品在质保期内因产品本身质量问题发生故障，应负责免费更换。</w:t>
      </w:r>
    </w:p>
    <w:p w14:paraId="51239D57">
      <w:pPr>
        <w:keepNext w:val="0"/>
        <w:keepLines w:val="0"/>
        <w:pageBreakBefore w:val="0"/>
        <w:kinsoku/>
        <w:wordWrap/>
        <w:overflowPunct/>
        <w:topLinePunct w:val="0"/>
        <w:bidi w:val="0"/>
        <w:snapToGrid/>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3培训要求</w:t>
      </w:r>
    </w:p>
    <w:p w14:paraId="2400E8AA">
      <w:pPr>
        <w:keepNext w:val="0"/>
        <w:keepLines w:val="0"/>
        <w:pageBreakBefore w:val="0"/>
        <w:kinsoku/>
        <w:wordWrap/>
        <w:overflowPunct/>
        <w:topLinePunct w:val="0"/>
        <w:autoSpaceDE w:val="0"/>
        <w:autoSpaceDN w:val="0"/>
        <w:bidi w:val="0"/>
        <w:adjustRightInd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要根据实际情况，制订针对性培训方案。</w:t>
      </w:r>
    </w:p>
    <w:p w14:paraId="013A928F">
      <w:pPr>
        <w:keepNext w:val="0"/>
        <w:keepLines w:val="0"/>
        <w:pageBreakBefore w:val="0"/>
        <w:kinsoku/>
        <w:wordWrap/>
        <w:overflowPunct/>
        <w:topLinePunct w:val="0"/>
        <w:autoSpaceDE w:val="0"/>
        <w:autoSpaceDN w:val="0"/>
        <w:bidi w:val="0"/>
        <w:adjustRightInd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应在设备安装调试完成后和甲方正式使用前，分别进行一次技术、安全和实操培训，培训组织由采购方负责，授课和技术指导由</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负责，培训形式、培训时间、培训场地等由双方协商决定。</w:t>
      </w:r>
    </w:p>
    <w:p w14:paraId="785C4489">
      <w:pPr>
        <w:keepNext w:val="0"/>
        <w:keepLines w:val="0"/>
        <w:pageBreakBefore w:val="0"/>
        <w:kinsoku/>
        <w:wordWrap/>
        <w:overflowPunct/>
        <w:topLinePunct w:val="0"/>
        <w:autoSpaceDE w:val="0"/>
        <w:autoSpaceDN w:val="0"/>
        <w:bidi w:val="0"/>
        <w:adjustRightInd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3)后期根据采购方要求适时组织培训，</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必须无条件配合，不得以任何理由或借口推诿。</w:t>
      </w:r>
    </w:p>
    <w:p w14:paraId="350BA42C">
      <w:pPr>
        <w:keepNext w:val="0"/>
        <w:keepLines w:val="0"/>
        <w:pageBreakBefore w:val="0"/>
        <w:kinsoku/>
        <w:wordWrap/>
        <w:overflowPunct/>
        <w:topLinePunct w:val="0"/>
        <w:bidi w:val="0"/>
        <w:snapToGrid/>
        <w:spacing w:line="460" w:lineRule="exact"/>
        <w:ind w:firstLine="442" w:firstLineChars="20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5、付款方式</w:t>
      </w:r>
    </w:p>
    <w:p w14:paraId="157E22F3">
      <w:pPr>
        <w:keepNext w:val="0"/>
        <w:keepLines w:val="0"/>
        <w:pageBreakBefore w:val="0"/>
        <w:kinsoku/>
        <w:wordWrap/>
        <w:overflowPunct/>
        <w:topLinePunct w:val="0"/>
        <w:bidi w:val="0"/>
        <w:snapToGrid/>
        <w:spacing w:line="4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在满足合同约定支付条件且资金到位的前提下，按如下方式支付：合同生效后甲方收到乙方提供合格税务发票7个工作日内先支付合同价款的40%预付款；项目建设完成并验收合格后，甲方收到乙方提供合格税务发票7个工作日内支付合同价款60%。</w:t>
      </w:r>
    </w:p>
    <w:p w14:paraId="06C721D1">
      <w:pPr>
        <w:keepNext w:val="0"/>
        <w:keepLines w:val="0"/>
        <w:pageBreakBefore w:val="0"/>
        <w:kinsoku/>
        <w:wordWrap/>
        <w:overflowPunct/>
        <w:topLinePunct w:val="0"/>
        <w:bidi w:val="0"/>
        <w:snapToGrid/>
        <w:spacing w:line="460" w:lineRule="exact"/>
        <w:ind w:firstLine="442" w:firstLineChars="20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6、其他</w:t>
      </w:r>
    </w:p>
    <w:p w14:paraId="30F962C7">
      <w:pPr>
        <w:keepNext w:val="0"/>
        <w:keepLines w:val="0"/>
        <w:pageBreakBefore w:val="0"/>
        <w:kinsoku/>
        <w:wordWrap/>
        <w:overflowPunct/>
        <w:topLinePunct w:val="0"/>
        <w:autoSpaceDE w:val="0"/>
        <w:autoSpaceDN w:val="0"/>
        <w:bidi w:val="0"/>
        <w:adjustRightInd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1投标人须充分了解项目现场条件情况，根据采购人实际需求对产品尺寸进行优化调整。</w:t>
      </w:r>
    </w:p>
    <w:p w14:paraId="0F30F2ED">
      <w:pPr>
        <w:keepNext w:val="0"/>
        <w:keepLines w:val="0"/>
        <w:pageBreakBefore w:val="0"/>
        <w:kinsoku/>
        <w:wordWrap/>
        <w:overflowPunct/>
        <w:topLinePunct w:val="0"/>
        <w:autoSpaceDE w:val="0"/>
        <w:autoSpaceDN w:val="0"/>
        <w:bidi w:val="0"/>
        <w:adjustRightInd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2投标人须接受采购人对项目优化设计、选材、加工、制作、安装等过程的质量监督。材料加工、制作、安装、验收必须按照国家现行相关标准的规定执行。</w:t>
      </w:r>
    </w:p>
    <w:p w14:paraId="051C4043">
      <w:pPr>
        <w:keepNext w:val="0"/>
        <w:keepLines w:val="0"/>
        <w:pageBreakBefore w:val="0"/>
        <w:kinsoku/>
        <w:wordWrap/>
        <w:overflowPunct/>
        <w:topLinePunct w:val="0"/>
        <w:autoSpaceDE w:val="0"/>
        <w:autoSpaceDN w:val="0"/>
        <w:bidi w:val="0"/>
        <w:adjustRightInd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3投标人应确保提供的设备、材料是未经使用的合格产品，否则若出现因投标人提供设备、材料不满足要求、而导致该项目无法满足招标要求或不能完全满足招标要求的状况，投标人负全部责任并承担一切费用。</w:t>
      </w:r>
    </w:p>
    <w:p w14:paraId="328816CF">
      <w:pPr>
        <w:keepNext w:val="0"/>
        <w:keepLines w:val="0"/>
        <w:pageBreakBefore w:val="0"/>
        <w:kinsoku/>
        <w:wordWrap/>
        <w:overflowPunct/>
        <w:topLinePunct w:val="0"/>
        <w:autoSpaceDE w:val="0"/>
        <w:autoSpaceDN w:val="0"/>
        <w:bidi w:val="0"/>
        <w:adjustRightInd w:val="0"/>
        <w:snapToGrid/>
        <w:spacing w:line="4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相关施工内容须符合施工图及使用需求，验收不合格的，须免费整改至合格，所有材料应符合相应国家标准。</w:t>
      </w:r>
    </w:p>
    <w:p w14:paraId="5DF2A91B">
      <w:pPr>
        <w:keepNext w:val="0"/>
        <w:keepLines w:val="0"/>
        <w:pageBreakBefore w:val="0"/>
        <w:kinsoku/>
        <w:wordWrap/>
        <w:overflowPunct/>
        <w:topLinePunct w:val="0"/>
        <w:autoSpaceDE w:val="0"/>
        <w:autoSpaceDN w:val="0"/>
        <w:bidi w:val="0"/>
        <w:adjustRightInd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6.5</w:t>
      </w:r>
      <w:r>
        <w:rPr>
          <w:rFonts w:hint="eastAsia" w:ascii="宋体" w:hAnsi="宋体" w:eastAsia="宋体" w:cs="宋体"/>
          <w:color w:val="auto"/>
          <w:sz w:val="22"/>
          <w:szCs w:val="22"/>
          <w:highlight w:val="none"/>
        </w:rPr>
        <w:t>交货时中标人须附上所有货物的合格证原件、说明书等，上述资料未提供或提供不全的，视为初步验收不合格。</w:t>
      </w:r>
    </w:p>
    <w:p w14:paraId="43D48A4E">
      <w:pPr>
        <w:keepNext w:val="0"/>
        <w:keepLines w:val="0"/>
        <w:pageBreakBefore w:val="0"/>
        <w:kinsoku/>
        <w:wordWrap/>
        <w:overflowPunct/>
        <w:topLinePunct w:val="0"/>
        <w:autoSpaceDE w:val="0"/>
        <w:autoSpaceDN w:val="0"/>
        <w:bidi w:val="0"/>
        <w:adjustRightInd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6.6</w:t>
      </w:r>
      <w:r>
        <w:rPr>
          <w:rFonts w:hint="eastAsia" w:ascii="宋体" w:hAnsi="宋体" w:eastAsia="宋体" w:cs="宋体"/>
          <w:color w:val="auto"/>
          <w:sz w:val="22"/>
          <w:szCs w:val="22"/>
          <w:highlight w:val="none"/>
        </w:rPr>
        <w:t>投标人须派遣技术熟练的专业技术人员按照国家有关标准进行设备安装、调试直至设备验收合格通过。</w:t>
      </w:r>
    </w:p>
    <w:p w14:paraId="07817883">
      <w:pPr>
        <w:keepNext w:val="0"/>
        <w:keepLines w:val="0"/>
        <w:pageBreakBefore w:val="0"/>
        <w:kinsoku/>
        <w:wordWrap/>
        <w:overflowPunct/>
        <w:topLinePunct w:val="0"/>
        <w:autoSpaceDE w:val="0"/>
        <w:autoSpaceDN w:val="0"/>
        <w:bidi w:val="0"/>
        <w:adjustRightInd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6.7</w:t>
      </w:r>
      <w:r>
        <w:rPr>
          <w:rFonts w:hint="eastAsia" w:ascii="宋体" w:hAnsi="宋体" w:eastAsia="宋体" w:cs="宋体"/>
          <w:color w:val="auto"/>
          <w:sz w:val="22"/>
          <w:szCs w:val="22"/>
          <w:highlight w:val="none"/>
        </w:rPr>
        <w:t>由采购人对投标人提交的货物依据国家有关质量标准、采购文件技术规格要求、供应商投标文件中的承诺进行现场初步验收，产品技术参数、说明书、合格证等符合要求的，给予签收，初步验收不合格的不予签收。验收中发现产品不符合验收标准或合同规定的性能指标，投标人必须及时调整、更换该产品，直至符合要求为止，并且赔偿由此给采购人造成的一切损失。</w:t>
      </w:r>
    </w:p>
    <w:p w14:paraId="1E3717F2">
      <w:pPr>
        <w:keepNext w:val="0"/>
        <w:keepLines w:val="0"/>
        <w:pageBreakBefore w:val="0"/>
        <w:kinsoku/>
        <w:wordWrap/>
        <w:overflowPunct/>
        <w:topLinePunct w:val="0"/>
        <w:autoSpaceDE w:val="0"/>
        <w:autoSpaceDN w:val="0"/>
        <w:bidi w:val="0"/>
        <w:adjustRightInd w:val="0"/>
        <w:snapToGri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6.8</w:t>
      </w:r>
      <w:r>
        <w:rPr>
          <w:rFonts w:hint="eastAsia" w:ascii="宋体" w:hAnsi="宋体" w:eastAsia="宋体" w:cs="宋体"/>
          <w:color w:val="auto"/>
          <w:sz w:val="22"/>
          <w:szCs w:val="22"/>
          <w:highlight w:val="none"/>
        </w:rPr>
        <w:t>采购人有权随机抽检货物送至第三方检测机构检测；如验收时发现设备达不到招标文件规定或投标文件提供的性能指标或不符合相关规定，则必须更换部件，进行调整，使设备最终能达到合同规定的技术要求，并且要赔偿由此对采购人造成的损失。检测费用已包含在投标报价中，由中标人承担。</w:t>
      </w:r>
    </w:p>
    <w:p w14:paraId="50E13F25">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cs="宋体"/>
          <w:b/>
          <w:color w:val="auto"/>
          <w:sz w:val="24"/>
          <w:highlight w:val="none"/>
        </w:rPr>
      </w:pPr>
      <w:r>
        <w:rPr>
          <w:rStyle w:val="341"/>
          <w:rFonts w:hint="eastAsia"/>
          <w:b/>
          <w:bCs/>
          <w:color w:val="auto"/>
          <w:sz w:val="22"/>
          <w:szCs w:val="22"/>
          <w:highlight w:val="none"/>
          <w:lang w:val="en-US"/>
        </w:rPr>
        <w:br w:type="page"/>
      </w:r>
      <w:r>
        <w:rPr>
          <w:rStyle w:val="341"/>
          <w:rFonts w:hint="eastAsia"/>
          <w:b/>
          <w:bCs/>
          <w:color w:val="auto"/>
          <w:sz w:val="22"/>
          <w:szCs w:val="22"/>
          <w:highlight w:val="none"/>
          <w:lang w:val="en-US"/>
        </w:rPr>
        <w:t>六、</w:t>
      </w:r>
      <w:r>
        <w:rPr>
          <w:rStyle w:val="341"/>
          <w:rFonts w:hint="eastAsia" w:ascii="宋体" w:hAnsi="宋体"/>
          <w:b/>
          <w:bCs/>
          <w:color w:val="auto"/>
          <w:sz w:val="22"/>
          <w:szCs w:val="22"/>
          <w:highlight w:val="none"/>
          <w:lang w:val="en-US"/>
        </w:rPr>
        <w:t>样品</w:t>
      </w:r>
      <w:r>
        <w:rPr>
          <w:rStyle w:val="341"/>
          <w:rFonts w:hint="eastAsia" w:ascii="宋体" w:hAnsi="宋体"/>
          <w:b/>
          <w:bCs/>
          <w:color w:val="auto"/>
          <w:sz w:val="22"/>
          <w:szCs w:val="22"/>
          <w:highlight w:val="none"/>
        </w:rPr>
        <w:t>要求</w:t>
      </w:r>
      <w:r>
        <w:rPr>
          <w:rFonts w:hint="eastAsia" w:ascii="宋体" w:hAnsi="宋体" w:cs="宋体"/>
          <w:b/>
          <w:color w:val="auto"/>
          <w:sz w:val="24"/>
          <w:highlight w:val="none"/>
          <w:lang w:eastAsia="zh-CN"/>
        </w:rPr>
        <w:t>（</w:t>
      </w:r>
      <w:r>
        <w:rPr>
          <w:rFonts w:hint="eastAsia" w:ascii="宋体" w:hAnsi="宋体" w:cs="宋体"/>
          <w:b/>
          <w:color w:val="auto"/>
          <w:sz w:val="24"/>
          <w:highlight w:val="none"/>
        </w:rPr>
        <w:t>样品出样示意图</w:t>
      </w:r>
      <w:r>
        <w:rPr>
          <w:rFonts w:hint="eastAsia" w:ascii="宋体" w:hAnsi="宋体" w:cs="宋体"/>
          <w:b/>
          <w:color w:val="auto"/>
          <w:sz w:val="24"/>
          <w:highlight w:val="none"/>
          <w:lang w:eastAsia="zh-CN"/>
        </w:rPr>
        <w:t>）</w:t>
      </w:r>
    </w:p>
    <w:p w14:paraId="491C97FA">
      <w:pPr>
        <w:pStyle w:val="51"/>
        <w:keepNext w:val="0"/>
        <w:keepLines w:val="0"/>
        <w:pageBreakBefore w:val="0"/>
        <w:widowControl w:val="0"/>
        <w:kinsoku/>
        <w:wordWrap/>
        <w:overflowPunct/>
        <w:topLinePunct w:val="0"/>
        <w:autoSpaceDE/>
        <w:autoSpaceDN/>
        <w:bidi w:val="0"/>
        <w:adjustRightInd/>
        <w:snapToGrid/>
        <w:spacing w:line="460" w:lineRule="exact"/>
        <w:ind w:left="437" w:leftChars="208" w:firstLine="60" w:firstLineChars="27"/>
        <w:textAlignment w:val="auto"/>
        <w:outlineLvl w:val="2"/>
        <w:rPr>
          <w:b/>
          <w:bCs/>
          <w:color w:val="auto"/>
          <w:highlight w:val="none"/>
        </w:rPr>
      </w:pPr>
      <w:r>
        <w:rPr>
          <w:rFonts w:hint="eastAsia" w:ascii="宋体" w:hAnsi="宋体" w:eastAsia="宋体" w:cs="宋体"/>
          <w:b/>
          <w:bCs/>
          <w:color w:val="auto"/>
          <w:sz w:val="22"/>
          <w:szCs w:val="22"/>
          <w:highlight w:val="none"/>
        </w:rPr>
        <w:t>1、综合治疗柜，尺寸允许±5%误差：</w:t>
      </w:r>
    </w:p>
    <w:p w14:paraId="3073A9E1">
      <w:pPr>
        <w:textAlignment w:val="center"/>
        <w:rPr>
          <w:rFonts w:hint="eastAsia" w:ascii="宋体" w:hAnsi="宋体" w:cs="宋体"/>
          <w:color w:val="auto"/>
          <w:sz w:val="24"/>
          <w:highlight w:val="none"/>
        </w:rPr>
      </w:pPr>
    </w:p>
    <w:p w14:paraId="06A0D1FC">
      <w:pP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drawing>
          <wp:inline distT="0" distB="0" distL="114300" distR="114300">
            <wp:extent cx="4325620" cy="6118225"/>
            <wp:effectExtent l="0" t="0" r="15875" b="17780"/>
            <wp:docPr id="5" name="图片 5" descr="21231624d1ed70958a6a4e753e95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1231624d1ed70958a6a4e753e95bca"/>
                    <pic:cNvPicPr>
                      <a:picLocks noChangeAspect="1"/>
                    </pic:cNvPicPr>
                  </pic:nvPicPr>
                  <pic:blipFill>
                    <a:blip r:embed="rId7"/>
                    <a:stretch>
                      <a:fillRect/>
                    </a:stretch>
                  </pic:blipFill>
                  <pic:spPr>
                    <a:xfrm rot="16200000">
                      <a:off x="0" y="0"/>
                      <a:ext cx="4325620" cy="6118225"/>
                    </a:xfrm>
                    <a:prstGeom prst="rect">
                      <a:avLst/>
                    </a:prstGeom>
                  </pic:spPr>
                </pic:pic>
              </a:graphicData>
            </a:graphic>
          </wp:inline>
        </w:drawing>
      </w:r>
    </w:p>
    <w:p w14:paraId="6EFC1F68">
      <w:pPr>
        <w:pStyle w:val="51"/>
        <w:keepNext w:val="0"/>
        <w:keepLines w:val="0"/>
        <w:pageBreakBefore w:val="0"/>
        <w:widowControl w:val="0"/>
        <w:kinsoku/>
        <w:wordWrap/>
        <w:overflowPunct/>
        <w:topLinePunct w:val="0"/>
        <w:autoSpaceDE/>
        <w:autoSpaceDN/>
        <w:bidi w:val="0"/>
        <w:adjustRightInd/>
        <w:snapToGrid/>
        <w:spacing w:line="460" w:lineRule="exact"/>
        <w:ind w:left="862" w:hanging="442"/>
        <w:textAlignment w:val="auto"/>
        <w:outlineLvl w:val="9"/>
        <w:rPr>
          <w:rFonts w:hint="eastAsia" w:ascii="宋体" w:hAnsi="宋体"/>
          <w:b/>
          <w:bCs/>
          <w:color w:val="auto"/>
          <w:sz w:val="22"/>
          <w:szCs w:val="22"/>
          <w:highlight w:val="none"/>
        </w:rPr>
      </w:pPr>
    </w:p>
    <w:p w14:paraId="2C995D85">
      <w:pPr>
        <w:pStyle w:val="51"/>
        <w:keepNext w:val="0"/>
        <w:keepLines w:val="0"/>
        <w:pageBreakBefore w:val="0"/>
        <w:widowControl w:val="0"/>
        <w:kinsoku/>
        <w:wordWrap/>
        <w:overflowPunct/>
        <w:topLinePunct w:val="0"/>
        <w:autoSpaceDE/>
        <w:autoSpaceDN/>
        <w:bidi w:val="0"/>
        <w:adjustRightInd/>
        <w:snapToGrid/>
        <w:spacing w:line="460" w:lineRule="exact"/>
        <w:ind w:left="862" w:hanging="442"/>
        <w:textAlignment w:val="auto"/>
        <w:outlineLvl w:val="9"/>
        <w:rPr>
          <w:rFonts w:hint="eastAsia" w:ascii="宋体" w:hAnsi="宋体"/>
          <w:b/>
          <w:bCs/>
          <w:color w:val="auto"/>
          <w:sz w:val="22"/>
          <w:szCs w:val="22"/>
          <w:highlight w:val="none"/>
        </w:rPr>
      </w:pPr>
    </w:p>
    <w:p w14:paraId="049B85C7">
      <w:pPr>
        <w:pStyle w:val="51"/>
        <w:keepNext w:val="0"/>
        <w:keepLines w:val="0"/>
        <w:pageBreakBefore w:val="0"/>
        <w:widowControl w:val="0"/>
        <w:kinsoku/>
        <w:wordWrap/>
        <w:overflowPunct/>
        <w:topLinePunct w:val="0"/>
        <w:autoSpaceDE/>
        <w:autoSpaceDN/>
        <w:bidi w:val="0"/>
        <w:adjustRightInd/>
        <w:snapToGrid/>
        <w:spacing w:line="460" w:lineRule="exact"/>
        <w:ind w:left="862" w:hanging="442"/>
        <w:textAlignment w:val="auto"/>
        <w:outlineLvl w:val="9"/>
        <w:rPr>
          <w:rFonts w:hint="eastAsia" w:ascii="宋体" w:hAnsi="宋体"/>
          <w:b/>
          <w:bCs/>
          <w:color w:val="auto"/>
          <w:sz w:val="22"/>
          <w:szCs w:val="22"/>
          <w:highlight w:val="none"/>
        </w:rPr>
      </w:pPr>
    </w:p>
    <w:p w14:paraId="44B69790">
      <w:pPr>
        <w:pStyle w:val="51"/>
        <w:keepNext w:val="0"/>
        <w:keepLines w:val="0"/>
        <w:pageBreakBefore w:val="0"/>
        <w:widowControl w:val="0"/>
        <w:kinsoku/>
        <w:wordWrap/>
        <w:overflowPunct/>
        <w:topLinePunct w:val="0"/>
        <w:autoSpaceDE/>
        <w:autoSpaceDN/>
        <w:bidi w:val="0"/>
        <w:adjustRightInd/>
        <w:snapToGrid/>
        <w:spacing w:line="460" w:lineRule="exact"/>
        <w:ind w:left="862" w:hanging="442"/>
        <w:textAlignment w:val="auto"/>
        <w:outlineLvl w:val="9"/>
        <w:rPr>
          <w:rFonts w:hint="eastAsia" w:ascii="宋体" w:hAnsi="宋体"/>
          <w:b/>
          <w:bCs/>
          <w:color w:val="auto"/>
          <w:sz w:val="22"/>
          <w:szCs w:val="22"/>
          <w:highlight w:val="none"/>
        </w:rPr>
      </w:pPr>
    </w:p>
    <w:p w14:paraId="295060F3">
      <w:pPr>
        <w:pStyle w:val="51"/>
        <w:keepNext w:val="0"/>
        <w:keepLines w:val="0"/>
        <w:pageBreakBefore w:val="0"/>
        <w:widowControl w:val="0"/>
        <w:kinsoku/>
        <w:wordWrap/>
        <w:overflowPunct/>
        <w:topLinePunct w:val="0"/>
        <w:autoSpaceDE/>
        <w:autoSpaceDN/>
        <w:bidi w:val="0"/>
        <w:adjustRightInd/>
        <w:snapToGrid/>
        <w:spacing w:line="460" w:lineRule="exact"/>
        <w:ind w:left="862" w:hanging="442"/>
        <w:textAlignment w:val="auto"/>
        <w:outlineLvl w:val="9"/>
        <w:rPr>
          <w:rFonts w:hint="eastAsia" w:ascii="宋体" w:hAnsi="宋体"/>
          <w:b/>
          <w:bCs/>
          <w:color w:val="auto"/>
          <w:sz w:val="22"/>
          <w:szCs w:val="22"/>
          <w:highlight w:val="none"/>
        </w:rPr>
      </w:pPr>
    </w:p>
    <w:p w14:paraId="13E3A35F">
      <w:pPr>
        <w:pStyle w:val="51"/>
        <w:keepNext w:val="0"/>
        <w:keepLines w:val="0"/>
        <w:pageBreakBefore w:val="0"/>
        <w:widowControl w:val="0"/>
        <w:kinsoku/>
        <w:wordWrap/>
        <w:overflowPunct/>
        <w:topLinePunct w:val="0"/>
        <w:autoSpaceDE/>
        <w:autoSpaceDN/>
        <w:bidi w:val="0"/>
        <w:adjustRightInd/>
        <w:snapToGrid/>
        <w:spacing w:line="460" w:lineRule="exact"/>
        <w:ind w:left="862" w:hanging="442"/>
        <w:textAlignment w:val="auto"/>
        <w:outlineLvl w:val="9"/>
        <w:rPr>
          <w:rFonts w:hint="eastAsia" w:ascii="宋体" w:hAnsi="宋体"/>
          <w:b/>
          <w:bCs/>
          <w:color w:val="auto"/>
          <w:sz w:val="22"/>
          <w:szCs w:val="22"/>
          <w:highlight w:val="none"/>
        </w:rPr>
      </w:pPr>
    </w:p>
    <w:p w14:paraId="1168C9E6">
      <w:pPr>
        <w:pStyle w:val="51"/>
        <w:keepNext w:val="0"/>
        <w:keepLines w:val="0"/>
        <w:pageBreakBefore w:val="0"/>
        <w:widowControl w:val="0"/>
        <w:kinsoku/>
        <w:wordWrap/>
        <w:overflowPunct/>
        <w:topLinePunct w:val="0"/>
        <w:autoSpaceDE/>
        <w:autoSpaceDN/>
        <w:bidi w:val="0"/>
        <w:adjustRightInd/>
        <w:snapToGrid/>
        <w:spacing w:line="460" w:lineRule="exact"/>
        <w:ind w:left="862" w:hanging="442"/>
        <w:textAlignment w:val="auto"/>
        <w:outlineLvl w:val="9"/>
        <w:rPr>
          <w:rFonts w:hint="eastAsia" w:ascii="宋体" w:hAnsi="宋体"/>
          <w:b/>
          <w:bCs/>
          <w:color w:val="auto"/>
          <w:sz w:val="22"/>
          <w:szCs w:val="22"/>
          <w:highlight w:val="none"/>
        </w:rPr>
      </w:pPr>
    </w:p>
    <w:p w14:paraId="54D4DADE">
      <w:pPr>
        <w:pStyle w:val="51"/>
        <w:keepNext w:val="0"/>
        <w:keepLines w:val="0"/>
        <w:pageBreakBefore w:val="0"/>
        <w:widowControl w:val="0"/>
        <w:kinsoku/>
        <w:wordWrap/>
        <w:overflowPunct/>
        <w:topLinePunct w:val="0"/>
        <w:autoSpaceDE/>
        <w:autoSpaceDN/>
        <w:bidi w:val="0"/>
        <w:adjustRightInd/>
        <w:snapToGrid/>
        <w:spacing w:line="460" w:lineRule="exact"/>
        <w:ind w:left="862" w:hanging="442"/>
        <w:textAlignment w:val="auto"/>
        <w:outlineLvl w:val="9"/>
        <w:rPr>
          <w:rFonts w:hint="eastAsia" w:ascii="宋体" w:hAnsi="宋体"/>
          <w:b/>
          <w:bCs/>
          <w:color w:val="auto"/>
          <w:sz w:val="22"/>
          <w:szCs w:val="22"/>
          <w:highlight w:val="none"/>
        </w:rPr>
      </w:pPr>
    </w:p>
    <w:p w14:paraId="6CFF8B69">
      <w:pPr>
        <w:pStyle w:val="51"/>
        <w:keepNext w:val="0"/>
        <w:keepLines w:val="0"/>
        <w:pageBreakBefore w:val="0"/>
        <w:widowControl w:val="0"/>
        <w:kinsoku/>
        <w:wordWrap/>
        <w:overflowPunct/>
        <w:topLinePunct w:val="0"/>
        <w:autoSpaceDE/>
        <w:autoSpaceDN/>
        <w:bidi w:val="0"/>
        <w:adjustRightInd/>
        <w:snapToGrid/>
        <w:spacing w:line="460" w:lineRule="exact"/>
        <w:ind w:left="862" w:hanging="442"/>
        <w:textAlignment w:val="auto"/>
        <w:outlineLvl w:val="9"/>
        <w:rPr>
          <w:rFonts w:hint="eastAsia" w:ascii="宋体" w:hAnsi="宋体"/>
          <w:b/>
          <w:bCs/>
          <w:color w:val="auto"/>
          <w:sz w:val="22"/>
          <w:szCs w:val="22"/>
          <w:highlight w:val="none"/>
        </w:rPr>
      </w:pPr>
    </w:p>
    <w:p w14:paraId="164BAFB0">
      <w:pPr>
        <w:pStyle w:val="51"/>
        <w:keepNext w:val="0"/>
        <w:keepLines w:val="0"/>
        <w:pageBreakBefore w:val="0"/>
        <w:widowControl w:val="0"/>
        <w:kinsoku/>
        <w:wordWrap/>
        <w:overflowPunct/>
        <w:topLinePunct w:val="0"/>
        <w:autoSpaceDE/>
        <w:autoSpaceDN/>
        <w:bidi w:val="0"/>
        <w:adjustRightInd/>
        <w:snapToGrid/>
        <w:spacing w:line="460" w:lineRule="exact"/>
        <w:ind w:left="862" w:hanging="442"/>
        <w:textAlignment w:val="auto"/>
        <w:outlineLvl w:val="9"/>
        <w:rPr>
          <w:rFonts w:hint="eastAsia" w:ascii="宋体" w:hAnsi="宋体"/>
          <w:b/>
          <w:bCs/>
          <w:color w:val="auto"/>
          <w:sz w:val="22"/>
          <w:szCs w:val="22"/>
          <w:highlight w:val="none"/>
        </w:rPr>
      </w:pPr>
    </w:p>
    <w:p w14:paraId="5C090E67">
      <w:pPr>
        <w:pStyle w:val="51"/>
        <w:spacing w:line="460" w:lineRule="exact"/>
        <w:ind w:left="862" w:hanging="442"/>
        <w:outlineLvl w:val="2"/>
        <w:rPr>
          <w:rFonts w:hint="eastAsia" w:ascii="宋体" w:hAnsi="宋体"/>
          <w:b/>
          <w:bCs/>
          <w:color w:val="auto"/>
          <w:sz w:val="22"/>
          <w:szCs w:val="22"/>
          <w:highlight w:val="none"/>
        </w:rPr>
      </w:pPr>
      <w:r>
        <w:rPr>
          <w:rFonts w:hint="eastAsia" w:ascii="宋体" w:hAnsi="宋体"/>
          <w:b/>
          <w:bCs/>
          <w:color w:val="auto"/>
          <w:sz w:val="22"/>
          <w:szCs w:val="22"/>
          <w:highlight w:val="none"/>
        </w:rPr>
        <w:t>2、医生椅-1，</w:t>
      </w:r>
      <w:r>
        <w:rPr>
          <w:rFonts w:ascii="宋体" w:hAnsi="宋体"/>
          <w:b/>
          <w:bCs/>
          <w:color w:val="auto"/>
          <w:sz w:val="22"/>
          <w:szCs w:val="22"/>
          <w:highlight w:val="none"/>
        </w:rPr>
        <w:t>665*585*940</w:t>
      </w:r>
      <w:r>
        <w:rPr>
          <w:rFonts w:hint="eastAsia" w:ascii="宋体" w:hAnsi="宋体"/>
          <w:b/>
          <w:bCs/>
          <w:color w:val="auto"/>
          <w:sz w:val="22"/>
          <w:szCs w:val="22"/>
          <w:highlight w:val="none"/>
        </w:rPr>
        <w:t>，尺寸允许±5%误差：</w:t>
      </w:r>
    </w:p>
    <w:tbl>
      <w:tblPr>
        <w:tblStyle w:val="53"/>
        <w:tblpPr w:leftFromText="180" w:rightFromText="180" w:vertAnchor="text" w:horzAnchor="page" w:tblpX="1185" w:tblpY="389"/>
        <w:tblOverlap w:val="never"/>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3"/>
        <w:gridCol w:w="5797"/>
      </w:tblGrid>
      <w:tr w14:paraId="6D47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3833" w:type="dxa"/>
          </w:tcPr>
          <w:p w14:paraId="218EA390">
            <w:pPr>
              <w:snapToGrid w:val="0"/>
              <w:jc w:val="center"/>
              <w:rPr>
                <w:rFonts w:hint="eastAsia" w:ascii="仿宋" w:hAnsi="仿宋" w:eastAsia="仿宋" w:cs="仿宋"/>
                <w:color w:val="auto"/>
                <w:kern w:val="0"/>
                <w:sz w:val="24"/>
                <w:highlight w:val="none"/>
              </w:rPr>
            </w:pPr>
          </w:p>
          <w:p w14:paraId="4BD90288">
            <w:pPr>
              <w:snapToGrid w:val="0"/>
              <w:jc w:val="center"/>
              <w:rPr>
                <w:rFonts w:hint="eastAsia" w:ascii="仿宋" w:hAnsi="仿宋" w:eastAsia="仿宋" w:cs="仿宋"/>
                <w:color w:val="auto"/>
                <w:kern w:val="0"/>
                <w:sz w:val="24"/>
                <w:highlight w:val="none"/>
              </w:rPr>
            </w:pPr>
          </w:p>
          <w:p w14:paraId="5743742E">
            <w:pPr>
              <w:snapToGrid w:val="0"/>
              <w:jc w:val="center"/>
              <w:rPr>
                <w:rFonts w:hint="eastAsia" w:ascii="仿宋" w:hAnsi="仿宋" w:eastAsia="仿宋" w:cs="仿宋"/>
                <w:color w:val="auto"/>
                <w:kern w:val="0"/>
                <w:sz w:val="24"/>
                <w:highlight w:val="none"/>
              </w:rPr>
            </w:pPr>
          </w:p>
          <w:p w14:paraId="37EED610">
            <w:pPr>
              <w:snapToGrid w:val="0"/>
              <w:jc w:val="center"/>
              <w:rPr>
                <w:rFonts w:hint="eastAsia" w:ascii="仿宋" w:hAnsi="仿宋" w:eastAsia="仿宋" w:cs="仿宋"/>
                <w:color w:val="auto"/>
                <w:kern w:val="0"/>
                <w:sz w:val="24"/>
                <w:highlight w:val="none"/>
              </w:rPr>
            </w:pPr>
          </w:p>
          <w:p w14:paraId="43181A4A">
            <w:pPr>
              <w:snapToGrid w:val="0"/>
              <w:jc w:val="center"/>
              <w:rPr>
                <w:rFonts w:hint="eastAsia" w:ascii="仿宋" w:hAnsi="仿宋" w:eastAsia="仿宋" w:cs="仿宋"/>
                <w:color w:val="auto"/>
                <w:kern w:val="0"/>
                <w:sz w:val="24"/>
                <w:highlight w:val="none"/>
              </w:rPr>
            </w:pPr>
          </w:p>
          <w:p w14:paraId="6B31A322">
            <w:pPr>
              <w:snapToGrid w:val="0"/>
              <w:jc w:val="center"/>
              <w:rPr>
                <w:rFonts w:hint="eastAsia" w:ascii="仿宋" w:hAnsi="仿宋" w:eastAsia="仿宋" w:cs="仿宋"/>
                <w:color w:val="auto"/>
                <w:kern w:val="0"/>
                <w:sz w:val="24"/>
                <w:highlight w:val="none"/>
              </w:rPr>
            </w:pPr>
          </w:p>
          <w:p w14:paraId="721DB3CE">
            <w:pPr>
              <w:snapToGrid w:val="0"/>
              <w:jc w:val="center"/>
              <w:rPr>
                <w:rFonts w:hint="eastAsia" w:ascii="仿宋" w:hAnsi="仿宋" w:eastAsia="仿宋" w:cs="仿宋"/>
                <w:color w:val="auto"/>
                <w:kern w:val="0"/>
                <w:sz w:val="24"/>
                <w:highlight w:val="none"/>
              </w:rPr>
            </w:pPr>
          </w:p>
          <w:p w14:paraId="0573D323">
            <w:pPr>
              <w:snapToGrid w:val="0"/>
              <w:jc w:val="center"/>
              <w:rPr>
                <w:rFonts w:hint="eastAsia" w:ascii="仿宋" w:hAnsi="仿宋" w:eastAsia="仿宋" w:cs="仿宋"/>
                <w:color w:val="auto"/>
                <w:kern w:val="0"/>
                <w:sz w:val="24"/>
                <w:highlight w:val="none"/>
              </w:rPr>
            </w:pPr>
          </w:p>
          <w:p w14:paraId="3F42D43A">
            <w:pPr>
              <w:snapToGrid w:val="0"/>
              <w:jc w:val="center"/>
              <w:rPr>
                <w:rFonts w:hint="eastAsia" w:ascii="仿宋" w:hAnsi="仿宋" w:eastAsia="仿宋" w:cs="仿宋"/>
                <w:color w:val="auto"/>
                <w:kern w:val="0"/>
                <w:sz w:val="24"/>
                <w:highlight w:val="none"/>
              </w:rPr>
            </w:pPr>
          </w:p>
          <w:p w14:paraId="2A07E555">
            <w:pPr>
              <w:snapToGrid w:val="0"/>
              <w:jc w:val="center"/>
              <w:rPr>
                <w:rFonts w:hint="eastAsia" w:ascii="仿宋" w:hAnsi="仿宋" w:eastAsia="仿宋" w:cs="仿宋"/>
                <w:color w:val="auto"/>
                <w:kern w:val="0"/>
                <w:sz w:val="24"/>
                <w:highlight w:val="none"/>
              </w:rPr>
            </w:pPr>
          </w:p>
          <w:p w14:paraId="753DB948">
            <w:pPr>
              <w:snapToGrid w:val="0"/>
              <w:jc w:val="center"/>
              <w:rPr>
                <w:rFonts w:hint="eastAsia" w:ascii="仿宋" w:hAnsi="仿宋" w:eastAsia="仿宋" w:cs="仿宋"/>
                <w:color w:val="auto"/>
                <w:kern w:val="0"/>
                <w:sz w:val="24"/>
                <w:highlight w:val="none"/>
              </w:rPr>
            </w:pPr>
          </w:p>
          <w:p w14:paraId="3CF0710D">
            <w:pPr>
              <w:snapToGrid w:val="0"/>
              <w:jc w:val="center"/>
              <w:rPr>
                <w:rFonts w:hint="eastAsia" w:ascii="仿宋" w:hAnsi="仿宋" w:eastAsia="仿宋" w:cs="仿宋"/>
                <w:color w:val="auto"/>
                <w:kern w:val="0"/>
                <w:sz w:val="24"/>
                <w:highlight w:val="none"/>
              </w:rPr>
            </w:pPr>
            <w:r>
              <w:rPr>
                <w:color w:val="auto"/>
                <w:kern w:val="0"/>
                <w:sz w:val="20"/>
                <w:highlight w:val="none"/>
              </w:rPr>
              <w:drawing>
                <wp:inline distT="0" distB="0" distL="0" distR="0">
                  <wp:extent cx="1940560" cy="2195830"/>
                  <wp:effectExtent l="0" t="0" r="2540" b="1397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8"/>
                          <a:stretch>
                            <a:fillRect/>
                          </a:stretch>
                        </pic:blipFill>
                        <pic:spPr>
                          <a:xfrm>
                            <a:off x="0" y="0"/>
                            <a:ext cx="1949079" cy="2205946"/>
                          </a:xfrm>
                          <a:prstGeom prst="rect">
                            <a:avLst/>
                          </a:prstGeom>
                          <a:noFill/>
                          <a:ln w="9525">
                            <a:noFill/>
                          </a:ln>
                        </pic:spPr>
                      </pic:pic>
                    </a:graphicData>
                  </a:graphic>
                </wp:inline>
              </w:drawing>
            </w:r>
          </w:p>
        </w:tc>
        <w:tc>
          <w:tcPr>
            <w:tcW w:w="5797" w:type="dxa"/>
            <w:vAlign w:val="center"/>
          </w:tcPr>
          <w:p w14:paraId="3C7B10C9">
            <w:pPr>
              <w:snapToGrid w:val="0"/>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1、椅背：背框材质为高强度聚丙烯加玻璃纤维，靠背强度可靠，按照BIFMA检测方式背框可通过800N强度测试；</w:t>
            </w:r>
          </w:p>
          <w:p w14:paraId="2A7EE8EE">
            <w:pPr>
              <w:snapToGrid w:val="0"/>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2、网布：3D触感，双丝编织而成，耐摩擦色牢度（干/湿）≥4级，耐磨性≥12000转，不含甲醛、芳香胺染料，符合环保需求；</w:t>
            </w:r>
          </w:p>
          <w:p w14:paraId="439C5672">
            <w:pPr>
              <w:snapToGrid w:val="0"/>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3、腰托：腰托由海绵填充，厚度≥30mm、长度≥230mm、宽度≥60mm，可有效支撑腰部，减少久坐带来的腰部疲劳；</w:t>
            </w:r>
          </w:p>
          <w:p w14:paraId="37C8942D">
            <w:pPr>
              <w:snapToGrid w:val="0"/>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4、扶手：扶手可升降，行程≥70mm，档位数≥9档，满足不同身高人群使用，扶手面使用灰色PU材质，柔软亲肤，耐脏易清洁，扶手面尺寸＞250*80mm，扶手面与扶手架一体发泡成型，稳定牢固；</w:t>
            </w:r>
          </w:p>
          <w:p w14:paraId="34EA1A0B">
            <w:pPr>
              <w:snapToGrid w:val="0"/>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5、椅座：座垫定型棉密度≥55kg/m</w:t>
            </w:r>
            <w:r>
              <w:rPr>
                <w:rFonts w:ascii="宋体" w:hAnsi="宋体" w:cs="宋体"/>
                <w:color w:val="auto"/>
                <w:kern w:val="0"/>
                <w:sz w:val="22"/>
                <w:szCs w:val="22"/>
                <w:highlight w:val="none"/>
              </w:rPr>
              <w:t>³</w:t>
            </w:r>
            <w:r>
              <w:rPr>
                <w:rFonts w:hint="eastAsia" w:ascii="宋体" w:hAnsi="宋体" w:cs="宋体"/>
                <w:color w:val="auto"/>
                <w:kern w:val="0"/>
                <w:sz w:val="22"/>
                <w:szCs w:val="22"/>
                <w:highlight w:val="none"/>
              </w:rPr>
              <w:t>，回弹率≥40%，厚度≥50mm，久坐不塌陷，座垫前端饱满且无车缝线，为大腿提供支撑达到抗疲劳效果；坐垫下有装饰座壳，避免木板外露勾到衣物，使用PP+15GF材质，壁厚2.5mm，保证座壳具有一定硬度，避免变形；</w:t>
            </w:r>
          </w:p>
          <w:p w14:paraId="04BA6916">
            <w:pPr>
              <w:snapToGrid w:val="0"/>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6、底盘：靠背可实现倾仰，最大角度≥120°，初始位置可锁定，即可满足休息需求，又可以保证工作状态时腰背有足够支撑，一键多控，通过一个操作杆即可实现座椅升降、倾仰锁定，操作便捷； </w:t>
            </w:r>
          </w:p>
          <w:p w14:paraId="0E321299">
            <w:pPr>
              <w:snapToGrid w:val="0"/>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7、气杆：使用安全气杆，3级气杆，气杆行程≥85mm，适应大部分人群使用；</w:t>
            </w:r>
          </w:p>
          <w:p w14:paraId="3F84820E">
            <w:pPr>
              <w:snapToGrid w:val="0"/>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8、椅脚：五星脚使用高强度尼龙加玻璃纤维，五星脚半径≥320mm，拱高≥127mm，保证座椅稳定性；</w:t>
            </w:r>
          </w:p>
          <w:p w14:paraId="5374286E">
            <w:pPr>
              <w:snapToGrid w:val="0"/>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9、脚轮：使用高强度尼龙脚轮，直径60mm，宽度51mm，保证座椅稳定性；</w:t>
            </w:r>
          </w:p>
        </w:tc>
      </w:tr>
    </w:tbl>
    <w:p w14:paraId="0F9ABE10">
      <w:pPr>
        <w:rPr>
          <w:b/>
          <w:bCs/>
          <w:color w:val="auto"/>
          <w:highlight w:val="none"/>
        </w:rPr>
      </w:pPr>
      <w:r>
        <w:rPr>
          <w:b/>
          <w:bCs/>
          <w:color w:val="auto"/>
          <w:highlight w:val="none"/>
        </w:rPr>
        <w:br w:type="page"/>
      </w:r>
    </w:p>
    <w:p w14:paraId="70B6F52F">
      <w:pPr>
        <w:pStyle w:val="51"/>
        <w:spacing w:line="460" w:lineRule="exact"/>
        <w:ind w:left="862" w:hanging="442"/>
        <w:outlineLvl w:val="2"/>
        <w:rPr>
          <w:rFonts w:hint="eastAsia" w:ascii="宋体" w:hAnsi="宋体"/>
          <w:b/>
          <w:bCs/>
          <w:color w:val="auto"/>
          <w:sz w:val="22"/>
          <w:szCs w:val="22"/>
          <w:highlight w:val="none"/>
        </w:rPr>
      </w:pPr>
      <w:r>
        <w:rPr>
          <w:rFonts w:hint="eastAsia" w:ascii="宋体" w:hAnsi="宋体"/>
          <w:b/>
          <w:bCs/>
          <w:color w:val="auto"/>
          <w:sz w:val="22"/>
          <w:szCs w:val="22"/>
          <w:highlight w:val="none"/>
        </w:rPr>
        <w:t>3、</w:t>
      </w:r>
      <w:r>
        <w:rPr>
          <w:rFonts w:hint="eastAsia" w:ascii="宋体" w:hAnsi="宋体"/>
          <w:b/>
          <w:bCs/>
          <w:color w:val="auto"/>
          <w:sz w:val="22"/>
          <w:szCs w:val="22"/>
          <w:highlight w:val="none"/>
          <w:lang w:val="en-US" w:eastAsia="zh-CN"/>
        </w:rPr>
        <w:t>诊疗桌</w:t>
      </w:r>
      <w:r>
        <w:rPr>
          <w:rFonts w:hint="eastAsia" w:ascii="宋体" w:hAnsi="宋体"/>
          <w:b/>
          <w:bCs/>
          <w:color w:val="auto"/>
          <w:sz w:val="22"/>
          <w:szCs w:val="22"/>
          <w:highlight w:val="none"/>
        </w:rPr>
        <w:t>（</w:t>
      </w:r>
      <w:r>
        <w:rPr>
          <w:rFonts w:ascii="宋体" w:hAnsi="宋体"/>
          <w:b/>
          <w:bCs/>
          <w:color w:val="auto"/>
          <w:sz w:val="22"/>
          <w:szCs w:val="22"/>
          <w:highlight w:val="none"/>
        </w:rPr>
        <w:t>1600*1400*750</w:t>
      </w:r>
      <w:r>
        <w:rPr>
          <w:rFonts w:hint="eastAsia" w:ascii="宋体" w:hAnsi="宋体"/>
          <w:b/>
          <w:bCs/>
          <w:color w:val="auto"/>
          <w:sz w:val="22"/>
          <w:szCs w:val="22"/>
          <w:highlight w:val="none"/>
        </w:rPr>
        <w:t>），尺寸允许±5%误差：</w:t>
      </w:r>
    </w:p>
    <w:tbl>
      <w:tblPr>
        <w:tblStyle w:val="53"/>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6825"/>
      </w:tblGrid>
      <w:tr w14:paraId="3C50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2925" w:type="dxa"/>
          </w:tcPr>
          <w:p w14:paraId="3B293D70">
            <w:pPr>
              <w:snapToGrid w:val="0"/>
              <w:rPr>
                <w:rFonts w:hint="eastAsia" w:ascii="仿宋" w:hAnsi="仿宋" w:eastAsia="仿宋" w:cs="仿宋"/>
                <w:color w:val="auto"/>
                <w:kern w:val="0"/>
                <w:sz w:val="24"/>
                <w:highlight w:val="none"/>
              </w:rPr>
            </w:pPr>
          </w:p>
          <w:p w14:paraId="650A4F44">
            <w:pPr>
              <w:snapToGrid w:val="0"/>
              <w:ind w:firstLine="200" w:firstLineChars="100"/>
              <w:rPr>
                <w:rFonts w:hint="eastAsia" w:ascii="仿宋" w:hAnsi="仿宋" w:eastAsia="仿宋" w:cs="仿宋"/>
                <w:color w:val="auto"/>
                <w:kern w:val="0"/>
                <w:sz w:val="24"/>
                <w:highlight w:val="none"/>
              </w:rPr>
            </w:pPr>
            <w:r>
              <w:rPr>
                <w:color w:val="auto"/>
                <w:kern w:val="0"/>
                <w:sz w:val="20"/>
                <w:highlight w:val="none"/>
                <w14:ligatures w14:val="standardContextual"/>
              </w:rPr>
              <w:drawing>
                <wp:inline distT="0" distB="0" distL="0" distR="0">
                  <wp:extent cx="1443355" cy="971550"/>
                  <wp:effectExtent l="0" t="0" r="4445" b="0"/>
                  <wp:docPr id="15924895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89500" name="图片 1"/>
                          <pic:cNvPicPr>
                            <a:picLocks noChangeAspect="1"/>
                          </pic:cNvPicPr>
                        </pic:nvPicPr>
                        <pic:blipFill>
                          <a:blip r:embed="rId9"/>
                          <a:stretch>
                            <a:fillRect/>
                          </a:stretch>
                        </pic:blipFill>
                        <pic:spPr>
                          <a:xfrm>
                            <a:off x="0" y="0"/>
                            <a:ext cx="1447330" cy="974493"/>
                          </a:xfrm>
                          <a:prstGeom prst="rect">
                            <a:avLst/>
                          </a:prstGeom>
                        </pic:spPr>
                      </pic:pic>
                    </a:graphicData>
                  </a:graphic>
                </wp:inline>
              </w:drawing>
            </w:r>
          </w:p>
        </w:tc>
        <w:tc>
          <w:tcPr>
            <w:tcW w:w="6825" w:type="dxa"/>
            <w:vAlign w:val="center"/>
          </w:tcPr>
          <w:p w14:paraId="3F2AEB36">
            <w:pPr>
              <w:snapToGrid w:val="0"/>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1、板材：防火饰面材采用优质三聚氰胺浸胶工艺，使表面稳定性更好，层次感更优，耐污抗磨性更强；基材采用E0级刨花板，桌面厚度25mm，封边厚度≥2.5mm；柜体厚度18mm，满足GB/T 39600-2021要求，甲醛释放量（气候法）≤0.05mg/m³；</w:t>
            </w:r>
          </w:p>
          <w:p w14:paraId="015D49F1">
            <w:pPr>
              <w:snapToGrid w:val="0"/>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2、钢脚：采用优质冷轧钢，壁厚≥0.8mm，“工”字形钢脚结构稳定；钢脚可内部走线，避免线路外漏，外侧可拆装饰盖，方便走线。</w:t>
            </w:r>
          </w:p>
        </w:tc>
      </w:tr>
    </w:tbl>
    <w:p w14:paraId="1890AF99">
      <w:pPr>
        <w:rPr>
          <w:color w:val="auto"/>
          <w:highlight w:val="none"/>
        </w:rPr>
      </w:pPr>
    </w:p>
    <w:p w14:paraId="5147C3C6">
      <w:pPr>
        <w:rPr>
          <w:rFonts w:hint="eastAsia" w:cs="宋体"/>
          <w:b/>
          <w:bCs/>
          <w:color w:val="auto"/>
          <w:sz w:val="24"/>
          <w:highlight w:val="none"/>
        </w:rPr>
      </w:pPr>
      <w:r>
        <w:rPr>
          <w:rFonts w:hint="eastAsia" w:cs="宋体"/>
          <w:b/>
          <w:bCs/>
          <w:color w:val="auto"/>
          <w:sz w:val="24"/>
          <w:highlight w:val="none"/>
        </w:rPr>
        <w:br w:type="page"/>
      </w:r>
    </w:p>
    <w:p w14:paraId="700498C9">
      <w:pPr>
        <w:pStyle w:val="51"/>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outlineLvl w:val="2"/>
        <w:rPr>
          <w:rFonts w:hint="default" w:ascii="宋体" w:hAnsi="宋体" w:cs="宋体"/>
          <w:b/>
          <w:bCs/>
          <w:color w:val="auto"/>
          <w:sz w:val="22"/>
          <w:szCs w:val="22"/>
          <w:highlight w:val="none"/>
          <w:lang w:val="en-US" w:eastAsia="zh-CN"/>
        </w:rPr>
      </w:pPr>
      <w:bookmarkStart w:id="69" w:name="_Toc18194"/>
      <w:bookmarkStart w:id="70" w:name="_Toc30323"/>
      <w:r>
        <w:rPr>
          <w:rFonts w:hint="eastAsia" w:ascii="宋体" w:hAnsi="宋体" w:cs="宋体"/>
          <w:b/>
          <w:bCs/>
          <w:color w:val="auto"/>
          <w:sz w:val="22"/>
          <w:szCs w:val="22"/>
          <w:highlight w:val="none"/>
          <w:lang w:val="en-US" w:eastAsia="zh-CN"/>
        </w:rPr>
        <w:t>4、样品递交</w:t>
      </w:r>
    </w:p>
    <w:p w14:paraId="6C866AF0">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样品的递交方式：现场递交。</w:t>
      </w:r>
    </w:p>
    <w:p w14:paraId="06881ECA">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递交时间：开标当日8:00至提交投标文件截止时间止。</w:t>
      </w:r>
    </w:p>
    <w:p w14:paraId="67173D0A">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递交地点：温州市政务服务管理中心温州市会展路1268号A座</w:t>
      </w:r>
      <w:r>
        <w:rPr>
          <w:rFonts w:hint="eastAsia" w:ascii="宋体" w:hAnsi="宋体" w:eastAsia="宋体" w:cs="宋体"/>
          <w:color w:val="auto"/>
          <w:sz w:val="22"/>
          <w:szCs w:val="22"/>
          <w:highlight w:val="none"/>
          <w:lang w:val="en-US" w:eastAsia="zh-CN"/>
        </w:rPr>
        <w:t>样品室</w:t>
      </w:r>
      <w:r>
        <w:rPr>
          <w:rFonts w:hint="eastAsia" w:ascii="宋体" w:hAnsi="宋体" w:eastAsia="宋体" w:cs="宋体"/>
          <w:color w:val="auto"/>
          <w:sz w:val="22"/>
          <w:szCs w:val="22"/>
          <w:highlight w:val="none"/>
        </w:rPr>
        <w:t>。</w:t>
      </w:r>
    </w:p>
    <w:p w14:paraId="2A1A668D">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val="en-US" w:eastAsia="zh-CN"/>
        </w:rPr>
        <w:t>温</w:t>
      </w:r>
      <w:r>
        <w:rPr>
          <w:rFonts w:hint="eastAsia" w:ascii="宋体" w:hAnsi="宋体" w:eastAsia="宋体" w:cs="宋体"/>
          <w:color w:val="auto"/>
          <w:sz w:val="22"/>
          <w:szCs w:val="22"/>
          <w:highlight w:val="none"/>
        </w:rPr>
        <w:t>先生；手机：13868508737。</w:t>
      </w:r>
    </w:p>
    <w:p w14:paraId="54E4B1E2">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每样样品上均须清楚标注投标人信息，包括投标人名称、项目名称、项目编号、联系人、联系号码。（不提供样品、样品不符合招标文件要求、无标注投标人信息或信息模糊不清，评审委员会可能对其作出不利评判，其后果由投标人自行承担）。</w:t>
      </w:r>
    </w:p>
    <w:p w14:paraId="76BC8A7F">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投标人自行承担样品费用，中标人的样品由采购人封存，并作为验收标准。未中标样品在评审结束后退还。</w:t>
      </w:r>
    </w:p>
    <w:p w14:paraId="5B6EAE85">
      <w:pPr>
        <w:pStyle w:val="51"/>
        <w:keepNext w:val="0"/>
        <w:keepLines w:val="0"/>
        <w:pageBreakBefore w:val="0"/>
        <w:widowControl w:val="0"/>
        <w:kinsoku/>
        <w:wordWrap/>
        <w:overflowPunct/>
        <w:topLinePunct w:val="0"/>
        <w:autoSpaceDE/>
        <w:autoSpaceDN/>
        <w:bidi w:val="0"/>
        <w:adjustRightInd/>
        <w:snapToGrid/>
        <w:spacing w:line="460" w:lineRule="exact"/>
        <w:ind w:left="437" w:leftChars="208" w:firstLine="56" w:firstLineChars="27"/>
        <w:textAlignment w:val="auto"/>
        <w:outlineLvl w:val="2"/>
        <w:rPr>
          <w:rFonts w:hint="eastAsia" w:ascii="宋体" w:hAnsi="宋体" w:eastAsia="宋体" w:cs="宋体"/>
          <w:color w:val="auto"/>
          <w:highlight w:val="none"/>
        </w:rPr>
        <w:sectPr>
          <w:footerReference r:id="rId5" w:type="default"/>
          <w:type w:val="continuous"/>
          <w:pgSz w:w="11906" w:h="16838"/>
          <w:pgMar w:top="1134" w:right="1134" w:bottom="1134" w:left="1134" w:header="850" w:footer="992" w:gutter="0"/>
          <w:cols w:space="720" w:num="1"/>
          <w:docGrid w:type="lines" w:linePitch="321" w:charSpace="0"/>
        </w:sectPr>
      </w:pPr>
    </w:p>
    <w:p w14:paraId="4D58CC83">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第五部分   评标原则及方法</w:t>
      </w:r>
      <w:bookmarkEnd w:id="69"/>
      <w:bookmarkEnd w:id="70"/>
    </w:p>
    <w:p w14:paraId="49EBC5BB">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457DB736">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1" w:name="_Toc15713"/>
      <w:bookmarkStart w:id="72" w:name="_Toc4407"/>
      <w:r>
        <w:rPr>
          <w:rFonts w:hint="eastAsia" w:ascii="宋体" w:hAnsi="宋体" w:eastAsia="宋体" w:cs="宋体"/>
          <w:b/>
          <w:color w:val="auto"/>
          <w:sz w:val="22"/>
          <w:szCs w:val="22"/>
          <w:highlight w:val="none"/>
        </w:rPr>
        <w:t>一、总 则</w:t>
      </w:r>
      <w:bookmarkEnd w:id="71"/>
      <w:bookmarkEnd w:id="72"/>
    </w:p>
    <w:p w14:paraId="6DD2967F">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752A7E88">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3" w:name="_Toc24468"/>
      <w:bookmarkStart w:id="74" w:name="_Toc23152"/>
      <w:r>
        <w:rPr>
          <w:rFonts w:hint="eastAsia" w:ascii="宋体" w:hAnsi="宋体" w:eastAsia="宋体" w:cs="宋体"/>
          <w:b/>
          <w:color w:val="auto"/>
          <w:sz w:val="22"/>
          <w:szCs w:val="22"/>
          <w:highlight w:val="none"/>
        </w:rPr>
        <w:t>二、评标组织</w:t>
      </w:r>
      <w:bookmarkEnd w:id="73"/>
      <w:bookmarkEnd w:id="74"/>
    </w:p>
    <w:p w14:paraId="3C50FEA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14:paraId="7CBB4FBC">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5" w:name="_Toc67"/>
      <w:bookmarkStart w:id="76" w:name="_Toc15153"/>
      <w:r>
        <w:rPr>
          <w:rFonts w:hint="eastAsia" w:ascii="宋体" w:hAnsi="宋体" w:eastAsia="宋体" w:cs="宋体"/>
          <w:b/>
          <w:color w:val="auto"/>
          <w:sz w:val="22"/>
          <w:szCs w:val="22"/>
          <w:highlight w:val="none"/>
        </w:rPr>
        <w:t>三、评标程序</w:t>
      </w:r>
      <w:bookmarkEnd w:id="75"/>
      <w:bookmarkEnd w:id="76"/>
    </w:p>
    <w:p w14:paraId="6639DD2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14:paraId="2E25684D">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18937053">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14:paraId="3CD1A012">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7" w:name="_Toc11306"/>
      <w:bookmarkStart w:id="78" w:name="_Toc24825"/>
      <w:r>
        <w:rPr>
          <w:rFonts w:hint="eastAsia" w:ascii="宋体" w:hAnsi="宋体" w:eastAsia="宋体" w:cs="宋体"/>
          <w:b/>
          <w:color w:val="auto"/>
          <w:sz w:val="22"/>
          <w:szCs w:val="22"/>
          <w:highlight w:val="none"/>
        </w:rPr>
        <w:t>四、评标办法</w:t>
      </w:r>
      <w:bookmarkEnd w:id="77"/>
      <w:bookmarkEnd w:id="78"/>
    </w:p>
    <w:p w14:paraId="1FFCDD78">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总分设定为100分：技术标70分（权值70%），商务标（报价）30分（权值30%）。</w:t>
      </w:r>
    </w:p>
    <w:p w14:paraId="628A599C">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9" w:name="_Toc1535"/>
      <w:bookmarkStart w:id="80" w:name="_Toc11450"/>
      <w:r>
        <w:rPr>
          <w:rFonts w:hint="eastAsia" w:ascii="宋体" w:hAnsi="宋体" w:eastAsia="宋体" w:cs="宋体"/>
          <w:b/>
          <w:color w:val="auto"/>
          <w:sz w:val="22"/>
          <w:szCs w:val="22"/>
          <w:highlight w:val="none"/>
        </w:rPr>
        <w:t>评分细则</w:t>
      </w:r>
      <w:bookmarkEnd w:id="79"/>
      <w:bookmarkEnd w:id="80"/>
    </w:p>
    <w:p w14:paraId="1C99A761">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1、技术分的评定：技术标70分（权值70%）</w:t>
      </w:r>
    </w:p>
    <w:p w14:paraId="0E09351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2"/>
        <w:tblW w:w="10103"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453"/>
        <w:gridCol w:w="5730"/>
        <w:gridCol w:w="900"/>
        <w:gridCol w:w="1320"/>
      </w:tblGrid>
      <w:tr w14:paraId="1B50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0" w:type="dxa"/>
            <w:vAlign w:val="center"/>
          </w:tcPr>
          <w:p w14:paraId="79B9F712">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453" w:type="dxa"/>
            <w:vAlign w:val="center"/>
          </w:tcPr>
          <w:p w14:paraId="1768BA8E">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评分内容</w:t>
            </w:r>
          </w:p>
        </w:tc>
        <w:tc>
          <w:tcPr>
            <w:tcW w:w="5730" w:type="dxa"/>
            <w:vAlign w:val="center"/>
          </w:tcPr>
          <w:p w14:paraId="6FFFE1D7">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评分细则</w:t>
            </w:r>
          </w:p>
        </w:tc>
        <w:tc>
          <w:tcPr>
            <w:tcW w:w="900" w:type="dxa"/>
            <w:vAlign w:val="center"/>
          </w:tcPr>
          <w:p w14:paraId="0A1250A6">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权重</w:t>
            </w:r>
          </w:p>
        </w:tc>
        <w:tc>
          <w:tcPr>
            <w:tcW w:w="1320" w:type="dxa"/>
            <w:vAlign w:val="center"/>
          </w:tcPr>
          <w:p w14:paraId="5F41412D">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主观分/客观分属性</w:t>
            </w:r>
          </w:p>
        </w:tc>
      </w:tr>
      <w:tr w14:paraId="1588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0" w:type="dxa"/>
            <w:vAlign w:val="center"/>
          </w:tcPr>
          <w:p w14:paraId="66978F58">
            <w:pPr>
              <w:keepNext w:val="0"/>
              <w:keepLines w:val="0"/>
              <w:pageBreakBefore w:val="0"/>
              <w:widowControl w:val="0"/>
              <w:kinsoku/>
              <w:wordWrap/>
              <w:overflowPunct/>
              <w:topLinePunct w:val="0"/>
              <w:bidi w:val="0"/>
              <w:adjustRightInd/>
              <w:snapToGrid w:val="0"/>
              <w:spacing w:line="460" w:lineRule="exact"/>
              <w:jc w:val="center"/>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453" w:type="dxa"/>
            <w:vAlign w:val="center"/>
          </w:tcPr>
          <w:p w14:paraId="447F4C90">
            <w:pPr>
              <w:keepNext w:val="0"/>
              <w:keepLines w:val="0"/>
              <w:pageBreakBefore w:val="0"/>
              <w:widowControl w:val="0"/>
              <w:kinsoku/>
              <w:wordWrap/>
              <w:overflowPunct/>
              <w:topLinePunct w:val="0"/>
              <w:bidi w:val="0"/>
              <w:adjustRightInd/>
              <w:snapToGrid w:val="0"/>
              <w:spacing w:line="460" w:lineRule="exact"/>
              <w:jc w:val="center"/>
              <w:textAlignment w:val="auto"/>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认证证书</w:t>
            </w:r>
          </w:p>
        </w:tc>
        <w:tc>
          <w:tcPr>
            <w:tcW w:w="5730" w:type="dxa"/>
            <w:vAlign w:val="center"/>
          </w:tcPr>
          <w:p w14:paraId="40E880B3">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shd w:val="clear" w:color="auto" w:fill="FFFFFF"/>
                <w:lang w:bidi="ar"/>
              </w:rPr>
              <w:t>投标人或产品生产厂家提供有效期内的“质量管理体系认证证书”、“环境管理体系认证证书”、“职业健康安全管理体系认证证书”，认证覆盖的范围包括“医用、公共场所用的人造板类家具、实木类家具、钢木家具、金属家具、软体家具、综合类木家具、休闲家具的制造、销售、安装和售后服务；床垫的设计开发、销售、售后服务 ；”证书及包含范围齐全得2分，否则不得分。</w:t>
            </w:r>
          </w:p>
          <w:p w14:paraId="469FF448">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shd w:val="clear" w:color="auto" w:fill="FFFFFF"/>
                <w:lang w:bidi="ar"/>
              </w:rPr>
              <w:t>投标人或产品生产厂家提供有效期内的中国绿色产品认证证书，认证范围同时包含金属家具、钢木家具、软体家具、木制家具或人造板家具的得1分，</w:t>
            </w:r>
            <w:r>
              <w:rPr>
                <w:rFonts w:hint="eastAsia" w:ascii="宋体" w:hAnsi="宋体" w:eastAsia="宋体" w:cs="宋体"/>
                <w:color w:val="auto"/>
                <w:sz w:val="22"/>
                <w:szCs w:val="22"/>
                <w:highlight w:val="none"/>
              </w:rPr>
              <w:t>包含家具用粉末涂料或家具用油漆涂料得1分，本项最高得2分，否则不得分。</w:t>
            </w:r>
          </w:p>
          <w:p w14:paraId="4042625E">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bidi="ar"/>
              </w:rPr>
              <w:t>注：</w:t>
            </w:r>
            <w:r>
              <w:rPr>
                <w:rFonts w:hint="eastAsia" w:ascii="宋体" w:hAnsi="宋体" w:eastAsia="宋体" w:cs="宋体"/>
                <w:b/>
                <w:bCs/>
                <w:color w:val="auto"/>
                <w:sz w:val="22"/>
                <w:szCs w:val="22"/>
                <w:highlight w:val="none"/>
                <w:shd w:val="clear" w:color="auto" w:fill="FFFFFF"/>
                <w:lang w:bidi="ar"/>
              </w:rPr>
              <w:t>1、2项须</w:t>
            </w:r>
            <w:r>
              <w:rPr>
                <w:rFonts w:hint="eastAsia" w:ascii="宋体" w:hAnsi="宋体" w:eastAsia="宋体" w:cs="宋体"/>
                <w:b/>
                <w:bCs/>
                <w:color w:val="auto"/>
                <w:sz w:val="22"/>
                <w:szCs w:val="22"/>
                <w:highlight w:val="none"/>
              </w:rPr>
              <w:t>在</w:t>
            </w:r>
            <w:r>
              <w:rPr>
                <w:rFonts w:hint="eastAsia" w:ascii="宋体" w:hAnsi="宋体" w:eastAsia="宋体" w:cs="宋体"/>
                <w:b/>
                <w:bCs/>
                <w:color w:val="auto"/>
                <w:sz w:val="22"/>
                <w:szCs w:val="22"/>
                <w:highlight w:val="none"/>
                <w:shd w:val="clear" w:color="auto" w:fill="FFFFFF"/>
                <w:lang w:bidi="ar"/>
              </w:rPr>
              <w:t>投标文件中提供有效的证书扫描件及国家认证认可监督管理委员会官网查询截图，否则不得分。</w:t>
            </w:r>
            <w:r>
              <w:rPr>
                <w:rFonts w:hint="eastAsia" w:ascii="宋体" w:hAnsi="宋体" w:eastAsia="宋体" w:cs="宋体"/>
                <w:color w:val="auto"/>
                <w:sz w:val="22"/>
                <w:szCs w:val="22"/>
                <w:highlight w:val="none"/>
                <w:shd w:val="clear" w:color="auto" w:fill="FFFFFF"/>
                <w:lang w:bidi="ar"/>
              </w:rPr>
              <w:t>（提供的认证证书中认证范围与上述要求包含的内容含义相同即可，具体描述不要求完全一致，由评标委员会在评审时进行判定。）</w:t>
            </w:r>
          </w:p>
        </w:tc>
        <w:tc>
          <w:tcPr>
            <w:tcW w:w="900" w:type="dxa"/>
            <w:vAlign w:val="center"/>
          </w:tcPr>
          <w:p w14:paraId="58879B6E">
            <w:pPr>
              <w:keepNext w:val="0"/>
              <w:keepLines w:val="0"/>
              <w:pageBreakBefore w:val="0"/>
              <w:widowControl w:val="0"/>
              <w:kinsoku/>
              <w:wordWrap/>
              <w:overflowPunct/>
              <w:topLinePunct w:val="0"/>
              <w:bidi w:val="0"/>
              <w:adjustRightInd/>
              <w:snapToGrid w:val="0"/>
              <w:spacing w:line="460" w:lineRule="exact"/>
              <w:jc w:val="center"/>
              <w:textAlignment w:val="auto"/>
              <w:outlineLvl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c>
          <w:tcPr>
            <w:tcW w:w="1320" w:type="dxa"/>
            <w:vAlign w:val="center"/>
          </w:tcPr>
          <w:p w14:paraId="11EE0756">
            <w:pPr>
              <w:keepNext w:val="0"/>
              <w:keepLines w:val="0"/>
              <w:pageBreakBefore w:val="0"/>
              <w:widowControl w:val="0"/>
              <w:kinsoku/>
              <w:wordWrap/>
              <w:overflowPunct/>
              <w:topLinePunct w:val="0"/>
              <w:bidi w:val="0"/>
              <w:adjustRightInd/>
              <w:snapToGrid w:val="0"/>
              <w:spacing w:line="460" w:lineRule="exact"/>
              <w:jc w:val="center"/>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w:t>
            </w:r>
          </w:p>
        </w:tc>
      </w:tr>
      <w:tr w14:paraId="507F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0" w:type="dxa"/>
            <w:vMerge w:val="restart"/>
            <w:vAlign w:val="center"/>
          </w:tcPr>
          <w:p w14:paraId="0BB142A5">
            <w:pPr>
              <w:keepNext w:val="0"/>
              <w:keepLines w:val="0"/>
              <w:pageBreakBefore w:val="0"/>
              <w:widowControl w:val="0"/>
              <w:kinsoku/>
              <w:wordWrap/>
              <w:overflowPunct/>
              <w:topLinePunct w:val="0"/>
              <w:bidi w:val="0"/>
              <w:adjustRightInd/>
              <w:snapToGrid w:val="0"/>
              <w:spacing w:line="460" w:lineRule="exact"/>
              <w:jc w:val="center"/>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453" w:type="dxa"/>
            <w:vMerge w:val="restart"/>
            <w:vAlign w:val="center"/>
          </w:tcPr>
          <w:p w14:paraId="6E73F44D">
            <w:pPr>
              <w:keepNext w:val="0"/>
              <w:keepLines w:val="0"/>
              <w:pageBreakBefore w:val="0"/>
              <w:widowControl w:val="0"/>
              <w:kinsoku/>
              <w:wordWrap/>
              <w:overflowPunct/>
              <w:topLinePunct w:val="0"/>
              <w:bidi w:val="0"/>
              <w:adjustRightInd/>
              <w:snapToGrid w:val="0"/>
              <w:spacing w:line="460" w:lineRule="exact"/>
              <w:jc w:val="center"/>
              <w:textAlignment w:val="auto"/>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6"/>
                <w:sz w:val="22"/>
                <w:szCs w:val="22"/>
                <w:highlight w:val="none"/>
              </w:rPr>
              <w:t>深化设计</w:t>
            </w:r>
          </w:p>
        </w:tc>
        <w:tc>
          <w:tcPr>
            <w:tcW w:w="5730" w:type="dxa"/>
          </w:tcPr>
          <w:p w14:paraId="6EEB7A9C">
            <w:pPr>
              <w:pStyle w:val="51"/>
              <w:keepNext w:val="0"/>
              <w:keepLines w:val="0"/>
              <w:pageBreakBefore w:val="0"/>
              <w:widowControl w:val="0"/>
              <w:kinsoku/>
              <w:wordWrap/>
              <w:overflowPunct/>
              <w:topLinePunct w:val="0"/>
              <w:bidi w:val="0"/>
              <w:adjustRightInd/>
              <w:spacing w:after="0" w:line="460" w:lineRule="exact"/>
              <w:ind w:left="0" w:leftChars="0" w:firstLine="0" w:firstLineChars="0"/>
              <w:textAlignment w:val="auto"/>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rPr>
              <w:t>根据投标人提交的针对本项目门诊住院楼六层住院部全部科室</w:t>
            </w:r>
            <w:r>
              <w:rPr>
                <w:rFonts w:hint="eastAsia" w:ascii="宋体" w:hAnsi="宋体" w:cs="宋体"/>
                <w:color w:val="auto"/>
                <w:sz w:val="22"/>
                <w:szCs w:val="22"/>
                <w:highlight w:val="none"/>
                <w:lang w:val="en-US" w:eastAsia="zh-CN"/>
              </w:rPr>
              <w:t>护士站、</w:t>
            </w:r>
            <w:r>
              <w:rPr>
                <w:rFonts w:hint="eastAsia" w:ascii="宋体" w:hAnsi="宋体" w:eastAsia="宋体" w:cs="宋体"/>
                <w:color w:val="auto"/>
                <w:sz w:val="22"/>
                <w:szCs w:val="22"/>
                <w:highlight w:val="none"/>
              </w:rPr>
              <w:t>治疗柜、处置柜对应空间的深化平面布置图、效果图及单体产品三视图图纸，从图纸完整性、符合性、针对性、可行性、美观性进行评审</w:t>
            </w: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4,3,2,1</w:t>
            </w:r>
            <w:r>
              <w:rPr>
                <w:rFonts w:hint="eastAsia" w:ascii="宋体" w:hAnsi="宋体" w:eastAsia="宋体" w:cs="宋体"/>
                <w:color w:val="auto"/>
                <w:sz w:val="22"/>
                <w:szCs w:val="22"/>
                <w:highlight w:val="none"/>
                <w:lang w:val="en-US" w:eastAsia="zh-CN"/>
              </w:rPr>
              <w:t>,0分）</w:t>
            </w:r>
            <w:r>
              <w:rPr>
                <w:rFonts w:hint="eastAsia" w:ascii="宋体" w:hAnsi="宋体" w:eastAsia="宋体" w:cs="宋体"/>
                <w:color w:val="auto"/>
                <w:sz w:val="22"/>
                <w:szCs w:val="22"/>
                <w:highlight w:val="none"/>
              </w:rPr>
              <w:t>。不提供图纸或者图纸明显不符合要求不得分。</w:t>
            </w:r>
          </w:p>
        </w:tc>
        <w:tc>
          <w:tcPr>
            <w:tcW w:w="900" w:type="dxa"/>
            <w:vMerge w:val="restart"/>
            <w:vAlign w:val="center"/>
          </w:tcPr>
          <w:p w14:paraId="43841298">
            <w:pPr>
              <w:keepNext w:val="0"/>
              <w:keepLines w:val="0"/>
              <w:pageBreakBefore w:val="0"/>
              <w:widowControl w:val="0"/>
              <w:kinsoku/>
              <w:wordWrap/>
              <w:overflowPunct/>
              <w:topLinePunct w:val="0"/>
              <w:bidi w:val="0"/>
              <w:adjustRightInd/>
              <w:snapToGrid w:val="0"/>
              <w:spacing w:line="460" w:lineRule="exact"/>
              <w:jc w:val="center"/>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1320" w:type="dxa"/>
            <w:vMerge w:val="restart"/>
            <w:vAlign w:val="center"/>
          </w:tcPr>
          <w:p w14:paraId="3CD73360">
            <w:pPr>
              <w:keepNext w:val="0"/>
              <w:keepLines w:val="0"/>
              <w:pageBreakBefore w:val="0"/>
              <w:widowControl w:val="0"/>
              <w:kinsoku/>
              <w:wordWrap/>
              <w:overflowPunct/>
              <w:topLinePunct w:val="0"/>
              <w:bidi w:val="0"/>
              <w:adjustRightInd/>
              <w:snapToGrid w:val="0"/>
              <w:spacing w:line="460" w:lineRule="exact"/>
              <w:jc w:val="center"/>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w:t>
            </w:r>
          </w:p>
        </w:tc>
      </w:tr>
      <w:tr w14:paraId="549A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0" w:type="dxa"/>
            <w:vMerge w:val="continue"/>
            <w:vAlign w:val="center"/>
          </w:tcPr>
          <w:p w14:paraId="101A9624">
            <w:pPr>
              <w:keepNext w:val="0"/>
              <w:keepLines w:val="0"/>
              <w:pageBreakBefore w:val="0"/>
              <w:widowControl w:val="0"/>
              <w:kinsoku/>
              <w:wordWrap/>
              <w:overflowPunct/>
              <w:topLinePunct w:val="0"/>
              <w:bidi w:val="0"/>
              <w:adjustRightInd/>
              <w:snapToGrid w:val="0"/>
              <w:spacing w:line="460" w:lineRule="exact"/>
              <w:jc w:val="center"/>
              <w:textAlignment w:val="auto"/>
              <w:outlineLvl w:val="0"/>
              <w:rPr>
                <w:rFonts w:hint="eastAsia" w:ascii="宋体" w:hAnsi="宋体" w:eastAsia="宋体" w:cs="宋体"/>
                <w:color w:val="auto"/>
                <w:sz w:val="22"/>
                <w:szCs w:val="22"/>
                <w:highlight w:val="none"/>
              </w:rPr>
            </w:pPr>
          </w:p>
        </w:tc>
        <w:tc>
          <w:tcPr>
            <w:tcW w:w="1453" w:type="dxa"/>
            <w:vMerge w:val="continue"/>
            <w:vAlign w:val="center"/>
          </w:tcPr>
          <w:p w14:paraId="6F3820B4">
            <w:pPr>
              <w:keepNext w:val="0"/>
              <w:keepLines w:val="0"/>
              <w:pageBreakBefore w:val="0"/>
              <w:widowControl w:val="0"/>
              <w:kinsoku/>
              <w:wordWrap/>
              <w:overflowPunct/>
              <w:topLinePunct w:val="0"/>
              <w:bidi w:val="0"/>
              <w:adjustRightInd/>
              <w:snapToGrid w:val="0"/>
              <w:spacing w:line="460" w:lineRule="exact"/>
              <w:jc w:val="center"/>
              <w:textAlignment w:val="auto"/>
              <w:outlineLvl w:val="0"/>
              <w:rPr>
                <w:rFonts w:hint="eastAsia" w:ascii="宋体" w:hAnsi="宋体" w:eastAsia="宋体" w:cs="宋体"/>
                <w:b w:val="0"/>
                <w:bCs/>
                <w:color w:val="auto"/>
                <w:sz w:val="22"/>
                <w:szCs w:val="22"/>
                <w:highlight w:val="none"/>
              </w:rPr>
            </w:pPr>
          </w:p>
        </w:tc>
        <w:tc>
          <w:tcPr>
            <w:tcW w:w="5730" w:type="dxa"/>
          </w:tcPr>
          <w:p w14:paraId="795AD51D">
            <w:pPr>
              <w:pStyle w:val="51"/>
              <w:keepNext w:val="0"/>
              <w:keepLines w:val="0"/>
              <w:pageBreakBefore w:val="0"/>
              <w:widowControl w:val="0"/>
              <w:kinsoku/>
              <w:wordWrap/>
              <w:overflowPunct/>
              <w:topLinePunct w:val="0"/>
              <w:bidi w:val="0"/>
              <w:adjustRightInd/>
              <w:spacing w:after="0" w:line="46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提交的针对本项目门诊住院楼六层住院部全部科室示教桌-2、示教椅、医生桌-4、医生椅-1、主任桌-1、主任椅对应空间的深化平面布置图、效果图及单体产品三视图图纸，从图纸完整性、符合性、针对性、可行性、美观性进行评审</w:t>
            </w: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4,3,2,1</w:t>
            </w:r>
            <w:r>
              <w:rPr>
                <w:rFonts w:hint="eastAsia" w:ascii="宋体" w:hAnsi="宋体" w:eastAsia="宋体" w:cs="宋体"/>
                <w:color w:val="auto"/>
                <w:sz w:val="22"/>
                <w:szCs w:val="22"/>
                <w:highlight w:val="none"/>
                <w:lang w:val="en-US" w:eastAsia="zh-CN"/>
              </w:rPr>
              <w:t>,0分）</w:t>
            </w:r>
            <w:r>
              <w:rPr>
                <w:rFonts w:hint="eastAsia" w:ascii="宋体" w:hAnsi="宋体" w:eastAsia="宋体" w:cs="宋体"/>
                <w:color w:val="auto"/>
                <w:sz w:val="22"/>
                <w:szCs w:val="22"/>
                <w:highlight w:val="none"/>
              </w:rPr>
              <w:t>。不提供图纸或者图纸明显不符合要求不得分。</w:t>
            </w:r>
          </w:p>
        </w:tc>
        <w:tc>
          <w:tcPr>
            <w:tcW w:w="900" w:type="dxa"/>
            <w:vMerge w:val="continue"/>
            <w:vAlign w:val="center"/>
          </w:tcPr>
          <w:p w14:paraId="69B5139E">
            <w:pPr>
              <w:keepNext w:val="0"/>
              <w:keepLines w:val="0"/>
              <w:pageBreakBefore w:val="0"/>
              <w:widowControl w:val="0"/>
              <w:kinsoku/>
              <w:wordWrap/>
              <w:overflowPunct/>
              <w:topLinePunct w:val="0"/>
              <w:bidi w:val="0"/>
              <w:adjustRightInd/>
              <w:snapToGrid w:val="0"/>
              <w:spacing w:line="460" w:lineRule="exact"/>
              <w:jc w:val="center"/>
              <w:textAlignment w:val="auto"/>
              <w:outlineLvl w:val="0"/>
              <w:rPr>
                <w:rFonts w:hint="default" w:ascii="宋体" w:hAnsi="宋体" w:eastAsia="宋体" w:cs="宋体"/>
                <w:color w:val="auto"/>
                <w:sz w:val="22"/>
                <w:szCs w:val="22"/>
                <w:highlight w:val="none"/>
                <w:lang w:val="en-US" w:eastAsia="zh-CN"/>
              </w:rPr>
            </w:pPr>
          </w:p>
        </w:tc>
        <w:tc>
          <w:tcPr>
            <w:tcW w:w="1320" w:type="dxa"/>
            <w:vMerge w:val="continue"/>
            <w:vAlign w:val="center"/>
          </w:tcPr>
          <w:p w14:paraId="00203317">
            <w:pPr>
              <w:keepNext w:val="0"/>
              <w:keepLines w:val="0"/>
              <w:pageBreakBefore w:val="0"/>
              <w:widowControl w:val="0"/>
              <w:kinsoku/>
              <w:wordWrap/>
              <w:overflowPunct/>
              <w:topLinePunct w:val="0"/>
              <w:bidi w:val="0"/>
              <w:adjustRightInd/>
              <w:snapToGrid w:val="0"/>
              <w:spacing w:line="460" w:lineRule="exact"/>
              <w:jc w:val="center"/>
              <w:textAlignment w:val="auto"/>
              <w:outlineLvl w:val="0"/>
              <w:rPr>
                <w:rFonts w:hint="eastAsia" w:ascii="宋体" w:hAnsi="宋体" w:eastAsia="宋体" w:cs="宋体"/>
                <w:color w:val="auto"/>
                <w:sz w:val="22"/>
                <w:szCs w:val="22"/>
                <w:highlight w:val="none"/>
              </w:rPr>
            </w:pPr>
          </w:p>
        </w:tc>
      </w:tr>
      <w:tr w14:paraId="6310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D1F50EB">
            <w:pPr>
              <w:keepNext w:val="0"/>
              <w:keepLines w:val="0"/>
              <w:pageBreakBefore w:val="0"/>
              <w:widowControl w:val="0"/>
              <w:kinsoku/>
              <w:wordWrap/>
              <w:overflowPunct/>
              <w:topLinePunct w:val="0"/>
              <w:bidi w:val="0"/>
              <w:adjustRightInd/>
              <w:snapToGrid w:val="0"/>
              <w:spacing w:line="460" w:lineRule="exact"/>
              <w:jc w:val="center"/>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453" w:type="dxa"/>
            <w:vAlign w:val="center"/>
          </w:tcPr>
          <w:p w14:paraId="145C44B1">
            <w:pPr>
              <w:keepNext w:val="0"/>
              <w:keepLines w:val="0"/>
              <w:pageBreakBefore w:val="0"/>
              <w:widowControl w:val="0"/>
              <w:kinsoku/>
              <w:wordWrap/>
              <w:overflowPunct/>
              <w:topLinePunct w:val="0"/>
              <w:bidi w:val="0"/>
              <w:adjustRightInd/>
              <w:snapToGrid w:val="0"/>
              <w:spacing w:line="460" w:lineRule="exact"/>
              <w:jc w:val="center"/>
              <w:textAlignment w:val="auto"/>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原材料检测报告</w:t>
            </w:r>
          </w:p>
        </w:tc>
        <w:tc>
          <w:tcPr>
            <w:tcW w:w="5730" w:type="dxa"/>
            <w:vAlign w:val="center"/>
          </w:tcPr>
          <w:p w14:paraId="5E72614F">
            <w:pPr>
              <w:keepNext w:val="0"/>
              <w:keepLines w:val="0"/>
              <w:pageBreakBefore w:val="0"/>
              <w:widowControl w:val="0"/>
              <w:kinsoku/>
              <w:wordWrap/>
              <w:overflowPunct/>
              <w:topLinePunct w:val="0"/>
              <w:bidi w:val="0"/>
              <w:adjustRightInd/>
              <w:snapToGrid w:val="0"/>
              <w:spacing w:line="460" w:lineRule="exact"/>
              <w:textAlignment w:val="auto"/>
              <w:rPr>
                <w:rFonts w:hint="default" w:ascii="宋体" w:hAnsi="宋体" w:eastAsia="宋体" w:cs="宋体"/>
                <w:strike/>
                <w:dstrike w:val="0"/>
                <w:color w:val="auto"/>
                <w:sz w:val="22"/>
                <w:szCs w:val="22"/>
                <w:highlight w:val="none"/>
                <w:lang w:val="en-US" w:eastAsia="zh-CN"/>
              </w:rPr>
            </w:pPr>
            <w:r>
              <w:rPr>
                <w:rFonts w:hint="eastAsia" w:ascii="宋体" w:hAnsi="宋体" w:eastAsia="宋体" w:cs="宋体"/>
                <w:color w:val="auto"/>
                <w:sz w:val="22"/>
                <w:szCs w:val="22"/>
                <w:highlight w:val="none"/>
                <w:shd w:val="clear" w:color="auto" w:fill="FFFFFF"/>
                <w:lang w:bidi="ar"/>
              </w:rPr>
              <w:t>投标人或产品生产厂家</w:t>
            </w:r>
            <w:r>
              <w:rPr>
                <w:rFonts w:hint="eastAsia" w:ascii="宋体" w:hAnsi="宋体" w:eastAsia="宋体" w:cs="宋体"/>
                <w:color w:val="auto"/>
                <w:sz w:val="22"/>
                <w:szCs w:val="22"/>
                <w:highlight w:val="none"/>
              </w:rPr>
              <w:t>提供以下符合技术参数中“</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lang w:val="en-US" w:eastAsia="zh-CN"/>
              </w:rPr>
              <w:t>参数</w:t>
            </w:r>
            <w:r>
              <w:rPr>
                <w:rFonts w:hint="eastAsia" w:ascii="宋体" w:hAnsi="宋体" w:eastAsia="宋体" w:cs="宋体"/>
                <w:b/>
                <w:color w:val="auto"/>
                <w:sz w:val="22"/>
                <w:szCs w:val="22"/>
                <w:highlight w:val="none"/>
              </w:rPr>
              <w:t>要求</w:t>
            </w:r>
            <w:r>
              <w:rPr>
                <w:rFonts w:hint="eastAsia" w:ascii="宋体" w:hAnsi="宋体" w:eastAsia="宋体" w:cs="宋体"/>
                <w:color w:val="auto"/>
                <w:sz w:val="22"/>
                <w:szCs w:val="22"/>
                <w:highlight w:val="none"/>
              </w:rPr>
              <w:t>”的原材料检测报告，每提供一份（类）符合要求的检测报告得1分，此项最高得</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分：</w:t>
            </w:r>
            <w:r>
              <w:rPr>
                <w:rFonts w:hint="eastAsia" w:ascii="宋体" w:hAnsi="宋体" w:eastAsia="宋体" w:cs="宋体"/>
                <w:bCs/>
                <w:color w:val="auto"/>
                <w:sz w:val="22"/>
                <w:szCs w:val="22"/>
                <w:highlight w:val="none"/>
              </w:rPr>
              <w:t>（1）医用人造石（医用亚克力人造石）、（2）环氧聚酯粉末（热固性粉末）、（3）电解钢板喷涂样块、（4）304不锈钢、（5）导轨、（6）铰链、（7）锁具、（8）网布（家具用）、（</w:t>
            </w:r>
            <w:r>
              <w:rPr>
                <w:rFonts w:hint="eastAsia" w:ascii="宋体" w:hAnsi="宋体" w:cs="宋体"/>
                <w:bCs/>
                <w:color w:val="auto"/>
                <w:sz w:val="22"/>
                <w:szCs w:val="22"/>
                <w:highlight w:val="none"/>
                <w:lang w:val="en-US" w:eastAsia="zh-CN"/>
              </w:rPr>
              <w:t>9</w:t>
            </w:r>
            <w:r>
              <w:rPr>
                <w:rFonts w:hint="eastAsia" w:ascii="宋体" w:hAnsi="宋体" w:eastAsia="宋体" w:cs="宋体"/>
                <w:bCs/>
                <w:color w:val="auto"/>
                <w:sz w:val="22"/>
                <w:szCs w:val="22"/>
                <w:highlight w:val="none"/>
              </w:rPr>
              <w:t>）理化板</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10</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铝合金（家具用）、（11）刨花板、（12）椅子中气动装置的安全性能</w:t>
            </w:r>
          </w:p>
          <w:p w14:paraId="698AE7F7">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注：投标文件中提供完整的检测报告复印件（检测报告批准或签发日期在2023年1月1日以后，具备CNAS及CMA资质，且检测的每个分项的出具单位都需同时具备CNAS和CMA资质。检测报告出具机构必须具备“</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lang w:val="en-US" w:eastAsia="zh-CN"/>
              </w:rPr>
              <w:t>参数</w:t>
            </w:r>
            <w:r>
              <w:rPr>
                <w:rFonts w:hint="eastAsia" w:ascii="宋体" w:hAnsi="宋体" w:eastAsia="宋体" w:cs="宋体"/>
                <w:b/>
                <w:color w:val="auto"/>
                <w:sz w:val="22"/>
                <w:szCs w:val="22"/>
                <w:highlight w:val="none"/>
              </w:rPr>
              <w:t>要求”项目检测能力。），且同时提供该报告在全国认证认可信息公共服务平台查询截图。中标候选人须在中标公示后三个工作日内提供原件核查，如无法提供原件核查，则视为提供虚假资料谋求中标，中标候选人</w:t>
            </w:r>
            <w:r>
              <w:rPr>
                <w:rFonts w:hint="eastAsia" w:ascii="宋体" w:hAnsi="宋体" w:eastAsia="宋体" w:cs="宋体"/>
                <w:b/>
                <w:color w:val="auto"/>
                <w:sz w:val="22"/>
                <w:szCs w:val="22"/>
                <w:highlight w:val="none"/>
                <w:lang w:val="zh-CN"/>
              </w:rPr>
              <w:t>自行承担相应法律后果</w:t>
            </w:r>
            <w:r>
              <w:rPr>
                <w:rFonts w:hint="eastAsia" w:ascii="宋体" w:hAnsi="宋体" w:eastAsia="宋体" w:cs="宋体"/>
                <w:b/>
                <w:bCs/>
                <w:color w:val="auto"/>
                <w:sz w:val="22"/>
                <w:szCs w:val="22"/>
                <w:highlight w:val="none"/>
                <w:lang w:val="zh-CN"/>
              </w:rPr>
              <w:t>。</w:t>
            </w:r>
          </w:p>
        </w:tc>
        <w:tc>
          <w:tcPr>
            <w:tcW w:w="900" w:type="dxa"/>
            <w:vAlign w:val="center"/>
          </w:tcPr>
          <w:p w14:paraId="025556CB">
            <w:pPr>
              <w:keepNext w:val="0"/>
              <w:keepLines w:val="0"/>
              <w:pageBreakBefore w:val="0"/>
              <w:widowControl w:val="0"/>
              <w:kinsoku/>
              <w:wordWrap/>
              <w:overflowPunct/>
              <w:topLinePunct w:val="0"/>
              <w:bidi w:val="0"/>
              <w:adjustRightInd/>
              <w:snapToGrid w:val="0"/>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p>
        </w:tc>
        <w:tc>
          <w:tcPr>
            <w:tcW w:w="1320" w:type="dxa"/>
            <w:vAlign w:val="center"/>
          </w:tcPr>
          <w:p w14:paraId="1FD191B6">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w:t>
            </w:r>
          </w:p>
        </w:tc>
      </w:tr>
      <w:tr w14:paraId="7C8E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vAlign w:val="center"/>
          </w:tcPr>
          <w:p w14:paraId="1A2F9178">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453" w:type="dxa"/>
            <w:vAlign w:val="center"/>
          </w:tcPr>
          <w:p w14:paraId="13FFA99A">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成品检测报告</w:t>
            </w:r>
          </w:p>
        </w:tc>
        <w:tc>
          <w:tcPr>
            <w:tcW w:w="5730" w:type="dxa"/>
            <w:vAlign w:val="center"/>
          </w:tcPr>
          <w:p w14:paraId="24E8D533">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bidi="ar"/>
              </w:rPr>
              <w:t>投标人或产品生产厂家</w:t>
            </w:r>
            <w:r>
              <w:rPr>
                <w:rFonts w:hint="eastAsia" w:ascii="宋体" w:hAnsi="宋体" w:eastAsia="宋体" w:cs="宋体"/>
                <w:color w:val="auto"/>
                <w:sz w:val="22"/>
                <w:szCs w:val="22"/>
                <w:highlight w:val="none"/>
              </w:rPr>
              <w:t>提供以下符合技术参数中“</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lang w:val="en-US" w:eastAsia="zh-CN"/>
              </w:rPr>
              <w:t>参数</w:t>
            </w:r>
            <w:r>
              <w:rPr>
                <w:rFonts w:hint="eastAsia" w:ascii="宋体" w:hAnsi="宋体" w:eastAsia="宋体" w:cs="宋体"/>
                <w:b/>
                <w:color w:val="auto"/>
                <w:sz w:val="22"/>
                <w:szCs w:val="22"/>
                <w:highlight w:val="none"/>
              </w:rPr>
              <w:t>要求</w:t>
            </w:r>
            <w:r>
              <w:rPr>
                <w:rFonts w:hint="eastAsia" w:ascii="宋体" w:hAnsi="宋体" w:eastAsia="宋体" w:cs="宋体"/>
                <w:color w:val="auto"/>
                <w:sz w:val="22"/>
                <w:szCs w:val="22"/>
                <w:highlight w:val="none"/>
              </w:rPr>
              <w:t>”的成品检测报告，每提供一份（类）符合要求的检测报告得1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分，此项最高得1</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分：（1）护士站、（2）治疗柜、（3）大输液柜、（</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）处置柜、（</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）更衣柜、（</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）备餐柜、（</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）不锈钢污洗柜、（</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）不锈钢器械柜、（</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rPr>
              <w:t>）货架、（1</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）等候椅、（1</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）沙发、（1</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）诊疗桌</w:t>
            </w:r>
          </w:p>
          <w:p w14:paraId="2D2D3147">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注：投标文件中提供完整的检测报告复印件（检测报告批准或签发日期在2023年1月1日以后，具备CNAS及CMA资质，且检测的每个分项的出具单位都需同时具备CNAS和CMA资质。检测报告出具机构必须具备“</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lang w:val="en-US" w:eastAsia="zh-CN"/>
              </w:rPr>
              <w:t>参数</w:t>
            </w:r>
            <w:r>
              <w:rPr>
                <w:rFonts w:hint="eastAsia" w:ascii="宋体" w:hAnsi="宋体" w:eastAsia="宋体" w:cs="宋体"/>
                <w:b/>
                <w:color w:val="auto"/>
                <w:sz w:val="22"/>
                <w:szCs w:val="22"/>
                <w:highlight w:val="none"/>
              </w:rPr>
              <w:t>要求”项目检测能力。），且同时提供该报告在全国认证认可信息公共服务平台查询截图。中标候选人须在中标公示后三个工作日内提供原件核查，如无法提供原件核查，则视为提供虚假资料谋求中标，中标候选人</w:t>
            </w:r>
            <w:r>
              <w:rPr>
                <w:rFonts w:hint="eastAsia" w:ascii="宋体" w:hAnsi="宋体" w:eastAsia="宋体" w:cs="宋体"/>
                <w:b/>
                <w:color w:val="auto"/>
                <w:sz w:val="22"/>
                <w:szCs w:val="22"/>
                <w:highlight w:val="none"/>
                <w:lang w:val="zh-CN"/>
              </w:rPr>
              <w:t>自行承担相应法律后果</w:t>
            </w:r>
            <w:r>
              <w:rPr>
                <w:rFonts w:hint="eastAsia" w:ascii="宋体" w:hAnsi="宋体" w:eastAsia="宋体" w:cs="宋体"/>
                <w:b/>
                <w:bCs/>
                <w:color w:val="auto"/>
                <w:sz w:val="22"/>
                <w:szCs w:val="22"/>
                <w:highlight w:val="none"/>
                <w:lang w:val="zh-CN"/>
              </w:rPr>
              <w:t>。</w:t>
            </w:r>
          </w:p>
        </w:tc>
        <w:tc>
          <w:tcPr>
            <w:tcW w:w="900" w:type="dxa"/>
            <w:vAlign w:val="center"/>
          </w:tcPr>
          <w:p w14:paraId="08593E8D">
            <w:pPr>
              <w:keepNext w:val="0"/>
              <w:keepLines w:val="0"/>
              <w:pageBreakBefore w:val="0"/>
              <w:widowControl w:val="0"/>
              <w:kinsoku/>
              <w:wordWrap/>
              <w:overflowPunct/>
              <w:topLinePunct w:val="0"/>
              <w:bidi w:val="0"/>
              <w:adjustRightInd/>
              <w:snapToGrid w:val="0"/>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w:t>
            </w:r>
          </w:p>
        </w:tc>
        <w:tc>
          <w:tcPr>
            <w:tcW w:w="1320" w:type="dxa"/>
            <w:vAlign w:val="center"/>
          </w:tcPr>
          <w:p w14:paraId="0FEC43CD">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w:t>
            </w:r>
          </w:p>
        </w:tc>
      </w:tr>
      <w:tr w14:paraId="4B23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5" w:hRule="atLeast"/>
        </w:trPr>
        <w:tc>
          <w:tcPr>
            <w:tcW w:w="700" w:type="dxa"/>
            <w:vAlign w:val="center"/>
          </w:tcPr>
          <w:p w14:paraId="2BD1F9AD">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453" w:type="dxa"/>
            <w:vAlign w:val="center"/>
          </w:tcPr>
          <w:p w14:paraId="1304C8A2">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样品</w:t>
            </w:r>
          </w:p>
        </w:tc>
        <w:tc>
          <w:tcPr>
            <w:tcW w:w="5730" w:type="dxa"/>
            <w:vAlign w:val="center"/>
          </w:tcPr>
          <w:p w14:paraId="71DB43A8">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样品：综合治疗柜、</w:t>
            </w:r>
            <w:r>
              <w:rPr>
                <w:rFonts w:hint="eastAsia" w:ascii="宋体" w:hAnsi="宋体" w:cs="宋体"/>
                <w:color w:val="auto"/>
                <w:sz w:val="22"/>
                <w:szCs w:val="22"/>
                <w:highlight w:val="none"/>
                <w:lang w:val="en-US" w:eastAsia="zh-CN"/>
              </w:rPr>
              <w:t>医生</w:t>
            </w:r>
            <w:r>
              <w:rPr>
                <w:rFonts w:hint="eastAsia" w:ascii="宋体" w:hAnsi="宋体" w:eastAsia="宋体" w:cs="宋体"/>
                <w:color w:val="auto"/>
                <w:sz w:val="22"/>
                <w:szCs w:val="22"/>
                <w:highlight w:val="none"/>
              </w:rPr>
              <w:t>椅</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诊疗桌</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rPr>
              <w:t>参考出样示意图，样品尺寸允许±5%偏差。</w:t>
            </w:r>
          </w:p>
          <w:p w14:paraId="303AB3F6">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不提供样品或样品明显不符合要求不得分</w:t>
            </w:r>
            <w:r>
              <w:rPr>
                <w:rFonts w:hint="eastAsia" w:ascii="宋体" w:hAnsi="宋体" w:eastAsia="宋体" w:cs="宋体"/>
                <w:color w:val="auto"/>
                <w:sz w:val="22"/>
                <w:szCs w:val="22"/>
                <w:highlight w:val="none"/>
              </w:rPr>
              <w:t>。</w:t>
            </w:r>
          </w:p>
          <w:p w14:paraId="372A7179">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1、综合治疗柜（</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rPr>
              <w:t>分）</w:t>
            </w:r>
          </w:p>
          <w:p w14:paraId="167A0F06">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根据样品的外观、材质、质量等方面，由评审小组判定得分：</w:t>
            </w:r>
          </w:p>
          <w:p w14:paraId="64BCBFD9">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①样品外观</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尺寸</w:t>
            </w:r>
            <w:r>
              <w:rPr>
                <w:rFonts w:hint="eastAsia" w:ascii="宋体" w:hAnsi="宋体" w:eastAsia="宋体" w:cs="宋体"/>
                <w:color w:val="auto"/>
                <w:sz w:val="22"/>
                <w:szCs w:val="22"/>
                <w:highlight w:val="none"/>
              </w:rPr>
              <w:t>与采购需求比较，是否满足采购需求；与人体接触的部位无毛刺、棱角及其他尖锐物；颜色无色差；无异味；金属件涂饰：应无漏喷、锈蚀，涂层应光滑均匀,色泽一致,应无流挂、疙瘩、皱皮、飞漆等</w:t>
            </w: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lang w:val="en-US" w:eastAsia="zh-CN"/>
              </w:rPr>
              <w:t>0分）</w:t>
            </w:r>
            <w:r>
              <w:rPr>
                <w:rFonts w:hint="eastAsia" w:ascii="宋体" w:hAnsi="宋体" w:eastAsia="宋体" w:cs="宋体"/>
                <w:color w:val="auto"/>
                <w:sz w:val="22"/>
                <w:szCs w:val="22"/>
                <w:highlight w:val="none"/>
              </w:rPr>
              <w:t>；</w:t>
            </w:r>
          </w:p>
          <w:p w14:paraId="0FD2AC4D">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②样品材质与采购需求比较，是否满足采购需求；包括但不限于样品所选用材料的厚度、配件材料符合性、感官质量等</w:t>
            </w: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lang w:val="en-US" w:eastAsia="zh-CN"/>
              </w:rPr>
              <w:t>0分）</w:t>
            </w:r>
            <w:r>
              <w:rPr>
                <w:rFonts w:hint="eastAsia" w:ascii="宋体" w:hAnsi="宋体" w:eastAsia="宋体" w:cs="宋体"/>
                <w:color w:val="auto"/>
                <w:sz w:val="22"/>
                <w:szCs w:val="22"/>
                <w:highlight w:val="none"/>
              </w:rPr>
              <w:t>；</w:t>
            </w:r>
          </w:p>
          <w:p w14:paraId="6F8AB2CB">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③样品结构与采购需求比较，是否满足采购需求；包括但不限于大输液柜配置功能、处置柜打开、关闭流畅度等</w:t>
            </w: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lang w:val="en-US" w:eastAsia="zh-CN"/>
              </w:rPr>
              <w:t>0分）</w:t>
            </w:r>
            <w:r>
              <w:rPr>
                <w:rFonts w:hint="eastAsia" w:ascii="宋体" w:hAnsi="宋体" w:eastAsia="宋体" w:cs="宋体"/>
                <w:color w:val="auto"/>
                <w:sz w:val="22"/>
                <w:szCs w:val="22"/>
                <w:highlight w:val="none"/>
              </w:rPr>
              <w:t>；</w:t>
            </w:r>
          </w:p>
          <w:p w14:paraId="58DD82D4">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医生</w:t>
            </w:r>
            <w:r>
              <w:rPr>
                <w:rFonts w:hint="eastAsia" w:ascii="宋体" w:hAnsi="宋体" w:eastAsia="宋体" w:cs="宋体"/>
                <w:color w:val="auto"/>
                <w:sz w:val="22"/>
                <w:szCs w:val="22"/>
                <w:highlight w:val="none"/>
              </w:rPr>
              <w:t>椅</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536E2FE7">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根据样品的外观、材质、质量等方面，由评审小组判定得分：</w:t>
            </w:r>
          </w:p>
          <w:p w14:paraId="56BEC855">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①样品外观</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尺寸</w:t>
            </w:r>
            <w:r>
              <w:rPr>
                <w:rFonts w:hint="eastAsia" w:ascii="宋体" w:hAnsi="宋体" w:eastAsia="宋体" w:cs="宋体"/>
                <w:color w:val="auto"/>
                <w:sz w:val="22"/>
                <w:szCs w:val="22"/>
                <w:highlight w:val="none"/>
              </w:rPr>
              <w:t>与采购需求比较，是否满足采购需求；与人体接触的部位无毛刺、棱角及其他尖锐物；颜色无色差；无异味；软包件外形饱满，圆滑一致，对称部位对称；脚轮:转动、平动轻快灵活，无破损，连接牢固</w:t>
            </w:r>
            <w:r>
              <w:rPr>
                <w:rFonts w:hint="eastAsia" w:ascii="宋体" w:hAnsi="宋体" w:eastAsia="宋体" w:cs="宋体"/>
                <w:color w:val="auto"/>
                <w:sz w:val="22"/>
                <w:szCs w:val="22"/>
                <w:highlight w:val="none"/>
                <w:lang w:val="en-US" w:eastAsia="zh-CN"/>
              </w:rPr>
              <w:t>（评分范围1,</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0分）</w:t>
            </w:r>
            <w:r>
              <w:rPr>
                <w:rFonts w:hint="eastAsia" w:ascii="宋体" w:hAnsi="宋体" w:eastAsia="宋体" w:cs="宋体"/>
                <w:color w:val="auto"/>
                <w:sz w:val="22"/>
                <w:szCs w:val="22"/>
                <w:highlight w:val="none"/>
              </w:rPr>
              <w:t>；</w:t>
            </w:r>
          </w:p>
          <w:p w14:paraId="09C8E3DE">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②样品材质与采购需求比较，是否满足采购需求；包括但不限于样品所选用材料的厚度、配件材料符合性、感官质量等</w:t>
            </w:r>
            <w:r>
              <w:rPr>
                <w:rFonts w:hint="eastAsia" w:ascii="宋体" w:hAnsi="宋体" w:eastAsia="宋体" w:cs="宋体"/>
                <w:color w:val="auto"/>
                <w:sz w:val="22"/>
                <w:szCs w:val="22"/>
                <w:highlight w:val="none"/>
                <w:lang w:val="en-US" w:eastAsia="zh-CN"/>
              </w:rPr>
              <w:t>（评分范围1,</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0分）</w:t>
            </w:r>
            <w:r>
              <w:rPr>
                <w:rFonts w:hint="eastAsia" w:ascii="宋体" w:hAnsi="宋体" w:eastAsia="宋体" w:cs="宋体"/>
                <w:color w:val="auto"/>
                <w:sz w:val="22"/>
                <w:szCs w:val="22"/>
                <w:highlight w:val="none"/>
              </w:rPr>
              <w:t>；</w:t>
            </w:r>
          </w:p>
          <w:p w14:paraId="3A155A74">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③样品结构与采购需求比较，是否满足采购需求；包括但不限于对样品结构牢固度、设计合理性、安全性及使用的方便性等</w:t>
            </w:r>
            <w:r>
              <w:rPr>
                <w:rFonts w:hint="eastAsia" w:ascii="宋体" w:hAnsi="宋体" w:eastAsia="宋体" w:cs="宋体"/>
                <w:color w:val="auto"/>
                <w:sz w:val="22"/>
                <w:szCs w:val="22"/>
                <w:highlight w:val="none"/>
                <w:lang w:val="en-US" w:eastAsia="zh-CN"/>
              </w:rPr>
              <w:t>（评分范围1,</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0分）</w:t>
            </w:r>
            <w:r>
              <w:rPr>
                <w:rFonts w:hint="eastAsia" w:ascii="宋体" w:hAnsi="宋体" w:eastAsia="宋体" w:cs="宋体"/>
                <w:color w:val="auto"/>
                <w:sz w:val="22"/>
                <w:szCs w:val="22"/>
                <w:highlight w:val="none"/>
              </w:rPr>
              <w:t>；</w:t>
            </w:r>
          </w:p>
          <w:p w14:paraId="61135C3C">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val="en-US" w:eastAsia="zh-CN"/>
              </w:rPr>
              <w:t>诊疗桌</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31804BDA">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根据样品的外观、材质、质量等方面，由评审小组判定得分：</w:t>
            </w:r>
          </w:p>
          <w:p w14:paraId="174E7D3C">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①样品外观</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尺寸</w:t>
            </w:r>
            <w:r>
              <w:rPr>
                <w:rFonts w:hint="eastAsia" w:ascii="宋体" w:hAnsi="宋体" w:eastAsia="宋体" w:cs="宋体"/>
                <w:color w:val="auto"/>
                <w:sz w:val="22"/>
                <w:szCs w:val="22"/>
                <w:highlight w:val="none"/>
              </w:rPr>
              <w:t>与采购需求比较，是否满足采购需求；与人体接触的部位无毛刺、棱角及其他尖锐物；颜色无色差；无异味；金属件涂饰：应无漏喷、锈蚀，涂层应光滑均匀,色泽一致,应无流挂、疙瘩、皱皮、飞漆等</w:t>
            </w:r>
            <w:r>
              <w:rPr>
                <w:rFonts w:hint="eastAsia" w:ascii="宋体" w:hAnsi="宋体" w:eastAsia="宋体" w:cs="宋体"/>
                <w:color w:val="auto"/>
                <w:sz w:val="22"/>
                <w:szCs w:val="22"/>
                <w:highlight w:val="none"/>
                <w:lang w:val="en-US" w:eastAsia="zh-CN"/>
              </w:rPr>
              <w:t>（评分范围1,</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0分）</w:t>
            </w:r>
            <w:r>
              <w:rPr>
                <w:rFonts w:hint="eastAsia" w:ascii="宋体" w:hAnsi="宋体" w:eastAsia="宋体" w:cs="宋体"/>
                <w:color w:val="auto"/>
                <w:sz w:val="22"/>
                <w:szCs w:val="22"/>
                <w:highlight w:val="none"/>
              </w:rPr>
              <w:t>；</w:t>
            </w:r>
          </w:p>
          <w:p w14:paraId="23ED6240">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②样品材质与采购需求比较，是否满足采购需求；包括但不限于样品所选用材料的厚度、配件材料符合性、感官质量等</w:t>
            </w:r>
            <w:r>
              <w:rPr>
                <w:rFonts w:hint="eastAsia" w:ascii="宋体" w:hAnsi="宋体" w:eastAsia="宋体" w:cs="宋体"/>
                <w:color w:val="auto"/>
                <w:sz w:val="22"/>
                <w:szCs w:val="22"/>
                <w:highlight w:val="none"/>
                <w:lang w:val="en-US" w:eastAsia="zh-CN"/>
              </w:rPr>
              <w:t>（评分范围1,</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0分）</w:t>
            </w:r>
            <w:r>
              <w:rPr>
                <w:rFonts w:hint="eastAsia" w:ascii="宋体" w:hAnsi="宋体" w:eastAsia="宋体" w:cs="宋体"/>
                <w:color w:val="auto"/>
                <w:sz w:val="22"/>
                <w:szCs w:val="22"/>
                <w:highlight w:val="none"/>
              </w:rPr>
              <w:t>；</w:t>
            </w:r>
          </w:p>
          <w:p w14:paraId="0FAE273B">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③样品结构与采购需求比较，是否满足采购需求；包括但不限于对样品结构牢固度、设计合理性、安全性及使用的方便性等</w:t>
            </w:r>
            <w:r>
              <w:rPr>
                <w:rFonts w:hint="eastAsia" w:ascii="宋体" w:hAnsi="宋体" w:eastAsia="宋体" w:cs="宋体"/>
                <w:color w:val="auto"/>
                <w:sz w:val="22"/>
                <w:szCs w:val="22"/>
                <w:highlight w:val="none"/>
                <w:lang w:val="en-US" w:eastAsia="zh-CN"/>
              </w:rPr>
              <w:t>（评分范围1,</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0分）</w:t>
            </w:r>
            <w:r>
              <w:rPr>
                <w:rFonts w:hint="eastAsia" w:ascii="宋体" w:hAnsi="宋体" w:eastAsia="宋体" w:cs="宋体"/>
                <w:color w:val="auto"/>
                <w:sz w:val="22"/>
                <w:szCs w:val="22"/>
                <w:highlight w:val="none"/>
              </w:rPr>
              <w:t>；</w:t>
            </w:r>
          </w:p>
        </w:tc>
        <w:tc>
          <w:tcPr>
            <w:tcW w:w="900" w:type="dxa"/>
            <w:vAlign w:val="center"/>
          </w:tcPr>
          <w:p w14:paraId="2635916F">
            <w:pPr>
              <w:keepNext w:val="0"/>
              <w:keepLines w:val="0"/>
              <w:pageBreakBefore w:val="0"/>
              <w:widowControl w:val="0"/>
              <w:kinsoku/>
              <w:wordWrap/>
              <w:overflowPunct/>
              <w:topLinePunct w:val="0"/>
              <w:bidi w:val="0"/>
              <w:adjustRightInd/>
              <w:snapToGrid w:val="0"/>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1320" w:type="dxa"/>
            <w:vAlign w:val="center"/>
          </w:tcPr>
          <w:p w14:paraId="27ABC501">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w:t>
            </w:r>
          </w:p>
        </w:tc>
      </w:tr>
      <w:tr w14:paraId="364E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EAB1DB7">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453" w:type="dxa"/>
            <w:vAlign w:val="center"/>
          </w:tcPr>
          <w:p w14:paraId="665C73B8">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履约能力</w:t>
            </w:r>
          </w:p>
        </w:tc>
        <w:tc>
          <w:tcPr>
            <w:tcW w:w="5730" w:type="dxa"/>
            <w:vAlign w:val="center"/>
          </w:tcPr>
          <w:p w14:paraId="38E89FE2">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lang w:bidi="ar"/>
              </w:rPr>
              <w:t>投标人或产品生产厂家</w:t>
            </w:r>
            <w:r>
              <w:rPr>
                <w:rFonts w:hint="eastAsia" w:ascii="宋体" w:hAnsi="宋体" w:cs="宋体"/>
                <w:color w:val="auto"/>
                <w:sz w:val="22"/>
                <w:szCs w:val="22"/>
                <w:highlight w:val="none"/>
                <w:shd w:val="clear" w:color="auto" w:fill="FFFFFF"/>
                <w:lang w:eastAsia="zh-CN" w:bidi="ar"/>
              </w:rPr>
              <w:t>：</w:t>
            </w:r>
          </w:p>
          <w:p w14:paraId="628901A4">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1、具有先进的板式生产、钢制生产设备：</w:t>
            </w:r>
          </w:p>
          <w:p w14:paraId="144E1D76">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数控多功能加工中心、数控点对点钻孔加工中心、全自动封边机、全自动激光生产线流水线（含开料、校平、激光成型、自动分拣系统）、全自动激光焊接加工中心、全自动折弯工作平台；</w:t>
            </w:r>
          </w:p>
          <w:p w14:paraId="1C6FF5A8">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上述设备每具有一项得0.5分，本项最高得3分。</w:t>
            </w:r>
          </w:p>
          <w:p w14:paraId="727F2D0A">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2、具有全自动喷涂生产线设备及对应的废气处理设备、污水处理设备得1分。</w:t>
            </w:r>
          </w:p>
          <w:p w14:paraId="462E056F">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3、具有全自动喷涂前处理设备（喷淋脱脂清洗流水线）得1分、（喷淋镀膜流水线）得1分，本项最高得2分。</w:t>
            </w:r>
          </w:p>
          <w:p w14:paraId="61F70020">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4、具有立柱成型流水线设备得1分；具有层板或门板流水线设备得1分，本项最高得2分。</w:t>
            </w:r>
          </w:p>
          <w:p w14:paraId="517D0519">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pacing w:val="9"/>
                <w:sz w:val="22"/>
                <w:szCs w:val="22"/>
                <w:highlight w:val="none"/>
              </w:rPr>
              <w:t>注：</w:t>
            </w:r>
            <w:r>
              <w:rPr>
                <w:rFonts w:hint="eastAsia" w:ascii="宋体" w:hAnsi="宋体" w:eastAsia="宋体" w:cs="宋体"/>
                <w:b/>
                <w:bCs/>
                <w:color w:val="auto"/>
                <w:sz w:val="22"/>
                <w:szCs w:val="22"/>
                <w:highlight w:val="none"/>
                <w:shd w:val="clear" w:color="auto" w:fill="FFFFFF"/>
                <w:lang w:bidi="ar"/>
              </w:rPr>
              <w:t>设备名称类似，提供的设备名称叫法不一致，实则为同种设备或同种更先进的设备，则由投标人或产品生产厂家做出说明，评委评判后认为功能相同均可得分。</w:t>
            </w:r>
            <w:r>
              <w:rPr>
                <w:rFonts w:hint="eastAsia" w:ascii="宋体" w:hAnsi="宋体" w:eastAsia="宋体" w:cs="宋体"/>
                <w:b/>
                <w:bCs/>
                <w:color w:val="auto"/>
                <w:spacing w:val="9"/>
                <w:sz w:val="22"/>
                <w:szCs w:val="22"/>
                <w:highlight w:val="none"/>
              </w:rPr>
              <w:t>需</w:t>
            </w:r>
            <w:r>
              <w:rPr>
                <w:rFonts w:hint="eastAsia" w:ascii="宋体" w:hAnsi="宋体" w:eastAsia="宋体" w:cs="宋体"/>
                <w:b/>
                <w:bCs/>
                <w:color w:val="auto"/>
                <w:sz w:val="22"/>
                <w:szCs w:val="22"/>
                <w:highlight w:val="none"/>
                <w:shd w:val="clear" w:color="auto" w:fill="FFFFFF"/>
                <w:lang w:bidi="ar"/>
              </w:rPr>
              <w:t>投标人或产品生产厂家</w:t>
            </w:r>
            <w:r>
              <w:rPr>
                <w:rFonts w:hint="eastAsia" w:ascii="宋体" w:hAnsi="宋体" w:eastAsia="宋体" w:cs="宋体"/>
                <w:b/>
                <w:bCs/>
                <w:color w:val="auto"/>
                <w:sz w:val="22"/>
                <w:szCs w:val="22"/>
                <w:highlight w:val="none"/>
              </w:rPr>
              <w:t>提供车间生产设备（使用中）实拍图、设备购买合同及购买发票，或租赁合同、租赁发票及设备持有者的购买发票等证明材料复印件</w:t>
            </w:r>
            <w:r>
              <w:rPr>
                <w:rFonts w:hint="eastAsia" w:ascii="宋体" w:hAnsi="宋体" w:eastAsia="宋体" w:cs="宋体"/>
                <w:b/>
                <w:bCs/>
                <w:color w:val="auto"/>
                <w:sz w:val="22"/>
                <w:szCs w:val="22"/>
                <w:highlight w:val="none"/>
                <w:lang w:val="zh-CN"/>
              </w:rPr>
              <w:t>。</w:t>
            </w:r>
          </w:p>
          <w:p w14:paraId="27339B31">
            <w:pPr>
              <w:pStyle w:val="51"/>
              <w:keepNext w:val="0"/>
              <w:keepLines w:val="0"/>
              <w:pageBreakBefore w:val="0"/>
              <w:widowControl w:val="0"/>
              <w:kinsoku/>
              <w:wordWrap/>
              <w:overflowPunct/>
              <w:topLinePunct w:val="0"/>
              <w:bidi w:val="0"/>
              <w:adjustRightInd/>
              <w:spacing w:after="0" w:line="46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中标候选人须在中标公示后三个工作日内提供原件核查，如无法提供原件核查，则视为提供虚假资料谋求中标，中标候选人</w:t>
            </w:r>
            <w:r>
              <w:rPr>
                <w:rFonts w:hint="eastAsia" w:ascii="宋体" w:hAnsi="宋体" w:eastAsia="宋体" w:cs="宋体"/>
                <w:b/>
                <w:color w:val="auto"/>
                <w:sz w:val="22"/>
                <w:szCs w:val="22"/>
                <w:highlight w:val="none"/>
                <w:lang w:val="zh-CN"/>
              </w:rPr>
              <w:t>自行承担相应法律后果</w:t>
            </w:r>
            <w:r>
              <w:rPr>
                <w:rFonts w:hint="eastAsia" w:ascii="宋体" w:hAnsi="宋体" w:eastAsia="宋体" w:cs="宋体"/>
                <w:b/>
                <w:bCs/>
                <w:color w:val="auto"/>
                <w:sz w:val="22"/>
                <w:szCs w:val="22"/>
                <w:highlight w:val="none"/>
                <w:lang w:val="zh-CN"/>
              </w:rPr>
              <w:t>。</w:t>
            </w:r>
          </w:p>
        </w:tc>
        <w:tc>
          <w:tcPr>
            <w:tcW w:w="900" w:type="dxa"/>
            <w:vAlign w:val="center"/>
          </w:tcPr>
          <w:p w14:paraId="2F03B036">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320" w:type="dxa"/>
            <w:vAlign w:val="center"/>
          </w:tcPr>
          <w:p w14:paraId="189B1A42">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w:t>
            </w:r>
          </w:p>
        </w:tc>
      </w:tr>
      <w:tr w14:paraId="0409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8133B38">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7</w:t>
            </w:r>
          </w:p>
        </w:tc>
        <w:tc>
          <w:tcPr>
            <w:tcW w:w="1453" w:type="dxa"/>
            <w:vAlign w:val="center"/>
          </w:tcPr>
          <w:p w14:paraId="194BA6C1">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响应方案</w:t>
            </w:r>
          </w:p>
        </w:tc>
        <w:tc>
          <w:tcPr>
            <w:tcW w:w="5730" w:type="dxa"/>
            <w:vAlign w:val="center"/>
          </w:tcPr>
          <w:p w14:paraId="17E41879">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针对本项目实际情况，评标委员会根据各投标人提供的项目</w:t>
            </w:r>
            <w:r>
              <w:rPr>
                <w:rFonts w:hint="eastAsia" w:ascii="宋体" w:hAnsi="宋体" w:cs="宋体"/>
                <w:color w:val="auto"/>
                <w:sz w:val="22"/>
                <w:szCs w:val="22"/>
                <w:highlight w:val="none"/>
                <w:lang w:val="en-US" w:eastAsia="zh-CN"/>
              </w:rPr>
              <w:t>响应</w:t>
            </w:r>
            <w:r>
              <w:rPr>
                <w:rFonts w:hint="eastAsia" w:ascii="宋体" w:hAnsi="宋体" w:eastAsia="宋体" w:cs="宋体"/>
                <w:color w:val="auto"/>
                <w:sz w:val="22"/>
                <w:szCs w:val="22"/>
                <w:highlight w:val="none"/>
              </w:rPr>
              <w:t>方案（包含</w:t>
            </w:r>
            <w:r>
              <w:rPr>
                <w:rFonts w:hint="eastAsia" w:ascii="宋体" w:hAnsi="宋体" w:cs="宋体"/>
                <w:color w:val="auto"/>
                <w:sz w:val="22"/>
                <w:szCs w:val="22"/>
                <w:highlight w:val="none"/>
                <w:lang w:val="en-US" w:eastAsia="zh-CN"/>
              </w:rPr>
              <w:t>生产</w:t>
            </w:r>
            <w:r>
              <w:rPr>
                <w:rFonts w:hint="eastAsia" w:ascii="宋体" w:hAnsi="宋体" w:eastAsia="宋体" w:cs="宋体"/>
                <w:color w:val="auto"/>
                <w:sz w:val="22"/>
                <w:szCs w:val="22"/>
                <w:highlight w:val="none"/>
              </w:rPr>
              <w:t>、运输、安装</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进度计划等内容</w:t>
            </w:r>
            <w:r>
              <w:rPr>
                <w:rFonts w:hint="eastAsia" w:ascii="宋体" w:hAnsi="宋体" w:eastAsia="宋体" w:cs="宋体"/>
                <w:color w:val="auto"/>
                <w:sz w:val="22"/>
                <w:szCs w:val="22"/>
                <w:highlight w:val="none"/>
              </w:rPr>
              <w:t>）进行综合评审</w:t>
            </w: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2,1,</w:t>
            </w:r>
            <w:r>
              <w:rPr>
                <w:rFonts w:hint="eastAsia" w:ascii="宋体" w:hAnsi="宋体" w:eastAsia="宋体" w:cs="宋体"/>
                <w:color w:val="auto"/>
                <w:sz w:val="22"/>
                <w:szCs w:val="22"/>
                <w:highlight w:val="none"/>
                <w:lang w:val="en-US" w:eastAsia="zh-CN"/>
              </w:rPr>
              <w:t>0分）</w:t>
            </w:r>
            <w:r>
              <w:rPr>
                <w:rFonts w:hint="eastAsia" w:ascii="宋体" w:hAnsi="宋体" w:cs="宋体"/>
                <w:color w:val="auto"/>
                <w:sz w:val="22"/>
                <w:szCs w:val="22"/>
                <w:highlight w:val="none"/>
                <w:lang w:eastAsia="zh-CN"/>
              </w:rPr>
              <w:t>。</w:t>
            </w:r>
          </w:p>
        </w:tc>
        <w:tc>
          <w:tcPr>
            <w:tcW w:w="900" w:type="dxa"/>
            <w:vAlign w:val="center"/>
          </w:tcPr>
          <w:p w14:paraId="296C392B">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p>
        </w:tc>
        <w:tc>
          <w:tcPr>
            <w:tcW w:w="1320" w:type="dxa"/>
            <w:vAlign w:val="center"/>
          </w:tcPr>
          <w:p w14:paraId="242FC1D3">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w:t>
            </w:r>
          </w:p>
        </w:tc>
      </w:tr>
      <w:tr w14:paraId="597B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4539A5E">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8</w:t>
            </w:r>
          </w:p>
        </w:tc>
        <w:tc>
          <w:tcPr>
            <w:tcW w:w="1453" w:type="dxa"/>
            <w:vAlign w:val="center"/>
          </w:tcPr>
          <w:p w14:paraId="524B7233">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业绩案列</w:t>
            </w:r>
          </w:p>
        </w:tc>
        <w:tc>
          <w:tcPr>
            <w:tcW w:w="5730" w:type="dxa"/>
            <w:vAlign w:val="center"/>
          </w:tcPr>
          <w:p w14:paraId="169590BF">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投标人或产品生产厂家（2021年1月1日（含）以来，以合同签订时间为准）具有同类家具业绩案例</w:t>
            </w:r>
            <w:r>
              <w:rPr>
                <w:rFonts w:hint="eastAsia"/>
                <w:color w:val="auto"/>
                <w:highlight w:val="none"/>
                <w:lang w:eastAsia="zh-CN"/>
              </w:rPr>
              <w:t>（</w:t>
            </w:r>
            <w:r>
              <w:rPr>
                <w:rFonts w:hint="eastAsia"/>
                <w:color w:val="auto"/>
                <w:highlight w:val="none"/>
                <w:lang w:val="en-US" w:eastAsia="zh-CN"/>
              </w:rPr>
              <w:t>合同清单中至少包含治疗柜、实验台、诊疗桌类产品</w:t>
            </w:r>
            <w:r>
              <w:rPr>
                <w:rFonts w:hint="eastAsia"/>
                <w:color w:val="auto"/>
                <w:highlight w:val="none"/>
                <w:lang w:eastAsia="zh-CN"/>
              </w:rPr>
              <w:t>）</w:t>
            </w:r>
            <w:r>
              <w:rPr>
                <w:rFonts w:hint="eastAsia" w:ascii="宋体" w:hAnsi="宋体" w:eastAsia="宋体" w:cs="宋体"/>
                <w:color w:val="auto"/>
                <w:sz w:val="22"/>
                <w:szCs w:val="22"/>
                <w:highlight w:val="none"/>
              </w:rPr>
              <w:t>，每提供一个业绩合同得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分，本项最高得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5E3D7314">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注：同时提供中标(成交) 通知书、合同的复印件，如合同无法显示清单内容，需提供采购人盖章的证明材料。</w:t>
            </w:r>
          </w:p>
          <w:p w14:paraId="297E172A">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rPr>
              <w:t>中标候选人须在中标公示后三个工作日内提供原件核查，如无法提供原件核查，则视为提供虚假资料谋求中标，中标候选人</w:t>
            </w:r>
            <w:r>
              <w:rPr>
                <w:rFonts w:hint="eastAsia" w:ascii="宋体" w:hAnsi="宋体" w:eastAsia="宋体" w:cs="宋体"/>
                <w:b/>
                <w:bCs/>
                <w:color w:val="auto"/>
                <w:sz w:val="22"/>
                <w:szCs w:val="22"/>
                <w:highlight w:val="none"/>
                <w:lang w:val="zh-CN"/>
              </w:rPr>
              <w:t>自行承担相应法律后果。</w:t>
            </w:r>
          </w:p>
        </w:tc>
        <w:tc>
          <w:tcPr>
            <w:tcW w:w="900" w:type="dxa"/>
            <w:vAlign w:val="center"/>
          </w:tcPr>
          <w:p w14:paraId="7887692D">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p>
        </w:tc>
        <w:tc>
          <w:tcPr>
            <w:tcW w:w="1320" w:type="dxa"/>
            <w:vAlign w:val="center"/>
          </w:tcPr>
          <w:p w14:paraId="3F026248">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w:t>
            </w:r>
          </w:p>
        </w:tc>
      </w:tr>
      <w:tr w14:paraId="6BF3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404B745E">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9</w:t>
            </w:r>
          </w:p>
        </w:tc>
        <w:tc>
          <w:tcPr>
            <w:tcW w:w="1453" w:type="dxa"/>
            <w:shd w:val="clear" w:color="auto" w:fill="auto"/>
            <w:vAlign w:val="center"/>
          </w:tcPr>
          <w:p w14:paraId="0CFDAC69">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cs="宋体"/>
                <w:b w:val="0"/>
                <w:bCs/>
                <w:color w:val="auto"/>
                <w:sz w:val="22"/>
                <w:szCs w:val="22"/>
                <w:highlight w:val="none"/>
                <w:lang w:val="en-US" w:eastAsia="zh-CN"/>
              </w:rPr>
              <w:t>节能环保</w:t>
            </w:r>
          </w:p>
        </w:tc>
        <w:tc>
          <w:tcPr>
            <w:tcW w:w="5730" w:type="dxa"/>
            <w:shd w:val="clear" w:color="auto" w:fill="auto"/>
            <w:vAlign w:val="center"/>
          </w:tcPr>
          <w:p w14:paraId="58F7D2DB">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（1）投标产品列入财政部、发展改革委、生态环境部等部门发布的节能产品品目清单且提供国家确定的认证机构出具的、处于有效期之内的节能产品认证证书的，得0.5分。</w:t>
            </w:r>
          </w:p>
          <w:p w14:paraId="576E87FB">
            <w:pPr>
              <w:keepNext w:val="0"/>
              <w:keepLines w:val="0"/>
              <w:pageBreakBefore w:val="0"/>
              <w:widowControl w:val="0"/>
              <w:kinsoku/>
              <w:wordWrap/>
              <w:overflowPunct/>
              <w:topLinePunct w:val="0"/>
              <w:bidi w:val="0"/>
              <w:adjustRightInd/>
              <w:snapToGrid w:val="0"/>
              <w:spacing w:line="460" w:lineRule="exact"/>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（2）投标产品列入财政部、发展改革委、生态环境部等部门发布的环境标志产品品目清单且提供国家确定的认证机构出具的、处于有效期之内的环境标志产品认证证书的，得0.5分。</w:t>
            </w:r>
          </w:p>
        </w:tc>
        <w:tc>
          <w:tcPr>
            <w:tcW w:w="900" w:type="dxa"/>
            <w:shd w:val="clear" w:color="auto" w:fill="auto"/>
            <w:vAlign w:val="center"/>
          </w:tcPr>
          <w:p w14:paraId="24951D24">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20" w:type="dxa"/>
            <w:shd w:val="clear" w:color="auto" w:fill="auto"/>
            <w:vAlign w:val="center"/>
          </w:tcPr>
          <w:p w14:paraId="6B0C7A77">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w:t>
            </w:r>
          </w:p>
        </w:tc>
      </w:tr>
    </w:tbl>
    <w:p w14:paraId="6307CF06">
      <w:pPr>
        <w:pStyle w:val="24"/>
        <w:spacing w:line="460" w:lineRule="exact"/>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2、报价评分（30分）（权值30%）：</w:t>
      </w:r>
    </w:p>
    <w:p w14:paraId="2E73EDD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14:paraId="067A5DD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1）有效投标人的投标报价等于评标基准价时其报价分为满分30分；</w:t>
      </w:r>
    </w:p>
    <w:p w14:paraId="5D8D4A9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14:paraId="40713AC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14:paraId="38FE5100">
      <w:pPr>
        <w:spacing w:line="460" w:lineRule="exact"/>
        <w:ind w:firstLine="539" w:firstLineChars="245"/>
        <w:rPr>
          <w:rFonts w:hint="eastAsia" w:ascii="宋体" w:hAnsi="宋体" w:eastAsia="宋体" w:cs="宋体"/>
          <w:b w:val="0"/>
          <w:bCs w:val="0"/>
          <w:color w:val="auto"/>
          <w:kern w:val="2"/>
          <w:sz w:val="22"/>
          <w:szCs w:val="22"/>
          <w:highlight w:val="none"/>
          <w:u w:val="none"/>
          <w:lang w:val="zh-CN" w:eastAsia="zh-CN" w:bidi="ar-SA"/>
        </w:rPr>
      </w:pPr>
      <w:r>
        <w:rPr>
          <w:rFonts w:hint="eastAsia" w:ascii="宋体" w:hAnsi="宋体" w:eastAsia="宋体" w:cs="宋体"/>
          <w:color w:val="auto"/>
          <w:sz w:val="22"/>
          <w:szCs w:val="22"/>
          <w:highlight w:val="none"/>
        </w:rPr>
        <w:t>3、有效投标人的综合得分为技术分和商务（报价）分的总和。</w:t>
      </w:r>
    </w:p>
    <w:p w14:paraId="07A5B54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新宋体" w:cs="宋体"/>
          <w:b w:val="0"/>
          <w:bCs w:val="0"/>
          <w:color w:val="auto"/>
          <w:kern w:val="2"/>
          <w:sz w:val="22"/>
          <w:szCs w:val="22"/>
          <w:highlight w:val="none"/>
          <w:u w:val="none"/>
          <w:lang w:val="en-US" w:eastAsia="zh-CN" w:bidi="ar-SA"/>
        </w:rPr>
      </w:pPr>
      <w:r>
        <w:rPr>
          <w:rFonts w:hint="eastAsia" w:ascii="新宋体" w:hAnsi="新宋体" w:eastAsia="新宋体"/>
          <w:b w:val="0"/>
          <w:bCs w:val="0"/>
          <w:color w:val="auto"/>
          <w:sz w:val="22"/>
          <w:szCs w:val="22"/>
          <w:highlight w:val="none"/>
          <w:lang w:val="zh-CN"/>
        </w:rPr>
        <w:t>根据</w:t>
      </w:r>
      <w:r>
        <w:rPr>
          <w:rFonts w:hint="eastAsia" w:ascii="新宋体" w:hAnsi="新宋体" w:eastAsia="新宋体" w:cs="新宋体"/>
          <w:b w:val="0"/>
          <w:bCs w:val="0"/>
          <w:color w:val="auto"/>
          <w:kern w:val="0"/>
          <w:sz w:val="22"/>
          <w:szCs w:val="22"/>
          <w:highlight w:val="none"/>
        </w:rPr>
        <w:t>《政府采购促进中小企业发展管理办法》（财库〔2020〕46号）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《财政部关于进一步加大政府采购支持中小企业力度的通知》（财库〔2022〕19号）</w:t>
      </w:r>
      <w:r>
        <w:rPr>
          <w:rFonts w:hint="eastAsia" w:ascii="新宋体" w:hAnsi="新宋体" w:eastAsia="新宋体" w:cs="新宋体"/>
          <w:b w:val="0"/>
          <w:bCs w:val="0"/>
          <w:color w:val="auto"/>
          <w:kern w:val="0"/>
          <w:sz w:val="22"/>
          <w:szCs w:val="22"/>
          <w:highlight w:val="none"/>
          <w:lang w:eastAsia="zh-CN"/>
        </w:rPr>
        <w:t>、《浙江省财政厅关于进一步加大政府采购支持中小企业力度助力扎实稳住经济的通知》（</w:t>
      </w:r>
      <w:r>
        <w:rPr>
          <w:rFonts w:hint="eastAsia" w:ascii="新宋体" w:hAnsi="新宋体" w:eastAsia="新宋体" w:cs="新宋体"/>
          <w:b w:val="0"/>
          <w:bCs w:val="0"/>
          <w:color w:val="auto"/>
          <w:kern w:val="0"/>
          <w:sz w:val="22"/>
          <w:szCs w:val="22"/>
          <w:highlight w:val="none"/>
        </w:rPr>
        <w:t>浙财采监〔2022〕8号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等</w:t>
      </w:r>
      <w:r>
        <w:rPr>
          <w:rFonts w:hint="eastAsia" w:ascii="新宋体" w:hAnsi="新宋体" w:eastAsia="新宋体" w:cs="新宋体"/>
          <w:b w:val="0"/>
          <w:bCs w:val="0"/>
          <w:color w:val="auto"/>
          <w:kern w:val="0"/>
          <w:sz w:val="22"/>
          <w:szCs w:val="22"/>
          <w:highlight w:val="none"/>
        </w:rPr>
        <w:t>有关规定</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bCs/>
          <w:color w:val="auto"/>
          <w:sz w:val="22"/>
          <w:szCs w:val="22"/>
          <w:highlight w:val="none"/>
          <w:lang w:val="zh-CN"/>
        </w:rPr>
        <w:t>对</w:t>
      </w:r>
      <w:r>
        <w:rPr>
          <w:rFonts w:hint="eastAsia" w:ascii="新宋体" w:hAnsi="新宋体" w:eastAsia="新宋体"/>
          <w:b/>
          <w:bCs/>
          <w:color w:val="auto"/>
          <w:sz w:val="22"/>
          <w:szCs w:val="22"/>
          <w:highlight w:val="none"/>
          <w:lang w:val="en-US" w:eastAsia="zh-CN"/>
        </w:rPr>
        <w:t>货物类项目</w:t>
      </w:r>
      <w:r>
        <w:rPr>
          <w:rFonts w:hint="eastAsia" w:ascii="新宋体" w:hAnsi="新宋体" w:eastAsia="新宋体"/>
          <w:b/>
          <w:bCs/>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新宋体" w:hAnsi="新宋体" w:eastAsia="新宋体"/>
          <w:b w:val="0"/>
          <w:bCs w:val="0"/>
          <w:color w:val="auto"/>
          <w:sz w:val="22"/>
          <w:szCs w:val="22"/>
          <w:highlight w:val="none"/>
          <w:lang w:val="zh-CN"/>
        </w:rPr>
        <w:t>，用扣除后的价格参与价格评分。（监狱企业视同小微企业，其产品参加本项目投标的，享受小微企业同等的价格扣除。）</w:t>
      </w:r>
    </w:p>
    <w:p w14:paraId="66D3326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b w:val="0"/>
          <w:bCs w:val="0"/>
          <w:color w:val="auto"/>
          <w:kern w:val="2"/>
          <w:sz w:val="22"/>
          <w:szCs w:val="22"/>
          <w:highlight w:val="none"/>
          <w:u w:val="single"/>
          <w:lang w:val="en-US" w:eastAsia="zh-CN" w:bidi="ar-SA"/>
        </w:rPr>
        <w:t xml:space="preserve"> 6%</w:t>
      </w:r>
      <w:r>
        <w:rPr>
          <w:rFonts w:hint="eastAsia" w:ascii="宋体" w:hAnsi="宋体" w:cs="宋体"/>
          <w:b w:val="0"/>
          <w:bCs w:val="0"/>
          <w:color w:val="auto"/>
          <w:kern w:val="2"/>
          <w:sz w:val="22"/>
          <w:szCs w:val="22"/>
          <w:highlight w:val="none"/>
          <w:u w:val="single"/>
          <w:lang w:val="en-US" w:eastAsia="zh-CN" w:bidi="ar-SA"/>
        </w:rPr>
        <w:t xml:space="preserve"> </w:t>
      </w:r>
      <w:r>
        <w:rPr>
          <w:rFonts w:hint="eastAsia" w:ascii="宋体" w:hAnsi="宋体" w:eastAsia="宋体" w:cs="宋体"/>
          <w:b w:val="0"/>
          <w:bCs w:val="0"/>
          <w:color w:val="auto"/>
          <w:kern w:val="2"/>
          <w:sz w:val="22"/>
          <w:szCs w:val="22"/>
          <w:highlight w:val="none"/>
          <w:u w:val="none"/>
          <w:lang w:val="en-US" w:eastAsia="zh-CN" w:bidi="ar-SA"/>
        </w:rPr>
        <w:t>的扣除，用扣除后的价格参加评审。</w:t>
      </w:r>
    </w:p>
    <w:p w14:paraId="1A32B8B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52DA028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 xml:space="preserve">   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EEDFAC">
      <w:pPr>
        <w:spacing w:line="460" w:lineRule="exact"/>
        <w:ind w:firstLine="541" w:firstLineChars="245"/>
        <w:outlineLvl w:val="1"/>
        <w:rPr>
          <w:rFonts w:hint="eastAsia" w:ascii="宋体" w:hAnsi="宋体" w:eastAsia="宋体" w:cs="宋体"/>
          <w:b/>
          <w:bCs/>
          <w:color w:val="auto"/>
          <w:sz w:val="22"/>
          <w:szCs w:val="22"/>
          <w:highlight w:val="none"/>
        </w:rPr>
      </w:pPr>
      <w:bookmarkStart w:id="81" w:name="_Toc4727"/>
      <w:bookmarkStart w:id="82" w:name="_Toc2482"/>
      <w:r>
        <w:rPr>
          <w:rFonts w:hint="eastAsia" w:ascii="宋体" w:hAnsi="宋体" w:eastAsia="宋体" w:cs="宋体"/>
          <w:b/>
          <w:bCs/>
          <w:color w:val="auto"/>
          <w:sz w:val="22"/>
          <w:szCs w:val="22"/>
          <w:highlight w:val="none"/>
        </w:rPr>
        <w:t>六、定标办法</w:t>
      </w:r>
      <w:bookmarkEnd w:id="81"/>
      <w:bookmarkEnd w:id="82"/>
    </w:p>
    <w:p w14:paraId="1F7B1C03">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2161D86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37FBCE9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6B13B934">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14:paraId="49846443">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60E89CC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w:t>
      </w:r>
      <w:r>
        <w:rPr>
          <w:rFonts w:hint="eastAsia" w:ascii="宋体" w:hAnsi="宋体" w:cs="宋体"/>
          <w:color w:val="auto"/>
          <w:sz w:val="22"/>
          <w:szCs w:val="22"/>
          <w:highlight w:val="none"/>
          <w:lang w:val="en-US" w:eastAsia="zh-CN"/>
        </w:rPr>
        <w:t>依法</w:t>
      </w:r>
      <w:r>
        <w:rPr>
          <w:rFonts w:hint="eastAsia" w:ascii="宋体" w:hAnsi="宋体" w:eastAsia="宋体" w:cs="宋体"/>
          <w:color w:val="auto"/>
          <w:sz w:val="22"/>
          <w:szCs w:val="22"/>
          <w:highlight w:val="none"/>
        </w:rPr>
        <w:t>视情况直接确定排名第二的候选人为中标人或重新组织招标。</w:t>
      </w:r>
    </w:p>
    <w:p w14:paraId="4824498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14:paraId="18BEB0E3">
      <w:pPr>
        <w:spacing w:line="460" w:lineRule="exact"/>
        <w:ind w:firstLine="541" w:firstLineChars="245"/>
        <w:outlineLvl w:val="1"/>
        <w:rPr>
          <w:rFonts w:hint="eastAsia" w:ascii="宋体" w:hAnsi="宋体" w:eastAsia="宋体" w:cs="宋体"/>
          <w:b/>
          <w:color w:val="auto"/>
          <w:sz w:val="22"/>
          <w:szCs w:val="22"/>
          <w:highlight w:val="none"/>
        </w:rPr>
      </w:pPr>
      <w:bookmarkStart w:id="83" w:name="_Toc3629"/>
      <w:bookmarkStart w:id="84" w:name="_Toc17587"/>
      <w:r>
        <w:rPr>
          <w:rFonts w:hint="eastAsia" w:ascii="宋体" w:hAnsi="宋体" w:eastAsia="宋体" w:cs="宋体"/>
          <w:b/>
          <w:color w:val="auto"/>
          <w:sz w:val="22"/>
          <w:szCs w:val="22"/>
          <w:highlight w:val="none"/>
        </w:rPr>
        <w:t>七、投标人义务</w:t>
      </w:r>
      <w:bookmarkEnd w:id="83"/>
      <w:bookmarkEnd w:id="84"/>
    </w:p>
    <w:p w14:paraId="449AFA0D">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14:paraId="3807F61D">
      <w:pPr>
        <w:spacing w:line="460" w:lineRule="exact"/>
        <w:jc w:val="center"/>
        <w:rPr>
          <w:rFonts w:hint="eastAsia" w:ascii="宋体" w:hAnsi="宋体" w:eastAsia="宋体" w:cs="宋体"/>
          <w:b/>
          <w:color w:val="auto"/>
          <w:sz w:val="32"/>
          <w:szCs w:val="32"/>
          <w:highlight w:val="none"/>
        </w:rPr>
      </w:pPr>
    </w:p>
    <w:p w14:paraId="5676BBB7">
      <w:pPr>
        <w:pStyle w:val="24"/>
        <w:ind w:left="440" w:hanging="440"/>
        <w:rPr>
          <w:rFonts w:hint="eastAsia" w:ascii="宋体" w:hAnsi="宋体" w:eastAsia="宋体" w:cs="宋体"/>
          <w:color w:val="auto"/>
          <w:kern w:val="0"/>
          <w:sz w:val="22"/>
          <w:szCs w:val="22"/>
          <w:highlight w:val="none"/>
        </w:rPr>
      </w:pPr>
    </w:p>
    <w:sectPr>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30204"/>
    <w:charset w:val="00"/>
    <w:family w:val="swiss"/>
    <w:pitch w:val="default"/>
    <w:sig w:usb0="00000000" w:usb1="00000000" w:usb2="00000000" w:usb3="00000000" w:csb0="00000093"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459C2">
    <w:pPr>
      <w:pStyle w:val="36"/>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14:paraId="00EE100A">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7A9BC">
    <w:pPr>
      <w:pStyle w:val="36"/>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14:paraId="31166C1D">
    <w:pPr>
      <w:pStyle w:val="36"/>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CB4F">
    <w:pPr>
      <w:pStyle w:val="37"/>
      <w:pBdr>
        <w:bottom w:val="single" w:color="auto" w:sz="6" w:space="0"/>
      </w:pBdr>
      <w:jc w:val="both"/>
    </w:pPr>
    <w:r>
      <w:rPr>
        <w:rFonts w:hint="eastAsia"/>
      </w:rPr>
      <w:t>温州市政府（分散）采购招标文件                                             项目编号：</w:t>
    </w:r>
    <w:r>
      <w:rPr>
        <w:rFonts w:hint="eastAsia"/>
        <w:lang w:eastAsia="zh-CN"/>
      </w:rPr>
      <w:t xml:space="preserve">WZLCZB（W）-2025-07010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CD31F181"/>
    <w:multiLevelType w:val="singleLevel"/>
    <w:tmpl w:val="CD31F181"/>
    <w:lvl w:ilvl="0" w:tentative="0">
      <w:start w:val="1"/>
      <w:numFmt w:val="decimal"/>
      <w:suff w:val="nothing"/>
      <w:lvlText w:val="%1、"/>
      <w:lvlJc w:val="left"/>
    </w:lvl>
  </w:abstractNum>
  <w:abstractNum w:abstractNumId="4">
    <w:nsid w:val="47CE6014"/>
    <w:multiLevelType w:val="multilevel"/>
    <w:tmpl w:val="47CE60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D7A3B6"/>
    <w:multiLevelType w:val="singleLevel"/>
    <w:tmpl w:val="52D7A3B6"/>
    <w:lvl w:ilvl="0" w:tentative="0">
      <w:start w:val="1"/>
      <w:numFmt w:val="decimal"/>
      <w:suff w:val="nothing"/>
      <w:lvlText w:val="（%1）"/>
      <w:lvlJc w:val="left"/>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5B46"/>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0B1F39"/>
    <w:rsid w:val="0116709E"/>
    <w:rsid w:val="01606883"/>
    <w:rsid w:val="017E695A"/>
    <w:rsid w:val="020D29B1"/>
    <w:rsid w:val="02125B52"/>
    <w:rsid w:val="021F7DAD"/>
    <w:rsid w:val="0224444B"/>
    <w:rsid w:val="022D7429"/>
    <w:rsid w:val="02376783"/>
    <w:rsid w:val="02451328"/>
    <w:rsid w:val="02671768"/>
    <w:rsid w:val="027D25C0"/>
    <w:rsid w:val="02841565"/>
    <w:rsid w:val="02B3222E"/>
    <w:rsid w:val="02F63BA4"/>
    <w:rsid w:val="031D0871"/>
    <w:rsid w:val="03283281"/>
    <w:rsid w:val="03331487"/>
    <w:rsid w:val="034A64CB"/>
    <w:rsid w:val="038B1487"/>
    <w:rsid w:val="039714E5"/>
    <w:rsid w:val="03BE392F"/>
    <w:rsid w:val="03E13A1E"/>
    <w:rsid w:val="040D7C57"/>
    <w:rsid w:val="04156ACE"/>
    <w:rsid w:val="042A5AFC"/>
    <w:rsid w:val="043D6DF1"/>
    <w:rsid w:val="043F2279"/>
    <w:rsid w:val="04417A7E"/>
    <w:rsid w:val="044865A2"/>
    <w:rsid w:val="048D46D7"/>
    <w:rsid w:val="04A01243"/>
    <w:rsid w:val="04C27070"/>
    <w:rsid w:val="04E23C80"/>
    <w:rsid w:val="04FD6D0A"/>
    <w:rsid w:val="050751FC"/>
    <w:rsid w:val="050B7864"/>
    <w:rsid w:val="05166806"/>
    <w:rsid w:val="0529508C"/>
    <w:rsid w:val="053A30CA"/>
    <w:rsid w:val="057D25F0"/>
    <w:rsid w:val="05936339"/>
    <w:rsid w:val="05D76F02"/>
    <w:rsid w:val="062F7E7F"/>
    <w:rsid w:val="0650016B"/>
    <w:rsid w:val="06695ADA"/>
    <w:rsid w:val="067F52AB"/>
    <w:rsid w:val="068774DF"/>
    <w:rsid w:val="068E5B46"/>
    <w:rsid w:val="06E17425"/>
    <w:rsid w:val="06E81491"/>
    <w:rsid w:val="07081502"/>
    <w:rsid w:val="072046E3"/>
    <w:rsid w:val="07373C8C"/>
    <w:rsid w:val="074234A9"/>
    <w:rsid w:val="0747552D"/>
    <w:rsid w:val="07592C30"/>
    <w:rsid w:val="07791E20"/>
    <w:rsid w:val="078177D5"/>
    <w:rsid w:val="07924879"/>
    <w:rsid w:val="079C0E64"/>
    <w:rsid w:val="07B02B10"/>
    <w:rsid w:val="07D37D83"/>
    <w:rsid w:val="07D60F62"/>
    <w:rsid w:val="08607834"/>
    <w:rsid w:val="08621901"/>
    <w:rsid w:val="08911C02"/>
    <w:rsid w:val="08913549"/>
    <w:rsid w:val="08A302D0"/>
    <w:rsid w:val="08B53A61"/>
    <w:rsid w:val="08E76FD5"/>
    <w:rsid w:val="08FD20E7"/>
    <w:rsid w:val="09101BCD"/>
    <w:rsid w:val="09315C91"/>
    <w:rsid w:val="093D09BC"/>
    <w:rsid w:val="09510BFE"/>
    <w:rsid w:val="097E368B"/>
    <w:rsid w:val="09816EE6"/>
    <w:rsid w:val="099757EE"/>
    <w:rsid w:val="09A34824"/>
    <w:rsid w:val="09B85302"/>
    <w:rsid w:val="09B94936"/>
    <w:rsid w:val="09D26DBF"/>
    <w:rsid w:val="09F65854"/>
    <w:rsid w:val="0A07422F"/>
    <w:rsid w:val="0A1B49C1"/>
    <w:rsid w:val="0A3D0590"/>
    <w:rsid w:val="0A7416D8"/>
    <w:rsid w:val="0A8945EB"/>
    <w:rsid w:val="0B015A39"/>
    <w:rsid w:val="0B582596"/>
    <w:rsid w:val="0B8674DE"/>
    <w:rsid w:val="0BAC1F4C"/>
    <w:rsid w:val="0BBE4F63"/>
    <w:rsid w:val="0BDA530A"/>
    <w:rsid w:val="0C0247C0"/>
    <w:rsid w:val="0C3408BA"/>
    <w:rsid w:val="0C353302"/>
    <w:rsid w:val="0C496297"/>
    <w:rsid w:val="0C660E5E"/>
    <w:rsid w:val="0C6A07D3"/>
    <w:rsid w:val="0C9A109E"/>
    <w:rsid w:val="0CA74D09"/>
    <w:rsid w:val="0CA9483B"/>
    <w:rsid w:val="0CC51217"/>
    <w:rsid w:val="0CCB1484"/>
    <w:rsid w:val="0D0A01F7"/>
    <w:rsid w:val="0D1F1C9D"/>
    <w:rsid w:val="0D735BCC"/>
    <w:rsid w:val="0D7C2119"/>
    <w:rsid w:val="0D8A0254"/>
    <w:rsid w:val="0D920730"/>
    <w:rsid w:val="0DCC104B"/>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575CC4"/>
    <w:rsid w:val="10F47168"/>
    <w:rsid w:val="110264F1"/>
    <w:rsid w:val="1104198D"/>
    <w:rsid w:val="1105049E"/>
    <w:rsid w:val="115434FF"/>
    <w:rsid w:val="115D3896"/>
    <w:rsid w:val="11B62E53"/>
    <w:rsid w:val="12103D4D"/>
    <w:rsid w:val="12345EA5"/>
    <w:rsid w:val="124027F2"/>
    <w:rsid w:val="125A673E"/>
    <w:rsid w:val="12775E6D"/>
    <w:rsid w:val="12A01322"/>
    <w:rsid w:val="12AB0828"/>
    <w:rsid w:val="12E05DF5"/>
    <w:rsid w:val="131350F3"/>
    <w:rsid w:val="133616DD"/>
    <w:rsid w:val="13582BF6"/>
    <w:rsid w:val="13583E3E"/>
    <w:rsid w:val="138356B4"/>
    <w:rsid w:val="13884680"/>
    <w:rsid w:val="13996DA4"/>
    <w:rsid w:val="13A56966"/>
    <w:rsid w:val="13B56A40"/>
    <w:rsid w:val="13D309B3"/>
    <w:rsid w:val="13EC3F05"/>
    <w:rsid w:val="13FF0438"/>
    <w:rsid w:val="14077D57"/>
    <w:rsid w:val="14342819"/>
    <w:rsid w:val="14965811"/>
    <w:rsid w:val="14D92610"/>
    <w:rsid w:val="15001500"/>
    <w:rsid w:val="154A25D7"/>
    <w:rsid w:val="15525604"/>
    <w:rsid w:val="156E5828"/>
    <w:rsid w:val="15B36E57"/>
    <w:rsid w:val="15B43A33"/>
    <w:rsid w:val="15C02CFA"/>
    <w:rsid w:val="15D02588"/>
    <w:rsid w:val="163004AD"/>
    <w:rsid w:val="164356BB"/>
    <w:rsid w:val="166F777C"/>
    <w:rsid w:val="169C21B8"/>
    <w:rsid w:val="169C6B59"/>
    <w:rsid w:val="16BB60A4"/>
    <w:rsid w:val="16D604C4"/>
    <w:rsid w:val="1708615A"/>
    <w:rsid w:val="173A5387"/>
    <w:rsid w:val="17725C57"/>
    <w:rsid w:val="17755246"/>
    <w:rsid w:val="17800AEC"/>
    <w:rsid w:val="18245E40"/>
    <w:rsid w:val="186B461D"/>
    <w:rsid w:val="188B4950"/>
    <w:rsid w:val="18C50468"/>
    <w:rsid w:val="18C7387D"/>
    <w:rsid w:val="18C76564"/>
    <w:rsid w:val="19087A11"/>
    <w:rsid w:val="191B7534"/>
    <w:rsid w:val="196C6250"/>
    <w:rsid w:val="196E2C37"/>
    <w:rsid w:val="1974690A"/>
    <w:rsid w:val="198E0567"/>
    <w:rsid w:val="19C072D3"/>
    <w:rsid w:val="19DC686C"/>
    <w:rsid w:val="1A25720B"/>
    <w:rsid w:val="1A510684"/>
    <w:rsid w:val="1A59485C"/>
    <w:rsid w:val="1A6171B2"/>
    <w:rsid w:val="1A972B45"/>
    <w:rsid w:val="1AA65F2A"/>
    <w:rsid w:val="1AA666F2"/>
    <w:rsid w:val="1ADC340E"/>
    <w:rsid w:val="1AED2C78"/>
    <w:rsid w:val="1AEF15D5"/>
    <w:rsid w:val="1B195AED"/>
    <w:rsid w:val="1B1F6B22"/>
    <w:rsid w:val="1B343FD0"/>
    <w:rsid w:val="1B356551"/>
    <w:rsid w:val="1B377F92"/>
    <w:rsid w:val="1B3E4ABA"/>
    <w:rsid w:val="1B9D2D2C"/>
    <w:rsid w:val="1BAB13EA"/>
    <w:rsid w:val="1BB27AA1"/>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D0A50BD"/>
    <w:rsid w:val="1D2A3DAB"/>
    <w:rsid w:val="1D3029AD"/>
    <w:rsid w:val="1D46542E"/>
    <w:rsid w:val="1D6359BB"/>
    <w:rsid w:val="1D664936"/>
    <w:rsid w:val="1D71729C"/>
    <w:rsid w:val="1D752B34"/>
    <w:rsid w:val="1D981331"/>
    <w:rsid w:val="1DA17DCD"/>
    <w:rsid w:val="1DAB3C89"/>
    <w:rsid w:val="1DC06E93"/>
    <w:rsid w:val="1DCC77C2"/>
    <w:rsid w:val="1DCF4890"/>
    <w:rsid w:val="1DFB57EB"/>
    <w:rsid w:val="1E0062C5"/>
    <w:rsid w:val="1E4F15C4"/>
    <w:rsid w:val="1E665E93"/>
    <w:rsid w:val="1E6D0B8E"/>
    <w:rsid w:val="1E740910"/>
    <w:rsid w:val="1E774562"/>
    <w:rsid w:val="1E8A1B7B"/>
    <w:rsid w:val="1E93532B"/>
    <w:rsid w:val="1ED05FDD"/>
    <w:rsid w:val="1EDA4565"/>
    <w:rsid w:val="1F0115E6"/>
    <w:rsid w:val="1F8B73B9"/>
    <w:rsid w:val="1F8F25D3"/>
    <w:rsid w:val="1FC0508F"/>
    <w:rsid w:val="1FD17519"/>
    <w:rsid w:val="1FDE37FF"/>
    <w:rsid w:val="1FE65F6B"/>
    <w:rsid w:val="1FE87CF6"/>
    <w:rsid w:val="1FF163E5"/>
    <w:rsid w:val="20142293"/>
    <w:rsid w:val="202875D1"/>
    <w:rsid w:val="203B6405"/>
    <w:rsid w:val="204042C4"/>
    <w:rsid w:val="204434A6"/>
    <w:rsid w:val="207C0EA8"/>
    <w:rsid w:val="208E2CB0"/>
    <w:rsid w:val="20C7192F"/>
    <w:rsid w:val="20C94ACB"/>
    <w:rsid w:val="20CC6F0F"/>
    <w:rsid w:val="20F3606E"/>
    <w:rsid w:val="2117534C"/>
    <w:rsid w:val="213009EF"/>
    <w:rsid w:val="213D75BE"/>
    <w:rsid w:val="213F7AB1"/>
    <w:rsid w:val="217A33A1"/>
    <w:rsid w:val="21872636"/>
    <w:rsid w:val="218F2648"/>
    <w:rsid w:val="21AB5C9B"/>
    <w:rsid w:val="21B427AB"/>
    <w:rsid w:val="21BD46E0"/>
    <w:rsid w:val="21EE1107"/>
    <w:rsid w:val="227C0C68"/>
    <w:rsid w:val="227D1F07"/>
    <w:rsid w:val="22AE5DFE"/>
    <w:rsid w:val="23025E80"/>
    <w:rsid w:val="233314C7"/>
    <w:rsid w:val="235C31B0"/>
    <w:rsid w:val="23C16FD2"/>
    <w:rsid w:val="242C445B"/>
    <w:rsid w:val="247E04BE"/>
    <w:rsid w:val="248B6BF0"/>
    <w:rsid w:val="24975A35"/>
    <w:rsid w:val="24A451C8"/>
    <w:rsid w:val="24B0777F"/>
    <w:rsid w:val="24B80E3D"/>
    <w:rsid w:val="24BA3A6C"/>
    <w:rsid w:val="24C14262"/>
    <w:rsid w:val="24DB11B1"/>
    <w:rsid w:val="24DB1DC1"/>
    <w:rsid w:val="24EE3E37"/>
    <w:rsid w:val="25427B29"/>
    <w:rsid w:val="254579AD"/>
    <w:rsid w:val="25482804"/>
    <w:rsid w:val="25550995"/>
    <w:rsid w:val="25916749"/>
    <w:rsid w:val="25B15AD3"/>
    <w:rsid w:val="25C319DE"/>
    <w:rsid w:val="25E5097B"/>
    <w:rsid w:val="25ED1CE2"/>
    <w:rsid w:val="260366CA"/>
    <w:rsid w:val="26190B1E"/>
    <w:rsid w:val="261954E5"/>
    <w:rsid w:val="26B25A04"/>
    <w:rsid w:val="26E86A48"/>
    <w:rsid w:val="27101EDB"/>
    <w:rsid w:val="27450F96"/>
    <w:rsid w:val="27A03254"/>
    <w:rsid w:val="27A230C5"/>
    <w:rsid w:val="27A851CF"/>
    <w:rsid w:val="27F6755B"/>
    <w:rsid w:val="283427BA"/>
    <w:rsid w:val="2835156C"/>
    <w:rsid w:val="285E7742"/>
    <w:rsid w:val="285F589C"/>
    <w:rsid w:val="2860075F"/>
    <w:rsid w:val="288E7537"/>
    <w:rsid w:val="28D51CE9"/>
    <w:rsid w:val="28E0382C"/>
    <w:rsid w:val="28FB2940"/>
    <w:rsid w:val="2935387C"/>
    <w:rsid w:val="29542197"/>
    <w:rsid w:val="295642C7"/>
    <w:rsid w:val="29923BE6"/>
    <w:rsid w:val="29C74D12"/>
    <w:rsid w:val="29CB06AB"/>
    <w:rsid w:val="29D70027"/>
    <w:rsid w:val="29DA51F1"/>
    <w:rsid w:val="29E4565C"/>
    <w:rsid w:val="2A217644"/>
    <w:rsid w:val="2A305E01"/>
    <w:rsid w:val="2A5522DC"/>
    <w:rsid w:val="2A695147"/>
    <w:rsid w:val="2A6D7AE4"/>
    <w:rsid w:val="2A81126C"/>
    <w:rsid w:val="2A9A509F"/>
    <w:rsid w:val="2AB253C7"/>
    <w:rsid w:val="2ABE75C5"/>
    <w:rsid w:val="2AC54EDF"/>
    <w:rsid w:val="2ADE1592"/>
    <w:rsid w:val="2AE72478"/>
    <w:rsid w:val="2AFE6BB2"/>
    <w:rsid w:val="2AFF547A"/>
    <w:rsid w:val="2B004F19"/>
    <w:rsid w:val="2B0F5BE3"/>
    <w:rsid w:val="2B194010"/>
    <w:rsid w:val="2B1A0A86"/>
    <w:rsid w:val="2B766889"/>
    <w:rsid w:val="2B8F7412"/>
    <w:rsid w:val="2BB62C14"/>
    <w:rsid w:val="2BB82208"/>
    <w:rsid w:val="2BC1544C"/>
    <w:rsid w:val="2BF25A55"/>
    <w:rsid w:val="2BF83122"/>
    <w:rsid w:val="2C4D4422"/>
    <w:rsid w:val="2C61592A"/>
    <w:rsid w:val="2CF23348"/>
    <w:rsid w:val="2D0212AF"/>
    <w:rsid w:val="2D0721CE"/>
    <w:rsid w:val="2D2D0FB8"/>
    <w:rsid w:val="2D5369A4"/>
    <w:rsid w:val="2D553E12"/>
    <w:rsid w:val="2D563294"/>
    <w:rsid w:val="2D572DE8"/>
    <w:rsid w:val="2D7657B0"/>
    <w:rsid w:val="2D94633D"/>
    <w:rsid w:val="2DA92533"/>
    <w:rsid w:val="2DC542FD"/>
    <w:rsid w:val="2E027319"/>
    <w:rsid w:val="2E740C9C"/>
    <w:rsid w:val="2E912614"/>
    <w:rsid w:val="2EB82B9B"/>
    <w:rsid w:val="2EDB211E"/>
    <w:rsid w:val="2EFF2BA5"/>
    <w:rsid w:val="2F153AA7"/>
    <w:rsid w:val="2F9F0B83"/>
    <w:rsid w:val="2FAF734F"/>
    <w:rsid w:val="2FB74538"/>
    <w:rsid w:val="2FC85BC4"/>
    <w:rsid w:val="2FF16930"/>
    <w:rsid w:val="30152466"/>
    <w:rsid w:val="30255652"/>
    <w:rsid w:val="302A5959"/>
    <w:rsid w:val="305B0C4B"/>
    <w:rsid w:val="306F34C7"/>
    <w:rsid w:val="31024AE6"/>
    <w:rsid w:val="31232744"/>
    <w:rsid w:val="313F60CD"/>
    <w:rsid w:val="316C164E"/>
    <w:rsid w:val="31AC33EA"/>
    <w:rsid w:val="31B469D0"/>
    <w:rsid w:val="31D64F96"/>
    <w:rsid w:val="32017181"/>
    <w:rsid w:val="3202578C"/>
    <w:rsid w:val="325B094B"/>
    <w:rsid w:val="326D3B31"/>
    <w:rsid w:val="327021FA"/>
    <w:rsid w:val="329C1DF0"/>
    <w:rsid w:val="329E2BA3"/>
    <w:rsid w:val="32AC3044"/>
    <w:rsid w:val="32AE7A75"/>
    <w:rsid w:val="32E032B1"/>
    <w:rsid w:val="32EF11A3"/>
    <w:rsid w:val="32EF2028"/>
    <w:rsid w:val="33011C41"/>
    <w:rsid w:val="333A23FE"/>
    <w:rsid w:val="333C6A3D"/>
    <w:rsid w:val="33644CFD"/>
    <w:rsid w:val="33774568"/>
    <w:rsid w:val="33A0028D"/>
    <w:rsid w:val="33A570FA"/>
    <w:rsid w:val="33D32C1C"/>
    <w:rsid w:val="33D92429"/>
    <w:rsid w:val="340C0A4A"/>
    <w:rsid w:val="343B3818"/>
    <w:rsid w:val="343C1893"/>
    <w:rsid w:val="349B3370"/>
    <w:rsid w:val="358526AE"/>
    <w:rsid w:val="35B43FF1"/>
    <w:rsid w:val="35B54B22"/>
    <w:rsid w:val="35DF0F8E"/>
    <w:rsid w:val="35E83CBD"/>
    <w:rsid w:val="35EF293B"/>
    <w:rsid w:val="35F13A2A"/>
    <w:rsid w:val="360453EB"/>
    <w:rsid w:val="361633A9"/>
    <w:rsid w:val="362C0965"/>
    <w:rsid w:val="3649206A"/>
    <w:rsid w:val="36495F37"/>
    <w:rsid w:val="36523501"/>
    <w:rsid w:val="366A6E58"/>
    <w:rsid w:val="37366041"/>
    <w:rsid w:val="373D0F4E"/>
    <w:rsid w:val="375D41E8"/>
    <w:rsid w:val="37625DAE"/>
    <w:rsid w:val="377717B0"/>
    <w:rsid w:val="379D7A74"/>
    <w:rsid w:val="37A03DDA"/>
    <w:rsid w:val="37BC5AD7"/>
    <w:rsid w:val="37DC389E"/>
    <w:rsid w:val="37E41DF1"/>
    <w:rsid w:val="37FC364E"/>
    <w:rsid w:val="380B6117"/>
    <w:rsid w:val="38194351"/>
    <w:rsid w:val="38463090"/>
    <w:rsid w:val="3882116E"/>
    <w:rsid w:val="388234B9"/>
    <w:rsid w:val="38973473"/>
    <w:rsid w:val="38A56CC9"/>
    <w:rsid w:val="38C007B0"/>
    <w:rsid w:val="38C05F24"/>
    <w:rsid w:val="38D750B8"/>
    <w:rsid w:val="38F2240C"/>
    <w:rsid w:val="39171CC0"/>
    <w:rsid w:val="393F39C1"/>
    <w:rsid w:val="3941283A"/>
    <w:rsid w:val="395212E1"/>
    <w:rsid w:val="39976574"/>
    <w:rsid w:val="39A165F9"/>
    <w:rsid w:val="39B72706"/>
    <w:rsid w:val="39C84E5A"/>
    <w:rsid w:val="39F50F16"/>
    <w:rsid w:val="39FA0921"/>
    <w:rsid w:val="3A3457E8"/>
    <w:rsid w:val="3A3F0320"/>
    <w:rsid w:val="3A536E24"/>
    <w:rsid w:val="3A565A98"/>
    <w:rsid w:val="3A810ECA"/>
    <w:rsid w:val="3A871F8A"/>
    <w:rsid w:val="3AA31206"/>
    <w:rsid w:val="3AB57780"/>
    <w:rsid w:val="3AC65AD2"/>
    <w:rsid w:val="3ACF5A26"/>
    <w:rsid w:val="3B1B509F"/>
    <w:rsid w:val="3B3575B2"/>
    <w:rsid w:val="3B4764C1"/>
    <w:rsid w:val="3B54731C"/>
    <w:rsid w:val="3B67428D"/>
    <w:rsid w:val="3B713350"/>
    <w:rsid w:val="3B7A26BE"/>
    <w:rsid w:val="3BE767A5"/>
    <w:rsid w:val="3BF31F94"/>
    <w:rsid w:val="3C1701DB"/>
    <w:rsid w:val="3C2E25AC"/>
    <w:rsid w:val="3C33699A"/>
    <w:rsid w:val="3C41291B"/>
    <w:rsid w:val="3C447C27"/>
    <w:rsid w:val="3C4E3440"/>
    <w:rsid w:val="3D371E74"/>
    <w:rsid w:val="3D81425C"/>
    <w:rsid w:val="3E1F3D60"/>
    <w:rsid w:val="3E225ED0"/>
    <w:rsid w:val="3E29108F"/>
    <w:rsid w:val="3E763568"/>
    <w:rsid w:val="3EB341AB"/>
    <w:rsid w:val="3EC20226"/>
    <w:rsid w:val="3EC451E1"/>
    <w:rsid w:val="3EC47F80"/>
    <w:rsid w:val="3EEB5BD5"/>
    <w:rsid w:val="3F1E63B0"/>
    <w:rsid w:val="3F2226EC"/>
    <w:rsid w:val="3F601C75"/>
    <w:rsid w:val="3F917903"/>
    <w:rsid w:val="3FA94B93"/>
    <w:rsid w:val="3FAC6CE4"/>
    <w:rsid w:val="3FB04B06"/>
    <w:rsid w:val="3FDA48AC"/>
    <w:rsid w:val="4004626D"/>
    <w:rsid w:val="402A3DD6"/>
    <w:rsid w:val="402E363B"/>
    <w:rsid w:val="403A7A13"/>
    <w:rsid w:val="40883F9A"/>
    <w:rsid w:val="40A6403B"/>
    <w:rsid w:val="40C31767"/>
    <w:rsid w:val="40D11C13"/>
    <w:rsid w:val="40D14228"/>
    <w:rsid w:val="40E32648"/>
    <w:rsid w:val="413F338F"/>
    <w:rsid w:val="415D3A83"/>
    <w:rsid w:val="41674CEB"/>
    <w:rsid w:val="419659D4"/>
    <w:rsid w:val="41A50FA5"/>
    <w:rsid w:val="41AF222E"/>
    <w:rsid w:val="41CC07BC"/>
    <w:rsid w:val="41DD5AAF"/>
    <w:rsid w:val="420569A4"/>
    <w:rsid w:val="4246080B"/>
    <w:rsid w:val="42CE24FD"/>
    <w:rsid w:val="42F302DD"/>
    <w:rsid w:val="43260C43"/>
    <w:rsid w:val="438034F8"/>
    <w:rsid w:val="4388321A"/>
    <w:rsid w:val="441A31FF"/>
    <w:rsid w:val="443F03D6"/>
    <w:rsid w:val="446A3759"/>
    <w:rsid w:val="446B4961"/>
    <w:rsid w:val="448C6376"/>
    <w:rsid w:val="449428DA"/>
    <w:rsid w:val="44A359AB"/>
    <w:rsid w:val="44BA6822"/>
    <w:rsid w:val="45132E7E"/>
    <w:rsid w:val="45797DA1"/>
    <w:rsid w:val="45A046DF"/>
    <w:rsid w:val="45AB1A67"/>
    <w:rsid w:val="45B725A0"/>
    <w:rsid w:val="45C51DD7"/>
    <w:rsid w:val="45D33008"/>
    <w:rsid w:val="45D53422"/>
    <w:rsid w:val="462E25CA"/>
    <w:rsid w:val="46303A17"/>
    <w:rsid w:val="465A58CC"/>
    <w:rsid w:val="4687265B"/>
    <w:rsid w:val="468960BE"/>
    <w:rsid w:val="46931FE6"/>
    <w:rsid w:val="46D637ED"/>
    <w:rsid w:val="46D9665D"/>
    <w:rsid w:val="46DD3F38"/>
    <w:rsid w:val="46F16F1D"/>
    <w:rsid w:val="46FD2CBF"/>
    <w:rsid w:val="472910BD"/>
    <w:rsid w:val="47553E8E"/>
    <w:rsid w:val="477C293C"/>
    <w:rsid w:val="47CA2F97"/>
    <w:rsid w:val="47D84675"/>
    <w:rsid w:val="47E17B3A"/>
    <w:rsid w:val="481379C4"/>
    <w:rsid w:val="481947FE"/>
    <w:rsid w:val="483B043E"/>
    <w:rsid w:val="486B0826"/>
    <w:rsid w:val="486B1D8E"/>
    <w:rsid w:val="48830B4B"/>
    <w:rsid w:val="48A93D74"/>
    <w:rsid w:val="48D139F6"/>
    <w:rsid w:val="48F56DD6"/>
    <w:rsid w:val="491916C6"/>
    <w:rsid w:val="49423962"/>
    <w:rsid w:val="4947150D"/>
    <w:rsid w:val="49573AC8"/>
    <w:rsid w:val="49AA7971"/>
    <w:rsid w:val="49CF02A5"/>
    <w:rsid w:val="49FE240E"/>
    <w:rsid w:val="4A141151"/>
    <w:rsid w:val="4A196469"/>
    <w:rsid w:val="4A316318"/>
    <w:rsid w:val="4A5950C6"/>
    <w:rsid w:val="4A643B84"/>
    <w:rsid w:val="4A777A6A"/>
    <w:rsid w:val="4AC9062D"/>
    <w:rsid w:val="4AE52C42"/>
    <w:rsid w:val="4AF2187D"/>
    <w:rsid w:val="4AFC3953"/>
    <w:rsid w:val="4B1E385E"/>
    <w:rsid w:val="4B58746D"/>
    <w:rsid w:val="4B6870F9"/>
    <w:rsid w:val="4B6C2969"/>
    <w:rsid w:val="4B906C07"/>
    <w:rsid w:val="4BCF6DCB"/>
    <w:rsid w:val="4BD06B38"/>
    <w:rsid w:val="4BDF321A"/>
    <w:rsid w:val="4C0065CE"/>
    <w:rsid w:val="4C0D4686"/>
    <w:rsid w:val="4C18241E"/>
    <w:rsid w:val="4C227943"/>
    <w:rsid w:val="4C4373DD"/>
    <w:rsid w:val="4C472142"/>
    <w:rsid w:val="4C5F22C4"/>
    <w:rsid w:val="4CDD603C"/>
    <w:rsid w:val="4D6A2B0A"/>
    <w:rsid w:val="4DC86CD0"/>
    <w:rsid w:val="4DD62C1F"/>
    <w:rsid w:val="4DF46D27"/>
    <w:rsid w:val="4E367509"/>
    <w:rsid w:val="4E5211BA"/>
    <w:rsid w:val="4E90713C"/>
    <w:rsid w:val="4E9D1D1E"/>
    <w:rsid w:val="4EED09FA"/>
    <w:rsid w:val="4F0E0B1D"/>
    <w:rsid w:val="4F563CC4"/>
    <w:rsid w:val="4FBD41CA"/>
    <w:rsid w:val="4FD246D2"/>
    <w:rsid w:val="50077D56"/>
    <w:rsid w:val="50131451"/>
    <w:rsid w:val="50831BFE"/>
    <w:rsid w:val="50B52FE4"/>
    <w:rsid w:val="50BF2E54"/>
    <w:rsid w:val="51390BE4"/>
    <w:rsid w:val="518F1B39"/>
    <w:rsid w:val="51982FEE"/>
    <w:rsid w:val="51C804DE"/>
    <w:rsid w:val="51CF0D4C"/>
    <w:rsid w:val="51E12FF8"/>
    <w:rsid w:val="51E33826"/>
    <w:rsid w:val="51E71C22"/>
    <w:rsid w:val="520C6B50"/>
    <w:rsid w:val="522E62F3"/>
    <w:rsid w:val="52444BF1"/>
    <w:rsid w:val="526C48D2"/>
    <w:rsid w:val="52A33960"/>
    <w:rsid w:val="52B476CE"/>
    <w:rsid w:val="52D057B4"/>
    <w:rsid w:val="52F47A95"/>
    <w:rsid w:val="531645CA"/>
    <w:rsid w:val="531F2A96"/>
    <w:rsid w:val="53262EC9"/>
    <w:rsid w:val="535F6B32"/>
    <w:rsid w:val="53734149"/>
    <w:rsid w:val="53932760"/>
    <w:rsid w:val="539873E7"/>
    <w:rsid w:val="53B46D0C"/>
    <w:rsid w:val="53C0793C"/>
    <w:rsid w:val="53DB5744"/>
    <w:rsid w:val="54087353"/>
    <w:rsid w:val="54375044"/>
    <w:rsid w:val="544232E7"/>
    <w:rsid w:val="54557110"/>
    <w:rsid w:val="549661B6"/>
    <w:rsid w:val="54CA13DC"/>
    <w:rsid w:val="54D24E79"/>
    <w:rsid w:val="5503429F"/>
    <w:rsid w:val="551027C6"/>
    <w:rsid w:val="552F7315"/>
    <w:rsid w:val="554B0FDD"/>
    <w:rsid w:val="55631D2D"/>
    <w:rsid w:val="55BB1E97"/>
    <w:rsid w:val="55C8709D"/>
    <w:rsid w:val="560509A3"/>
    <w:rsid w:val="56050C0A"/>
    <w:rsid w:val="56250237"/>
    <w:rsid w:val="562A6041"/>
    <w:rsid w:val="564569EB"/>
    <w:rsid w:val="56AB5944"/>
    <w:rsid w:val="56F645A2"/>
    <w:rsid w:val="57024FAA"/>
    <w:rsid w:val="57214861"/>
    <w:rsid w:val="572B4616"/>
    <w:rsid w:val="57541EAD"/>
    <w:rsid w:val="576D2C98"/>
    <w:rsid w:val="577465D8"/>
    <w:rsid w:val="579062A5"/>
    <w:rsid w:val="57AE5029"/>
    <w:rsid w:val="57C23486"/>
    <w:rsid w:val="57D123D3"/>
    <w:rsid w:val="57E0551D"/>
    <w:rsid w:val="5807247D"/>
    <w:rsid w:val="58117CC1"/>
    <w:rsid w:val="582C3384"/>
    <w:rsid w:val="58624A55"/>
    <w:rsid w:val="59097FF9"/>
    <w:rsid w:val="590C2A62"/>
    <w:rsid w:val="59162EF2"/>
    <w:rsid w:val="59216A89"/>
    <w:rsid w:val="59262959"/>
    <w:rsid w:val="59A175DF"/>
    <w:rsid w:val="59B819C2"/>
    <w:rsid w:val="59C7668D"/>
    <w:rsid w:val="59FC4729"/>
    <w:rsid w:val="59FF697B"/>
    <w:rsid w:val="5A0B75E4"/>
    <w:rsid w:val="5A575BFF"/>
    <w:rsid w:val="5A77586F"/>
    <w:rsid w:val="5A9B1EF7"/>
    <w:rsid w:val="5AA12CBD"/>
    <w:rsid w:val="5ACA65CD"/>
    <w:rsid w:val="5ACC7A53"/>
    <w:rsid w:val="5AE51758"/>
    <w:rsid w:val="5B581F93"/>
    <w:rsid w:val="5B6B529B"/>
    <w:rsid w:val="5BB250E2"/>
    <w:rsid w:val="5BB3320D"/>
    <w:rsid w:val="5BC31A45"/>
    <w:rsid w:val="5BC772C9"/>
    <w:rsid w:val="5BF50377"/>
    <w:rsid w:val="5C465FA2"/>
    <w:rsid w:val="5C544090"/>
    <w:rsid w:val="5C726BB6"/>
    <w:rsid w:val="5C7322D1"/>
    <w:rsid w:val="5CEF4070"/>
    <w:rsid w:val="5CFC28A8"/>
    <w:rsid w:val="5D246FFC"/>
    <w:rsid w:val="5D36426B"/>
    <w:rsid w:val="5D720862"/>
    <w:rsid w:val="5DDA696A"/>
    <w:rsid w:val="5E410FFD"/>
    <w:rsid w:val="5E544606"/>
    <w:rsid w:val="5E8E05EA"/>
    <w:rsid w:val="5EFB61FA"/>
    <w:rsid w:val="5F2C7D02"/>
    <w:rsid w:val="5F31206E"/>
    <w:rsid w:val="5F7663E9"/>
    <w:rsid w:val="5FB656F9"/>
    <w:rsid w:val="5FBC2CFA"/>
    <w:rsid w:val="5FC53466"/>
    <w:rsid w:val="5FD13015"/>
    <w:rsid w:val="5FF56DB4"/>
    <w:rsid w:val="60190EE3"/>
    <w:rsid w:val="601D48F2"/>
    <w:rsid w:val="601E31F8"/>
    <w:rsid w:val="602832C7"/>
    <w:rsid w:val="603D1F50"/>
    <w:rsid w:val="603F673E"/>
    <w:rsid w:val="605467C6"/>
    <w:rsid w:val="60650D02"/>
    <w:rsid w:val="60D605A1"/>
    <w:rsid w:val="612C537D"/>
    <w:rsid w:val="61464F6C"/>
    <w:rsid w:val="61515A7F"/>
    <w:rsid w:val="61633E93"/>
    <w:rsid w:val="61776DA7"/>
    <w:rsid w:val="61A4558D"/>
    <w:rsid w:val="61C32B70"/>
    <w:rsid w:val="61D54EA8"/>
    <w:rsid w:val="61E045CD"/>
    <w:rsid w:val="61E23930"/>
    <w:rsid w:val="62016875"/>
    <w:rsid w:val="623E052A"/>
    <w:rsid w:val="628B7263"/>
    <w:rsid w:val="62902D58"/>
    <w:rsid w:val="62AE4BDA"/>
    <w:rsid w:val="62C97640"/>
    <w:rsid w:val="62D27C48"/>
    <w:rsid w:val="6307315E"/>
    <w:rsid w:val="63184211"/>
    <w:rsid w:val="631B5AD9"/>
    <w:rsid w:val="635514AC"/>
    <w:rsid w:val="635C575B"/>
    <w:rsid w:val="63672302"/>
    <w:rsid w:val="636863CF"/>
    <w:rsid w:val="63715219"/>
    <w:rsid w:val="63752C12"/>
    <w:rsid w:val="638C1080"/>
    <w:rsid w:val="63B413CF"/>
    <w:rsid w:val="63D4721A"/>
    <w:rsid w:val="63FF6C27"/>
    <w:rsid w:val="6405263C"/>
    <w:rsid w:val="642454D9"/>
    <w:rsid w:val="6434581E"/>
    <w:rsid w:val="6464336B"/>
    <w:rsid w:val="64690717"/>
    <w:rsid w:val="64AA69E3"/>
    <w:rsid w:val="65360BCA"/>
    <w:rsid w:val="653C5193"/>
    <w:rsid w:val="655C7828"/>
    <w:rsid w:val="658B4967"/>
    <w:rsid w:val="65CB1350"/>
    <w:rsid w:val="65E50B86"/>
    <w:rsid w:val="65FA7133"/>
    <w:rsid w:val="66330E7B"/>
    <w:rsid w:val="66351622"/>
    <w:rsid w:val="665A2304"/>
    <w:rsid w:val="669C6349"/>
    <w:rsid w:val="66A80AC6"/>
    <w:rsid w:val="67144976"/>
    <w:rsid w:val="67202357"/>
    <w:rsid w:val="67603F26"/>
    <w:rsid w:val="67B57CC9"/>
    <w:rsid w:val="67D3264E"/>
    <w:rsid w:val="67D63720"/>
    <w:rsid w:val="67EC027D"/>
    <w:rsid w:val="68024DD3"/>
    <w:rsid w:val="680F332B"/>
    <w:rsid w:val="6832253F"/>
    <w:rsid w:val="685C3C4D"/>
    <w:rsid w:val="687102AD"/>
    <w:rsid w:val="68724B40"/>
    <w:rsid w:val="68902798"/>
    <w:rsid w:val="690C7142"/>
    <w:rsid w:val="69412846"/>
    <w:rsid w:val="695907E9"/>
    <w:rsid w:val="6964290E"/>
    <w:rsid w:val="698304CD"/>
    <w:rsid w:val="69845BA5"/>
    <w:rsid w:val="69932BAE"/>
    <w:rsid w:val="69A16FDB"/>
    <w:rsid w:val="69BA6060"/>
    <w:rsid w:val="69ED5B2B"/>
    <w:rsid w:val="6A223F21"/>
    <w:rsid w:val="6A4771F0"/>
    <w:rsid w:val="6A641277"/>
    <w:rsid w:val="6A985E45"/>
    <w:rsid w:val="6AAD0001"/>
    <w:rsid w:val="6ACC3B62"/>
    <w:rsid w:val="6AE30427"/>
    <w:rsid w:val="6B1B05C6"/>
    <w:rsid w:val="6B35684E"/>
    <w:rsid w:val="6B5775BA"/>
    <w:rsid w:val="6B6C1D6A"/>
    <w:rsid w:val="6B706DFD"/>
    <w:rsid w:val="6B735145"/>
    <w:rsid w:val="6B76701F"/>
    <w:rsid w:val="6BAA63F6"/>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D7324"/>
    <w:rsid w:val="6D283EB3"/>
    <w:rsid w:val="6D476F5C"/>
    <w:rsid w:val="6D524D35"/>
    <w:rsid w:val="6D631E8B"/>
    <w:rsid w:val="6DA45721"/>
    <w:rsid w:val="6DEF5724"/>
    <w:rsid w:val="6E2D7396"/>
    <w:rsid w:val="6E977E1E"/>
    <w:rsid w:val="6E9A083E"/>
    <w:rsid w:val="6F1013D6"/>
    <w:rsid w:val="6F1830F3"/>
    <w:rsid w:val="6F2C4E6B"/>
    <w:rsid w:val="6F7502BE"/>
    <w:rsid w:val="6F7F0550"/>
    <w:rsid w:val="6F8E346E"/>
    <w:rsid w:val="6F922D77"/>
    <w:rsid w:val="6F9C76CD"/>
    <w:rsid w:val="6FA85985"/>
    <w:rsid w:val="6FAC53A9"/>
    <w:rsid w:val="6FD7718C"/>
    <w:rsid w:val="6FEA2DEF"/>
    <w:rsid w:val="70231C9D"/>
    <w:rsid w:val="704116AB"/>
    <w:rsid w:val="70411BFE"/>
    <w:rsid w:val="704768DE"/>
    <w:rsid w:val="707B5C7D"/>
    <w:rsid w:val="708C386D"/>
    <w:rsid w:val="7093353E"/>
    <w:rsid w:val="709C1A26"/>
    <w:rsid w:val="70A23DC6"/>
    <w:rsid w:val="70A25D2A"/>
    <w:rsid w:val="70EC15F1"/>
    <w:rsid w:val="70F606D1"/>
    <w:rsid w:val="710C3141"/>
    <w:rsid w:val="71104E62"/>
    <w:rsid w:val="713927A1"/>
    <w:rsid w:val="71426CAF"/>
    <w:rsid w:val="719525E5"/>
    <w:rsid w:val="71C43EDF"/>
    <w:rsid w:val="71D12B7B"/>
    <w:rsid w:val="72047D57"/>
    <w:rsid w:val="723E589A"/>
    <w:rsid w:val="7254510E"/>
    <w:rsid w:val="72563FB1"/>
    <w:rsid w:val="726E28BC"/>
    <w:rsid w:val="729701F7"/>
    <w:rsid w:val="72C13435"/>
    <w:rsid w:val="7332304C"/>
    <w:rsid w:val="733B0345"/>
    <w:rsid w:val="73460DCF"/>
    <w:rsid w:val="736F51CC"/>
    <w:rsid w:val="73765DF7"/>
    <w:rsid w:val="739C093C"/>
    <w:rsid w:val="739D0315"/>
    <w:rsid w:val="73AD4EB4"/>
    <w:rsid w:val="73C42DF2"/>
    <w:rsid w:val="73CE4F10"/>
    <w:rsid w:val="73DE0BF4"/>
    <w:rsid w:val="73EF72A5"/>
    <w:rsid w:val="740166CA"/>
    <w:rsid w:val="741606DE"/>
    <w:rsid w:val="74571770"/>
    <w:rsid w:val="746B4618"/>
    <w:rsid w:val="746F2FAE"/>
    <w:rsid w:val="748E187D"/>
    <w:rsid w:val="74F727ED"/>
    <w:rsid w:val="75385A96"/>
    <w:rsid w:val="75395A4F"/>
    <w:rsid w:val="75A62599"/>
    <w:rsid w:val="75C718AC"/>
    <w:rsid w:val="75E5168E"/>
    <w:rsid w:val="75E65018"/>
    <w:rsid w:val="75E6534A"/>
    <w:rsid w:val="75FD7923"/>
    <w:rsid w:val="764536B8"/>
    <w:rsid w:val="764C1E95"/>
    <w:rsid w:val="765340BE"/>
    <w:rsid w:val="76600B0B"/>
    <w:rsid w:val="769D4729"/>
    <w:rsid w:val="76EC025F"/>
    <w:rsid w:val="77104195"/>
    <w:rsid w:val="77195228"/>
    <w:rsid w:val="77532B5B"/>
    <w:rsid w:val="776326D6"/>
    <w:rsid w:val="77A72B49"/>
    <w:rsid w:val="77BA48A1"/>
    <w:rsid w:val="77EA45C3"/>
    <w:rsid w:val="77F3515D"/>
    <w:rsid w:val="77F537AF"/>
    <w:rsid w:val="782D7408"/>
    <w:rsid w:val="783D7431"/>
    <w:rsid w:val="78427D95"/>
    <w:rsid w:val="789B3619"/>
    <w:rsid w:val="78CE3373"/>
    <w:rsid w:val="78EA06B1"/>
    <w:rsid w:val="79303653"/>
    <w:rsid w:val="79332894"/>
    <w:rsid w:val="79432FDA"/>
    <w:rsid w:val="794E031B"/>
    <w:rsid w:val="796340FE"/>
    <w:rsid w:val="79F651E3"/>
    <w:rsid w:val="7A4A0DFD"/>
    <w:rsid w:val="7A552236"/>
    <w:rsid w:val="7A735659"/>
    <w:rsid w:val="7A7E0068"/>
    <w:rsid w:val="7AA261E8"/>
    <w:rsid w:val="7AB60141"/>
    <w:rsid w:val="7AB7745D"/>
    <w:rsid w:val="7AC17447"/>
    <w:rsid w:val="7AD70C9B"/>
    <w:rsid w:val="7ADA5B3C"/>
    <w:rsid w:val="7B4531F1"/>
    <w:rsid w:val="7B4D07FD"/>
    <w:rsid w:val="7BAB3DF5"/>
    <w:rsid w:val="7BD26364"/>
    <w:rsid w:val="7BDB29F1"/>
    <w:rsid w:val="7C2F53CB"/>
    <w:rsid w:val="7C3A3603"/>
    <w:rsid w:val="7C461D0D"/>
    <w:rsid w:val="7C485C63"/>
    <w:rsid w:val="7CA834CE"/>
    <w:rsid w:val="7CB9036C"/>
    <w:rsid w:val="7D047631"/>
    <w:rsid w:val="7D3475DB"/>
    <w:rsid w:val="7D771F95"/>
    <w:rsid w:val="7D942460"/>
    <w:rsid w:val="7DBB0F77"/>
    <w:rsid w:val="7DDD5D1F"/>
    <w:rsid w:val="7E0B3754"/>
    <w:rsid w:val="7E3C4D54"/>
    <w:rsid w:val="7E563F68"/>
    <w:rsid w:val="7EAB72D9"/>
    <w:rsid w:val="7EB25350"/>
    <w:rsid w:val="7EC40A24"/>
    <w:rsid w:val="7F5F072D"/>
    <w:rsid w:val="7F6E067F"/>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3"/>
    <w:autoRedefine/>
    <w:qFormat/>
    <w:uiPriority w:val="0"/>
    <w:pPr>
      <w:keepNext/>
      <w:jc w:val="center"/>
      <w:outlineLvl w:val="0"/>
    </w:pPr>
    <w:rPr>
      <w:rFonts w:eastAsia="黑体"/>
      <w:b/>
      <w:sz w:val="32"/>
      <w:szCs w:val="20"/>
    </w:rPr>
  </w:style>
  <w:style w:type="paragraph" w:styleId="5">
    <w:name w:val="heading 2"/>
    <w:basedOn w:val="1"/>
    <w:next w:val="1"/>
    <w:link w:val="67"/>
    <w:autoRedefine/>
    <w:qFormat/>
    <w:uiPriority w:val="0"/>
    <w:pPr>
      <w:keepNext/>
      <w:outlineLvl w:val="1"/>
    </w:pPr>
    <w:rPr>
      <w:rFonts w:ascii="仿宋_GB2312"/>
      <w:b/>
      <w:sz w:val="28"/>
      <w:szCs w:val="32"/>
    </w:rPr>
  </w:style>
  <w:style w:type="paragraph" w:styleId="6">
    <w:name w:val="heading 3"/>
    <w:basedOn w:val="1"/>
    <w:next w:val="1"/>
    <w:link w:val="151"/>
    <w:autoRedefine/>
    <w:qFormat/>
    <w:uiPriority w:val="0"/>
    <w:pPr>
      <w:keepNext/>
      <w:keepLines/>
      <w:spacing w:line="540" w:lineRule="atLeast"/>
      <w:outlineLvl w:val="2"/>
    </w:pPr>
    <w:rPr>
      <w:rFonts w:eastAsia="黑体"/>
      <w:b/>
      <w:sz w:val="28"/>
      <w:szCs w:val="20"/>
    </w:rPr>
  </w:style>
  <w:style w:type="paragraph" w:styleId="2">
    <w:name w:val="heading 4"/>
    <w:basedOn w:val="1"/>
    <w:next w:val="1"/>
    <w:link w:val="148"/>
    <w:autoRedefine/>
    <w:qFormat/>
    <w:uiPriority w:val="0"/>
    <w:pPr>
      <w:keepNext/>
      <w:keepLines/>
      <w:spacing w:line="540" w:lineRule="atLeast"/>
      <w:outlineLvl w:val="3"/>
    </w:pPr>
    <w:rPr>
      <w:sz w:val="28"/>
      <w:szCs w:val="28"/>
    </w:rPr>
  </w:style>
  <w:style w:type="paragraph" w:styleId="7">
    <w:name w:val="heading 5"/>
    <w:basedOn w:val="1"/>
    <w:next w:val="1"/>
    <w:link w:val="131"/>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autoRedefine/>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0"/>
    <w:autoRedefine/>
    <w:qFormat/>
    <w:uiPriority w:val="0"/>
    <w:pPr>
      <w:keepNext/>
      <w:keepLines/>
      <w:spacing w:before="240" w:after="64" w:line="317" w:lineRule="auto"/>
      <w:outlineLvl w:val="6"/>
    </w:pPr>
    <w:rPr>
      <w:b/>
      <w:sz w:val="24"/>
      <w:szCs w:val="20"/>
    </w:rPr>
  </w:style>
  <w:style w:type="paragraph" w:styleId="11">
    <w:name w:val="heading 8"/>
    <w:basedOn w:val="1"/>
    <w:next w:val="9"/>
    <w:link w:val="175"/>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autoRedefine/>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3">
    <w:name w:val="macro"/>
    <w:link w:val="11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5"/>
    <w:autoRedefine/>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rFonts w:ascii="Calibri" w:hAnsi="Calibri"/>
      <w:szCs w:val="22"/>
    </w:rPr>
  </w:style>
  <w:style w:type="paragraph" w:styleId="17">
    <w:name w:val="Document Map"/>
    <w:basedOn w:val="1"/>
    <w:link w:val="130"/>
    <w:autoRedefine/>
    <w:qFormat/>
    <w:uiPriority w:val="0"/>
    <w:pPr>
      <w:shd w:val="clear" w:color="auto" w:fill="000080"/>
    </w:pPr>
  </w:style>
  <w:style w:type="paragraph" w:styleId="18">
    <w:name w:val="annotation text"/>
    <w:basedOn w:val="1"/>
    <w:link w:val="91"/>
    <w:autoRedefine/>
    <w:qFormat/>
    <w:uiPriority w:val="0"/>
    <w:pPr>
      <w:jc w:val="left"/>
    </w:pPr>
  </w:style>
  <w:style w:type="paragraph" w:styleId="19">
    <w:name w:val="Salutation"/>
    <w:basedOn w:val="1"/>
    <w:next w:val="1"/>
    <w:link w:val="79"/>
    <w:autoRedefine/>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5"/>
    <w:autoRedefine/>
    <w:qFormat/>
    <w:uiPriority w:val="0"/>
    <w:pPr>
      <w:autoSpaceDE w:val="0"/>
      <w:autoSpaceDN w:val="0"/>
      <w:adjustRightInd w:val="0"/>
      <w:jc w:val="center"/>
    </w:pPr>
  </w:style>
  <w:style w:type="paragraph" w:styleId="21">
    <w:name w:val="Body Text"/>
    <w:basedOn w:val="1"/>
    <w:next w:val="22"/>
    <w:link w:val="163"/>
    <w:autoRedefine/>
    <w:qFormat/>
    <w:uiPriority w:val="0"/>
    <w:pPr>
      <w:spacing w:after="120"/>
    </w:pPr>
    <w:rPr>
      <w:rFonts w:ascii="仿宋_GB2312"/>
      <w:b/>
    </w:rPr>
  </w:style>
  <w:style w:type="paragraph" w:styleId="22">
    <w:name w:val="Body Text First Indent"/>
    <w:basedOn w:val="21"/>
    <w:next w:val="23"/>
    <w:link w:val="195"/>
    <w:autoRedefine/>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24">
    <w:name w:val="Body Text Indent"/>
    <w:basedOn w:val="1"/>
    <w:link w:val="143"/>
    <w:autoRedefine/>
    <w:qFormat/>
    <w:uiPriority w:val="0"/>
    <w:pPr>
      <w:ind w:left="480" w:hanging="480" w:hangingChars="200"/>
    </w:pPr>
    <w:rPr>
      <w:sz w:val="24"/>
    </w:rPr>
  </w:style>
  <w:style w:type="paragraph" w:styleId="25">
    <w:name w:val="List Number 3"/>
    <w:basedOn w:val="1"/>
    <w:autoRedefine/>
    <w:qFormat/>
    <w:uiPriority w:val="0"/>
    <w:pPr>
      <w:tabs>
        <w:tab w:val="left" w:pos="1200"/>
      </w:tabs>
      <w:ind w:left="1200" w:leftChars="400" w:hanging="360" w:hangingChars="200"/>
    </w:pPr>
  </w:style>
  <w:style w:type="paragraph" w:styleId="26">
    <w:name w:val="Block Text"/>
    <w:basedOn w:val="1"/>
    <w:autoRedefine/>
    <w:qFormat/>
    <w:uiPriority w:val="0"/>
    <w:pPr>
      <w:spacing w:line="520" w:lineRule="exact"/>
      <w:ind w:left="540" w:leftChars="257" w:right="-514"/>
    </w:pPr>
    <w:rPr>
      <w:rFonts w:ascii="宋体" w:hAnsi="宋体"/>
      <w:sz w:val="24"/>
    </w:rPr>
  </w:style>
  <w:style w:type="paragraph" w:styleId="27">
    <w:name w:val="List Bullet 2"/>
    <w:basedOn w:val="1"/>
    <w:autoRedefine/>
    <w:qFormat/>
    <w:uiPriority w:val="0"/>
    <w:pPr>
      <w:tabs>
        <w:tab w:val="left" w:pos="780"/>
      </w:tabs>
      <w:spacing w:line="360" w:lineRule="auto"/>
      <w:ind w:left="780" w:leftChars="200" w:hanging="360" w:hangingChars="200"/>
    </w:pPr>
  </w:style>
  <w:style w:type="paragraph" w:styleId="28">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9">
    <w:name w:val="toc 3"/>
    <w:basedOn w:val="1"/>
    <w:next w:val="1"/>
    <w:autoRedefine/>
    <w:qFormat/>
    <w:uiPriority w:val="0"/>
    <w:pPr>
      <w:ind w:left="840" w:leftChars="400"/>
    </w:pPr>
  </w:style>
  <w:style w:type="paragraph" w:styleId="30">
    <w:name w:val="Plain Text"/>
    <w:basedOn w:val="1"/>
    <w:link w:val="191"/>
    <w:autoRedefine/>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1">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32"/>
    <w:autoRedefine/>
    <w:qFormat/>
    <w:uiPriority w:val="0"/>
    <w:pPr>
      <w:ind w:left="100" w:leftChars="2500"/>
    </w:pPr>
  </w:style>
  <w:style w:type="paragraph" w:styleId="34">
    <w:name w:val="Body Text Indent 2"/>
    <w:basedOn w:val="1"/>
    <w:link w:val="177"/>
    <w:autoRedefine/>
    <w:qFormat/>
    <w:uiPriority w:val="0"/>
    <w:pPr>
      <w:spacing w:line="500" w:lineRule="exact"/>
      <w:ind w:firstLine="511" w:firstLineChars="213"/>
    </w:pPr>
    <w:rPr>
      <w:sz w:val="24"/>
    </w:rPr>
  </w:style>
  <w:style w:type="paragraph" w:styleId="35">
    <w:name w:val="Balloon Text"/>
    <w:basedOn w:val="1"/>
    <w:link w:val="150"/>
    <w:autoRedefine/>
    <w:qFormat/>
    <w:uiPriority w:val="0"/>
    <w:rPr>
      <w:sz w:val="18"/>
      <w:szCs w:val="18"/>
    </w:rPr>
  </w:style>
  <w:style w:type="paragraph" w:styleId="36">
    <w:name w:val="footer"/>
    <w:basedOn w:val="1"/>
    <w:link w:val="120"/>
    <w:autoRedefine/>
    <w:qFormat/>
    <w:uiPriority w:val="0"/>
    <w:pPr>
      <w:tabs>
        <w:tab w:val="center" w:pos="4153"/>
        <w:tab w:val="right" w:pos="8306"/>
      </w:tabs>
      <w:snapToGrid w:val="0"/>
      <w:jc w:val="left"/>
    </w:pPr>
    <w:rPr>
      <w:sz w:val="18"/>
      <w:szCs w:val="18"/>
    </w:rPr>
  </w:style>
  <w:style w:type="paragraph" w:styleId="37">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53"/>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9">
    <w:name w:val="toc 1"/>
    <w:basedOn w:val="1"/>
    <w:next w:val="1"/>
    <w:autoRedefine/>
    <w:qFormat/>
    <w:uiPriority w:val="0"/>
  </w:style>
  <w:style w:type="paragraph" w:styleId="40">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133"/>
    <w:autoRedefine/>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autoRedefine/>
    <w:qFormat/>
    <w:uiPriority w:val="0"/>
    <w:pPr>
      <w:ind w:left="200" w:hanging="200" w:hangingChars="200"/>
    </w:pPr>
  </w:style>
  <w:style w:type="paragraph" w:styleId="44">
    <w:name w:val="Body Text Indent 3"/>
    <w:basedOn w:val="1"/>
    <w:link w:val="145"/>
    <w:autoRedefine/>
    <w:qFormat/>
    <w:uiPriority w:val="0"/>
    <w:pPr>
      <w:spacing w:line="500" w:lineRule="exact"/>
      <w:ind w:left="511" w:hanging="511" w:hangingChars="213"/>
    </w:pPr>
    <w:rPr>
      <w:sz w:val="24"/>
    </w:rPr>
  </w:style>
  <w:style w:type="paragraph" w:styleId="45">
    <w:name w:val="toc 2"/>
    <w:basedOn w:val="1"/>
    <w:next w:val="1"/>
    <w:autoRedefine/>
    <w:qFormat/>
    <w:uiPriority w:val="0"/>
    <w:pPr>
      <w:ind w:left="420" w:leftChars="200"/>
    </w:pPr>
  </w:style>
  <w:style w:type="paragraph" w:styleId="46">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7">
    <w:name w:val="Body Text 2"/>
    <w:basedOn w:val="1"/>
    <w:link w:val="197"/>
    <w:autoRedefine/>
    <w:qFormat/>
    <w:uiPriority w:val="0"/>
    <w:pPr>
      <w:autoSpaceDE w:val="0"/>
      <w:autoSpaceDN w:val="0"/>
      <w:adjustRightInd w:val="0"/>
      <w:spacing w:after="120" w:line="480" w:lineRule="auto"/>
      <w:jc w:val="left"/>
    </w:pPr>
  </w:style>
  <w:style w:type="paragraph" w:styleId="4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1"/>
    <w:autoRedefine/>
    <w:qFormat/>
    <w:uiPriority w:val="0"/>
    <w:pPr>
      <w:spacing w:before="240" w:after="60"/>
      <w:jc w:val="center"/>
      <w:outlineLvl w:val="0"/>
    </w:pPr>
    <w:rPr>
      <w:rFonts w:ascii="Cambria" w:hAnsi="Cambria"/>
      <w:b/>
      <w:bCs/>
      <w:sz w:val="32"/>
      <w:szCs w:val="32"/>
    </w:rPr>
  </w:style>
  <w:style w:type="paragraph" w:styleId="50">
    <w:name w:val="annotation subject"/>
    <w:basedOn w:val="18"/>
    <w:next w:val="18"/>
    <w:link w:val="96"/>
    <w:autoRedefine/>
    <w:qFormat/>
    <w:uiPriority w:val="0"/>
    <w:rPr>
      <w:b/>
      <w:bCs/>
    </w:rPr>
  </w:style>
  <w:style w:type="paragraph" w:styleId="51">
    <w:name w:val="Body Text First Indent 2"/>
    <w:basedOn w:val="24"/>
    <w:autoRedefine/>
    <w:qFormat/>
    <w:uiPriority w:val="0"/>
    <w:pPr>
      <w:spacing w:after="120"/>
      <w:ind w:left="420" w:leftChars="200" w:firstLine="420"/>
    </w:pPr>
    <w:rPr>
      <w:rFonts w:cs="宋体"/>
      <w:sz w:val="21"/>
      <w:szCs w:val="21"/>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uiPriority w:val="0"/>
    <w:rPr>
      <w:rFonts w:ascii="仿宋_GB2312" w:eastAsia="仿宋_GB2312"/>
      <w:bCs/>
      <w:sz w:val="32"/>
      <w:szCs w:val="32"/>
    </w:rPr>
  </w:style>
  <w:style w:type="character" w:styleId="56">
    <w:name w:val="page number"/>
    <w:basedOn w:val="54"/>
    <w:autoRedefine/>
    <w:qFormat/>
    <w:uiPriority w:val="0"/>
  </w:style>
  <w:style w:type="character" w:styleId="57">
    <w:name w:val="FollowedHyperlink"/>
    <w:autoRedefine/>
    <w:qFormat/>
    <w:uiPriority w:val="0"/>
    <w:rPr>
      <w:rFonts w:ascii="仿宋_GB2312" w:eastAsia="仿宋_GB2312"/>
      <w:b/>
      <w:color w:val="800080"/>
      <w:sz w:val="32"/>
      <w:szCs w:val="32"/>
      <w:u w:val="none"/>
    </w:rPr>
  </w:style>
  <w:style w:type="character" w:styleId="58">
    <w:name w:val="Emphasis"/>
    <w:autoRedefine/>
    <w:qFormat/>
    <w:uiPriority w:val="0"/>
    <w:rPr>
      <w:i/>
      <w:iCs/>
    </w:rPr>
  </w:style>
  <w:style w:type="character" w:styleId="59">
    <w:name w:val="line number"/>
    <w:basedOn w:val="54"/>
    <w:autoRedefine/>
    <w:qFormat/>
    <w:uiPriority w:val="0"/>
  </w:style>
  <w:style w:type="character" w:styleId="60">
    <w:name w:val="Hyperlink"/>
    <w:basedOn w:val="54"/>
    <w:autoRedefine/>
    <w:qFormat/>
    <w:uiPriority w:val="0"/>
    <w:rPr>
      <w:rFonts w:ascii="仿宋_GB2312" w:eastAsia="仿宋_GB2312"/>
      <w:b/>
      <w:color w:val="0000FF"/>
      <w:sz w:val="32"/>
      <w:szCs w:val="32"/>
      <w:u w:val="none"/>
    </w:rPr>
  </w:style>
  <w:style w:type="character" w:styleId="61">
    <w:name w:val="annotation reference"/>
    <w:autoRedefine/>
    <w:qFormat/>
    <w:uiPriority w:val="0"/>
    <w:rPr>
      <w:sz w:val="21"/>
      <w:szCs w:val="21"/>
    </w:rPr>
  </w:style>
  <w:style w:type="character" w:styleId="62">
    <w:name w:val="HTML Cite"/>
    <w:autoRedefine/>
    <w:qFormat/>
    <w:uiPriority w:val="0"/>
    <w:rPr>
      <w:color w:val="008000"/>
    </w:rPr>
  </w:style>
  <w:style w:type="character" w:customStyle="1" w:styleId="63">
    <w:name w:val="标题 1 Char"/>
    <w:link w:val="4"/>
    <w:autoRedefine/>
    <w:qFormat/>
    <w:uiPriority w:val="0"/>
    <w:rPr>
      <w:rFonts w:eastAsia="黑体"/>
      <w:b/>
      <w:kern w:val="2"/>
      <w:sz w:val="32"/>
      <w:lang w:val="en-US" w:eastAsia="zh-CN" w:bidi="ar-SA"/>
    </w:rPr>
  </w:style>
  <w:style w:type="paragraph" w:customStyle="1" w:styleId="64">
    <w:name w:val="Char3 Char Char Char"/>
    <w:basedOn w:val="1"/>
    <w:autoRedefine/>
    <w:qFormat/>
    <w:uiPriority w:val="0"/>
  </w:style>
  <w:style w:type="character" w:customStyle="1" w:styleId="65">
    <w:name w:val="不明显参考1"/>
    <w:autoRedefine/>
    <w:qFormat/>
    <w:uiPriority w:val="0"/>
    <w:rPr>
      <w:smallCaps/>
      <w:color w:val="C0504D"/>
      <w:u w:val="single"/>
    </w:rPr>
  </w:style>
  <w:style w:type="character" w:customStyle="1" w:styleId="66">
    <w:name w:val="PI Char1"/>
    <w:autoRedefine/>
    <w:qFormat/>
    <w:uiPriority w:val="0"/>
    <w:rPr>
      <w:rFonts w:eastAsia="宋体"/>
      <w:kern w:val="2"/>
      <w:sz w:val="24"/>
      <w:szCs w:val="24"/>
      <w:lang w:val="en-US" w:eastAsia="zh-CN" w:bidi="ar-SA"/>
    </w:rPr>
  </w:style>
  <w:style w:type="character" w:customStyle="1" w:styleId="67">
    <w:name w:val="标题 2 Char"/>
    <w:link w:val="5"/>
    <w:autoRedefine/>
    <w:qFormat/>
    <w:uiPriority w:val="0"/>
    <w:rPr>
      <w:rFonts w:ascii="仿宋_GB2312" w:eastAsia="宋体"/>
      <w:b/>
      <w:kern w:val="2"/>
      <w:sz w:val="28"/>
      <w:szCs w:val="32"/>
      <w:lang w:val="en-US" w:eastAsia="zh-CN" w:bidi="ar-SA"/>
    </w:rPr>
  </w:style>
  <w:style w:type="character" w:customStyle="1" w:styleId="68">
    <w:name w:val="pt141"/>
    <w:autoRedefine/>
    <w:qFormat/>
    <w:uiPriority w:val="0"/>
    <w:rPr>
      <w:color w:val="330066"/>
      <w:spacing w:val="450"/>
      <w:sz w:val="22"/>
      <w:szCs w:val="22"/>
    </w:rPr>
  </w:style>
  <w:style w:type="character" w:customStyle="1" w:styleId="69">
    <w:name w:val="Char Char27"/>
    <w:autoRedefine/>
    <w:qFormat/>
    <w:uiPriority w:val="0"/>
    <w:rPr>
      <w:rFonts w:eastAsia="宋体"/>
      <w:kern w:val="2"/>
      <w:sz w:val="28"/>
      <w:lang w:val="en-US" w:eastAsia="zh-CN" w:bidi="ar-SA"/>
    </w:rPr>
  </w:style>
  <w:style w:type="character" w:customStyle="1" w:styleId="70">
    <w:name w:val="标题 7 Char"/>
    <w:link w:val="10"/>
    <w:autoRedefine/>
    <w:qFormat/>
    <w:uiPriority w:val="0"/>
    <w:rPr>
      <w:rFonts w:eastAsia="宋体"/>
      <w:b/>
      <w:kern w:val="2"/>
      <w:sz w:val="24"/>
      <w:lang w:val="en-US" w:eastAsia="zh-CN" w:bidi="ar-SA"/>
    </w:rPr>
  </w:style>
  <w:style w:type="character" w:customStyle="1" w:styleId="71">
    <w:name w:val="明显参考1"/>
    <w:autoRedefine/>
    <w:qFormat/>
    <w:uiPriority w:val="0"/>
    <w:rPr>
      <w:b/>
      <w:bCs/>
      <w:smallCaps/>
      <w:color w:val="C0504D"/>
      <w:spacing w:val="5"/>
      <w:u w:val="single"/>
    </w:rPr>
  </w:style>
  <w:style w:type="character" w:customStyle="1" w:styleId="72">
    <w:name w:val="书籍标题1"/>
    <w:autoRedefine/>
    <w:qFormat/>
    <w:uiPriority w:val="0"/>
    <w:rPr>
      <w:b/>
      <w:bCs/>
      <w:smallCaps/>
      <w:spacing w:val="5"/>
    </w:rPr>
  </w:style>
  <w:style w:type="character" w:customStyle="1" w:styleId="73">
    <w:name w:val="Char Char61"/>
    <w:autoRedefine/>
    <w:qFormat/>
    <w:uiPriority w:val="0"/>
    <w:rPr>
      <w:rFonts w:ascii="Times New Roman" w:hAnsi="Times New Roman" w:eastAsia="宋体" w:cs="Times New Roman"/>
      <w:szCs w:val="24"/>
    </w:rPr>
  </w:style>
  <w:style w:type="character" w:customStyle="1" w:styleId="74">
    <w:name w:val="Char Char24"/>
    <w:autoRedefine/>
    <w:qFormat/>
    <w:uiPriority w:val="0"/>
    <w:rPr>
      <w:rFonts w:eastAsia="宋体"/>
      <w:b/>
      <w:kern w:val="2"/>
      <w:sz w:val="28"/>
      <w:lang w:val="en-US" w:eastAsia="zh-CN" w:bidi="ar-SA"/>
    </w:rPr>
  </w:style>
  <w:style w:type="character" w:customStyle="1" w:styleId="75">
    <w:name w:val="Style4"/>
    <w:autoRedefine/>
    <w:qFormat/>
    <w:uiPriority w:val="0"/>
    <w:rPr>
      <w:rFonts w:ascii="Calibri" w:hAnsi="宋体" w:eastAsia="宋体" w:cs="Times New Roman"/>
      <w:szCs w:val="22"/>
      <w:lang w:eastAsia="zh-CN"/>
    </w:rPr>
  </w:style>
  <w:style w:type="character" w:customStyle="1" w:styleId="76">
    <w:name w:val="Style1"/>
    <w:autoRedefine/>
    <w:qFormat/>
    <w:uiPriority w:val="0"/>
    <w:rPr>
      <w:rFonts w:ascii="Calibri" w:hAnsi="宋体" w:eastAsia="宋体" w:cs="Times New Roman"/>
      <w:sz w:val="22"/>
      <w:szCs w:val="22"/>
      <w:lang w:eastAsia="zh-CN"/>
    </w:rPr>
  </w:style>
  <w:style w:type="character" w:customStyle="1" w:styleId="77">
    <w:name w:val="heading 1 Char1"/>
    <w:autoRedefine/>
    <w:qFormat/>
    <w:uiPriority w:val="0"/>
    <w:rPr>
      <w:rFonts w:eastAsia="宋体"/>
      <w:b/>
      <w:bCs/>
      <w:kern w:val="44"/>
      <w:sz w:val="44"/>
      <w:szCs w:val="44"/>
      <w:lang w:val="en-US" w:eastAsia="zh-CN" w:bidi="ar-SA"/>
    </w:rPr>
  </w:style>
  <w:style w:type="character" w:customStyle="1" w:styleId="78">
    <w:name w:val="Style5"/>
    <w:autoRedefine/>
    <w:qFormat/>
    <w:uiPriority w:val="0"/>
    <w:rPr>
      <w:rFonts w:ascii="Calibri" w:hAnsi="宋体" w:eastAsia="宋体" w:cs="Times New Roman"/>
      <w:sz w:val="22"/>
      <w:szCs w:val="22"/>
      <w:lang w:eastAsia="zh-CN"/>
    </w:rPr>
  </w:style>
  <w:style w:type="character" w:customStyle="1" w:styleId="79">
    <w:name w:val="称呼 Char"/>
    <w:link w:val="19"/>
    <w:autoRedefine/>
    <w:qFormat/>
    <w:uiPriority w:val="0"/>
    <w:rPr>
      <w:rFonts w:ascii="仿宋_GB2312" w:eastAsia="仿宋_GB2312"/>
      <w:b/>
      <w:sz w:val="24"/>
      <w:szCs w:val="32"/>
    </w:rPr>
  </w:style>
  <w:style w:type="character" w:customStyle="1" w:styleId="80">
    <w:name w:val="Ò³Ã¼ Char Char2"/>
    <w:autoRedefine/>
    <w:qFormat/>
    <w:uiPriority w:val="0"/>
    <w:rPr>
      <w:kern w:val="2"/>
      <w:sz w:val="18"/>
      <w:szCs w:val="18"/>
    </w:rPr>
  </w:style>
  <w:style w:type="character" w:customStyle="1" w:styleId="81">
    <w:name w:val="明显强调1"/>
    <w:autoRedefine/>
    <w:qFormat/>
    <w:uiPriority w:val="0"/>
    <w:rPr>
      <w:b/>
      <w:bCs/>
      <w:i/>
      <w:iCs/>
      <w:color w:val="4F81BD"/>
    </w:rPr>
  </w:style>
  <w:style w:type="character" w:customStyle="1" w:styleId="82">
    <w:name w:val="样式 标题 3 + 黑体 小四 Char Char"/>
    <w:link w:val="83"/>
    <w:autoRedefine/>
    <w:qFormat/>
    <w:uiPriority w:val="0"/>
    <w:rPr>
      <w:rFonts w:ascii="黑体" w:hAnsi="Arial" w:eastAsia="黑体"/>
      <w:bCs/>
      <w:sz w:val="24"/>
      <w:szCs w:val="24"/>
      <w:lang w:bidi="ar-SA"/>
    </w:rPr>
  </w:style>
  <w:style w:type="paragraph" w:customStyle="1" w:styleId="83">
    <w:name w:val="样式 标题 3 + 黑体 小四"/>
    <w:basedOn w:val="6"/>
    <w:link w:val="82"/>
    <w:autoRedefine/>
    <w:qFormat/>
    <w:uiPriority w:val="0"/>
    <w:pPr>
      <w:spacing w:before="260" w:after="260" w:line="413" w:lineRule="auto"/>
    </w:pPr>
    <w:rPr>
      <w:rFonts w:ascii="黑体" w:hAnsi="Arial"/>
      <w:b w:val="0"/>
      <w:bCs/>
      <w:kern w:val="0"/>
      <w:sz w:val="24"/>
      <w:szCs w:val="24"/>
    </w:rPr>
  </w:style>
  <w:style w:type="character" w:customStyle="1" w:styleId="84">
    <w:name w:val="heading 7 Char1"/>
    <w:autoRedefine/>
    <w:qFormat/>
    <w:uiPriority w:val="0"/>
    <w:rPr>
      <w:rFonts w:ascii="Arial" w:hAnsi="Arial" w:eastAsia="黑体"/>
      <w:sz w:val="21"/>
      <w:szCs w:val="21"/>
      <w:lang w:val="en-US" w:eastAsia="zh-CN" w:bidi="ar-SA"/>
    </w:rPr>
  </w:style>
  <w:style w:type="character" w:customStyle="1" w:styleId="85">
    <w:name w:val="Char Char1"/>
    <w:autoRedefine/>
    <w:qFormat/>
    <w:uiPriority w:val="0"/>
    <w:rPr>
      <w:rFonts w:eastAsia="宋体"/>
      <w:sz w:val="21"/>
      <w:lang w:val="en-US" w:eastAsia="zh-CN" w:bidi="ar-SA"/>
    </w:rPr>
  </w:style>
  <w:style w:type="character" w:customStyle="1" w:styleId="86">
    <w:name w:val="Char Char12"/>
    <w:autoRedefine/>
    <w:qFormat/>
    <w:uiPriority w:val="0"/>
    <w:rPr>
      <w:rFonts w:eastAsia="宋体"/>
      <w:kern w:val="2"/>
      <w:sz w:val="21"/>
      <w:szCs w:val="24"/>
      <w:lang w:val="en-US" w:eastAsia="zh-CN" w:bidi="ar-SA"/>
    </w:rPr>
  </w:style>
  <w:style w:type="character" w:customStyle="1" w:styleId="87">
    <w:name w:val="Char Char18"/>
    <w:autoRedefine/>
    <w:qFormat/>
    <w:uiPriority w:val="0"/>
    <w:rPr>
      <w:b/>
      <w:bCs/>
      <w:kern w:val="2"/>
      <w:sz w:val="32"/>
      <w:szCs w:val="32"/>
    </w:rPr>
  </w:style>
  <w:style w:type="character" w:customStyle="1" w:styleId="88">
    <w:name w:val="Char Char4"/>
    <w:autoRedefine/>
    <w:qFormat/>
    <w:uiPriority w:val="0"/>
    <w:rPr>
      <w:rFonts w:ascii="Cambria" w:hAnsi="Cambria" w:eastAsia="宋体"/>
      <w:b/>
      <w:bCs/>
      <w:sz w:val="32"/>
      <w:szCs w:val="32"/>
      <w:lang w:bidi="ar-SA"/>
    </w:rPr>
  </w:style>
  <w:style w:type="character" w:customStyle="1" w:styleId="89">
    <w:name w:val="PI Char"/>
    <w:autoRedefine/>
    <w:qFormat/>
    <w:uiPriority w:val="0"/>
    <w:rPr>
      <w:rFonts w:ascii="宋体" w:hAnsi="宋体"/>
      <w:sz w:val="24"/>
    </w:rPr>
  </w:style>
  <w:style w:type="character" w:customStyle="1" w:styleId="90">
    <w:name w:val="明显参考2"/>
    <w:autoRedefine/>
    <w:qFormat/>
    <w:uiPriority w:val="0"/>
    <w:rPr>
      <w:b/>
      <w:bCs/>
      <w:smallCaps/>
      <w:color w:val="C0504D"/>
      <w:spacing w:val="5"/>
      <w:u w:val="single"/>
    </w:rPr>
  </w:style>
  <w:style w:type="character" w:customStyle="1" w:styleId="91">
    <w:name w:val="批注文字 Char"/>
    <w:link w:val="18"/>
    <w:autoRedefine/>
    <w:qFormat/>
    <w:uiPriority w:val="0"/>
    <w:rPr>
      <w:rFonts w:eastAsia="宋体"/>
      <w:kern w:val="2"/>
      <w:sz w:val="21"/>
      <w:szCs w:val="24"/>
      <w:lang w:val="en-US" w:eastAsia="zh-CN" w:bidi="ar-SA"/>
    </w:rPr>
  </w:style>
  <w:style w:type="character" w:customStyle="1" w:styleId="92">
    <w:name w:val="Style2"/>
    <w:autoRedefine/>
    <w:qFormat/>
    <w:uiPriority w:val="0"/>
    <w:rPr>
      <w:rFonts w:ascii="Calibri" w:hAnsi="宋体" w:eastAsia="宋体" w:cs="Times New Roman"/>
      <w:sz w:val="22"/>
      <w:szCs w:val="22"/>
      <w:lang w:eastAsia="zh-CN"/>
    </w:rPr>
  </w:style>
  <w:style w:type="character" w:customStyle="1" w:styleId="93">
    <w:name w:val="Footer-Even Char1"/>
    <w:autoRedefine/>
    <w:qFormat/>
    <w:uiPriority w:val="0"/>
    <w:rPr>
      <w:rFonts w:eastAsia="宋体"/>
      <w:kern w:val="2"/>
      <w:sz w:val="18"/>
      <w:szCs w:val="18"/>
      <w:lang w:val="en-US" w:eastAsia="zh-CN" w:bidi="ar-SA"/>
    </w:rPr>
  </w:style>
  <w:style w:type="character" w:customStyle="1" w:styleId="94">
    <w:name w:val="heading 4 Char1"/>
    <w:autoRedefine/>
    <w:qFormat/>
    <w:uiPriority w:val="0"/>
    <w:rPr>
      <w:rFonts w:ascii="Cambria" w:hAnsi="Cambria" w:eastAsia="宋体"/>
      <w:b/>
      <w:bCs/>
      <w:kern w:val="2"/>
      <w:sz w:val="28"/>
      <w:szCs w:val="28"/>
      <w:lang w:val="en-US" w:eastAsia="zh-CN" w:bidi="ar-SA"/>
    </w:rPr>
  </w:style>
  <w:style w:type="character" w:customStyle="1" w:styleId="95">
    <w:name w:val="正文文本 3 Char"/>
    <w:basedOn w:val="54"/>
    <w:link w:val="20"/>
    <w:autoRedefine/>
    <w:qFormat/>
    <w:uiPriority w:val="0"/>
  </w:style>
  <w:style w:type="character" w:customStyle="1" w:styleId="96">
    <w:name w:val="批注主题 Char"/>
    <w:link w:val="50"/>
    <w:autoRedefine/>
    <w:qFormat/>
    <w:uiPriority w:val="0"/>
    <w:rPr>
      <w:rFonts w:eastAsia="宋体"/>
      <w:b/>
      <w:bCs/>
      <w:kern w:val="2"/>
      <w:sz w:val="21"/>
      <w:szCs w:val="24"/>
      <w:lang w:val="en-US" w:eastAsia="zh-CN" w:bidi="ar-SA"/>
    </w:rPr>
  </w:style>
  <w:style w:type="character" w:customStyle="1" w:styleId="97">
    <w:name w:val="不明显参考11"/>
    <w:autoRedefine/>
    <w:qFormat/>
    <w:uiPriority w:val="0"/>
    <w:rPr>
      <w:smallCaps/>
      <w:color w:val="C0504D"/>
      <w:u w:val="single"/>
    </w:rPr>
  </w:style>
  <w:style w:type="character" w:customStyle="1" w:styleId="98">
    <w:name w:val="Plain Text Char"/>
    <w:autoRedefine/>
    <w:qFormat/>
    <w:uiPriority w:val="0"/>
    <w:rPr>
      <w:rFonts w:ascii="宋体" w:hAnsi="Courier New" w:eastAsia="宋体" w:cs="Times New Roman"/>
      <w:sz w:val="21"/>
      <w:szCs w:val="21"/>
    </w:rPr>
  </w:style>
  <w:style w:type="character" w:customStyle="1" w:styleId="99">
    <w:name w:val="Char Char111"/>
    <w:autoRedefine/>
    <w:qFormat/>
    <w:uiPriority w:val="0"/>
    <w:rPr>
      <w:rFonts w:ascii="Times New Roman" w:hAnsi="Times New Roman" w:eastAsia="宋体" w:cs="Times New Roman"/>
      <w:sz w:val="18"/>
      <w:szCs w:val="18"/>
    </w:rPr>
  </w:style>
  <w:style w:type="character" w:customStyle="1" w:styleId="100">
    <w:name w:val="无间距字符"/>
    <w:link w:val="101"/>
    <w:autoRedefine/>
    <w:qFormat/>
    <w:uiPriority w:val="0"/>
    <w:rPr>
      <w:rFonts w:eastAsia="Times New Roman"/>
      <w:sz w:val="22"/>
      <w:szCs w:val="22"/>
      <w:lang w:val="en-US" w:eastAsia="zh-CN" w:bidi="ar-SA"/>
    </w:rPr>
  </w:style>
  <w:style w:type="paragraph" w:customStyle="1" w:styleId="101">
    <w:name w:val="无间距"/>
    <w:link w:val="100"/>
    <w:autoRedefine/>
    <w:qFormat/>
    <w:uiPriority w:val="0"/>
    <w:rPr>
      <w:rFonts w:ascii="Times New Roman" w:hAnsi="Times New Roman" w:eastAsia="Times New Roman" w:cs="Times New Roman"/>
      <w:sz w:val="22"/>
      <w:szCs w:val="22"/>
      <w:lang w:val="en-US" w:eastAsia="zh-CN" w:bidi="ar-SA"/>
    </w:rPr>
  </w:style>
  <w:style w:type="character" w:customStyle="1" w:styleId="102">
    <w:name w:val="heading 5 Char2"/>
    <w:autoRedefine/>
    <w:qFormat/>
    <w:uiPriority w:val="0"/>
    <w:rPr>
      <w:b/>
      <w:bCs/>
      <w:kern w:val="2"/>
      <w:sz w:val="28"/>
      <w:szCs w:val="28"/>
    </w:rPr>
  </w:style>
  <w:style w:type="character" w:customStyle="1" w:styleId="103">
    <w:name w:val="样式2 Char Char"/>
    <w:link w:val="104"/>
    <w:autoRedefine/>
    <w:qFormat/>
    <w:uiPriority w:val="0"/>
    <w:rPr>
      <w:rFonts w:ascii="宋体" w:hAnsi="宋体" w:eastAsia="宋体"/>
      <w:bCs/>
      <w:kern w:val="2"/>
      <w:sz w:val="28"/>
      <w:szCs w:val="28"/>
      <w:lang w:val="en-US" w:eastAsia="zh-CN" w:bidi="ar-SA"/>
    </w:rPr>
  </w:style>
  <w:style w:type="paragraph" w:customStyle="1" w:styleId="104">
    <w:name w:val="样式2"/>
    <w:basedOn w:val="5"/>
    <w:link w:val="103"/>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9"/>
    <w:autoRedefine/>
    <w:qFormat/>
    <w:uiPriority w:val="0"/>
    <w:rPr>
      <w:rFonts w:ascii="仿宋_GB2312" w:eastAsia="宋体"/>
      <w:b/>
      <w:sz w:val="21"/>
      <w:szCs w:val="32"/>
      <w:lang w:val="en-US" w:eastAsia="zh-CN" w:bidi="ar-SA"/>
    </w:rPr>
  </w:style>
  <w:style w:type="character" w:customStyle="1" w:styleId="106">
    <w:name w:val="heading 2 Char1"/>
    <w:autoRedefine/>
    <w:qFormat/>
    <w:uiPriority w:val="0"/>
    <w:rPr>
      <w:rFonts w:ascii="Cambria" w:hAnsi="Cambria" w:eastAsia="宋体"/>
      <w:b/>
      <w:bCs/>
      <w:kern w:val="2"/>
      <w:sz w:val="32"/>
      <w:szCs w:val="32"/>
      <w:lang w:val="en-US" w:eastAsia="zh-CN" w:bidi="ar-SA"/>
    </w:rPr>
  </w:style>
  <w:style w:type="character" w:customStyle="1" w:styleId="107">
    <w:name w:val="heading 3 Char1"/>
    <w:autoRedefine/>
    <w:qFormat/>
    <w:uiPriority w:val="0"/>
    <w:rPr>
      <w:rFonts w:eastAsia="宋体"/>
      <w:b/>
      <w:bCs/>
      <w:kern w:val="2"/>
      <w:sz w:val="32"/>
      <w:szCs w:val="32"/>
      <w:lang w:val="en-US" w:eastAsia="zh-CN" w:bidi="ar-SA"/>
    </w:rPr>
  </w:style>
  <w:style w:type="character" w:customStyle="1" w:styleId="108">
    <w:name w:val="Char Char15"/>
    <w:autoRedefine/>
    <w:qFormat/>
    <w:uiPriority w:val="0"/>
    <w:rPr>
      <w:rFonts w:ascii="Arial" w:hAnsi="Arial" w:eastAsia="黑体"/>
      <w:sz w:val="24"/>
      <w:szCs w:val="24"/>
    </w:rPr>
  </w:style>
  <w:style w:type="character" w:customStyle="1" w:styleId="109">
    <w:name w:val="heading 1 Char"/>
    <w:autoRedefine/>
    <w:qFormat/>
    <w:uiPriority w:val="0"/>
    <w:rPr>
      <w:rFonts w:ascii="Arial" w:hAnsi="Arial" w:eastAsia="黑体"/>
      <w:b/>
      <w:sz w:val="36"/>
      <w:szCs w:val="36"/>
    </w:rPr>
  </w:style>
  <w:style w:type="character" w:customStyle="1" w:styleId="110">
    <w:name w:val="ändrad Char"/>
    <w:autoRedefine/>
    <w:qFormat/>
    <w:uiPriority w:val="0"/>
    <w:rPr>
      <w:rFonts w:eastAsia="宋体"/>
      <w:kern w:val="2"/>
      <w:sz w:val="21"/>
      <w:szCs w:val="24"/>
      <w:lang w:val="en-US" w:eastAsia="zh-CN" w:bidi="ar-SA"/>
    </w:rPr>
  </w:style>
  <w:style w:type="character" w:customStyle="1" w:styleId="111">
    <w:name w:val="标题 Char"/>
    <w:link w:val="49"/>
    <w:autoRedefine/>
    <w:qFormat/>
    <w:uiPriority w:val="0"/>
    <w:rPr>
      <w:rFonts w:ascii="Cambria" w:hAnsi="Cambria" w:eastAsia="宋体"/>
      <w:b/>
      <w:bCs/>
      <w:kern w:val="2"/>
      <w:sz w:val="32"/>
      <w:szCs w:val="32"/>
      <w:lang w:val="en-US" w:eastAsia="zh-CN" w:bidi="ar-SA"/>
    </w:rPr>
  </w:style>
  <w:style w:type="character" w:customStyle="1" w:styleId="112">
    <w:name w:val="Char Char22"/>
    <w:autoRedefine/>
    <w:qFormat/>
    <w:uiPriority w:val="0"/>
    <w:rPr>
      <w:rFonts w:ascii="Arial" w:hAnsi="Arial" w:eastAsia="黑体"/>
      <w:b/>
      <w:bCs/>
      <w:kern w:val="44"/>
      <w:sz w:val="30"/>
      <w:szCs w:val="44"/>
      <w:lang w:val="en-US" w:eastAsia="zh-CN" w:bidi="ar-SA"/>
    </w:rPr>
  </w:style>
  <w:style w:type="character" w:customStyle="1" w:styleId="113">
    <w:name w:val="blue1"/>
    <w:basedOn w:val="54"/>
    <w:autoRedefine/>
    <w:qFormat/>
    <w:uiPriority w:val="0"/>
  </w:style>
  <w:style w:type="character" w:customStyle="1" w:styleId="114">
    <w:name w:val="样式 宋体"/>
    <w:autoRedefine/>
    <w:qFormat/>
    <w:uiPriority w:val="0"/>
    <w:rPr>
      <w:rFonts w:ascii="宋体" w:hAnsi="宋体" w:eastAsia="宋体"/>
      <w:sz w:val="24"/>
      <w:szCs w:val="24"/>
    </w:rPr>
  </w:style>
  <w:style w:type="character" w:customStyle="1" w:styleId="115">
    <w:name w:val="dandyren_title1"/>
    <w:autoRedefine/>
    <w:qFormat/>
    <w:uiPriority w:val="0"/>
    <w:rPr>
      <w:b/>
      <w:bCs/>
      <w:color w:val="FF6633"/>
      <w:sz w:val="18"/>
      <w:szCs w:val="18"/>
    </w:rPr>
  </w:style>
  <w:style w:type="character" w:customStyle="1" w:styleId="116">
    <w:name w:val="font21"/>
    <w:basedOn w:val="54"/>
    <w:autoRedefine/>
    <w:qFormat/>
    <w:uiPriority w:val="0"/>
    <w:rPr>
      <w:rFonts w:ascii="Wingdings 2" w:hAnsi="Wingdings 2" w:eastAsia="Wingdings 2" w:cs="Wingdings 2"/>
      <w:b/>
      <w:color w:val="000000"/>
      <w:sz w:val="20"/>
      <w:szCs w:val="20"/>
      <w:u w:val="none"/>
    </w:rPr>
  </w:style>
  <w:style w:type="character" w:customStyle="1" w:styleId="117">
    <w:name w:val="Ò³Ã¼ Char Char1"/>
    <w:autoRedefine/>
    <w:qFormat/>
    <w:uiPriority w:val="0"/>
    <w:rPr>
      <w:rFonts w:eastAsia="宋体"/>
      <w:kern w:val="2"/>
      <w:sz w:val="18"/>
      <w:szCs w:val="18"/>
      <w:lang w:val="en-US" w:eastAsia="zh-CN" w:bidi="ar-SA"/>
    </w:rPr>
  </w:style>
  <w:style w:type="character" w:customStyle="1" w:styleId="118">
    <w:name w:val="宏文本 Char"/>
    <w:link w:val="3"/>
    <w:autoRedefine/>
    <w:qFormat/>
    <w:uiPriority w:val="0"/>
    <w:rPr>
      <w:rFonts w:ascii="Courier New" w:hAnsi="Courier New" w:eastAsia="Times New Roman"/>
      <w:kern w:val="2"/>
      <w:sz w:val="24"/>
      <w:szCs w:val="24"/>
      <w:lang w:val="en-US" w:eastAsia="zh-CN" w:bidi="ar-SA"/>
    </w:rPr>
  </w:style>
  <w:style w:type="character" w:customStyle="1" w:styleId="119">
    <w:name w:val="Footer-Even Char"/>
    <w:autoRedefine/>
    <w:qFormat/>
    <w:uiPriority w:val="0"/>
    <w:rPr>
      <w:sz w:val="18"/>
      <w:szCs w:val="18"/>
    </w:rPr>
  </w:style>
  <w:style w:type="character" w:customStyle="1" w:styleId="120">
    <w:name w:val="页脚 Char"/>
    <w:link w:val="36"/>
    <w:autoRedefine/>
    <w:qFormat/>
    <w:uiPriority w:val="0"/>
    <w:rPr>
      <w:rFonts w:eastAsia="宋体"/>
      <w:kern w:val="2"/>
      <w:sz w:val="18"/>
      <w:szCs w:val="18"/>
      <w:lang w:val="en-US" w:eastAsia="zh-CN" w:bidi="ar-SA"/>
    </w:rPr>
  </w:style>
  <w:style w:type="character" w:customStyle="1" w:styleId="121">
    <w:name w:val="style111"/>
    <w:autoRedefine/>
    <w:qFormat/>
    <w:uiPriority w:val="0"/>
    <w:rPr>
      <w:sz w:val="27"/>
      <w:szCs w:val="27"/>
    </w:rPr>
  </w:style>
  <w:style w:type="character" w:customStyle="1" w:styleId="122">
    <w:name w:val="PI Char2"/>
    <w:autoRedefine/>
    <w:qFormat/>
    <w:uiPriority w:val="0"/>
    <w:rPr>
      <w:kern w:val="2"/>
      <w:sz w:val="24"/>
      <w:szCs w:val="24"/>
    </w:rPr>
  </w:style>
  <w:style w:type="character" w:customStyle="1" w:styleId="123">
    <w:name w:val="gray6"/>
    <w:basedOn w:val="54"/>
    <w:autoRedefine/>
    <w:qFormat/>
    <w:uiPriority w:val="0"/>
  </w:style>
  <w:style w:type="character" w:customStyle="1" w:styleId="124">
    <w:name w:val="Char Char Char1"/>
    <w:autoRedefine/>
    <w:qFormat/>
    <w:uiPriority w:val="0"/>
    <w:rPr>
      <w:rFonts w:ascii="宋体" w:hAnsi="Courier New"/>
      <w:sz w:val="21"/>
      <w:szCs w:val="21"/>
    </w:rPr>
  </w:style>
  <w:style w:type="character" w:customStyle="1" w:styleId="125">
    <w:name w:val="Char Char121"/>
    <w:autoRedefine/>
    <w:qFormat/>
    <w:uiPriority w:val="0"/>
    <w:rPr>
      <w:rFonts w:eastAsia="宋体"/>
      <w:kern w:val="2"/>
      <w:sz w:val="21"/>
      <w:szCs w:val="24"/>
      <w:lang w:val="en-US" w:eastAsia="zh-CN" w:bidi="ar-SA"/>
    </w:rPr>
  </w:style>
  <w:style w:type="character" w:customStyle="1" w:styleId="126">
    <w:name w:val="Char Char Char Char Char Char Char Char Char"/>
    <w:autoRedefine/>
    <w:qFormat/>
    <w:uiPriority w:val="0"/>
    <w:rPr>
      <w:rFonts w:ascii="宋体" w:hAnsi="Courier New" w:eastAsia="宋体"/>
      <w:sz w:val="21"/>
      <w:szCs w:val="21"/>
      <w:lang w:val="en-US" w:eastAsia="zh-CN" w:bidi="ar-SA"/>
    </w:rPr>
  </w:style>
  <w:style w:type="character" w:customStyle="1" w:styleId="127">
    <w:name w:val="heading 4 Char2"/>
    <w:autoRedefine/>
    <w:qFormat/>
    <w:uiPriority w:val="0"/>
    <w:rPr>
      <w:rFonts w:ascii="Cambria" w:hAnsi="Cambria"/>
      <w:b/>
      <w:bCs/>
      <w:kern w:val="2"/>
      <w:sz w:val="28"/>
      <w:szCs w:val="28"/>
    </w:rPr>
  </w:style>
  <w:style w:type="character" w:customStyle="1" w:styleId="128">
    <w:name w:val="heading 3 Char"/>
    <w:autoRedefine/>
    <w:qFormat/>
    <w:uiPriority w:val="0"/>
    <w:rPr>
      <w:rFonts w:ascii="Arial" w:hAnsi="Arial" w:eastAsia="黑体"/>
      <w:sz w:val="28"/>
      <w:szCs w:val="24"/>
    </w:rPr>
  </w:style>
  <w:style w:type="character" w:customStyle="1" w:styleId="129">
    <w:name w:val="Char Char16"/>
    <w:autoRedefine/>
    <w:qFormat/>
    <w:uiPriority w:val="0"/>
    <w:rPr>
      <w:b/>
      <w:bCs/>
      <w:kern w:val="2"/>
      <w:sz w:val="28"/>
      <w:szCs w:val="28"/>
    </w:rPr>
  </w:style>
  <w:style w:type="character" w:customStyle="1" w:styleId="130">
    <w:name w:val="文档结构图 Char"/>
    <w:link w:val="17"/>
    <w:autoRedefine/>
    <w:qFormat/>
    <w:uiPriority w:val="0"/>
    <w:rPr>
      <w:rFonts w:eastAsia="宋体"/>
      <w:kern w:val="2"/>
      <w:sz w:val="21"/>
      <w:szCs w:val="24"/>
      <w:lang w:val="en-US" w:eastAsia="zh-CN" w:bidi="ar-SA"/>
    </w:rPr>
  </w:style>
  <w:style w:type="character" w:customStyle="1" w:styleId="131">
    <w:name w:val="标题 5 Char"/>
    <w:link w:val="7"/>
    <w:autoRedefine/>
    <w:qFormat/>
    <w:uiPriority w:val="0"/>
    <w:rPr>
      <w:rFonts w:eastAsia="宋体"/>
      <w:b/>
      <w:bCs/>
      <w:sz w:val="28"/>
      <w:szCs w:val="28"/>
      <w:lang w:bidi="ar-SA"/>
    </w:rPr>
  </w:style>
  <w:style w:type="character" w:customStyle="1" w:styleId="132">
    <w:name w:val="日期 Char"/>
    <w:link w:val="33"/>
    <w:autoRedefine/>
    <w:qFormat/>
    <w:uiPriority w:val="0"/>
    <w:rPr>
      <w:rFonts w:eastAsia="宋体"/>
      <w:kern w:val="2"/>
      <w:sz w:val="21"/>
      <w:szCs w:val="24"/>
      <w:lang w:val="en-US" w:eastAsia="zh-CN" w:bidi="ar-SA"/>
    </w:rPr>
  </w:style>
  <w:style w:type="character" w:customStyle="1" w:styleId="133">
    <w:name w:val="副标题 Char"/>
    <w:link w:val="41"/>
    <w:autoRedefine/>
    <w:qFormat/>
    <w:uiPriority w:val="0"/>
    <w:rPr>
      <w:rFonts w:ascii="Cambria" w:hAnsi="Cambria" w:eastAsia="宋体"/>
      <w:b/>
      <w:bCs/>
      <w:kern w:val="28"/>
      <w:sz w:val="32"/>
      <w:szCs w:val="32"/>
      <w:lang w:val="en-US" w:eastAsia="zh-CN" w:bidi="ar-SA"/>
    </w:rPr>
  </w:style>
  <w:style w:type="character" w:customStyle="1" w:styleId="134">
    <w:name w:val="页眉 Char"/>
    <w:link w:val="37"/>
    <w:autoRedefine/>
    <w:qFormat/>
    <w:uiPriority w:val="0"/>
    <w:rPr>
      <w:rFonts w:eastAsia="宋体"/>
      <w:kern w:val="2"/>
      <w:sz w:val="18"/>
      <w:szCs w:val="18"/>
      <w:lang w:val="en-US" w:eastAsia="zh-CN" w:bidi="ar-SA"/>
    </w:rPr>
  </w:style>
  <w:style w:type="character" w:customStyle="1" w:styleId="135">
    <w:name w:val="style13"/>
    <w:basedOn w:val="54"/>
    <w:autoRedefine/>
    <w:qFormat/>
    <w:uiPriority w:val="0"/>
  </w:style>
  <w:style w:type="character" w:customStyle="1" w:styleId="136">
    <w:name w:val="textcolor1"/>
    <w:autoRedefine/>
    <w:qFormat/>
    <w:uiPriority w:val="0"/>
    <w:rPr>
      <w:rFonts w:ascii="仿宋_GB2312" w:eastAsia="仿宋_GB2312"/>
      <w:b/>
      <w:color w:val="FF6600"/>
      <w:sz w:val="32"/>
      <w:szCs w:val="32"/>
    </w:rPr>
  </w:style>
  <w:style w:type="character" w:customStyle="1" w:styleId="137">
    <w:name w:val="Table Text Char Char"/>
    <w:link w:val="138"/>
    <w:autoRedefine/>
    <w:qFormat/>
    <w:uiPriority w:val="0"/>
    <w:rPr>
      <w:sz w:val="21"/>
      <w:lang w:val="en-US" w:eastAsia="en-US" w:bidi="ar-SA"/>
    </w:rPr>
  </w:style>
  <w:style w:type="paragraph" w:customStyle="1" w:styleId="138">
    <w:name w:val="Table Text"/>
    <w:basedOn w:val="1"/>
    <w:link w:val="137"/>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autoRedefine/>
    <w:qFormat/>
    <w:uiPriority w:val="0"/>
    <w:rPr>
      <w:sz w:val="18"/>
      <w:szCs w:val="18"/>
    </w:rPr>
  </w:style>
  <w:style w:type="character" w:customStyle="1" w:styleId="140">
    <w:name w:val="heading 2 Char2"/>
    <w:autoRedefine/>
    <w:qFormat/>
    <w:uiPriority w:val="0"/>
    <w:rPr>
      <w:rFonts w:ascii="Cambria" w:hAnsi="Cambria"/>
      <w:b/>
      <w:bCs/>
      <w:kern w:val="2"/>
      <w:sz w:val="32"/>
      <w:szCs w:val="32"/>
    </w:rPr>
  </w:style>
  <w:style w:type="character" w:customStyle="1" w:styleId="141">
    <w:name w:val="书籍标题11"/>
    <w:autoRedefine/>
    <w:qFormat/>
    <w:uiPriority w:val="0"/>
    <w:rPr>
      <w:b/>
      <w:bCs/>
      <w:smallCaps/>
      <w:spacing w:val="5"/>
    </w:rPr>
  </w:style>
  <w:style w:type="character" w:customStyle="1" w:styleId="142">
    <w:name w:val="Char Char21"/>
    <w:autoRedefine/>
    <w:qFormat/>
    <w:uiPriority w:val="0"/>
    <w:rPr>
      <w:rFonts w:ascii="Times New Roman" w:hAnsi="Times New Roman" w:eastAsia="宋体" w:cs="Times New Roman"/>
      <w:b/>
      <w:bCs/>
      <w:kern w:val="44"/>
      <w:sz w:val="44"/>
      <w:szCs w:val="44"/>
    </w:rPr>
  </w:style>
  <w:style w:type="character" w:customStyle="1" w:styleId="143">
    <w:name w:val="正文文本缩进 Char"/>
    <w:link w:val="24"/>
    <w:autoRedefine/>
    <w:qFormat/>
    <w:uiPriority w:val="0"/>
    <w:rPr>
      <w:rFonts w:eastAsia="宋体"/>
      <w:kern w:val="2"/>
      <w:sz w:val="24"/>
      <w:szCs w:val="24"/>
      <w:lang w:val="en-US" w:eastAsia="zh-CN" w:bidi="ar-SA"/>
    </w:rPr>
  </w:style>
  <w:style w:type="character" w:customStyle="1" w:styleId="144">
    <w:name w:val="不明显强调1"/>
    <w:autoRedefine/>
    <w:qFormat/>
    <w:uiPriority w:val="0"/>
    <w:rPr>
      <w:i/>
      <w:iCs/>
      <w:color w:val="808080"/>
    </w:rPr>
  </w:style>
  <w:style w:type="character" w:customStyle="1" w:styleId="145">
    <w:name w:val="正文文本缩进 3 Char"/>
    <w:link w:val="44"/>
    <w:autoRedefine/>
    <w:qFormat/>
    <w:uiPriority w:val="0"/>
    <w:rPr>
      <w:rFonts w:eastAsia="宋体"/>
      <w:kern w:val="2"/>
      <w:sz w:val="24"/>
      <w:szCs w:val="24"/>
      <w:lang w:val="en-US" w:eastAsia="zh-CN" w:bidi="ar-SA"/>
    </w:rPr>
  </w:style>
  <w:style w:type="character" w:customStyle="1" w:styleId="146">
    <w:name w:val="heading 5 Char"/>
    <w:autoRedefine/>
    <w:qFormat/>
    <w:uiPriority w:val="0"/>
    <w:rPr>
      <w:rFonts w:ascii="Arial" w:hAnsi="Arial" w:eastAsia="黑体"/>
      <w:sz w:val="21"/>
      <w:szCs w:val="21"/>
    </w:rPr>
  </w:style>
  <w:style w:type="character" w:customStyle="1" w:styleId="147">
    <w:name w:val="Style3"/>
    <w:autoRedefine/>
    <w:qFormat/>
    <w:uiPriority w:val="0"/>
    <w:rPr>
      <w:rFonts w:ascii="Calibri" w:hAnsi="宋体" w:eastAsia="宋体" w:cs="Times New Roman"/>
      <w:szCs w:val="22"/>
      <w:lang w:eastAsia="zh-CN"/>
    </w:rPr>
  </w:style>
  <w:style w:type="character" w:customStyle="1" w:styleId="148">
    <w:name w:val="标题 4 Char"/>
    <w:link w:val="2"/>
    <w:autoRedefine/>
    <w:qFormat/>
    <w:uiPriority w:val="0"/>
    <w:rPr>
      <w:rFonts w:eastAsia="宋体"/>
      <w:kern w:val="2"/>
      <w:sz w:val="28"/>
      <w:szCs w:val="28"/>
      <w:lang w:val="en-US" w:eastAsia="zh-CN" w:bidi="ar-SA"/>
    </w:rPr>
  </w:style>
  <w:style w:type="character" w:customStyle="1" w:styleId="149">
    <w:name w:val="Char Char241"/>
    <w:autoRedefine/>
    <w:qFormat/>
    <w:uiPriority w:val="0"/>
    <w:rPr>
      <w:rFonts w:eastAsia="宋体"/>
      <w:b/>
      <w:kern w:val="2"/>
      <w:sz w:val="28"/>
      <w:lang w:val="en-US" w:eastAsia="zh-CN" w:bidi="ar-SA"/>
    </w:rPr>
  </w:style>
  <w:style w:type="character" w:customStyle="1" w:styleId="150">
    <w:name w:val="批注框文本 Char"/>
    <w:link w:val="35"/>
    <w:autoRedefine/>
    <w:qFormat/>
    <w:uiPriority w:val="0"/>
    <w:rPr>
      <w:rFonts w:eastAsia="宋体"/>
      <w:kern w:val="2"/>
      <w:sz w:val="18"/>
      <w:szCs w:val="18"/>
      <w:lang w:val="en-US" w:eastAsia="zh-CN" w:bidi="ar-SA"/>
    </w:rPr>
  </w:style>
  <w:style w:type="character" w:customStyle="1" w:styleId="151">
    <w:name w:val="标题 3 Char"/>
    <w:link w:val="6"/>
    <w:autoRedefine/>
    <w:qFormat/>
    <w:uiPriority w:val="0"/>
    <w:rPr>
      <w:rFonts w:eastAsia="黑体"/>
      <w:b/>
      <w:kern w:val="2"/>
      <w:sz w:val="28"/>
      <w:lang w:val="en-US" w:eastAsia="zh-CN" w:bidi="ar-SA"/>
    </w:rPr>
  </w:style>
  <w:style w:type="character" w:customStyle="1" w:styleId="152">
    <w:name w:val="明显强调11"/>
    <w:autoRedefine/>
    <w:qFormat/>
    <w:uiPriority w:val="0"/>
    <w:rPr>
      <w:b/>
      <w:bCs/>
      <w:i/>
      <w:iCs/>
      <w:color w:val="4F81BD"/>
    </w:rPr>
  </w:style>
  <w:style w:type="character" w:customStyle="1" w:styleId="153">
    <w:name w:val="签名 Char"/>
    <w:link w:val="38"/>
    <w:autoRedefine/>
    <w:qFormat/>
    <w:uiPriority w:val="0"/>
    <w:rPr>
      <w:rFonts w:ascii="仿宋_GB2312" w:eastAsia="仿宋_GB2312"/>
      <w:b/>
      <w:sz w:val="24"/>
      <w:szCs w:val="32"/>
    </w:rPr>
  </w:style>
  <w:style w:type="character" w:customStyle="1" w:styleId="154">
    <w:name w:val="heading 3 Char2"/>
    <w:autoRedefine/>
    <w:qFormat/>
    <w:uiPriority w:val="0"/>
    <w:rPr>
      <w:b/>
      <w:bCs/>
      <w:kern w:val="2"/>
      <w:sz w:val="32"/>
      <w:szCs w:val="32"/>
    </w:rPr>
  </w:style>
  <w:style w:type="character" w:customStyle="1" w:styleId="155">
    <w:name w:val="style21"/>
    <w:autoRedefine/>
    <w:qFormat/>
    <w:uiPriority w:val="0"/>
    <w:rPr>
      <w:sz w:val="15"/>
      <w:szCs w:val="15"/>
    </w:rPr>
  </w:style>
  <w:style w:type="character" w:customStyle="1" w:styleId="156">
    <w:name w:val="Char Char271"/>
    <w:autoRedefine/>
    <w:qFormat/>
    <w:uiPriority w:val="0"/>
    <w:rPr>
      <w:rFonts w:eastAsia="宋体"/>
      <w:kern w:val="2"/>
      <w:sz w:val="28"/>
      <w:lang w:val="en-US" w:eastAsia="zh-CN" w:bidi="ar-SA"/>
    </w:rPr>
  </w:style>
  <w:style w:type="character" w:customStyle="1" w:styleId="157">
    <w:name w:val="表格 Char Char"/>
    <w:link w:val="158"/>
    <w:autoRedefine/>
    <w:qFormat/>
    <w:uiPriority w:val="0"/>
    <w:rPr>
      <w:rFonts w:ascii="宋体" w:hAnsi="宋体" w:eastAsia="宋体"/>
      <w:lang w:val="en-US" w:eastAsia="zh-CN" w:bidi="ar-SA"/>
    </w:rPr>
  </w:style>
  <w:style w:type="paragraph" w:customStyle="1" w:styleId="158">
    <w:name w:val="表格"/>
    <w:basedOn w:val="1"/>
    <w:link w:val="157"/>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autoRedefine/>
    <w:qFormat/>
    <w:uiPriority w:val="0"/>
    <w:rPr>
      <w:rFonts w:ascii="Arial" w:hAnsi="Arial" w:eastAsia="黑体"/>
      <w:kern w:val="2"/>
      <w:sz w:val="24"/>
      <w:szCs w:val="24"/>
      <w:lang w:val="en-US" w:eastAsia="zh-CN" w:bidi="ar-SA"/>
    </w:rPr>
  </w:style>
  <w:style w:type="character" w:customStyle="1" w:styleId="160">
    <w:name w:val="Char Char211"/>
    <w:autoRedefine/>
    <w:qFormat/>
    <w:uiPriority w:val="0"/>
    <w:rPr>
      <w:rFonts w:ascii="Times New Roman" w:hAnsi="Times New Roman" w:eastAsia="宋体" w:cs="Times New Roman"/>
      <w:b/>
      <w:bCs/>
      <w:kern w:val="44"/>
      <w:sz w:val="44"/>
      <w:szCs w:val="44"/>
    </w:rPr>
  </w:style>
  <w:style w:type="character" w:customStyle="1" w:styleId="161">
    <w:name w:val="不明显强调11"/>
    <w:autoRedefine/>
    <w:qFormat/>
    <w:uiPriority w:val="0"/>
    <w:rPr>
      <w:i/>
      <w:iCs/>
      <w:color w:val="808080"/>
    </w:rPr>
  </w:style>
  <w:style w:type="character" w:customStyle="1" w:styleId="162">
    <w:name w:val="标题 9 Char"/>
    <w:link w:val="12"/>
    <w:autoRedefine/>
    <w:qFormat/>
    <w:uiPriority w:val="0"/>
    <w:rPr>
      <w:rFonts w:ascii="Arial" w:hAnsi="Arial" w:eastAsia="黑体"/>
      <w:kern w:val="2"/>
      <w:sz w:val="21"/>
      <w:lang w:val="en-US" w:eastAsia="zh-CN" w:bidi="ar-SA"/>
    </w:rPr>
  </w:style>
  <w:style w:type="character" w:customStyle="1" w:styleId="163">
    <w:name w:val="正文文本 Char"/>
    <w:link w:val="21"/>
    <w:autoRedefine/>
    <w:qFormat/>
    <w:uiPriority w:val="0"/>
    <w:rPr>
      <w:rFonts w:ascii="仿宋_GB2312" w:eastAsia="宋体"/>
      <w:b/>
      <w:kern w:val="2"/>
      <w:sz w:val="21"/>
      <w:szCs w:val="24"/>
      <w:lang w:val="en-US" w:eastAsia="zh-CN" w:bidi="ar-SA"/>
    </w:rPr>
  </w:style>
  <w:style w:type="character" w:customStyle="1" w:styleId="164">
    <w:name w:val="明显引用 Char"/>
    <w:link w:val="165"/>
    <w:autoRedefine/>
    <w:qFormat/>
    <w:uiPriority w:val="0"/>
    <w:rPr>
      <w:rFonts w:ascii="Calibri" w:hAnsi="Calibri" w:eastAsia="宋体"/>
      <w:b/>
      <w:bCs/>
      <w:i/>
      <w:iCs/>
      <w:color w:val="4F81BD"/>
      <w:lang w:val="en-US" w:eastAsia="zh-CN" w:bidi="ar-SA"/>
    </w:rPr>
  </w:style>
  <w:style w:type="paragraph" w:styleId="165">
    <w:name w:val="Intense Quote"/>
    <w:basedOn w:val="1"/>
    <w:next w:val="1"/>
    <w:link w:val="164"/>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autoRedefine/>
    <w:qFormat/>
    <w:uiPriority w:val="0"/>
    <w:rPr>
      <w:rFonts w:eastAsia="宋体"/>
      <w:b/>
      <w:bCs/>
      <w:kern w:val="2"/>
      <w:sz w:val="28"/>
      <w:szCs w:val="28"/>
      <w:lang w:val="en-US" w:eastAsia="zh-CN" w:bidi="ar-SA"/>
    </w:rPr>
  </w:style>
  <w:style w:type="character" w:customStyle="1" w:styleId="167">
    <w:name w:val="Texte Char Char"/>
    <w:autoRedefine/>
    <w:qFormat/>
    <w:uiPriority w:val="0"/>
    <w:rPr>
      <w:rFonts w:ascii="宋体" w:hAnsi="Courier New" w:eastAsia="宋体"/>
      <w:sz w:val="21"/>
      <w:szCs w:val="21"/>
      <w:lang w:val="en-US" w:eastAsia="zh-CN" w:bidi="ar-SA"/>
    </w:rPr>
  </w:style>
  <w:style w:type="character" w:customStyle="1" w:styleId="168">
    <w:name w:val="正文1 Char Char"/>
    <w:link w:val="169"/>
    <w:autoRedefine/>
    <w:qFormat/>
    <w:uiPriority w:val="0"/>
    <w:rPr>
      <w:rFonts w:ascii="宋体" w:hAnsi="宋体" w:eastAsia="宋体" w:cs="宋体"/>
      <w:sz w:val="21"/>
      <w:lang w:val="en-US" w:eastAsia="zh-CN" w:bidi="ar-SA"/>
    </w:rPr>
  </w:style>
  <w:style w:type="paragraph" w:customStyle="1" w:styleId="169">
    <w:name w:val="正文1"/>
    <w:basedOn w:val="1"/>
    <w:link w:val="168"/>
    <w:autoRedefine/>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autoRedefine/>
    <w:qFormat/>
    <w:uiPriority w:val="0"/>
    <w:rPr>
      <w:rFonts w:ascii="Arial" w:hAnsi="Arial" w:eastAsia="黑体"/>
      <w:sz w:val="24"/>
      <w:lang w:val="en-US" w:eastAsia="zh-CN" w:bidi="ar-SA"/>
    </w:rPr>
  </w:style>
  <w:style w:type="character" w:customStyle="1" w:styleId="171">
    <w:name w:val="heading 9 Char1"/>
    <w:autoRedefine/>
    <w:qFormat/>
    <w:uiPriority w:val="0"/>
    <w:rPr>
      <w:rFonts w:ascii="Arial" w:hAnsi="Arial" w:eastAsia="黑体"/>
      <w:sz w:val="21"/>
      <w:lang w:val="en-US" w:eastAsia="zh-CN" w:bidi="ar-SA"/>
    </w:rPr>
  </w:style>
  <w:style w:type="character" w:customStyle="1" w:styleId="172">
    <w:name w:val="标题 6 Char"/>
    <w:link w:val="8"/>
    <w:autoRedefine/>
    <w:qFormat/>
    <w:uiPriority w:val="0"/>
    <w:rPr>
      <w:rFonts w:ascii="Arial" w:hAnsi="Arial" w:eastAsia="黑体"/>
      <w:b/>
      <w:kern w:val="2"/>
      <w:sz w:val="24"/>
      <w:lang w:val="en-US" w:eastAsia="zh-CN" w:bidi="ar-SA"/>
    </w:rPr>
  </w:style>
  <w:style w:type="character" w:customStyle="1" w:styleId="173">
    <w:name w:val="ändrad Char1"/>
    <w:autoRedefine/>
    <w:qFormat/>
    <w:uiPriority w:val="0"/>
    <w:rPr>
      <w:rFonts w:ascii="仿宋_GB2312" w:eastAsia="宋体"/>
      <w:b/>
      <w:kern w:val="2"/>
      <w:sz w:val="21"/>
      <w:szCs w:val="24"/>
      <w:lang w:val="en-US" w:eastAsia="zh-CN" w:bidi="ar-SA"/>
    </w:rPr>
  </w:style>
  <w:style w:type="character" w:customStyle="1" w:styleId="174">
    <w:name w:val="Char Char41"/>
    <w:autoRedefine/>
    <w:qFormat/>
    <w:uiPriority w:val="0"/>
    <w:rPr>
      <w:rFonts w:ascii="Cambria" w:hAnsi="Cambria" w:eastAsia="宋体"/>
      <w:b/>
      <w:bCs/>
      <w:sz w:val="32"/>
      <w:szCs w:val="32"/>
      <w:lang w:bidi="ar-SA"/>
    </w:rPr>
  </w:style>
  <w:style w:type="character" w:customStyle="1" w:styleId="175">
    <w:name w:val="标题 8 Char"/>
    <w:link w:val="11"/>
    <w:autoRedefine/>
    <w:qFormat/>
    <w:uiPriority w:val="0"/>
    <w:rPr>
      <w:rFonts w:ascii="Arial" w:hAnsi="Arial" w:eastAsia="黑体"/>
      <w:kern w:val="2"/>
      <w:sz w:val="24"/>
      <w:lang w:val="en-US" w:eastAsia="zh-CN" w:bidi="ar-SA"/>
    </w:rPr>
  </w:style>
  <w:style w:type="character" w:customStyle="1" w:styleId="176">
    <w:name w:val="Char Char11"/>
    <w:autoRedefine/>
    <w:qFormat/>
    <w:uiPriority w:val="0"/>
    <w:rPr>
      <w:rFonts w:ascii="Times New Roman" w:hAnsi="Times New Roman" w:eastAsia="宋体" w:cs="Times New Roman"/>
      <w:sz w:val="18"/>
      <w:szCs w:val="18"/>
    </w:rPr>
  </w:style>
  <w:style w:type="character" w:customStyle="1" w:styleId="177">
    <w:name w:val="正文文本缩进 2 Char"/>
    <w:link w:val="34"/>
    <w:autoRedefine/>
    <w:qFormat/>
    <w:uiPriority w:val="0"/>
    <w:rPr>
      <w:rFonts w:eastAsia="宋体"/>
      <w:kern w:val="2"/>
      <w:sz w:val="24"/>
      <w:szCs w:val="24"/>
      <w:lang w:val="en-US" w:eastAsia="zh-CN" w:bidi="ar-SA"/>
    </w:rPr>
  </w:style>
  <w:style w:type="character" w:customStyle="1" w:styleId="178">
    <w:name w:val="Char Char6"/>
    <w:autoRedefine/>
    <w:qFormat/>
    <w:uiPriority w:val="0"/>
    <w:rPr>
      <w:rFonts w:ascii="Times New Roman" w:hAnsi="Times New Roman" w:eastAsia="宋体" w:cs="Times New Roman"/>
      <w:szCs w:val="24"/>
    </w:rPr>
  </w:style>
  <w:style w:type="character" w:customStyle="1" w:styleId="179">
    <w:name w:val="Char Char Char"/>
    <w:autoRedefine/>
    <w:qFormat/>
    <w:uiPriority w:val="0"/>
    <w:rPr>
      <w:rFonts w:ascii="宋体" w:hAnsi="Courier New" w:eastAsia="宋体"/>
      <w:b/>
      <w:sz w:val="21"/>
      <w:szCs w:val="21"/>
      <w:lang w:val="en-US" w:eastAsia="zh-CN" w:bidi="ar-SA"/>
    </w:rPr>
  </w:style>
  <w:style w:type="character" w:customStyle="1" w:styleId="180">
    <w:name w:val="heading 2 Char"/>
    <w:autoRedefine/>
    <w:qFormat/>
    <w:uiPriority w:val="0"/>
    <w:rPr>
      <w:rFonts w:ascii="Arial" w:hAnsi="Arial" w:eastAsia="黑体" w:cs="Times New Roman"/>
      <w:sz w:val="30"/>
      <w:szCs w:val="24"/>
    </w:rPr>
  </w:style>
  <w:style w:type="character" w:customStyle="1" w:styleId="181">
    <w:name w:val="Char Char2"/>
    <w:autoRedefine/>
    <w:qFormat/>
    <w:uiPriority w:val="0"/>
    <w:rPr>
      <w:rFonts w:ascii="Arial" w:hAnsi="Arial" w:eastAsia="黑体"/>
      <w:b/>
      <w:bCs/>
      <w:kern w:val="44"/>
      <w:sz w:val="30"/>
      <w:szCs w:val="44"/>
      <w:lang w:val="en-US" w:eastAsia="zh-CN" w:bidi="ar-SA"/>
    </w:rPr>
  </w:style>
  <w:style w:type="character" w:customStyle="1" w:styleId="182">
    <w:name w:val="Footer-Even Char2"/>
    <w:autoRedefine/>
    <w:qFormat/>
    <w:uiPriority w:val="0"/>
    <w:rPr>
      <w:kern w:val="2"/>
      <w:sz w:val="18"/>
      <w:szCs w:val="18"/>
    </w:rPr>
  </w:style>
  <w:style w:type="character" w:customStyle="1" w:styleId="183">
    <w:name w:val="Char Char17"/>
    <w:autoRedefine/>
    <w:qFormat/>
    <w:uiPriority w:val="0"/>
    <w:rPr>
      <w:rFonts w:ascii="Cambria" w:hAnsi="Cambria"/>
      <w:b/>
      <w:bCs/>
      <w:kern w:val="2"/>
      <w:sz w:val="28"/>
      <w:szCs w:val="28"/>
    </w:rPr>
  </w:style>
  <w:style w:type="character" w:customStyle="1" w:styleId="184">
    <w:name w:val="heading 4 Char"/>
    <w:autoRedefine/>
    <w:qFormat/>
    <w:uiPriority w:val="0"/>
    <w:rPr>
      <w:rFonts w:ascii="Arial" w:hAnsi="Arial" w:eastAsia="黑体" w:cs="Times New Roman"/>
      <w:sz w:val="21"/>
      <w:szCs w:val="21"/>
    </w:rPr>
  </w:style>
  <w:style w:type="character" w:customStyle="1" w:styleId="185">
    <w:name w:val="Char Char20"/>
    <w:autoRedefine/>
    <w:qFormat/>
    <w:uiPriority w:val="0"/>
    <w:rPr>
      <w:b/>
      <w:bCs/>
      <w:kern w:val="44"/>
      <w:sz w:val="44"/>
      <w:szCs w:val="44"/>
    </w:rPr>
  </w:style>
  <w:style w:type="character" w:customStyle="1" w:styleId="186">
    <w:name w:val="heading 1 Char2"/>
    <w:autoRedefine/>
    <w:qFormat/>
    <w:uiPriority w:val="0"/>
    <w:rPr>
      <w:b/>
      <w:bCs/>
      <w:kern w:val="44"/>
      <w:sz w:val="44"/>
      <w:szCs w:val="44"/>
    </w:rPr>
  </w:style>
  <w:style w:type="character" w:customStyle="1" w:styleId="187">
    <w:name w:val="font11"/>
    <w:autoRedefine/>
    <w:qFormat/>
    <w:uiPriority w:val="0"/>
    <w:rPr>
      <w:rFonts w:hint="eastAsia" w:ascii="宋体" w:hAnsi="宋体" w:eastAsia="宋体" w:cs="宋体"/>
      <w:b/>
      <w:color w:val="000000"/>
      <w:sz w:val="20"/>
      <w:szCs w:val="20"/>
      <w:u w:val="none"/>
    </w:rPr>
  </w:style>
  <w:style w:type="character" w:customStyle="1" w:styleId="188">
    <w:name w:val="表正文 Char2"/>
    <w:autoRedefine/>
    <w:qFormat/>
    <w:uiPriority w:val="0"/>
    <w:rPr>
      <w:rFonts w:ascii="Times New Roman" w:hAnsi="Times New Roman" w:eastAsia="宋体" w:cs="Times New Roman"/>
      <w:szCs w:val="24"/>
    </w:rPr>
  </w:style>
  <w:style w:type="character" w:customStyle="1" w:styleId="189">
    <w:name w:val="引用 Char"/>
    <w:link w:val="190"/>
    <w:autoRedefine/>
    <w:qFormat/>
    <w:uiPriority w:val="0"/>
    <w:rPr>
      <w:rFonts w:ascii="Calibri" w:hAnsi="Calibri" w:eastAsia="宋体"/>
      <w:i/>
      <w:iCs/>
      <w:color w:val="000000"/>
      <w:lang w:val="en-US" w:eastAsia="zh-CN" w:bidi="ar-SA"/>
    </w:rPr>
  </w:style>
  <w:style w:type="paragraph" w:styleId="190">
    <w:name w:val="Quote"/>
    <w:basedOn w:val="1"/>
    <w:next w:val="1"/>
    <w:link w:val="189"/>
    <w:autoRedefine/>
    <w:qFormat/>
    <w:uiPriority w:val="0"/>
    <w:rPr>
      <w:rFonts w:ascii="Calibri" w:hAnsi="Calibri"/>
      <w:i/>
      <w:iCs/>
      <w:color w:val="000000"/>
      <w:kern w:val="0"/>
      <w:sz w:val="20"/>
      <w:szCs w:val="20"/>
    </w:rPr>
  </w:style>
  <w:style w:type="character" w:customStyle="1" w:styleId="191">
    <w:name w:val="纯文本 Char"/>
    <w:link w:val="30"/>
    <w:autoRedefine/>
    <w:qFormat/>
    <w:uiPriority w:val="0"/>
    <w:rPr>
      <w:rFonts w:ascii="宋体" w:hAnsi="Courier New" w:eastAsia="宋体"/>
      <w:b/>
      <w:sz w:val="21"/>
      <w:szCs w:val="21"/>
      <w:lang w:val="en-US" w:eastAsia="zh-CN" w:bidi="ar-SA"/>
    </w:rPr>
  </w:style>
  <w:style w:type="character" w:customStyle="1" w:styleId="192">
    <w:name w:val="Char Char19"/>
    <w:autoRedefine/>
    <w:qFormat/>
    <w:uiPriority w:val="0"/>
    <w:rPr>
      <w:rFonts w:ascii="Cambria" w:hAnsi="Cambria"/>
      <w:b/>
      <w:bCs/>
      <w:kern w:val="2"/>
      <w:sz w:val="32"/>
      <w:szCs w:val="32"/>
    </w:rPr>
  </w:style>
  <w:style w:type="character" w:customStyle="1" w:styleId="193">
    <w:name w:val="style41"/>
    <w:autoRedefine/>
    <w:qFormat/>
    <w:uiPriority w:val="0"/>
    <w:rPr>
      <w:color w:val="auto"/>
    </w:rPr>
  </w:style>
  <w:style w:type="character" w:customStyle="1" w:styleId="194">
    <w:name w:val="Char Char201"/>
    <w:autoRedefine/>
    <w:qFormat/>
    <w:uiPriority w:val="0"/>
    <w:rPr>
      <w:rFonts w:ascii="Cambria" w:hAnsi="Cambria" w:eastAsia="宋体" w:cs="Times New Roman"/>
      <w:b/>
      <w:bCs/>
      <w:sz w:val="32"/>
      <w:szCs w:val="32"/>
    </w:rPr>
  </w:style>
  <w:style w:type="character" w:customStyle="1" w:styleId="195">
    <w:name w:val="正文首行缩进 Char"/>
    <w:link w:val="22"/>
    <w:autoRedefine/>
    <w:qFormat/>
    <w:uiPriority w:val="0"/>
    <w:rPr>
      <w:rFonts w:eastAsia="宋体"/>
      <w:lang w:val="en-US" w:eastAsia="zh-CN" w:bidi="ar-SA"/>
    </w:rPr>
  </w:style>
  <w:style w:type="character" w:customStyle="1" w:styleId="196">
    <w:name w:val="smalltxt1"/>
    <w:autoRedefine/>
    <w:qFormat/>
    <w:uiPriority w:val="0"/>
    <w:rPr>
      <w:rFonts w:hint="default" w:ascii="ˎ̥" w:hAnsi="ˎ̥"/>
      <w:sz w:val="24"/>
      <w:szCs w:val="24"/>
    </w:rPr>
  </w:style>
  <w:style w:type="character" w:customStyle="1" w:styleId="197">
    <w:name w:val="正文文本 2 Char"/>
    <w:basedOn w:val="54"/>
    <w:link w:val="47"/>
    <w:autoRedefine/>
    <w:qFormat/>
    <w:uiPriority w:val="0"/>
  </w:style>
  <w:style w:type="paragraph" w:customStyle="1" w:styleId="19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autoRedefine/>
    <w:qFormat/>
    <w:uiPriority w:val="0"/>
    <w:pPr>
      <w:spacing w:line="240" w:lineRule="atLeast"/>
      <w:jc w:val="center"/>
    </w:pPr>
    <w:rPr>
      <w:rFonts w:ascii="Arial" w:hAnsi="Arial" w:cs="Arial"/>
      <w:b/>
      <w:bCs/>
    </w:rPr>
  </w:style>
  <w:style w:type="paragraph" w:customStyle="1" w:styleId="201">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autoRedefine/>
    <w:qFormat/>
    <w:uiPriority w:val="0"/>
    <w:rPr>
      <w:rFonts w:ascii="仿宋_GB2312" w:eastAsia="仿宋_GB2312"/>
      <w:b/>
      <w:sz w:val="32"/>
      <w:szCs w:val="32"/>
    </w:rPr>
  </w:style>
  <w:style w:type="paragraph" w:customStyle="1" w:styleId="20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autoRedefine/>
    <w:qFormat/>
    <w:uiPriority w:val="0"/>
    <w:pPr>
      <w:ind w:firstLine="420" w:firstLineChars="200"/>
    </w:pPr>
    <w:rPr>
      <w:szCs w:val="20"/>
    </w:rPr>
  </w:style>
  <w:style w:type="paragraph" w:customStyle="1" w:styleId="205">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autoRedefine/>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autoRedefine/>
    <w:qFormat/>
    <w:uiPriority w:val="0"/>
    <w:rPr>
      <w:rFonts w:ascii="Tahoma" w:hAnsi="Tahoma"/>
      <w:sz w:val="24"/>
      <w:szCs w:val="20"/>
    </w:rPr>
  </w:style>
  <w:style w:type="paragraph" w:customStyle="1" w:styleId="213">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4"/>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autoRedefine/>
    <w:qFormat/>
    <w:uiPriority w:val="0"/>
    <w:rPr>
      <w:rFonts w:ascii="Tahoma" w:hAnsi="Tahoma"/>
      <w:sz w:val="24"/>
    </w:rPr>
  </w:style>
  <w:style w:type="paragraph" w:customStyle="1" w:styleId="217">
    <w:name w:val="正文 首行缩进:  2 字符 Char"/>
    <w:basedOn w:val="1"/>
    <w:autoRedefine/>
    <w:qFormat/>
    <w:uiPriority w:val="0"/>
    <w:pPr>
      <w:spacing w:line="360" w:lineRule="auto"/>
      <w:ind w:firstLine="480"/>
    </w:pPr>
    <w:rPr>
      <w:rFonts w:cs="宋体"/>
      <w:sz w:val="24"/>
      <w:szCs w:val="20"/>
    </w:rPr>
  </w:style>
  <w:style w:type="paragraph" w:customStyle="1" w:styleId="218">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1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autoRedefine/>
    <w:qFormat/>
    <w:uiPriority w:val="0"/>
    <w:pPr>
      <w:tabs>
        <w:tab w:val="left" w:pos="4309"/>
        <w:tab w:val="clear" w:pos="3889"/>
      </w:tabs>
      <w:ind w:left="4309"/>
      <w:outlineLvl w:val="3"/>
    </w:pPr>
  </w:style>
  <w:style w:type="paragraph" w:customStyle="1" w:styleId="225">
    <w:name w:val="正文－恩普"/>
    <w:basedOn w:val="9"/>
    <w:autoRedefine/>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4"/>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autoRedefine/>
    <w:qFormat/>
    <w:uiPriority w:val="0"/>
    <w:pPr>
      <w:tabs>
        <w:tab w:val="left" w:pos="4729"/>
        <w:tab w:val="clear" w:pos="4309"/>
      </w:tabs>
      <w:ind w:left="4729"/>
      <w:outlineLvl w:val="4"/>
    </w:pPr>
  </w:style>
  <w:style w:type="paragraph" w:customStyle="1" w:styleId="234">
    <w:name w:val="Test2"/>
    <w:basedOn w:val="5"/>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autoRedefine/>
    <w:qFormat/>
    <w:uiPriority w:val="0"/>
  </w:style>
  <w:style w:type="paragraph" w:customStyle="1" w:styleId="236">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autoRedefine/>
    <w:qFormat/>
    <w:uiPriority w:val="0"/>
    <w:pPr>
      <w:ind w:firstLine="420" w:firstLineChars="200"/>
    </w:pPr>
    <w:rPr>
      <w:rFonts w:ascii="Calibri" w:hAnsi="Calibri"/>
      <w:szCs w:val="22"/>
    </w:rPr>
  </w:style>
  <w:style w:type="paragraph" w:customStyle="1" w:styleId="242">
    <w:name w:val="五级条标题"/>
    <w:basedOn w:val="243"/>
    <w:next w:val="1"/>
    <w:autoRedefine/>
    <w:qFormat/>
    <w:uiPriority w:val="0"/>
    <w:pPr>
      <w:tabs>
        <w:tab w:val="left" w:pos="5149"/>
        <w:tab w:val="left" w:pos="5569"/>
      </w:tabs>
      <w:ind w:left="5569"/>
      <w:outlineLvl w:val="6"/>
    </w:pPr>
  </w:style>
  <w:style w:type="paragraph" w:customStyle="1" w:styleId="243">
    <w:name w:val="四级条标题"/>
    <w:basedOn w:val="233"/>
    <w:next w:val="1"/>
    <w:autoRedefine/>
    <w:qFormat/>
    <w:uiPriority w:val="0"/>
    <w:pPr>
      <w:tabs>
        <w:tab w:val="left" w:pos="5149"/>
        <w:tab w:val="clear" w:pos="4729"/>
      </w:tabs>
      <w:ind w:left="5149"/>
      <w:outlineLvl w:val="5"/>
    </w:pPr>
  </w:style>
  <w:style w:type="paragraph" w:customStyle="1" w:styleId="244">
    <w:name w:val="正文-宋体四号"/>
    <w:basedOn w:val="1"/>
    <w:autoRedefine/>
    <w:qFormat/>
    <w:uiPriority w:val="0"/>
    <w:pPr>
      <w:spacing w:line="360" w:lineRule="auto"/>
      <w:ind w:firstLine="560" w:firstLineChars="200"/>
    </w:pPr>
    <w:rPr>
      <w:rFonts w:cs="宋体"/>
      <w:sz w:val="28"/>
      <w:szCs w:val="20"/>
    </w:rPr>
  </w:style>
  <w:style w:type="paragraph" w:customStyle="1" w:styleId="245">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6">
    <w:name w:val="Char2"/>
    <w:basedOn w:val="1"/>
    <w:autoRedefine/>
    <w:qFormat/>
    <w:uiPriority w:val="0"/>
  </w:style>
  <w:style w:type="paragraph" w:customStyle="1" w:styleId="247">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48">
    <w:name w:val="样式5"/>
    <w:basedOn w:val="9"/>
    <w:autoRedefine/>
    <w:qFormat/>
    <w:uiPriority w:val="0"/>
    <w:pPr>
      <w:adjustRightInd/>
      <w:spacing w:line="360" w:lineRule="auto"/>
      <w:ind w:firstLine="200" w:firstLineChars="200"/>
      <w:textAlignment w:val="auto"/>
    </w:pPr>
    <w:rPr>
      <w:sz w:val="28"/>
      <w:szCs w:val="21"/>
    </w:rPr>
  </w:style>
  <w:style w:type="paragraph" w:customStyle="1" w:styleId="249">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autoRedefine/>
    <w:qFormat/>
    <w:uiPriority w:val="0"/>
  </w:style>
  <w:style w:type="paragraph" w:customStyle="1" w:styleId="251">
    <w:name w:val="样式 标题 1Level 1Level 11h1II+IHeading1H1-Heading 1Header 1..."/>
    <w:basedOn w:val="4"/>
    <w:autoRedefine/>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autoRedefine/>
    <w:qFormat/>
    <w:uiPriority w:val="0"/>
    <w:pPr>
      <w:ind w:left="855" w:hanging="855"/>
    </w:pPr>
    <w:rPr>
      <w:sz w:val="24"/>
      <w:szCs w:val="20"/>
    </w:rPr>
  </w:style>
  <w:style w:type="paragraph" w:customStyle="1" w:styleId="253">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autoRedefine/>
    <w:qFormat/>
    <w:uiPriority w:val="0"/>
    <w:pPr>
      <w:widowControl/>
      <w:spacing w:line="300" w:lineRule="atLeast"/>
      <w:jc w:val="left"/>
    </w:pPr>
    <w:rPr>
      <w:rFonts w:ascii="宋体" w:hAnsi="宋体" w:cs="宋体"/>
      <w:kern w:val="0"/>
      <w:sz w:val="18"/>
      <w:szCs w:val="18"/>
    </w:rPr>
  </w:style>
  <w:style w:type="paragraph" w:customStyle="1" w:styleId="265">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4"/>
    <w:next w:val="1"/>
    <w:autoRedefine/>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autoRedefine/>
    <w:qFormat/>
    <w:uiPriority w:val="0"/>
  </w:style>
  <w:style w:type="paragraph" w:customStyle="1" w:styleId="273">
    <w:name w:val="前言、引言标题"/>
    <w:next w:val="1"/>
    <w:autoRedefine/>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autoRedefine/>
    <w:qFormat/>
    <w:uiPriority w:val="0"/>
    <w:pPr>
      <w:adjustRightInd/>
      <w:spacing w:line="360" w:lineRule="auto"/>
      <w:ind w:firstLine="200" w:firstLineChars="200"/>
      <w:textAlignment w:val="auto"/>
    </w:pPr>
    <w:rPr>
      <w:kern w:val="2"/>
    </w:rPr>
  </w:style>
  <w:style w:type="paragraph" w:customStyle="1" w:styleId="277">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4"/>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autoRedefine/>
    <w:qFormat/>
    <w:uiPriority w:val="0"/>
    <w:rPr>
      <w:rFonts w:ascii="仿宋_GB2312" w:eastAsia="仿宋_GB2312"/>
      <w:b/>
      <w:sz w:val="32"/>
      <w:szCs w:val="32"/>
    </w:rPr>
  </w:style>
  <w:style w:type="paragraph" w:customStyle="1" w:styleId="280">
    <w:name w:val="l正文"/>
    <w:basedOn w:val="1"/>
    <w:autoRedefine/>
    <w:qFormat/>
    <w:uiPriority w:val="0"/>
    <w:pPr>
      <w:spacing w:line="360" w:lineRule="auto"/>
      <w:ind w:firstLine="200" w:firstLineChars="200"/>
    </w:pPr>
    <w:rPr>
      <w:rFonts w:ascii="宋体" w:hAnsi="宋体"/>
      <w:sz w:val="24"/>
    </w:rPr>
  </w:style>
  <w:style w:type="paragraph" w:customStyle="1" w:styleId="281">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285">
    <w:name w:val="xl29"/>
    <w:basedOn w:val="1"/>
    <w:autoRedefine/>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autoRedefine/>
    <w:qFormat/>
    <w:uiPriority w:val="0"/>
    <w:rPr>
      <w:rFonts w:ascii="仿宋_GB2312" w:eastAsia="仿宋_GB2312"/>
      <w:b/>
      <w:sz w:val="32"/>
      <w:szCs w:val="32"/>
    </w:rPr>
  </w:style>
  <w:style w:type="paragraph" w:customStyle="1" w:styleId="28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5"/>
    <w:autoRedefine/>
    <w:qFormat/>
    <w:uiPriority w:val="0"/>
    <w:pPr>
      <w:tabs>
        <w:tab w:val="left" w:pos="709"/>
      </w:tabs>
    </w:pPr>
    <w:rPr>
      <w:rFonts w:ascii="宋体" w:hAnsi="宋体"/>
      <w:sz w:val="36"/>
      <w:szCs w:val="36"/>
    </w:rPr>
  </w:style>
  <w:style w:type="paragraph" w:customStyle="1" w:styleId="290">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autoRedefine/>
    <w:qFormat/>
    <w:uiPriority w:val="0"/>
    <w:rPr>
      <w:rFonts w:ascii="仿宋_GB2312" w:eastAsia="仿宋_GB2312"/>
      <w:b/>
      <w:sz w:val="32"/>
      <w:szCs w:val="32"/>
    </w:rPr>
  </w:style>
  <w:style w:type="paragraph" w:customStyle="1" w:styleId="293">
    <w:name w:val="正文字缩2字"/>
    <w:basedOn w:val="1"/>
    <w:autoRedefine/>
    <w:qFormat/>
    <w:uiPriority w:val="0"/>
    <w:pPr>
      <w:spacing w:before="60" w:after="60" w:line="360" w:lineRule="auto"/>
      <w:ind w:left="200" w:leftChars="200" w:firstLine="200" w:firstLineChars="200"/>
    </w:pPr>
    <w:rPr>
      <w:sz w:val="24"/>
    </w:rPr>
  </w:style>
  <w:style w:type="paragraph" w:customStyle="1" w:styleId="294">
    <w:name w:val="正文2"/>
    <w:basedOn w:val="1"/>
    <w:autoRedefine/>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autoRedefine/>
    <w:qFormat/>
    <w:uiPriority w:val="0"/>
    <w:pPr>
      <w:keepNext/>
      <w:spacing w:after="160"/>
    </w:pPr>
    <w:rPr>
      <w:szCs w:val="20"/>
    </w:rPr>
  </w:style>
  <w:style w:type="paragraph" w:customStyle="1" w:styleId="296">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autoRedefine/>
    <w:qFormat/>
    <w:uiPriority w:val="0"/>
    <w:rPr>
      <w:rFonts w:ascii="仿宋_GB2312" w:eastAsia="仿宋_GB2312"/>
      <w:b/>
      <w:sz w:val="32"/>
      <w:szCs w:val="32"/>
    </w:rPr>
  </w:style>
  <w:style w:type="paragraph" w:customStyle="1" w:styleId="300">
    <w:name w:val="Char2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7"/>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autoRedefine/>
    <w:qFormat/>
    <w:uiPriority w:val="0"/>
    <w:rPr>
      <w:rFonts w:ascii="宋体" w:hAnsi="宋体"/>
      <w:color w:val="000000"/>
      <w:sz w:val="24"/>
    </w:rPr>
  </w:style>
  <w:style w:type="paragraph" w:customStyle="1" w:styleId="304">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autoRedefine/>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6"/>
    <w:autoRedefine/>
    <w:qFormat/>
    <w:uiPriority w:val="0"/>
    <w:pPr>
      <w:spacing w:before="260" w:after="260" w:line="413" w:lineRule="auto"/>
    </w:pPr>
    <w:rPr>
      <w:rFonts w:ascii="黑体" w:hAnsi="黑体"/>
      <w:b w:val="0"/>
      <w:kern w:val="0"/>
      <w:sz w:val="24"/>
      <w:szCs w:val="32"/>
    </w:rPr>
  </w:style>
  <w:style w:type="paragraph" w:customStyle="1" w:styleId="316">
    <w:name w:val="正文_0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autoRedefine/>
    <w:qFormat/>
    <w:uiPriority w:val="0"/>
    <w:pPr>
      <w:ind w:firstLine="420" w:firstLineChars="200"/>
    </w:pPr>
  </w:style>
  <w:style w:type="paragraph" w:customStyle="1" w:styleId="323">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autoRedefine/>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autoRedefine/>
    <w:qFormat/>
    <w:uiPriority w:val="0"/>
    <w:pPr>
      <w:widowControl/>
    </w:pPr>
    <w:rPr>
      <w:kern w:val="0"/>
      <w:szCs w:val="21"/>
    </w:rPr>
  </w:style>
  <w:style w:type="paragraph" w:customStyle="1" w:styleId="326">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autoRedefine/>
    <w:qFormat/>
    <w:uiPriority w:val="0"/>
    <w:tblPr>
      <w:tblCellMar>
        <w:top w:w="0" w:type="dxa"/>
        <w:left w:w="0" w:type="dxa"/>
        <w:bottom w:w="0" w:type="dxa"/>
        <w:right w:w="0" w:type="dxa"/>
      </w:tblCellMar>
    </w:tblPr>
  </w:style>
  <w:style w:type="paragraph" w:styleId="328">
    <w:name w:val="List Paragraph"/>
    <w:basedOn w:val="1"/>
    <w:autoRedefine/>
    <w:qFormat/>
    <w:uiPriority w:val="99"/>
    <w:pPr>
      <w:ind w:firstLine="420" w:firstLineChars="200"/>
    </w:pPr>
  </w:style>
  <w:style w:type="paragraph" w:customStyle="1" w:styleId="329">
    <w:name w:val="正文段"/>
    <w:basedOn w:val="1"/>
    <w:autoRedefine/>
    <w:qFormat/>
    <w:uiPriority w:val="0"/>
    <w:pPr>
      <w:widowControl/>
      <w:snapToGrid w:val="0"/>
      <w:spacing w:afterLines="50"/>
      <w:ind w:firstLine="200" w:firstLineChars="200"/>
    </w:pPr>
    <w:rPr>
      <w:sz w:val="24"/>
      <w:szCs w:val="20"/>
    </w:rPr>
  </w:style>
  <w:style w:type="paragraph" w:customStyle="1" w:styleId="330">
    <w:name w:val="_Style 3"/>
    <w:basedOn w:val="1"/>
    <w:next w:val="1"/>
    <w:autoRedefine/>
    <w:qFormat/>
    <w:uiPriority w:val="34"/>
    <w:pPr>
      <w:spacing w:line="360" w:lineRule="auto"/>
      <w:ind w:firstLine="420" w:firstLineChars="200"/>
    </w:pPr>
  </w:style>
  <w:style w:type="paragraph" w:customStyle="1" w:styleId="331">
    <w:name w:val="_Style 2"/>
    <w:basedOn w:val="1"/>
    <w:next w:val="1"/>
    <w:autoRedefine/>
    <w:qFormat/>
    <w:uiPriority w:val="0"/>
    <w:pPr>
      <w:pBdr>
        <w:bottom w:val="single" w:color="auto" w:sz="6" w:space="1"/>
      </w:pBdr>
      <w:jc w:val="center"/>
    </w:pPr>
    <w:rPr>
      <w:rFonts w:ascii="Arial"/>
      <w:vanish/>
      <w:sz w:val="16"/>
    </w:rPr>
  </w:style>
  <w:style w:type="character" w:customStyle="1" w:styleId="332">
    <w:name w:val="font31"/>
    <w:basedOn w:val="54"/>
    <w:autoRedefine/>
    <w:qFormat/>
    <w:uiPriority w:val="0"/>
    <w:rPr>
      <w:rFonts w:hint="eastAsia" w:ascii="宋体" w:hAnsi="宋体" w:eastAsia="宋体" w:cs="宋体"/>
      <w:color w:val="000000"/>
      <w:sz w:val="24"/>
      <w:szCs w:val="24"/>
      <w:u w:val="single"/>
    </w:rPr>
  </w:style>
  <w:style w:type="paragraph" w:customStyle="1" w:styleId="333">
    <w:name w:val="表格文字"/>
    <w:basedOn w:val="1"/>
    <w:next w:val="21"/>
    <w:autoRedefine/>
    <w:qFormat/>
    <w:uiPriority w:val="0"/>
    <w:pPr>
      <w:adjustRightInd w:val="0"/>
      <w:spacing w:line="420" w:lineRule="atLeast"/>
      <w:jc w:val="left"/>
      <w:textAlignment w:val="baseline"/>
    </w:pPr>
    <w:rPr>
      <w:kern w:val="0"/>
    </w:rPr>
  </w:style>
  <w:style w:type="character" w:customStyle="1" w:styleId="334">
    <w:name w:val="font01"/>
    <w:basedOn w:val="54"/>
    <w:autoRedefine/>
    <w:qFormat/>
    <w:uiPriority w:val="0"/>
    <w:rPr>
      <w:rFonts w:ascii="Arial" w:hAnsi="Arial" w:cs="Arial"/>
      <w:color w:val="000000"/>
      <w:sz w:val="18"/>
      <w:szCs w:val="18"/>
      <w:u w:val="none"/>
    </w:rPr>
  </w:style>
  <w:style w:type="paragraph" w:customStyle="1" w:styleId="335">
    <w:name w:val="列出段落3"/>
    <w:basedOn w:val="1"/>
    <w:autoRedefine/>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autoRedefine/>
    <w:qFormat/>
    <w:uiPriority w:val="0"/>
    <w:pPr>
      <w:keepNext/>
      <w:keepLines/>
      <w:spacing w:before="340" w:after="330" w:line="360" w:lineRule="exact"/>
      <w:jc w:val="left"/>
      <w:outlineLvl w:val="2"/>
    </w:pPr>
    <w:rPr>
      <w:b/>
      <w:bCs/>
      <w:kern w:val="44"/>
      <w:szCs w:val="21"/>
    </w:rPr>
  </w:style>
  <w:style w:type="character" w:customStyle="1" w:styleId="337">
    <w:name w:val="font61"/>
    <w:basedOn w:val="54"/>
    <w:autoRedefine/>
    <w:qFormat/>
    <w:uiPriority w:val="0"/>
    <w:rPr>
      <w:rFonts w:hint="eastAsia" w:ascii="宋体" w:hAnsi="宋体" w:eastAsia="宋体" w:cs="宋体"/>
      <w:color w:val="000000"/>
      <w:sz w:val="20"/>
      <w:szCs w:val="20"/>
      <w:u w:val="none"/>
    </w:rPr>
  </w:style>
  <w:style w:type="character" w:customStyle="1" w:styleId="338">
    <w:name w:val="font81"/>
    <w:basedOn w:val="54"/>
    <w:autoRedefine/>
    <w:qFormat/>
    <w:uiPriority w:val="0"/>
    <w:rPr>
      <w:rFonts w:ascii="Calibri" w:hAnsi="Calibri" w:cs="Calibri"/>
      <w:color w:val="000000"/>
      <w:sz w:val="20"/>
      <w:szCs w:val="20"/>
      <w:u w:val="none"/>
    </w:rPr>
  </w:style>
  <w:style w:type="character" w:customStyle="1" w:styleId="339">
    <w:name w:val="font71"/>
    <w:basedOn w:val="54"/>
    <w:autoRedefine/>
    <w:qFormat/>
    <w:uiPriority w:val="0"/>
    <w:rPr>
      <w:rFonts w:hint="eastAsia" w:ascii="宋体" w:hAnsi="宋体" w:eastAsia="宋体" w:cs="宋体"/>
      <w:color w:val="000000"/>
      <w:sz w:val="22"/>
      <w:szCs w:val="22"/>
      <w:u w:val="none"/>
    </w:rPr>
  </w:style>
  <w:style w:type="paragraph" w:customStyle="1" w:styleId="340">
    <w:name w:val="01 正文-首行缩进2字符"/>
    <w:basedOn w:val="1"/>
    <w:autoRedefine/>
    <w:qFormat/>
    <w:uiPriority w:val="0"/>
    <w:pPr>
      <w:spacing w:before="50" w:beforeLines="50" w:after="50" w:afterLines="50"/>
      <w:ind w:firstLine="200" w:firstLineChars="200"/>
    </w:pPr>
    <w:rPr>
      <w:rFonts w:ascii="Arial" w:hAnsi="Arial"/>
      <w:color w:val="000000"/>
    </w:rPr>
  </w:style>
  <w:style w:type="character" w:customStyle="1" w:styleId="341">
    <w:name w:val="NormalCharacter"/>
    <w:qFormat/>
    <w:uiPriority w:val="0"/>
    <w:rPr>
      <w:kern w:val="2"/>
      <w:sz w:val="21"/>
      <w:szCs w:val="24"/>
      <w:lang w:val="en-US" w:eastAsia="zh-CN" w:bidi="ar-SA"/>
    </w:rPr>
  </w:style>
  <w:style w:type="paragraph" w:customStyle="1" w:styleId="342">
    <w:name w:val="BodyText"/>
    <w:basedOn w:val="1"/>
    <w:qFormat/>
    <w:uiPriority w:val="0"/>
    <w:pPr>
      <w:spacing w:after="120"/>
      <w:textAlignment w:val="baseline"/>
    </w:pPr>
    <w:rPr>
      <w:lang w:bidi="mn-Mong-CN"/>
    </w:rPr>
  </w:style>
  <w:style w:type="paragraph" w:customStyle="1" w:styleId="343">
    <w:name w:val="_正文段落"/>
    <w:basedOn w:val="1"/>
    <w:qFormat/>
    <w:uiPriority w:val="0"/>
    <w:pPr>
      <w:spacing w:before="46" w:beforeLines="15" w:after="46" w:afterLines="15" w:line="360" w:lineRule="auto"/>
    </w:pPr>
  </w:style>
  <w:style w:type="table" w:customStyle="1" w:styleId="3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91</Pages>
  <Words>16604</Words>
  <Characters>17398</Characters>
  <Lines>322</Lines>
  <Paragraphs>90</Paragraphs>
  <TotalTime>17</TotalTime>
  <ScaleCrop>false</ScaleCrop>
  <LinksUpToDate>false</LinksUpToDate>
  <CharactersWithSpaces>17880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历程招标</cp:lastModifiedBy>
  <cp:lastPrinted>2025-07-03T05:02:55Z</cp:lastPrinted>
  <dcterms:modified xsi:type="dcterms:W3CDTF">2025-07-03T05:07:06Z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1711F3351FD24100BF6BA51B2BAF67A1_13</vt:lpwstr>
  </property>
  <property fmtid="{D5CDD505-2E9C-101B-9397-08002B2CF9AE}" pid="4" name="KSOTemplateDocerSaveRecord">
    <vt:lpwstr>eyJoZGlkIjoiZGYyYjc0MjQ3MDVjYjJkMDFhZjlkZDA2OTg4YWRlZmQiLCJ1c2VySWQiOiIxNDgxMzEyODcxIn0=</vt:lpwstr>
  </property>
</Properties>
</file>